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2E0A" w:rsidRDefault="00252E0A" w:rsidP="0044271D">
      <w:pPr>
        <w:jc w:val="center"/>
        <w:rPr>
          <w:b/>
          <w:sz w:val="28"/>
          <w:szCs w:val="28"/>
          <w:u w:val="double"/>
        </w:rPr>
      </w:pPr>
      <w:r w:rsidRPr="0044271D">
        <w:rPr>
          <w:b/>
          <w:sz w:val="28"/>
          <w:szCs w:val="28"/>
          <w:u w:val="double"/>
        </w:rPr>
        <w:t>BREVE INDAGINE DI MERCATO SUL COSTO DEL FOTOVOLTAICO IN ITALIA</w:t>
      </w:r>
    </w:p>
    <w:p w:rsidR="001273BA" w:rsidRPr="00DF762E" w:rsidRDefault="001273BA" w:rsidP="001273BA">
      <w:pPr>
        <w:spacing w:after="180" w:line="240" w:lineRule="auto"/>
        <w:ind w:right="43"/>
        <w:contextualSpacing/>
        <w:jc w:val="center"/>
        <w:rPr>
          <w:i/>
          <w:sz w:val="20"/>
          <w:szCs w:val="20"/>
          <w:lang w:val="en-US"/>
        </w:rPr>
      </w:pPr>
      <w:proofErr w:type="spellStart"/>
      <w:r w:rsidRPr="00DF762E">
        <w:rPr>
          <w:i/>
          <w:sz w:val="18"/>
          <w:szCs w:val="18"/>
          <w:lang w:val="en-US"/>
        </w:rPr>
        <w:t>Dott</w:t>
      </w:r>
      <w:proofErr w:type="spellEnd"/>
      <w:r w:rsidRPr="00DF762E">
        <w:rPr>
          <w:i/>
          <w:sz w:val="18"/>
          <w:szCs w:val="18"/>
          <w:lang w:val="en-US"/>
        </w:rPr>
        <w:t xml:space="preserve">. </w:t>
      </w:r>
      <w:proofErr w:type="spellStart"/>
      <w:r w:rsidRPr="00DF762E">
        <w:rPr>
          <w:i/>
          <w:sz w:val="18"/>
          <w:szCs w:val="18"/>
          <w:lang w:val="en-US"/>
        </w:rPr>
        <w:t>Per.Ind</w:t>
      </w:r>
      <w:proofErr w:type="spellEnd"/>
      <w:r w:rsidRPr="00DF762E">
        <w:rPr>
          <w:i/>
          <w:sz w:val="18"/>
          <w:szCs w:val="18"/>
          <w:lang w:val="en-US"/>
        </w:rPr>
        <w:t>.</w:t>
      </w:r>
      <w:r w:rsidRPr="00DF762E">
        <w:rPr>
          <w:i/>
          <w:sz w:val="20"/>
          <w:szCs w:val="20"/>
          <w:lang w:val="en-US"/>
        </w:rPr>
        <w:t xml:space="preserve"> </w:t>
      </w:r>
      <w:r w:rsidRPr="00DF762E">
        <w:rPr>
          <w:i/>
          <w:sz w:val="24"/>
          <w:szCs w:val="24"/>
          <w:lang w:val="en-US"/>
        </w:rPr>
        <w:t xml:space="preserve">R. </w:t>
      </w:r>
      <w:proofErr w:type="spellStart"/>
      <w:r w:rsidRPr="00DF762E">
        <w:rPr>
          <w:i/>
          <w:sz w:val="24"/>
          <w:szCs w:val="24"/>
          <w:lang w:val="en-US"/>
        </w:rPr>
        <w:t>Morelli</w:t>
      </w:r>
      <w:proofErr w:type="spellEnd"/>
      <w:r w:rsidRPr="00DF762E">
        <w:rPr>
          <w:i/>
          <w:sz w:val="20"/>
          <w:szCs w:val="20"/>
          <w:lang w:val="en-US"/>
        </w:rPr>
        <w:t xml:space="preserve">;  </w:t>
      </w:r>
      <w:proofErr w:type="spellStart"/>
      <w:r w:rsidRPr="00DF762E">
        <w:rPr>
          <w:i/>
          <w:sz w:val="18"/>
          <w:szCs w:val="18"/>
          <w:lang w:val="en-US"/>
        </w:rPr>
        <w:t>IEng</w:t>
      </w:r>
      <w:proofErr w:type="spellEnd"/>
      <w:r w:rsidRPr="00DF762E">
        <w:rPr>
          <w:i/>
          <w:sz w:val="18"/>
          <w:szCs w:val="18"/>
          <w:lang w:val="en-US"/>
        </w:rPr>
        <w:t xml:space="preserve"> MIET; ICEC TCM A</w:t>
      </w:r>
    </w:p>
    <w:p w:rsidR="001273BA" w:rsidRPr="00DF762E" w:rsidRDefault="001273BA" w:rsidP="001273BA">
      <w:pPr>
        <w:spacing w:after="180" w:line="240" w:lineRule="auto"/>
        <w:ind w:right="43"/>
        <w:contextualSpacing/>
        <w:jc w:val="center"/>
        <w:rPr>
          <w:b/>
          <w:sz w:val="24"/>
          <w:szCs w:val="24"/>
          <w:lang w:val="en-US"/>
        </w:rPr>
      </w:pPr>
    </w:p>
    <w:p w:rsidR="001273BA" w:rsidRPr="00C8477C" w:rsidRDefault="001273BA" w:rsidP="001273BA">
      <w:pPr>
        <w:spacing w:after="180" w:line="240" w:lineRule="auto"/>
        <w:ind w:right="43"/>
        <w:contextualSpacing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it-IT"/>
        </w:rPr>
        <w:drawing>
          <wp:inline distT="0" distB="0" distL="0" distR="0" wp14:anchorId="4688BD3A" wp14:editId="06D028F9">
            <wp:extent cx="952500" cy="952500"/>
            <wp:effectExtent l="0" t="0" r="0" b="0"/>
            <wp:docPr id="4" name="Immagine 4" descr="C:\Users\rocco\Documents\Loghi\logoaice2011_100 - Cop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occo\Documents\Loghi\logoaice2011_100 - Copia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24"/>
          <w:szCs w:val="24"/>
        </w:rPr>
        <w:tab/>
      </w:r>
      <w:r>
        <w:rPr>
          <w:b/>
          <w:noProof/>
          <w:sz w:val="24"/>
          <w:szCs w:val="24"/>
          <w:lang w:eastAsia="it-IT"/>
        </w:rPr>
        <w:drawing>
          <wp:inline distT="0" distB="0" distL="0" distR="0" wp14:anchorId="7AC09632" wp14:editId="494EEFC7">
            <wp:extent cx="1013414" cy="942975"/>
            <wp:effectExtent l="0" t="0" r="0" b="0"/>
            <wp:docPr id="299" name="Immagine 299" descr="C:\Users\rocco\Documents\Loghi\ICE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occo\Documents\Loghi\ICEC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755" cy="946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0CCE" w:rsidRPr="0044271D" w:rsidRDefault="007A0CCE" w:rsidP="0044271D">
      <w:pPr>
        <w:jc w:val="center"/>
        <w:rPr>
          <w:b/>
          <w:sz w:val="28"/>
          <w:szCs w:val="28"/>
          <w:u w:val="double"/>
        </w:rPr>
      </w:pPr>
    </w:p>
    <w:p w:rsidR="00C35E20" w:rsidRPr="0056056F" w:rsidRDefault="00C579D6" w:rsidP="0056056F">
      <w:pPr>
        <w:pStyle w:val="Paragrafoelenco"/>
        <w:numPr>
          <w:ilvl w:val="0"/>
          <w:numId w:val="2"/>
        </w:numPr>
        <w:rPr>
          <w:b/>
          <w:sz w:val="24"/>
          <w:szCs w:val="24"/>
          <w:u w:val="single"/>
        </w:rPr>
      </w:pPr>
      <w:r w:rsidRPr="0056056F">
        <w:rPr>
          <w:b/>
          <w:sz w:val="24"/>
          <w:szCs w:val="24"/>
          <w:u w:val="single"/>
        </w:rPr>
        <w:t>IMPIANTI FOTOVOLTAICI DI</w:t>
      </w:r>
      <w:r w:rsidR="00C35E20" w:rsidRPr="0056056F">
        <w:rPr>
          <w:b/>
          <w:sz w:val="24"/>
          <w:szCs w:val="24"/>
          <w:u w:val="single"/>
        </w:rPr>
        <w:t xml:space="preserve"> </w:t>
      </w:r>
      <w:r w:rsidR="005A5DFB" w:rsidRPr="0056056F">
        <w:rPr>
          <w:b/>
          <w:sz w:val="24"/>
          <w:szCs w:val="24"/>
          <w:u w:val="single"/>
        </w:rPr>
        <w:t>PICCOLA POTENZA PER US</w:t>
      </w:r>
      <w:r w:rsidR="0056056F" w:rsidRPr="0056056F">
        <w:rPr>
          <w:b/>
          <w:sz w:val="24"/>
          <w:szCs w:val="24"/>
          <w:u w:val="single"/>
        </w:rPr>
        <w:t>O DOMESTICO/</w:t>
      </w:r>
      <w:r w:rsidR="00C35E20" w:rsidRPr="0056056F">
        <w:rPr>
          <w:b/>
          <w:sz w:val="24"/>
          <w:szCs w:val="24"/>
          <w:u w:val="single"/>
        </w:rPr>
        <w:t>PMI</w:t>
      </w:r>
      <w:r w:rsidR="005A5DFB" w:rsidRPr="0056056F">
        <w:rPr>
          <w:b/>
          <w:sz w:val="24"/>
          <w:szCs w:val="24"/>
          <w:u w:val="single"/>
        </w:rPr>
        <w:t xml:space="preserve"> (Piccole o Medie Imprese)</w:t>
      </w:r>
    </w:p>
    <w:p w:rsidR="003B1FFC" w:rsidRDefault="00C35E20" w:rsidP="007D1114">
      <w:pPr>
        <w:tabs>
          <w:tab w:val="left" w:pos="5460"/>
        </w:tabs>
        <w:jc w:val="both"/>
      </w:pPr>
      <w:r>
        <w:t>I dati rilevati su siti commerciali presenti su Internet (Amazon et Alia) sono i seguenti. Si è cercato di rilevare, ove possibile, i valori minimi e massimi dei singoli kit</w:t>
      </w:r>
      <w:r w:rsidR="00C579D6">
        <w:t>,</w:t>
      </w:r>
      <w:r>
        <w:t xml:space="preserve"> il cui montaggio è a proprio carico o con tecnici generalmente di propria fiducia. Per i piccoli impianti, aldilà del “fai da te”,  quindi, è </w:t>
      </w:r>
      <w:r w:rsidR="00C579D6">
        <w:t>possibile la necessità di</w:t>
      </w:r>
      <w:r>
        <w:t xml:space="preserve"> </w:t>
      </w:r>
      <w:r w:rsidR="00C579D6">
        <w:t xml:space="preserve">dover </w:t>
      </w:r>
      <w:r>
        <w:t>tener</w:t>
      </w:r>
      <w:r w:rsidR="00C579D6">
        <w:t>e</w:t>
      </w:r>
      <w:r>
        <w:t xml:space="preserve"> in conto un onere di assemblaggio/montaggio.</w:t>
      </w:r>
    </w:p>
    <w:p w:rsidR="00312E9E" w:rsidRDefault="00312E9E" w:rsidP="007D1114">
      <w:pPr>
        <w:tabs>
          <w:tab w:val="left" w:pos="5460"/>
        </w:tabs>
        <w:jc w:val="both"/>
      </w:pPr>
    </w:p>
    <w:tbl>
      <w:tblPr>
        <w:tblW w:w="1920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76"/>
      </w:tblGrid>
      <w:tr w:rsidR="00312E9E" w:rsidRPr="00312E9E" w:rsidTr="00312E9E">
        <w:trPr>
          <w:trHeight w:val="30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12E9E" w:rsidRPr="00312E9E" w:rsidRDefault="00312E9E" w:rsidP="00312E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proofErr w:type="spellStart"/>
            <w:r w:rsidRPr="00312E9E"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kWp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2E9E" w:rsidRPr="00312E9E" w:rsidRDefault="00312E9E" w:rsidP="00312E9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r w:rsidRPr="00312E9E"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€</w:t>
            </w:r>
          </w:p>
        </w:tc>
      </w:tr>
      <w:tr w:rsidR="00312E9E" w:rsidRPr="00312E9E" w:rsidTr="00312E9E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312E9E" w:rsidRPr="00312E9E" w:rsidRDefault="00312E9E" w:rsidP="00312E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12E9E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12E9E" w:rsidRPr="00312E9E" w:rsidRDefault="00312E9E" w:rsidP="00312E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12E9E">
              <w:rPr>
                <w:rFonts w:ascii="Calibri" w:eastAsia="Times New Roman" w:hAnsi="Calibri" w:cs="Calibri"/>
                <w:color w:val="000000"/>
                <w:lang w:eastAsia="it-IT"/>
              </w:rPr>
              <w:t>1472,5</w:t>
            </w:r>
          </w:p>
        </w:tc>
      </w:tr>
      <w:tr w:rsidR="00312E9E" w:rsidRPr="00312E9E" w:rsidTr="00312E9E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312E9E" w:rsidRPr="00312E9E" w:rsidRDefault="00312E9E" w:rsidP="00312E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12E9E">
              <w:rPr>
                <w:rFonts w:ascii="Calibri" w:eastAsia="Times New Roman" w:hAnsi="Calibri" w:cs="Calibri"/>
                <w:color w:val="000000"/>
                <w:lang w:eastAsia="it-IT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12E9E" w:rsidRPr="00312E9E" w:rsidRDefault="00312E9E" w:rsidP="00312E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12E9E">
              <w:rPr>
                <w:rFonts w:ascii="Calibri" w:eastAsia="Times New Roman" w:hAnsi="Calibri" w:cs="Calibri"/>
                <w:color w:val="000000"/>
                <w:lang w:eastAsia="it-IT"/>
              </w:rPr>
              <w:t>2176,744</w:t>
            </w:r>
          </w:p>
        </w:tc>
      </w:tr>
      <w:tr w:rsidR="00312E9E" w:rsidRPr="00312E9E" w:rsidTr="00312E9E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312E9E" w:rsidRPr="00312E9E" w:rsidRDefault="00312E9E" w:rsidP="00312E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12E9E">
              <w:rPr>
                <w:rFonts w:ascii="Calibri" w:eastAsia="Times New Roman" w:hAnsi="Calibri" w:cs="Calibri"/>
                <w:color w:val="000000"/>
                <w:lang w:eastAsia="it-IT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12E9E" w:rsidRPr="00312E9E" w:rsidRDefault="00312E9E" w:rsidP="00312E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12E9E">
              <w:rPr>
                <w:rFonts w:ascii="Calibri" w:eastAsia="Times New Roman" w:hAnsi="Calibri" w:cs="Calibri"/>
                <w:color w:val="000000"/>
                <w:lang w:eastAsia="it-IT"/>
              </w:rPr>
              <w:t>2176,744</w:t>
            </w:r>
          </w:p>
        </w:tc>
      </w:tr>
      <w:tr w:rsidR="00312E9E" w:rsidRPr="00312E9E" w:rsidTr="00312E9E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312E9E" w:rsidRPr="00312E9E" w:rsidRDefault="00312E9E" w:rsidP="00312E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12E9E">
              <w:rPr>
                <w:rFonts w:ascii="Calibri" w:eastAsia="Times New Roman" w:hAnsi="Calibri" w:cs="Calibri"/>
                <w:color w:val="000000"/>
                <w:lang w:eastAsia="it-IT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12E9E" w:rsidRPr="00312E9E" w:rsidRDefault="00312E9E" w:rsidP="00312E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12E9E">
              <w:rPr>
                <w:rFonts w:ascii="Calibri" w:eastAsia="Times New Roman" w:hAnsi="Calibri" w:cs="Calibri"/>
                <w:color w:val="000000"/>
                <w:lang w:eastAsia="it-IT"/>
              </w:rPr>
              <w:t>2872,422</w:t>
            </w:r>
          </w:p>
        </w:tc>
      </w:tr>
      <w:tr w:rsidR="00312E9E" w:rsidRPr="00312E9E" w:rsidTr="00312E9E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312E9E" w:rsidRPr="00312E9E" w:rsidRDefault="00312E9E" w:rsidP="00312E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12E9E">
              <w:rPr>
                <w:rFonts w:ascii="Calibri" w:eastAsia="Times New Roman" w:hAnsi="Calibri" w:cs="Calibri"/>
                <w:color w:val="000000"/>
                <w:lang w:eastAsia="it-IT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12E9E" w:rsidRPr="00312E9E" w:rsidRDefault="00312E9E" w:rsidP="00312E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12E9E">
              <w:rPr>
                <w:rFonts w:ascii="Calibri" w:eastAsia="Times New Roman" w:hAnsi="Calibri" w:cs="Calibri"/>
                <w:color w:val="000000"/>
                <w:lang w:eastAsia="it-IT"/>
              </w:rPr>
              <w:t>4246,198</w:t>
            </w:r>
          </w:p>
        </w:tc>
      </w:tr>
      <w:tr w:rsidR="00312E9E" w:rsidRPr="00312E9E" w:rsidTr="00312E9E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312E9E" w:rsidRPr="00312E9E" w:rsidRDefault="00312E9E" w:rsidP="00312E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12E9E">
              <w:rPr>
                <w:rFonts w:ascii="Calibri" w:eastAsia="Times New Roman" w:hAnsi="Calibri" w:cs="Calibri"/>
                <w:color w:val="000000"/>
                <w:lang w:eastAsia="it-IT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12E9E" w:rsidRPr="00312E9E" w:rsidRDefault="00312E9E" w:rsidP="00312E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12E9E">
              <w:rPr>
                <w:rFonts w:ascii="Calibri" w:eastAsia="Times New Roman" w:hAnsi="Calibri" w:cs="Calibri"/>
                <w:color w:val="000000"/>
                <w:lang w:eastAsia="it-IT"/>
              </w:rPr>
              <w:t>4246,198</w:t>
            </w:r>
          </w:p>
        </w:tc>
      </w:tr>
      <w:tr w:rsidR="00312E9E" w:rsidRPr="00312E9E" w:rsidTr="00312E9E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312E9E" w:rsidRPr="00312E9E" w:rsidRDefault="00312E9E" w:rsidP="00312E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12E9E">
              <w:rPr>
                <w:rFonts w:ascii="Calibri" w:eastAsia="Times New Roman" w:hAnsi="Calibri" w:cs="Calibri"/>
                <w:color w:val="000000"/>
                <w:lang w:eastAsia="it-IT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12E9E" w:rsidRPr="00312E9E" w:rsidRDefault="00312E9E" w:rsidP="00312E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12E9E">
              <w:rPr>
                <w:rFonts w:ascii="Calibri" w:eastAsia="Times New Roman" w:hAnsi="Calibri" w:cs="Calibri"/>
                <w:color w:val="000000"/>
                <w:lang w:eastAsia="it-IT"/>
              </w:rPr>
              <w:t>4246,198</w:t>
            </w:r>
          </w:p>
        </w:tc>
      </w:tr>
      <w:tr w:rsidR="00312E9E" w:rsidRPr="00312E9E" w:rsidTr="00312E9E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312E9E" w:rsidRPr="00312E9E" w:rsidRDefault="00312E9E" w:rsidP="00312E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12E9E">
              <w:rPr>
                <w:rFonts w:ascii="Calibri" w:eastAsia="Times New Roman" w:hAnsi="Calibri" w:cs="Calibri"/>
                <w:color w:val="000000"/>
                <w:lang w:eastAsia="it-IT"/>
              </w:rPr>
              <w:t>4,5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12E9E" w:rsidRPr="00312E9E" w:rsidRDefault="00312E9E" w:rsidP="00312E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12E9E">
              <w:rPr>
                <w:rFonts w:ascii="Calibri" w:eastAsia="Times New Roman" w:hAnsi="Calibri" w:cs="Calibri"/>
                <w:color w:val="000000"/>
                <w:lang w:eastAsia="it-IT"/>
              </w:rPr>
              <w:t>6277,001</w:t>
            </w:r>
          </w:p>
        </w:tc>
      </w:tr>
      <w:tr w:rsidR="00312E9E" w:rsidRPr="00312E9E" w:rsidTr="00312E9E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312E9E" w:rsidRPr="00312E9E" w:rsidRDefault="00312E9E" w:rsidP="00312E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12E9E">
              <w:rPr>
                <w:rFonts w:ascii="Calibri" w:eastAsia="Times New Roman" w:hAnsi="Calibri" w:cs="Calibri"/>
                <w:color w:val="000000"/>
                <w:lang w:eastAsia="it-IT"/>
              </w:rPr>
              <w:t>4,5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12E9E" w:rsidRPr="00312E9E" w:rsidRDefault="00312E9E" w:rsidP="00312E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12E9E">
              <w:rPr>
                <w:rFonts w:ascii="Calibri" w:eastAsia="Times New Roman" w:hAnsi="Calibri" w:cs="Calibri"/>
                <w:color w:val="000000"/>
                <w:lang w:eastAsia="it-IT"/>
              </w:rPr>
              <w:t>6277,001</w:t>
            </w:r>
          </w:p>
        </w:tc>
      </w:tr>
      <w:tr w:rsidR="00312E9E" w:rsidRPr="00312E9E" w:rsidTr="00312E9E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312E9E" w:rsidRPr="00312E9E" w:rsidRDefault="00312E9E" w:rsidP="00312E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12E9E">
              <w:rPr>
                <w:rFonts w:ascii="Calibri" w:eastAsia="Times New Roman" w:hAnsi="Calibri" w:cs="Calibri"/>
                <w:color w:val="000000"/>
                <w:lang w:eastAsia="it-IT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12E9E" w:rsidRPr="00312E9E" w:rsidRDefault="00312E9E" w:rsidP="00312E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12E9E">
              <w:rPr>
                <w:rFonts w:ascii="Calibri" w:eastAsia="Times New Roman" w:hAnsi="Calibri" w:cs="Calibri"/>
                <w:color w:val="000000"/>
                <w:lang w:eastAsia="it-IT"/>
              </w:rPr>
              <w:t>8283,104</w:t>
            </w:r>
          </w:p>
        </w:tc>
      </w:tr>
      <w:tr w:rsidR="00312E9E" w:rsidRPr="00312E9E" w:rsidTr="00312E9E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312E9E" w:rsidRPr="00312E9E" w:rsidRDefault="00312E9E" w:rsidP="00312E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12E9E">
              <w:rPr>
                <w:rFonts w:ascii="Calibri" w:eastAsia="Times New Roman" w:hAnsi="Calibri" w:cs="Calibri"/>
                <w:color w:val="000000"/>
                <w:lang w:eastAsia="it-IT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12E9E" w:rsidRPr="00312E9E" w:rsidRDefault="00312E9E" w:rsidP="00312E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12E9E">
              <w:rPr>
                <w:rFonts w:ascii="Calibri" w:eastAsia="Times New Roman" w:hAnsi="Calibri" w:cs="Calibri"/>
                <w:color w:val="000000"/>
                <w:lang w:eastAsia="it-IT"/>
              </w:rPr>
              <w:t>8283,104</w:t>
            </w:r>
          </w:p>
        </w:tc>
      </w:tr>
      <w:tr w:rsidR="00312E9E" w:rsidRPr="00312E9E" w:rsidTr="00312E9E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312E9E" w:rsidRPr="00312E9E" w:rsidRDefault="00312E9E" w:rsidP="00312E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12E9E">
              <w:rPr>
                <w:rFonts w:ascii="Calibri" w:eastAsia="Times New Roman" w:hAnsi="Calibri" w:cs="Calibri"/>
                <w:color w:val="000000"/>
                <w:lang w:eastAsia="it-IT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12E9E" w:rsidRPr="00312E9E" w:rsidRDefault="00312E9E" w:rsidP="00312E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12E9E">
              <w:rPr>
                <w:rFonts w:ascii="Calibri" w:eastAsia="Times New Roman" w:hAnsi="Calibri" w:cs="Calibri"/>
                <w:color w:val="000000"/>
                <w:lang w:eastAsia="it-IT"/>
              </w:rPr>
              <w:t>13553,62</w:t>
            </w:r>
          </w:p>
        </w:tc>
      </w:tr>
      <w:tr w:rsidR="00312E9E" w:rsidRPr="00312E9E" w:rsidTr="00312E9E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312E9E" w:rsidRPr="00312E9E" w:rsidRDefault="00312E9E" w:rsidP="00312E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12E9E">
              <w:rPr>
                <w:rFonts w:ascii="Calibri" w:eastAsia="Times New Roman" w:hAnsi="Calibri" w:cs="Calibri"/>
                <w:color w:val="000000"/>
                <w:lang w:eastAsia="it-IT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12E9E" w:rsidRPr="00312E9E" w:rsidRDefault="00312E9E" w:rsidP="00312E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12E9E">
              <w:rPr>
                <w:rFonts w:ascii="Calibri" w:eastAsia="Times New Roman" w:hAnsi="Calibri" w:cs="Calibri"/>
                <w:color w:val="000000"/>
                <w:lang w:eastAsia="it-IT"/>
              </w:rPr>
              <w:t>13553,62</w:t>
            </w:r>
          </w:p>
        </w:tc>
      </w:tr>
      <w:tr w:rsidR="00312E9E" w:rsidRPr="00312E9E" w:rsidTr="00312E9E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312E9E" w:rsidRPr="00312E9E" w:rsidRDefault="00312E9E" w:rsidP="00312E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12E9E">
              <w:rPr>
                <w:rFonts w:ascii="Calibri" w:eastAsia="Times New Roman" w:hAnsi="Calibri" w:cs="Calibri"/>
                <w:color w:val="000000"/>
                <w:lang w:eastAsia="it-IT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12E9E" w:rsidRPr="00312E9E" w:rsidRDefault="00312E9E" w:rsidP="00312E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12E9E">
              <w:rPr>
                <w:rFonts w:ascii="Calibri" w:eastAsia="Times New Roman" w:hAnsi="Calibri" w:cs="Calibri"/>
                <w:color w:val="000000"/>
                <w:lang w:eastAsia="it-IT"/>
              </w:rPr>
              <w:t>13553,62</w:t>
            </w:r>
          </w:p>
        </w:tc>
      </w:tr>
      <w:tr w:rsidR="00312E9E" w:rsidRPr="00312E9E" w:rsidTr="00312E9E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312E9E" w:rsidRPr="00312E9E" w:rsidRDefault="00312E9E" w:rsidP="00312E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12E9E">
              <w:rPr>
                <w:rFonts w:ascii="Calibri" w:eastAsia="Times New Roman" w:hAnsi="Calibri" w:cs="Calibri"/>
                <w:color w:val="000000"/>
                <w:lang w:eastAsia="it-IT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12E9E" w:rsidRPr="00312E9E" w:rsidRDefault="00312E9E" w:rsidP="00312E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12E9E">
              <w:rPr>
                <w:rFonts w:ascii="Calibri" w:eastAsia="Times New Roman" w:hAnsi="Calibri" w:cs="Calibri"/>
                <w:color w:val="000000"/>
                <w:lang w:eastAsia="it-IT"/>
              </w:rPr>
              <w:t>13553,62</w:t>
            </w:r>
          </w:p>
        </w:tc>
      </w:tr>
      <w:tr w:rsidR="00312E9E" w:rsidRPr="00312E9E" w:rsidTr="00312E9E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312E9E" w:rsidRPr="00312E9E" w:rsidRDefault="00312E9E" w:rsidP="00312E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12E9E">
              <w:rPr>
                <w:rFonts w:ascii="Calibri" w:eastAsia="Times New Roman" w:hAnsi="Calibri" w:cs="Calibri"/>
                <w:color w:val="000000"/>
                <w:lang w:eastAsia="it-IT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12E9E" w:rsidRPr="00312E9E" w:rsidRDefault="00312E9E" w:rsidP="00312E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12E9E">
              <w:rPr>
                <w:rFonts w:ascii="Calibri" w:eastAsia="Times New Roman" w:hAnsi="Calibri" w:cs="Calibri"/>
                <w:color w:val="000000"/>
                <w:lang w:eastAsia="it-IT"/>
              </w:rPr>
              <w:t>26439,19</w:t>
            </w:r>
          </w:p>
        </w:tc>
      </w:tr>
      <w:tr w:rsidR="00312E9E" w:rsidRPr="00312E9E" w:rsidTr="00312E9E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312E9E" w:rsidRPr="00312E9E" w:rsidRDefault="00312E9E" w:rsidP="00312E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12E9E">
              <w:rPr>
                <w:rFonts w:ascii="Calibri" w:eastAsia="Times New Roman" w:hAnsi="Calibri" w:cs="Calibri"/>
                <w:color w:val="000000"/>
                <w:lang w:eastAsia="it-IT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12E9E" w:rsidRPr="00312E9E" w:rsidRDefault="00312E9E" w:rsidP="00312E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12E9E">
              <w:rPr>
                <w:rFonts w:ascii="Calibri" w:eastAsia="Times New Roman" w:hAnsi="Calibri" w:cs="Calibri"/>
                <w:color w:val="000000"/>
                <w:lang w:eastAsia="it-IT"/>
              </w:rPr>
              <w:t>26439,19</w:t>
            </w:r>
          </w:p>
        </w:tc>
      </w:tr>
      <w:tr w:rsidR="00312E9E" w:rsidRPr="00312E9E" w:rsidTr="00312E9E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312E9E" w:rsidRPr="00312E9E" w:rsidRDefault="00312E9E" w:rsidP="00312E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12E9E">
              <w:rPr>
                <w:rFonts w:ascii="Calibri" w:eastAsia="Times New Roman" w:hAnsi="Calibri" w:cs="Calibri"/>
                <w:color w:val="000000"/>
                <w:lang w:eastAsia="it-IT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12E9E" w:rsidRPr="00312E9E" w:rsidRDefault="00312E9E" w:rsidP="00312E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12E9E">
              <w:rPr>
                <w:rFonts w:ascii="Calibri" w:eastAsia="Times New Roman" w:hAnsi="Calibri" w:cs="Calibri"/>
                <w:color w:val="000000"/>
                <w:lang w:eastAsia="it-IT"/>
              </w:rPr>
              <w:t>39084,11</w:t>
            </w:r>
          </w:p>
        </w:tc>
      </w:tr>
      <w:tr w:rsidR="00312E9E" w:rsidRPr="00312E9E" w:rsidTr="00312E9E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312E9E" w:rsidRPr="00312E9E" w:rsidRDefault="00312E9E" w:rsidP="00312E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12E9E">
              <w:rPr>
                <w:rFonts w:ascii="Calibri" w:eastAsia="Times New Roman" w:hAnsi="Calibri" w:cs="Calibri"/>
                <w:color w:val="000000"/>
                <w:lang w:eastAsia="it-IT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12E9E" w:rsidRPr="00312E9E" w:rsidRDefault="00312E9E" w:rsidP="00312E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12E9E">
              <w:rPr>
                <w:rFonts w:ascii="Calibri" w:eastAsia="Times New Roman" w:hAnsi="Calibri" w:cs="Calibri"/>
                <w:color w:val="000000"/>
                <w:lang w:eastAsia="it-IT"/>
              </w:rPr>
              <w:t>39084,11</w:t>
            </w:r>
          </w:p>
        </w:tc>
      </w:tr>
      <w:tr w:rsidR="00312E9E" w:rsidRPr="00312E9E" w:rsidTr="00312E9E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312E9E" w:rsidRPr="00312E9E" w:rsidRDefault="00312E9E" w:rsidP="00312E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12E9E">
              <w:rPr>
                <w:rFonts w:ascii="Calibri" w:eastAsia="Times New Roman" w:hAnsi="Calibri" w:cs="Calibri"/>
                <w:color w:val="000000"/>
                <w:lang w:eastAsia="it-IT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12E9E" w:rsidRPr="00312E9E" w:rsidRDefault="00312E9E" w:rsidP="00312E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12E9E">
              <w:rPr>
                <w:rFonts w:ascii="Calibri" w:eastAsia="Times New Roman" w:hAnsi="Calibri" w:cs="Calibri"/>
                <w:color w:val="000000"/>
                <w:lang w:eastAsia="it-IT"/>
              </w:rPr>
              <w:t>39084,11</w:t>
            </w:r>
          </w:p>
        </w:tc>
      </w:tr>
      <w:tr w:rsidR="00312E9E" w:rsidRPr="00312E9E" w:rsidTr="00312E9E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312E9E" w:rsidRPr="00312E9E" w:rsidRDefault="00312E9E" w:rsidP="00312E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12E9E">
              <w:rPr>
                <w:rFonts w:ascii="Calibri" w:eastAsia="Times New Roman" w:hAnsi="Calibri" w:cs="Calibri"/>
                <w:color w:val="000000"/>
                <w:lang w:eastAsia="it-IT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12E9E" w:rsidRPr="00312E9E" w:rsidRDefault="00312E9E" w:rsidP="00312E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12E9E">
              <w:rPr>
                <w:rFonts w:ascii="Calibri" w:eastAsia="Times New Roman" w:hAnsi="Calibri" w:cs="Calibri"/>
                <w:color w:val="000000"/>
                <w:lang w:eastAsia="it-IT"/>
              </w:rPr>
              <w:t>63953,22</w:t>
            </w:r>
          </w:p>
        </w:tc>
      </w:tr>
      <w:tr w:rsidR="00312E9E" w:rsidRPr="00312E9E" w:rsidTr="00312E9E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312E9E" w:rsidRPr="00312E9E" w:rsidRDefault="00312E9E" w:rsidP="00312E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12E9E">
              <w:rPr>
                <w:rFonts w:ascii="Calibri" w:eastAsia="Times New Roman" w:hAnsi="Calibri" w:cs="Calibri"/>
                <w:color w:val="000000"/>
                <w:lang w:eastAsia="it-IT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12E9E" w:rsidRPr="00312E9E" w:rsidRDefault="00312E9E" w:rsidP="00312E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12E9E">
              <w:rPr>
                <w:rFonts w:ascii="Calibri" w:eastAsia="Times New Roman" w:hAnsi="Calibri" w:cs="Calibri"/>
                <w:color w:val="000000"/>
                <w:lang w:eastAsia="it-IT"/>
              </w:rPr>
              <w:t>63953,22</w:t>
            </w:r>
          </w:p>
        </w:tc>
      </w:tr>
      <w:tr w:rsidR="00312E9E" w:rsidRPr="00312E9E" w:rsidTr="00312E9E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312E9E" w:rsidRPr="00312E9E" w:rsidRDefault="00312E9E" w:rsidP="00312E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12E9E">
              <w:rPr>
                <w:rFonts w:ascii="Calibri" w:eastAsia="Times New Roman" w:hAnsi="Calibri" w:cs="Calibri"/>
                <w:color w:val="000000"/>
                <w:lang w:eastAsia="it-IT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312E9E" w:rsidRPr="00312E9E" w:rsidRDefault="00312E9E" w:rsidP="00312E9E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312E9E">
              <w:rPr>
                <w:rFonts w:ascii="Calibri" w:eastAsia="Times New Roman" w:hAnsi="Calibri" w:cs="Calibri"/>
                <w:color w:val="000000"/>
                <w:lang w:eastAsia="it-IT"/>
              </w:rPr>
              <w:t>63953,22</w:t>
            </w:r>
          </w:p>
        </w:tc>
      </w:tr>
    </w:tbl>
    <w:p w:rsidR="00312E9E" w:rsidRDefault="00312E9E" w:rsidP="00312E9E">
      <w:pPr>
        <w:tabs>
          <w:tab w:val="left" w:pos="5460"/>
        </w:tabs>
        <w:jc w:val="center"/>
      </w:pPr>
    </w:p>
    <w:p w:rsidR="00312E9E" w:rsidRDefault="00312E9E" w:rsidP="00312E9E">
      <w:pPr>
        <w:tabs>
          <w:tab w:val="left" w:pos="5460"/>
        </w:tabs>
        <w:jc w:val="center"/>
      </w:pPr>
      <w:proofErr w:type="spellStart"/>
      <w:r>
        <w:t>Tab</w:t>
      </w:r>
      <w:proofErr w:type="spellEnd"/>
      <w:r>
        <w:t>. 1</w:t>
      </w:r>
    </w:p>
    <w:p w:rsidR="00312E9E" w:rsidRDefault="00312E9E" w:rsidP="00312E9E">
      <w:pPr>
        <w:tabs>
          <w:tab w:val="left" w:pos="5460"/>
        </w:tabs>
        <w:jc w:val="both"/>
      </w:pPr>
      <w:r w:rsidRPr="00C579D6">
        <w:t>Sottoposti a correlazione tra Costo (Euro) e Potenza (</w:t>
      </w:r>
      <w:proofErr w:type="spellStart"/>
      <w:r w:rsidRPr="00C579D6">
        <w:t>kWp</w:t>
      </w:r>
      <w:proofErr w:type="spellEnd"/>
      <w:r w:rsidRPr="00C579D6">
        <w:t>) i dati rilevati forniscono i risultati riportati nel presente grafico</w:t>
      </w:r>
      <w:r>
        <w:t xml:space="preserve"> di Fig. 1</w:t>
      </w:r>
      <w:r w:rsidRPr="00C579D6">
        <w:t>.</w:t>
      </w:r>
    </w:p>
    <w:p w:rsidR="00312E9E" w:rsidRDefault="00C579D6" w:rsidP="00C579D6">
      <w:pPr>
        <w:jc w:val="center"/>
      </w:pPr>
      <w:r>
        <w:rPr>
          <w:noProof/>
          <w:lang w:eastAsia="it-IT"/>
        </w:rPr>
        <w:lastRenderedPageBreak/>
        <w:drawing>
          <wp:inline distT="0" distB="0" distL="0" distR="0" wp14:anchorId="17A18172" wp14:editId="6D0BE759">
            <wp:extent cx="4572000" cy="2749550"/>
            <wp:effectExtent l="0" t="0" r="19050" b="12700"/>
            <wp:docPr id="1" name="Gra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C579D6" w:rsidRDefault="001E07F9" w:rsidP="00C579D6">
      <w:pPr>
        <w:jc w:val="center"/>
      </w:pPr>
      <w:r>
        <w:t>Fig. 1</w:t>
      </w:r>
    </w:p>
    <w:p w:rsidR="00C579D6" w:rsidRPr="00C579D6" w:rsidRDefault="00C579D6" w:rsidP="00C579D6">
      <w:pPr>
        <w:jc w:val="both"/>
      </w:pPr>
      <w:r>
        <w:t>Si può notare che la correlazione è abbastanza buona (</w:t>
      </w:r>
      <w:r w:rsidR="005A5DFB">
        <w:t>&gt; 0,9)</w:t>
      </w:r>
      <w:r>
        <w:t xml:space="preserve"> e il coefficiente di determinazione R</w:t>
      </w:r>
      <w:r w:rsidRPr="00C579D6">
        <w:rPr>
          <w:vertAlign w:val="superscript"/>
        </w:rPr>
        <w:t>2</w:t>
      </w:r>
      <w:r>
        <w:t xml:space="preserve"> suggerisce </w:t>
      </w:r>
      <w:r w:rsidR="005A5DFB">
        <w:t xml:space="preserve">che l’errore commesso rispetto ai dati rilevati può essere contenuto nell’intervallo del </w:t>
      </w:r>
      <w:r w:rsidR="005A5DFB">
        <w:rPr>
          <w:rFonts w:cstheme="minorHAnsi"/>
        </w:rPr>
        <w:t>±</w:t>
      </w:r>
      <w:r w:rsidR="005A5DFB">
        <w:t>10% (presumibilmente gli oneri di montaggio/assemblaggio del kit</w:t>
      </w:r>
      <w:r w:rsidR="007A6AFE">
        <w:t xml:space="preserve"> non sempre inclusi</w:t>
      </w:r>
      <w:r w:rsidR="005A5DFB">
        <w:t>). La linea verde di contorno dei dati suggerisce l’ambito generale dei valori di mercato. Valori fuori della linea verde o sono fuori mercato o sono dovuti a kit con particolari prestazioni (aldilà delle batterie di accumulo che sono invece comprese).</w:t>
      </w:r>
      <w:r w:rsidR="001E07F9">
        <w:t xml:space="preserve"> Sebbene la funzione corre</w:t>
      </w:r>
      <w:r w:rsidR="007A6AFE">
        <w:t xml:space="preserve">latrice trovata appaia lineare, </w:t>
      </w:r>
      <w:r w:rsidR="001E07F9">
        <w:t xml:space="preserve">essa è di fatto una funzione di potenza con esponente (0,964) molto prossimo a 1. Ciò indica che sebbene piccolo, è implicito un effetto di scala legato alla taglia d’impianto. Ossia, tanto più è alta la potenza di impianto, tanto più è basso il prezzo unitario per </w:t>
      </w:r>
      <w:proofErr w:type="spellStart"/>
      <w:r w:rsidR="001E07F9">
        <w:t>kWp</w:t>
      </w:r>
      <w:proofErr w:type="spellEnd"/>
      <w:r w:rsidR="001E07F9">
        <w:t xml:space="preserve">  installato.</w:t>
      </w:r>
    </w:p>
    <w:p w:rsidR="0056056F" w:rsidRDefault="0056056F">
      <w:pPr>
        <w:rPr>
          <w:b/>
          <w:sz w:val="24"/>
          <w:szCs w:val="24"/>
          <w:u w:val="single"/>
        </w:rPr>
      </w:pPr>
    </w:p>
    <w:p w:rsidR="00A018E5" w:rsidRDefault="00A018E5" w:rsidP="0056056F">
      <w:pPr>
        <w:pStyle w:val="Paragrafoelenco"/>
        <w:numPr>
          <w:ilvl w:val="0"/>
          <w:numId w:val="2"/>
        </w:numPr>
        <w:rPr>
          <w:b/>
          <w:sz w:val="24"/>
          <w:szCs w:val="24"/>
          <w:u w:val="single"/>
        </w:rPr>
      </w:pPr>
      <w:r w:rsidRPr="0056056F">
        <w:rPr>
          <w:b/>
          <w:sz w:val="24"/>
          <w:szCs w:val="24"/>
          <w:u w:val="single"/>
        </w:rPr>
        <w:t>IMPIANTI FOTOVOLTAICI DI POTENZA</w:t>
      </w:r>
      <w:r w:rsidR="00256763">
        <w:rPr>
          <w:b/>
          <w:sz w:val="24"/>
          <w:szCs w:val="24"/>
          <w:u w:val="single"/>
        </w:rPr>
        <w:t xml:space="preserve"> PER GENERAZIONE ELETTRICA ED USO INDUSTRIALE</w:t>
      </w:r>
      <w:r w:rsidRPr="0056056F">
        <w:rPr>
          <w:b/>
          <w:sz w:val="24"/>
          <w:szCs w:val="24"/>
          <w:u w:val="single"/>
        </w:rPr>
        <w:t xml:space="preserve"> </w:t>
      </w:r>
    </w:p>
    <w:p w:rsidR="0056056F" w:rsidRPr="0056056F" w:rsidRDefault="0056056F" w:rsidP="0056056F">
      <w:pPr>
        <w:pStyle w:val="Paragrafoelenco"/>
        <w:rPr>
          <w:b/>
          <w:sz w:val="24"/>
          <w:szCs w:val="24"/>
          <w:u w:val="single"/>
        </w:rPr>
      </w:pPr>
    </w:p>
    <w:p w:rsidR="001B2A6D" w:rsidRPr="0056056F" w:rsidRDefault="001B2A6D" w:rsidP="0056056F">
      <w:pPr>
        <w:pStyle w:val="Paragrafoelenco"/>
        <w:numPr>
          <w:ilvl w:val="0"/>
          <w:numId w:val="1"/>
        </w:numPr>
        <w:rPr>
          <w:b/>
          <w:sz w:val="24"/>
          <w:szCs w:val="24"/>
          <w:u w:val="single"/>
        </w:rPr>
      </w:pPr>
      <w:r w:rsidRPr="0056056F">
        <w:rPr>
          <w:b/>
          <w:sz w:val="24"/>
          <w:szCs w:val="24"/>
          <w:u w:val="single"/>
        </w:rPr>
        <w:t>Dati relativi  a grandi impianti fotovoltaici Enel in Sicilia.</w:t>
      </w:r>
    </w:p>
    <w:p w:rsidR="001B2A6D" w:rsidRDefault="001B2A6D">
      <w:r>
        <w:t>Vedasi</w:t>
      </w:r>
    </w:p>
    <w:p w:rsidR="001B2A6D" w:rsidRDefault="00EF5964">
      <w:hyperlink r:id="rId11" w:history="1">
        <w:r w:rsidR="001B2A6D" w:rsidRPr="00A0185F">
          <w:rPr>
            <w:rStyle w:val="Collegamentoipertestuale"/>
          </w:rPr>
          <w:t>file:///D:/Documents/DC/Energia/Fotovoltaico_%20in%20Sicilia%20stanno%20per%20nascere%20due%20importanti%20parchi%20solari.pdf</w:t>
        </w:r>
      </w:hyperlink>
      <w:r w:rsidR="001B2A6D">
        <w:t xml:space="preserve"> </w:t>
      </w:r>
    </w:p>
    <w:p w:rsidR="001B2A6D" w:rsidRDefault="00EF5964">
      <w:hyperlink r:id="rId12" w:history="1">
        <w:r w:rsidR="001B2A6D" w:rsidRPr="00A0185F">
          <w:rPr>
            <w:rStyle w:val="Collegamentoipertestuale"/>
          </w:rPr>
          <w:t>https://va.mite.gov.it/it-IT/Oggetti/Info/8492</w:t>
        </w:r>
      </w:hyperlink>
      <w:r w:rsidR="001B2A6D">
        <w:t xml:space="preserve"> </w:t>
      </w:r>
    </w:p>
    <w:p w:rsidR="00FF43A0" w:rsidRDefault="00FF43A0" w:rsidP="007A6AFE">
      <w:pPr>
        <w:pStyle w:val="Paragrafoelenco"/>
        <w:numPr>
          <w:ilvl w:val="0"/>
          <w:numId w:val="3"/>
        </w:numPr>
        <w:jc w:val="both"/>
      </w:pPr>
      <w:r>
        <w:t>"</w:t>
      </w:r>
      <w:proofErr w:type="spellStart"/>
      <w:r>
        <w:t>Blusolar</w:t>
      </w:r>
      <w:proofErr w:type="spellEnd"/>
      <w:r>
        <w:t xml:space="preserve"> Augusta 1": potenza complessiva di 80 megawatt di picco, potenza nominale DC pari a 80,21079 </w:t>
      </w:r>
      <w:proofErr w:type="spellStart"/>
      <w:r>
        <w:t>MWp</w:t>
      </w:r>
      <w:proofErr w:type="spellEnd"/>
      <w:r>
        <w:t xml:space="preserve"> e potenza di immissione AC pari a 60,00 MW, costituito da 141.966 moduli fotovoltaici bifacciali, per un investimento complessivo che sarebbe di circa 60 milioni di euro. La stima di </w:t>
      </w:r>
      <w:proofErr w:type="spellStart"/>
      <w:r>
        <w:t>producibilita</w:t>
      </w:r>
      <w:proofErr w:type="spellEnd"/>
      <w:r>
        <w:t xml:space="preserve">̀ dell'impianto fotovoltaico risulta pari a 155.711 MWh/anno. </w:t>
      </w:r>
    </w:p>
    <w:p w:rsidR="00FF43A0" w:rsidRDefault="00FF43A0" w:rsidP="007A6AFE">
      <w:pPr>
        <w:pStyle w:val="Paragrafoelenco"/>
        <w:numPr>
          <w:ilvl w:val="0"/>
          <w:numId w:val="3"/>
        </w:numPr>
        <w:jc w:val="both"/>
      </w:pPr>
      <w:r>
        <w:t>"</w:t>
      </w:r>
      <w:proofErr w:type="spellStart"/>
      <w:r>
        <w:t>Blusolar</w:t>
      </w:r>
      <w:proofErr w:type="spellEnd"/>
      <w:r>
        <w:t xml:space="preserve"> Augusta 2", da realizzarsi in contrada Ogliastro, a ovest e a sud del bacino omonimo, nei pressi della "Pista del sole", tra i territori di Augusta e Villasmundo (frazione di Melilli).</w:t>
      </w:r>
      <w:r w:rsidRPr="00FF43A0">
        <w:t xml:space="preserve"> </w:t>
      </w:r>
      <w:r>
        <w:t xml:space="preserve">potenza di picco pari a 34,6175 </w:t>
      </w:r>
      <w:proofErr w:type="spellStart"/>
      <w:r>
        <w:t>MWp</w:t>
      </w:r>
      <w:proofErr w:type="spellEnd"/>
      <w:r>
        <w:t xml:space="preserve"> integrato con un sistema di accumulo di 10 MW in AC</w:t>
      </w:r>
      <w:r w:rsidR="00F02366">
        <w:t>. Totale cost</w:t>
      </w:r>
      <w:r w:rsidR="00364FDA">
        <w:t xml:space="preserve">o da computo metrico 28,3 </w:t>
      </w:r>
      <w:proofErr w:type="spellStart"/>
      <w:r w:rsidR="00364FDA">
        <w:t>MEuro</w:t>
      </w:r>
      <w:proofErr w:type="spellEnd"/>
      <w:r w:rsidR="00364FDA">
        <w:t>, arrotondati a 30 per oneri sicurezza e altri.</w:t>
      </w:r>
    </w:p>
    <w:p w:rsidR="00111046" w:rsidRPr="007A6AFE" w:rsidRDefault="00FF43A0" w:rsidP="007A6AFE">
      <w:pPr>
        <w:pStyle w:val="Paragrafoelenco"/>
        <w:numPr>
          <w:ilvl w:val="0"/>
          <w:numId w:val="3"/>
        </w:numPr>
        <w:jc w:val="both"/>
        <w:rPr>
          <w:b/>
          <w:sz w:val="24"/>
          <w:szCs w:val="24"/>
          <w:u w:val="single"/>
        </w:rPr>
      </w:pPr>
      <w:r>
        <w:t>Un successivo parco solare, quindi, situato a nord-ovest di quello in via di realizzazione, che potrà vantare 56.750 moduli</w:t>
      </w:r>
      <w:r w:rsidR="001B2A6D">
        <w:t xml:space="preserve"> fotovoltaici per un valore, da </w:t>
      </w:r>
      <w:r>
        <w:t>quadro economico generale, pari a circa 33 milioni di euro, producendo a regime energia elettrica per 65.246 MWh/anno</w:t>
      </w:r>
      <w:r w:rsidR="00EB474F">
        <w:t xml:space="preserve"> </w:t>
      </w:r>
      <w:r w:rsidR="00FE2C4D">
        <w:t>(</w:t>
      </w:r>
      <w:r w:rsidR="004273AE">
        <w:t>circa 32</w:t>
      </w:r>
      <w:r w:rsidR="007453EB">
        <w:t xml:space="preserve"> </w:t>
      </w:r>
      <w:r w:rsidR="00EB474F">
        <w:t>MW</w:t>
      </w:r>
      <w:r w:rsidR="007453EB">
        <w:t>?</w:t>
      </w:r>
      <w:r w:rsidR="00EB474F">
        <w:t>)</w:t>
      </w:r>
      <w:r w:rsidR="00074740">
        <w:br w:type="textWrapping" w:clear="all"/>
      </w:r>
    </w:p>
    <w:p w:rsidR="00E7511C" w:rsidRPr="00256763" w:rsidRDefault="00647904" w:rsidP="00256763">
      <w:pPr>
        <w:pStyle w:val="Paragrafoelenco"/>
        <w:numPr>
          <w:ilvl w:val="0"/>
          <w:numId w:val="1"/>
        </w:numPr>
        <w:jc w:val="both"/>
        <w:rPr>
          <w:b/>
          <w:sz w:val="24"/>
          <w:szCs w:val="24"/>
          <w:u w:val="single"/>
        </w:rPr>
      </w:pPr>
      <w:r w:rsidRPr="00256763">
        <w:rPr>
          <w:b/>
          <w:sz w:val="24"/>
          <w:szCs w:val="24"/>
          <w:u w:val="single"/>
        </w:rPr>
        <w:lastRenderedPageBreak/>
        <w:t xml:space="preserve">Dati </w:t>
      </w:r>
      <w:proofErr w:type="spellStart"/>
      <w:r w:rsidRPr="00256763">
        <w:rPr>
          <w:b/>
          <w:sz w:val="36"/>
          <w:szCs w:val="36"/>
          <w:u w:val="single"/>
        </w:rPr>
        <w:t>eia</w:t>
      </w:r>
      <w:proofErr w:type="spellEnd"/>
      <w:r w:rsidRPr="00256763">
        <w:rPr>
          <w:b/>
          <w:sz w:val="24"/>
          <w:szCs w:val="24"/>
          <w:u w:val="single"/>
        </w:rPr>
        <w:t xml:space="preserve"> (US Energy Information Administration)</w:t>
      </w:r>
    </w:p>
    <w:p w:rsidR="00E7511C" w:rsidRPr="00111046" w:rsidRDefault="00003E5C" w:rsidP="00FF43A0">
      <w:r>
        <w:t xml:space="preserve">Nel 2023, da dati </w:t>
      </w:r>
      <w:proofErr w:type="spellStart"/>
      <w:r w:rsidRPr="00647904">
        <w:rPr>
          <w:b/>
          <w:sz w:val="28"/>
          <w:szCs w:val="28"/>
        </w:rPr>
        <w:t>eia</w:t>
      </w:r>
      <w:proofErr w:type="spellEnd"/>
      <w:r>
        <w:t xml:space="preserve"> (US Energy Information Administratio</w:t>
      </w:r>
      <w:r w:rsidR="00A018E5">
        <w:t>n</w:t>
      </w:r>
      <w:r>
        <w:t>)</w:t>
      </w:r>
      <w:r w:rsidR="007A6AFE">
        <w:t>,</w:t>
      </w:r>
      <w:r>
        <w:t xml:space="preserve"> si rileva che l’investimento per un </w:t>
      </w:r>
      <w:r w:rsidR="00E7511C">
        <w:t xml:space="preserve">Impianto solare </w:t>
      </w:r>
      <w:r>
        <w:t xml:space="preserve">fotovoltaico </w:t>
      </w:r>
      <w:r w:rsidR="00E7511C">
        <w:t xml:space="preserve">da 150 MW con accumulo </w:t>
      </w:r>
      <w:r>
        <w:t xml:space="preserve"> presenta un costo unitario</w:t>
      </w:r>
      <w:r w:rsidR="00A018E5">
        <w:t xml:space="preserve"> (per MW)</w:t>
      </w:r>
      <w:r>
        <w:t xml:space="preserve"> medio di </w:t>
      </w:r>
      <w:r w:rsidR="00BB0AD7">
        <w:t>1</w:t>
      </w:r>
      <w:r w:rsidR="00E7511C" w:rsidRPr="00E7511C">
        <w:t xml:space="preserve">748 </w:t>
      </w:r>
      <w:r>
        <w:t>USD</w:t>
      </w:r>
      <w:r w:rsidRPr="00003E5C">
        <w:rPr>
          <w:vertAlign w:val="subscript"/>
        </w:rPr>
        <w:t>2021</w:t>
      </w:r>
      <w:r w:rsidR="00BB0AD7">
        <w:t>/kW</w:t>
      </w:r>
      <w:r>
        <w:t xml:space="preserve">, un costo variabile per O&amp;M nullo ed un costo fisso annuale per O&amp;M  di </w:t>
      </w:r>
      <w:r w:rsidR="00E7511C" w:rsidRPr="00E7511C">
        <w:t xml:space="preserve">33.67 </w:t>
      </w:r>
      <w:r>
        <w:t>USD</w:t>
      </w:r>
      <w:r w:rsidRPr="00003E5C">
        <w:rPr>
          <w:vertAlign w:val="subscript"/>
        </w:rPr>
        <w:t>2021</w:t>
      </w:r>
      <w:r>
        <w:rPr>
          <w:vertAlign w:val="subscript"/>
        </w:rPr>
        <w:t xml:space="preserve"> </w:t>
      </w:r>
      <w:r>
        <w:t>/kW.</w:t>
      </w:r>
      <w:r w:rsidR="00BB0AD7">
        <w:t xml:space="preserve"> </w:t>
      </w:r>
      <w:r w:rsidR="00A018E5">
        <w:t>Fissato un tasso medio annuo di inflazione dal 2021 al 2023,  i</w:t>
      </w:r>
      <w:r>
        <w:t>l costo di in</w:t>
      </w:r>
      <w:r w:rsidR="00A018E5">
        <w:t>ve</w:t>
      </w:r>
      <w:r>
        <w:t>st</w:t>
      </w:r>
      <w:r w:rsidR="00A018E5">
        <w:t>ime</w:t>
      </w:r>
      <w:r>
        <w:t xml:space="preserve">nto overnight (senza </w:t>
      </w:r>
      <w:r w:rsidR="00A018E5">
        <w:t>oneri finanziari) è quindi di (</w:t>
      </w:r>
      <w:r w:rsidR="00BB0AD7">
        <w:t>150000 k</w:t>
      </w:r>
      <w:r w:rsidR="00A018E5">
        <w:t xml:space="preserve">W x </w:t>
      </w:r>
      <w:r w:rsidR="00BB0AD7">
        <w:t>1</w:t>
      </w:r>
      <w:r w:rsidR="00A018E5" w:rsidRPr="00E7511C">
        <w:t xml:space="preserve">748 </w:t>
      </w:r>
      <w:r w:rsidR="00A018E5">
        <w:t>USD</w:t>
      </w:r>
      <w:r w:rsidR="00A018E5" w:rsidRPr="00003E5C">
        <w:rPr>
          <w:vertAlign w:val="subscript"/>
        </w:rPr>
        <w:t>2021</w:t>
      </w:r>
      <w:r w:rsidR="00BB0AD7" w:rsidRPr="00BB0AD7">
        <w:t>/kW</w:t>
      </w:r>
      <w:r w:rsidR="00A018E5">
        <w:t xml:space="preserve"> x 1,03</w:t>
      </w:r>
      <w:r w:rsidR="00A018E5" w:rsidRPr="00A018E5">
        <w:rPr>
          <w:vertAlign w:val="superscript"/>
        </w:rPr>
        <w:t>2</w:t>
      </w:r>
      <w:r w:rsidR="00A018E5">
        <w:t xml:space="preserve">) = </w:t>
      </w:r>
      <w:r w:rsidR="00111046">
        <w:t xml:space="preserve">278 </w:t>
      </w:r>
      <w:r w:rsidR="00BB0AD7">
        <w:t>M</w:t>
      </w:r>
      <w:r w:rsidR="00111046">
        <w:t>USD</w:t>
      </w:r>
      <w:r w:rsidR="00111046">
        <w:rPr>
          <w:vertAlign w:val="subscript"/>
        </w:rPr>
        <w:t>2023</w:t>
      </w:r>
      <w:r w:rsidR="00111046" w:rsidRPr="00111046">
        <w:t xml:space="preserve"> </w:t>
      </w:r>
      <w:r w:rsidR="00111046">
        <w:t>. Assumendo un  cambio 1 a 0,89 tra dollaro ed euro si ha 278 MUSD</w:t>
      </w:r>
      <w:r w:rsidR="00111046">
        <w:rPr>
          <w:vertAlign w:val="subscript"/>
        </w:rPr>
        <w:t>2023</w:t>
      </w:r>
      <w:r w:rsidR="00111046">
        <w:t xml:space="preserve">/0,89 = </w:t>
      </w:r>
      <w:r w:rsidR="00BB0AD7">
        <w:t xml:space="preserve">312 </w:t>
      </w:r>
      <w:proofErr w:type="spellStart"/>
      <w:r w:rsidR="00BB0AD7">
        <w:t>MEuro</w:t>
      </w:r>
      <w:proofErr w:type="spellEnd"/>
    </w:p>
    <w:p w:rsidR="00111046" w:rsidRPr="00256763" w:rsidRDefault="00BB0AD7" w:rsidP="00256763">
      <w:pPr>
        <w:pStyle w:val="Paragrafoelenco"/>
        <w:numPr>
          <w:ilvl w:val="0"/>
          <w:numId w:val="1"/>
        </w:numPr>
        <w:rPr>
          <w:b/>
          <w:sz w:val="24"/>
          <w:szCs w:val="24"/>
          <w:u w:val="single"/>
        </w:rPr>
      </w:pPr>
      <w:r w:rsidRPr="00256763">
        <w:rPr>
          <w:b/>
          <w:sz w:val="24"/>
          <w:szCs w:val="24"/>
          <w:u w:val="single"/>
        </w:rPr>
        <w:t>Per i Grandi Impianti</w:t>
      </w:r>
    </w:p>
    <w:p w:rsidR="00111046" w:rsidRDefault="00BB0AD7" w:rsidP="00FF43A0">
      <w:r>
        <w:t>T</w:t>
      </w:r>
      <w:r w:rsidR="00111046">
        <w:t>rascurando le peculiarità di singolo impianto (diversità pannelli, layout, configurazione, etc.) ed assumendo come unica  variabile il  costo in funzione della potenza di picco, s</w:t>
      </w:r>
      <w:r>
        <w:t>i può considerare la seguente tabella :</w:t>
      </w:r>
    </w:p>
    <w:tbl>
      <w:tblPr>
        <w:tblW w:w="1920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0"/>
      </w:tblGrid>
      <w:tr w:rsidR="0056056F" w:rsidRPr="0056056F" w:rsidTr="0056056F">
        <w:trPr>
          <w:trHeight w:val="30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6056F" w:rsidRPr="0056056F" w:rsidRDefault="0056056F" w:rsidP="005605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proofErr w:type="spellStart"/>
            <w:r w:rsidRPr="0056056F"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MWp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56F" w:rsidRPr="0056056F" w:rsidRDefault="0056056F" w:rsidP="005605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r w:rsidRPr="0056056F"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M€</w:t>
            </w:r>
          </w:p>
        </w:tc>
      </w:tr>
      <w:tr w:rsidR="0056056F" w:rsidRPr="0056056F" w:rsidTr="0056056F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6056F" w:rsidRPr="0056056F" w:rsidRDefault="0056056F" w:rsidP="005605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6056F">
              <w:rPr>
                <w:rFonts w:ascii="Calibri" w:eastAsia="Times New Roman" w:hAnsi="Calibri" w:cs="Calibri"/>
                <w:color w:val="000000"/>
                <w:lang w:eastAsia="it-IT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56F" w:rsidRPr="0056056F" w:rsidRDefault="0056056F" w:rsidP="005605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6056F">
              <w:rPr>
                <w:rFonts w:ascii="Calibri" w:eastAsia="Times New Roman" w:hAnsi="Calibri" w:cs="Calibri"/>
                <w:color w:val="000000"/>
                <w:lang w:eastAsia="it-IT"/>
              </w:rPr>
              <w:t>33</w:t>
            </w:r>
          </w:p>
        </w:tc>
      </w:tr>
      <w:tr w:rsidR="0056056F" w:rsidRPr="0056056F" w:rsidTr="0056056F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6056F" w:rsidRPr="0056056F" w:rsidRDefault="0056056F" w:rsidP="005605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6056F">
              <w:rPr>
                <w:rFonts w:ascii="Calibri" w:eastAsia="Times New Roman" w:hAnsi="Calibri" w:cs="Calibri"/>
                <w:color w:val="000000"/>
                <w:lang w:eastAsia="it-IT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56F" w:rsidRPr="0056056F" w:rsidRDefault="0056056F" w:rsidP="005605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6056F">
              <w:rPr>
                <w:rFonts w:ascii="Calibri" w:eastAsia="Times New Roman" w:hAnsi="Calibri" w:cs="Calibri"/>
                <w:color w:val="000000"/>
                <w:lang w:eastAsia="it-IT"/>
              </w:rPr>
              <w:t>30</w:t>
            </w:r>
          </w:p>
        </w:tc>
      </w:tr>
      <w:tr w:rsidR="0056056F" w:rsidRPr="0056056F" w:rsidTr="0056056F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6056F" w:rsidRPr="0056056F" w:rsidRDefault="0056056F" w:rsidP="005605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6056F">
              <w:rPr>
                <w:rFonts w:ascii="Calibri" w:eastAsia="Times New Roman" w:hAnsi="Calibri" w:cs="Calibri"/>
                <w:color w:val="000000"/>
                <w:lang w:eastAsia="it-IT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56F" w:rsidRPr="0056056F" w:rsidRDefault="0056056F" w:rsidP="005605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6056F">
              <w:rPr>
                <w:rFonts w:ascii="Calibri" w:eastAsia="Times New Roman" w:hAnsi="Calibri" w:cs="Calibri"/>
                <w:color w:val="000000"/>
                <w:lang w:eastAsia="it-IT"/>
              </w:rPr>
              <w:t>60</w:t>
            </w:r>
          </w:p>
        </w:tc>
      </w:tr>
      <w:tr w:rsidR="0056056F" w:rsidRPr="0056056F" w:rsidTr="0056056F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6056F" w:rsidRPr="0056056F" w:rsidRDefault="0056056F" w:rsidP="005605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6056F">
              <w:rPr>
                <w:rFonts w:ascii="Calibri" w:eastAsia="Times New Roman" w:hAnsi="Calibri" w:cs="Calibri"/>
                <w:color w:val="000000"/>
                <w:lang w:eastAsia="it-IT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56F" w:rsidRPr="0056056F" w:rsidRDefault="0056056F" w:rsidP="0056056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6056F">
              <w:rPr>
                <w:rFonts w:ascii="Calibri" w:eastAsia="Times New Roman" w:hAnsi="Calibri" w:cs="Calibri"/>
                <w:color w:val="000000"/>
                <w:lang w:eastAsia="it-IT"/>
              </w:rPr>
              <w:t>312</w:t>
            </w:r>
          </w:p>
        </w:tc>
      </w:tr>
      <w:tr w:rsidR="0056056F" w:rsidRPr="0056056F" w:rsidTr="0056056F">
        <w:trPr>
          <w:trHeight w:val="29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56056F" w:rsidRPr="0056056F" w:rsidRDefault="0056056F" w:rsidP="005605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56056F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6056F" w:rsidRPr="0056056F" w:rsidRDefault="0056056F" w:rsidP="005605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it-IT"/>
              </w:rPr>
            </w:pPr>
          </w:p>
        </w:tc>
      </w:tr>
    </w:tbl>
    <w:p w:rsidR="007D1114" w:rsidRDefault="007D1114" w:rsidP="007D1114">
      <w:pPr>
        <w:jc w:val="center"/>
      </w:pPr>
      <w:proofErr w:type="spellStart"/>
      <w:r>
        <w:t>Tab</w:t>
      </w:r>
      <w:proofErr w:type="spellEnd"/>
      <w:r>
        <w:t>.</w:t>
      </w:r>
      <w:r w:rsidR="00943FE7">
        <w:t xml:space="preserve"> 1</w:t>
      </w:r>
      <w:r>
        <w:t xml:space="preserve"> </w:t>
      </w:r>
      <w:r w:rsidR="00943FE7">
        <w:t>bis</w:t>
      </w:r>
    </w:p>
    <w:p w:rsidR="0056056F" w:rsidRDefault="0063210E" w:rsidP="008F75CC">
      <w:pPr>
        <w:jc w:val="both"/>
      </w:pPr>
      <w:bookmarkStart w:id="0" w:name="_GoBack"/>
      <w:bookmarkEnd w:id="0"/>
      <w:r>
        <w:t>s</w:t>
      </w:r>
      <w:r w:rsidR="0056056F">
        <w:t xml:space="preserve">ulla quale emerge immediatamente l’anomalia relativa agli impianti da 150 MW assunti come riferimento da </w:t>
      </w:r>
      <w:proofErr w:type="spellStart"/>
      <w:r w:rsidR="0056056F" w:rsidRPr="00647904">
        <w:rPr>
          <w:b/>
          <w:sz w:val="28"/>
          <w:szCs w:val="28"/>
        </w:rPr>
        <w:t>eia</w:t>
      </w:r>
      <w:proofErr w:type="spellEnd"/>
      <w:r w:rsidR="0056056F">
        <w:rPr>
          <w:b/>
          <w:sz w:val="28"/>
          <w:szCs w:val="28"/>
        </w:rPr>
        <w:t xml:space="preserve"> </w:t>
      </w:r>
      <w:r w:rsidR="00907543">
        <w:t>dovuta presumibilmente a fattori</w:t>
      </w:r>
      <w:r w:rsidR="00C3746E">
        <w:t xml:space="preserve"> non valutati nella presente analisi di primo approccio basata unicamente sull’assunzione di un prezzo unitario medio tra varie regioni pari a 1</w:t>
      </w:r>
      <w:r w:rsidR="00C3746E" w:rsidRPr="00E7511C">
        <w:t xml:space="preserve">748 </w:t>
      </w:r>
      <w:r w:rsidR="00C3746E">
        <w:t>USD</w:t>
      </w:r>
      <w:r w:rsidR="00C3746E" w:rsidRPr="00003E5C">
        <w:rPr>
          <w:vertAlign w:val="subscript"/>
        </w:rPr>
        <w:t>2021</w:t>
      </w:r>
      <w:r w:rsidR="00C3746E" w:rsidRPr="00BB0AD7">
        <w:t>/kW</w:t>
      </w:r>
      <w:r w:rsidR="00094F8F">
        <w:t xml:space="preserve"> per </w:t>
      </w:r>
      <w:r w:rsidR="00094F8F" w:rsidRPr="00094F8F">
        <w:t xml:space="preserve"> </w:t>
      </w:r>
      <w:r w:rsidR="00094F8F">
        <w:t>“</w:t>
      </w:r>
      <w:r w:rsidR="00094F8F" w:rsidRPr="00094F8F">
        <w:t xml:space="preserve">Solar PV with </w:t>
      </w:r>
      <w:proofErr w:type="spellStart"/>
      <w:r w:rsidR="00094F8F" w:rsidRPr="00094F8F">
        <w:t>storage</w:t>
      </w:r>
      <w:proofErr w:type="spellEnd"/>
      <w:r w:rsidR="00094F8F">
        <w:t xml:space="preserve">” </w:t>
      </w:r>
      <w:r w:rsidR="00907543">
        <w:t xml:space="preserve">. Valore </w:t>
      </w:r>
      <w:r w:rsidR="00094F8F">
        <w:t>desunto dal documento  “</w:t>
      </w:r>
      <w:proofErr w:type="spellStart"/>
      <w:r w:rsidR="00094F8F">
        <w:t>Cost</w:t>
      </w:r>
      <w:proofErr w:type="spellEnd"/>
      <w:r w:rsidR="00094F8F">
        <w:t xml:space="preserve"> and Performance </w:t>
      </w:r>
      <w:proofErr w:type="spellStart"/>
      <w:r w:rsidR="00094F8F">
        <w:t>Characteristics</w:t>
      </w:r>
      <w:proofErr w:type="spellEnd"/>
      <w:r w:rsidR="00094F8F">
        <w:t xml:space="preserve"> of New </w:t>
      </w:r>
      <w:proofErr w:type="spellStart"/>
      <w:r w:rsidR="00094F8F">
        <w:t>Generating</w:t>
      </w:r>
      <w:proofErr w:type="spellEnd"/>
      <w:r w:rsidR="00094F8F">
        <w:t xml:space="preserve"> Technologies, </w:t>
      </w:r>
      <w:proofErr w:type="spellStart"/>
      <w:r w:rsidR="00094F8F">
        <w:t>Annual</w:t>
      </w:r>
      <w:proofErr w:type="spellEnd"/>
      <w:r w:rsidR="00094F8F">
        <w:t xml:space="preserve"> Energy Outlook 2022”</w:t>
      </w:r>
      <w:r w:rsidR="00D565C2">
        <w:t>.</w:t>
      </w:r>
      <w:r w:rsidR="00907543">
        <w:t xml:space="preserve"> Infatti come mostra il seguente grafico, aldilà della buona funzione correlatrice</w:t>
      </w:r>
      <w:r w:rsidR="008F75CC">
        <w:t xml:space="preserve"> in Fig. 2,</w:t>
      </w:r>
      <w:r w:rsidR="00907543">
        <w:t xml:space="preserve"> attraverso una polinomiale di 2° grado,  che da continuità al singolo dato insieme agli altri, significherebbe che superata la taglia dei 50 MW l’effetto di scala cessa ed i prezzi unitari aumentano, anziché diminuire, per ragioni non ancora a noi note, salvo errori od omissioni </w:t>
      </w:r>
      <w:proofErr w:type="spellStart"/>
      <w:r w:rsidR="00907543">
        <w:t>involontarie.</w:t>
      </w:r>
      <w:r w:rsidR="008F75CC">
        <w:t>Se</w:t>
      </w:r>
      <w:proofErr w:type="spellEnd"/>
      <w:r w:rsidR="008F75CC">
        <w:t xml:space="preserve"> tale aspetto si dimostrasse per qualche ragione fondato e veritiero, sarebbe quantomeno “</w:t>
      </w:r>
      <w:proofErr w:type="spellStart"/>
      <w:r w:rsidR="008F75CC">
        <w:t>controintuitivo</w:t>
      </w:r>
      <w:proofErr w:type="spellEnd"/>
      <w:r w:rsidR="008F75CC">
        <w:t>”.</w:t>
      </w:r>
    </w:p>
    <w:p w:rsidR="00907543" w:rsidRDefault="00E9610C" w:rsidP="00907543">
      <w:pPr>
        <w:jc w:val="center"/>
      </w:pPr>
      <w:r>
        <w:rPr>
          <w:noProof/>
          <w:lang w:eastAsia="it-IT"/>
        </w:rPr>
        <w:drawing>
          <wp:inline distT="0" distB="0" distL="0" distR="0" wp14:anchorId="209D7271" wp14:editId="41B3A8F9">
            <wp:extent cx="4572000" cy="2743200"/>
            <wp:effectExtent l="0" t="0" r="19050" b="19050"/>
            <wp:docPr id="2" name="Gra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8F75CC" w:rsidRDefault="008F75CC" w:rsidP="00907543">
      <w:pPr>
        <w:jc w:val="center"/>
      </w:pPr>
      <w:r>
        <w:t>Fig. 2</w:t>
      </w:r>
    </w:p>
    <w:p w:rsidR="007A0CCE" w:rsidRDefault="007A0CCE" w:rsidP="007A0CCE">
      <w:pPr>
        <w:pStyle w:val="Paragrafoelenco"/>
      </w:pPr>
    </w:p>
    <w:p w:rsidR="007A0CCE" w:rsidRDefault="007A0CCE" w:rsidP="007A0CCE">
      <w:pPr>
        <w:pStyle w:val="Paragrafoelenco"/>
      </w:pPr>
    </w:p>
    <w:p w:rsidR="007A0CCE" w:rsidRDefault="007A0CCE" w:rsidP="007A0CCE">
      <w:pPr>
        <w:pStyle w:val="Paragrafoelenco"/>
      </w:pPr>
    </w:p>
    <w:p w:rsidR="00D565C2" w:rsidRPr="007A0CCE" w:rsidRDefault="00D565C2" w:rsidP="00D565C2">
      <w:pPr>
        <w:pStyle w:val="Paragrafoelenco"/>
        <w:numPr>
          <w:ilvl w:val="0"/>
          <w:numId w:val="2"/>
        </w:numPr>
        <w:rPr>
          <w:b/>
          <w:u w:val="double"/>
        </w:rPr>
      </w:pPr>
      <w:r w:rsidRPr="007A0CCE">
        <w:rPr>
          <w:b/>
          <w:u w:val="double"/>
        </w:rPr>
        <w:t>CONCLUSIONI</w:t>
      </w:r>
    </w:p>
    <w:tbl>
      <w:tblPr>
        <w:tblW w:w="3562" w:type="dxa"/>
        <w:jc w:val="center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5"/>
        <w:gridCol w:w="1033"/>
        <w:gridCol w:w="976"/>
        <w:gridCol w:w="1031"/>
      </w:tblGrid>
      <w:tr w:rsidR="00DF11BD" w:rsidRPr="00DF11BD" w:rsidTr="00297B1B">
        <w:trPr>
          <w:trHeight w:val="275"/>
          <w:jc w:val="center"/>
        </w:trPr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proofErr w:type="spellStart"/>
            <w:r w:rsidRPr="00DF11BD"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kWp</w:t>
            </w:r>
            <w:proofErr w:type="spellEnd"/>
          </w:p>
        </w:tc>
        <w:tc>
          <w:tcPr>
            <w:tcW w:w="9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€</w:t>
            </w:r>
          </w:p>
        </w:tc>
        <w:tc>
          <w:tcPr>
            <w:tcW w:w="8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€/kW</w:t>
            </w:r>
          </w:p>
        </w:tc>
        <w:tc>
          <w:tcPr>
            <w:tcW w:w="9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b/>
                <w:bCs/>
                <w:color w:val="000000"/>
                <w:lang w:eastAsia="it-IT"/>
              </w:rPr>
              <w:t>NOTE</w:t>
            </w:r>
          </w:p>
        </w:tc>
      </w:tr>
      <w:tr w:rsidR="00DF11BD" w:rsidRPr="00DF11BD" w:rsidTr="00297B1B">
        <w:trPr>
          <w:trHeight w:val="266"/>
          <w:jc w:val="center"/>
        </w:trPr>
        <w:tc>
          <w:tcPr>
            <w:tcW w:w="85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1472,5</w:t>
            </w:r>
          </w:p>
        </w:tc>
        <w:tc>
          <w:tcPr>
            <w:tcW w:w="86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1472,5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</w:tr>
      <w:tr w:rsidR="00DF11BD" w:rsidRPr="00DF11BD" w:rsidTr="00297B1B">
        <w:trPr>
          <w:trHeight w:val="266"/>
          <w:jc w:val="center"/>
        </w:trPr>
        <w:tc>
          <w:tcPr>
            <w:tcW w:w="85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1,5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2176,744</w:t>
            </w:r>
          </w:p>
        </w:tc>
        <w:tc>
          <w:tcPr>
            <w:tcW w:w="86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1451,162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</w:tr>
      <w:tr w:rsidR="00DF11BD" w:rsidRPr="00DF11BD" w:rsidTr="00297B1B">
        <w:trPr>
          <w:trHeight w:val="266"/>
          <w:jc w:val="center"/>
        </w:trPr>
        <w:tc>
          <w:tcPr>
            <w:tcW w:w="85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1,5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2176,744</w:t>
            </w:r>
          </w:p>
        </w:tc>
        <w:tc>
          <w:tcPr>
            <w:tcW w:w="86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1451,162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</w:tr>
      <w:tr w:rsidR="00DF11BD" w:rsidRPr="00DF11BD" w:rsidTr="00297B1B">
        <w:trPr>
          <w:trHeight w:val="266"/>
          <w:jc w:val="center"/>
        </w:trPr>
        <w:tc>
          <w:tcPr>
            <w:tcW w:w="85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2872,422</w:t>
            </w:r>
          </w:p>
        </w:tc>
        <w:tc>
          <w:tcPr>
            <w:tcW w:w="86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1436,211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</w:tr>
      <w:tr w:rsidR="00DF11BD" w:rsidRPr="00DF11BD" w:rsidTr="00297B1B">
        <w:trPr>
          <w:trHeight w:val="266"/>
          <w:jc w:val="center"/>
        </w:trPr>
        <w:tc>
          <w:tcPr>
            <w:tcW w:w="85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4246,198</w:t>
            </w:r>
          </w:p>
        </w:tc>
        <w:tc>
          <w:tcPr>
            <w:tcW w:w="86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1415,399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</w:tr>
      <w:tr w:rsidR="00DF11BD" w:rsidRPr="00DF11BD" w:rsidTr="00297B1B">
        <w:trPr>
          <w:trHeight w:val="266"/>
          <w:jc w:val="center"/>
        </w:trPr>
        <w:tc>
          <w:tcPr>
            <w:tcW w:w="85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4246,198</w:t>
            </w:r>
          </w:p>
        </w:tc>
        <w:tc>
          <w:tcPr>
            <w:tcW w:w="86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1415,399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</w:tr>
      <w:tr w:rsidR="00DF11BD" w:rsidRPr="00DF11BD" w:rsidTr="00297B1B">
        <w:trPr>
          <w:trHeight w:val="266"/>
          <w:jc w:val="center"/>
        </w:trPr>
        <w:tc>
          <w:tcPr>
            <w:tcW w:w="85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4246,198</w:t>
            </w:r>
          </w:p>
        </w:tc>
        <w:tc>
          <w:tcPr>
            <w:tcW w:w="86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1415,399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</w:tr>
      <w:tr w:rsidR="00DF11BD" w:rsidRPr="00DF11BD" w:rsidTr="00297B1B">
        <w:trPr>
          <w:trHeight w:val="266"/>
          <w:jc w:val="center"/>
        </w:trPr>
        <w:tc>
          <w:tcPr>
            <w:tcW w:w="85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4,5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6277,001</w:t>
            </w:r>
          </w:p>
        </w:tc>
        <w:tc>
          <w:tcPr>
            <w:tcW w:w="86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1394,889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Piccoli</w:t>
            </w:r>
          </w:p>
        </w:tc>
      </w:tr>
      <w:tr w:rsidR="00DF11BD" w:rsidRPr="00DF11BD" w:rsidTr="00297B1B">
        <w:trPr>
          <w:trHeight w:val="266"/>
          <w:jc w:val="center"/>
        </w:trPr>
        <w:tc>
          <w:tcPr>
            <w:tcW w:w="85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4,5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6277,001</w:t>
            </w:r>
          </w:p>
        </w:tc>
        <w:tc>
          <w:tcPr>
            <w:tcW w:w="86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1394,889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Impianti</w:t>
            </w:r>
          </w:p>
        </w:tc>
      </w:tr>
      <w:tr w:rsidR="00DF11BD" w:rsidRPr="00DF11BD" w:rsidTr="00297B1B">
        <w:trPr>
          <w:trHeight w:val="266"/>
          <w:jc w:val="center"/>
        </w:trPr>
        <w:tc>
          <w:tcPr>
            <w:tcW w:w="85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8283,104</w:t>
            </w:r>
          </w:p>
        </w:tc>
        <w:tc>
          <w:tcPr>
            <w:tcW w:w="86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1380,517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Domestici</w:t>
            </w:r>
          </w:p>
        </w:tc>
      </w:tr>
      <w:tr w:rsidR="00DF11BD" w:rsidRPr="00DF11BD" w:rsidTr="00297B1B">
        <w:trPr>
          <w:trHeight w:val="266"/>
          <w:jc w:val="center"/>
        </w:trPr>
        <w:tc>
          <w:tcPr>
            <w:tcW w:w="85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8283,104</w:t>
            </w:r>
          </w:p>
        </w:tc>
        <w:tc>
          <w:tcPr>
            <w:tcW w:w="86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1380,517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o </w:t>
            </w:r>
          </w:p>
        </w:tc>
      </w:tr>
      <w:tr w:rsidR="00DF11BD" w:rsidRPr="00DF11BD" w:rsidTr="00297B1B">
        <w:trPr>
          <w:trHeight w:val="266"/>
          <w:jc w:val="center"/>
        </w:trPr>
        <w:tc>
          <w:tcPr>
            <w:tcW w:w="85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10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13553,62</w:t>
            </w:r>
          </w:p>
        </w:tc>
        <w:tc>
          <w:tcPr>
            <w:tcW w:w="86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1355,362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per </w:t>
            </w:r>
          </w:p>
        </w:tc>
      </w:tr>
      <w:tr w:rsidR="00DF11BD" w:rsidRPr="00DF11BD" w:rsidTr="00297B1B">
        <w:trPr>
          <w:trHeight w:val="266"/>
          <w:jc w:val="center"/>
        </w:trPr>
        <w:tc>
          <w:tcPr>
            <w:tcW w:w="85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10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13553,62</w:t>
            </w:r>
          </w:p>
        </w:tc>
        <w:tc>
          <w:tcPr>
            <w:tcW w:w="86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1355,362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PMI</w:t>
            </w:r>
          </w:p>
        </w:tc>
      </w:tr>
      <w:tr w:rsidR="00DF11BD" w:rsidRPr="00DF11BD" w:rsidTr="00297B1B">
        <w:trPr>
          <w:trHeight w:val="266"/>
          <w:jc w:val="center"/>
        </w:trPr>
        <w:tc>
          <w:tcPr>
            <w:tcW w:w="85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10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13553,62</w:t>
            </w:r>
          </w:p>
        </w:tc>
        <w:tc>
          <w:tcPr>
            <w:tcW w:w="86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1355,362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</w:tr>
      <w:tr w:rsidR="00DF11BD" w:rsidRPr="00DF11BD" w:rsidTr="00297B1B">
        <w:trPr>
          <w:trHeight w:val="266"/>
          <w:jc w:val="center"/>
        </w:trPr>
        <w:tc>
          <w:tcPr>
            <w:tcW w:w="85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10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13553,62</w:t>
            </w:r>
          </w:p>
        </w:tc>
        <w:tc>
          <w:tcPr>
            <w:tcW w:w="86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1355,362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</w:tr>
      <w:tr w:rsidR="00DF11BD" w:rsidRPr="00DF11BD" w:rsidTr="00297B1B">
        <w:trPr>
          <w:trHeight w:val="266"/>
          <w:jc w:val="center"/>
        </w:trPr>
        <w:tc>
          <w:tcPr>
            <w:tcW w:w="85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20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26439,19</w:t>
            </w:r>
          </w:p>
        </w:tc>
        <w:tc>
          <w:tcPr>
            <w:tcW w:w="86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1321,96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</w:tr>
      <w:tr w:rsidR="00DF11BD" w:rsidRPr="00DF11BD" w:rsidTr="00297B1B">
        <w:trPr>
          <w:trHeight w:val="266"/>
          <w:jc w:val="center"/>
        </w:trPr>
        <w:tc>
          <w:tcPr>
            <w:tcW w:w="85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20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26439,19</w:t>
            </w:r>
          </w:p>
        </w:tc>
        <w:tc>
          <w:tcPr>
            <w:tcW w:w="86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1321,96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</w:tr>
      <w:tr w:rsidR="00DF11BD" w:rsidRPr="00DF11BD" w:rsidTr="00297B1B">
        <w:trPr>
          <w:trHeight w:val="266"/>
          <w:jc w:val="center"/>
        </w:trPr>
        <w:tc>
          <w:tcPr>
            <w:tcW w:w="85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30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39084,11</w:t>
            </w:r>
          </w:p>
        </w:tc>
        <w:tc>
          <w:tcPr>
            <w:tcW w:w="86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1302,804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</w:tr>
      <w:tr w:rsidR="00DF11BD" w:rsidRPr="00DF11BD" w:rsidTr="00297B1B">
        <w:trPr>
          <w:trHeight w:val="266"/>
          <w:jc w:val="center"/>
        </w:trPr>
        <w:tc>
          <w:tcPr>
            <w:tcW w:w="85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30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39084,11</w:t>
            </w:r>
          </w:p>
        </w:tc>
        <w:tc>
          <w:tcPr>
            <w:tcW w:w="86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1302,804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</w:tr>
      <w:tr w:rsidR="00DF11BD" w:rsidRPr="00DF11BD" w:rsidTr="00297B1B">
        <w:trPr>
          <w:trHeight w:val="266"/>
          <w:jc w:val="center"/>
        </w:trPr>
        <w:tc>
          <w:tcPr>
            <w:tcW w:w="85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30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39084,11</w:t>
            </w:r>
          </w:p>
        </w:tc>
        <w:tc>
          <w:tcPr>
            <w:tcW w:w="86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1302,804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</w:tr>
      <w:tr w:rsidR="00DF11BD" w:rsidRPr="00DF11BD" w:rsidTr="00297B1B">
        <w:trPr>
          <w:trHeight w:val="266"/>
          <w:jc w:val="center"/>
        </w:trPr>
        <w:tc>
          <w:tcPr>
            <w:tcW w:w="85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50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63953,22</w:t>
            </w:r>
          </w:p>
        </w:tc>
        <w:tc>
          <w:tcPr>
            <w:tcW w:w="86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1279,064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</w:tr>
      <w:tr w:rsidR="00DF11BD" w:rsidRPr="00DF11BD" w:rsidTr="00297B1B">
        <w:trPr>
          <w:trHeight w:val="266"/>
          <w:jc w:val="center"/>
        </w:trPr>
        <w:tc>
          <w:tcPr>
            <w:tcW w:w="85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50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63953,22</w:t>
            </w:r>
          </w:p>
        </w:tc>
        <w:tc>
          <w:tcPr>
            <w:tcW w:w="86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1279,064</w:t>
            </w:r>
          </w:p>
        </w:tc>
        <w:tc>
          <w:tcPr>
            <w:tcW w:w="9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</w:tr>
      <w:tr w:rsidR="00DF11BD" w:rsidRPr="00DF11BD" w:rsidTr="00297B1B">
        <w:trPr>
          <w:trHeight w:val="275"/>
          <w:jc w:val="center"/>
        </w:trPr>
        <w:tc>
          <w:tcPr>
            <w:tcW w:w="85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50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63953,22</w:t>
            </w:r>
          </w:p>
        </w:tc>
        <w:tc>
          <w:tcPr>
            <w:tcW w:w="86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1279,064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 </w:t>
            </w:r>
          </w:p>
        </w:tc>
      </w:tr>
      <w:tr w:rsidR="00DF11BD" w:rsidRPr="00DF11BD" w:rsidTr="00297B1B">
        <w:trPr>
          <w:trHeight w:val="266"/>
          <w:jc w:val="center"/>
        </w:trPr>
        <w:tc>
          <w:tcPr>
            <w:tcW w:w="85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32000</w:t>
            </w:r>
          </w:p>
        </w:tc>
        <w:tc>
          <w:tcPr>
            <w:tcW w:w="9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32435447</w:t>
            </w:r>
          </w:p>
        </w:tc>
        <w:tc>
          <w:tcPr>
            <w:tcW w:w="86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1013,608</w:t>
            </w:r>
          </w:p>
        </w:tc>
        <w:tc>
          <w:tcPr>
            <w:tcW w:w="9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 xml:space="preserve">Grandi </w:t>
            </w:r>
          </w:p>
        </w:tc>
      </w:tr>
      <w:tr w:rsidR="00DF11BD" w:rsidRPr="00DF11BD" w:rsidTr="00297B1B">
        <w:trPr>
          <w:trHeight w:val="266"/>
          <w:jc w:val="center"/>
        </w:trPr>
        <w:tc>
          <w:tcPr>
            <w:tcW w:w="85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34000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34387530</w:t>
            </w:r>
          </w:p>
        </w:tc>
        <w:tc>
          <w:tcPr>
            <w:tcW w:w="86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1011,398</w:t>
            </w:r>
          </w:p>
        </w:tc>
        <w:tc>
          <w:tcPr>
            <w:tcW w:w="9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Impianti</w:t>
            </w:r>
          </w:p>
        </w:tc>
      </w:tr>
      <w:tr w:rsidR="00DF11BD" w:rsidRPr="00DF11BD" w:rsidTr="00297B1B">
        <w:trPr>
          <w:trHeight w:val="275"/>
          <w:jc w:val="center"/>
        </w:trPr>
        <w:tc>
          <w:tcPr>
            <w:tcW w:w="8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80000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78457425</w:t>
            </w:r>
          </w:p>
        </w:tc>
        <w:tc>
          <w:tcPr>
            <w:tcW w:w="86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C5D9F1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980,7178</w:t>
            </w:r>
          </w:p>
        </w:tc>
        <w:tc>
          <w:tcPr>
            <w:tcW w:w="9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Italia</w:t>
            </w:r>
          </w:p>
        </w:tc>
      </w:tr>
      <w:tr w:rsidR="00DF11BD" w:rsidRPr="00DF11BD" w:rsidTr="00297B1B">
        <w:trPr>
          <w:trHeight w:val="275"/>
          <w:jc w:val="center"/>
        </w:trPr>
        <w:tc>
          <w:tcPr>
            <w:tcW w:w="8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150000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1,44E+08</w:t>
            </w:r>
          </w:p>
        </w:tc>
        <w:tc>
          <w:tcPr>
            <w:tcW w:w="86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958,7735</w:t>
            </w:r>
          </w:p>
        </w:tc>
        <w:tc>
          <w:tcPr>
            <w:tcW w:w="9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F11BD" w:rsidRPr="00DF11BD" w:rsidRDefault="00DF11BD" w:rsidP="00DF11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it-IT"/>
              </w:rPr>
            </w:pPr>
            <w:r w:rsidRPr="00DF11BD">
              <w:rPr>
                <w:rFonts w:ascii="Calibri" w:eastAsia="Times New Roman" w:hAnsi="Calibri" w:cs="Calibri"/>
                <w:color w:val="000000"/>
                <w:lang w:eastAsia="it-IT"/>
              </w:rPr>
              <w:t>USA</w:t>
            </w:r>
          </w:p>
        </w:tc>
      </w:tr>
    </w:tbl>
    <w:p w:rsidR="00094F8F" w:rsidRDefault="00DF11BD" w:rsidP="00DF11BD">
      <w:pPr>
        <w:jc w:val="center"/>
        <w:rPr>
          <w:b/>
        </w:rPr>
      </w:pPr>
      <w:r w:rsidRPr="00256763">
        <w:rPr>
          <w:b/>
        </w:rPr>
        <w:t xml:space="preserve"> </w:t>
      </w:r>
      <w:proofErr w:type="spellStart"/>
      <w:r w:rsidRPr="00256763">
        <w:rPr>
          <w:b/>
        </w:rPr>
        <w:t>Ta</w:t>
      </w:r>
      <w:r w:rsidR="00256763" w:rsidRPr="00256763">
        <w:rPr>
          <w:b/>
        </w:rPr>
        <w:t>b</w:t>
      </w:r>
      <w:proofErr w:type="spellEnd"/>
      <w:r w:rsidRPr="00256763">
        <w:rPr>
          <w:b/>
        </w:rPr>
        <w:t>. 2</w:t>
      </w:r>
    </w:p>
    <w:p w:rsidR="00065AB1" w:rsidRDefault="00065AB1" w:rsidP="00781720">
      <w:pPr>
        <w:jc w:val="both"/>
      </w:pPr>
    </w:p>
    <w:p w:rsidR="00781720" w:rsidRPr="00EF129B" w:rsidRDefault="00781720" w:rsidP="00781720">
      <w:pPr>
        <w:jc w:val="both"/>
      </w:pPr>
      <w:r w:rsidRPr="00EF129B">
        <w:t>Se si esclude il dato USA</w:t>
      </w:r>
      <w:r w:rsidR="008F75CC">
        <w:t>.</w:t>
      </w:r>
      <w:r w:rsidRPr="00EF129B">
        <w:t xml:space="preserve"> in attesa di un approfondimento</w:t>
      </w:r>
      <w:r w:rsidR="007A6AFE">
        <w:t>,</w:t>
      </w:r>
      <w:r w:rsidRPr="00EF129B">
        <w:t xml:space="preserve"> e di una spiegazione, si può notare che la funzione correlatrice (funzione di potenza) trovata e riportata in Fig.1 spiega abbastanza bene tutti i dati di costo unitario sia per i piccoli impianti che per i grandi impianti,</w:t>
      </w:r>
      <w:r w:rsidR="00CF219B">
        <w:t xml:space="preserve"> al punto di poter essere proposta</w:t>
      </w:r>
      <w:r w:rsidR="00CB1B69">
        <w:t>,</w:t>
      </w:r>
      <w:r w:rsidRPr="00EF129B">
        <w:t xml:space="preserve"> </w:t>
      </w:r>
      <w:r w:rsidR="00CB1B69">
        <w:t>in F</w:t>
      </w:r>
      <w:r w:rsidR="00065AB1">
        <w:t>ig. 3</w:t>
      </w:r>
      <w:r w:rsidR="00CB1B69">
        <w:t xml:space="preserve"> seguente, </w:t>
      </w:r>
      <w:r w:rsidRPr="00EF129B">
        <w:t xml:space="preserve">come </w:t>
      </w:r>
      <w:r w:rsidRPr="00CB1B69">
        <w:rPr>
          <w:b/>
        </w:rPr>
        <w:t>funzione estimatrice di primo approccio</w:t>
      </w:r>
      <w:r w:rsidR="00EF129B" w:rsidRPr="00CB1B69">
        <w:rPr>
          <w:b/>
        </w:rPr>
        <w:t xml:space="preserve"> per studi di scopo e confronti di massima</w:t>
      </w:r>
      <w:r w:rsidR="00EF129B" w:rsidRPr="00EF129B">
        <w:t xml:space="preserve">, anche riguardanti nuove installazioni </w:t>
      </w:r>
      <w:r w:rsidR="00EF129B">
        <w:t xml:space="preserve">per le quali </w:t>
      </w:r>
      <w:r w:rsidR="00EF129B" w:rsidRPr="00EF129B">
        <w:t>ancora</w:t>
      </w:r>
      <w:r w:rsidR="00EF129B">
        <w:t xml:space="preserve"> non s</w:t>
      </w:r>
      <w:r w:rsidR="00EF129B" w:rsidRPr="00EF129B">
        <w:t xml:space="preserve">i dispone, aldilà della taglia, </w:t>
      </w:r>
      <w:r w:rsidR="00EF129B">
        <w:t xml:space="preserve">di </w:t>
      </w:r>
      <w:r w:rsidR="00EF129B" w:rsidRPr="00EF129B">
        <w:t>un progetto dettagliato e un relativo computo metrico estimativo.</w:t>
      </w:r>
    </w:p>
    <w:p w:rsidR="00CF219B" w:rsidRDefault="00297B1B" w:rsidP="00DF11BD">
      <w:pPr>
        <w:jc w:val="center"/>
        <w:rPr>
          <w:b/>
        </w:rPr>
      </w:pPr>
      <w:r>
        <w:rPr>
          <w:noProof/>
          <w:lang w:eastAsia="it-IT"/>
        </w:rPr>
        <w:lastRenderedPageBreak/>
        <w:drawing>
          <wp:inline distT="0" distB="0" distL="0" distR="0" wp14:anchorId="264E58DF" wp14:editId="67453A44">
            <wp:extent cx="4572000" cy="2743200"/>
            <wp:effectExtent l="0" t="0" r="19050" b="19050"/>
            <wp:docPr id="10" name="Grafico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256763" w:rsidRDefault="00CF219B" w:rsidP="00DF11BD">
      <w:pPr>
        <w:jc w:val="center"/>
        <w:rPr>
          <w:b/>
        </w:rPr>
      </w:pPr>
      <w:r>
        <w:rPr>
          <w:b/>
        </w:rPr>
        <w:t>Fig.3</w:t>
      </w:r>
    </w:p>
    <w:p w:rsidR="00EF129B" w:rsidRPr="00EF129B" w:rsidRDefault="00EF129B" w:rsidP="00CF23C8">
      <w:pPr>
        <w:jc w:val="both"/>
      </w:pPr>
      <w:r w:rsidRPr="00EF129B">
        <w:t xml:space="preserve">La funzione trovata, infatti, sembra dare </w:t>
      </w:r>
      <w:r w:rsidR="00CB1B69">
        <w:t>“</w:t>
      </w:r>
      <w:r w:rsidRPr="00EF129B">
        <w:t>continuità</w:t>
      </w:r>
      <w:r w:rsidR="00CB1B69">
        <w:t>”</w:t>
      </w:r>
      <w:r w:rsidRPr="00EF129B">
        <w:t xml:space="preserve"> sia ai dati degli impianti di piccola che di grande taglia rilevati nel nostro Paese.</w:t>
      </w:r>
      <w:r w:rsidR="00CB1B69">
        <w:t xml:space="preserve"> In  teoria, il gap esistente nella fascia intermedia dei dati</w:t>
      </w:r>
      <w:r w:rsidR="00CF23C8">
        <w:t xml:space="preserve"> considerati</w:t>
      </w:r>
      <w:r w:rsidR="00CB1B69">
        <w:t>, può essere criticato come assenza di “</w:t>
      </w:r>
      <w:proofErr w:type="spellStart"/>
      <w:r w:rsidR="00CB1B69">
        <w:t>omoschedasticità</w:t>
      </w:r>
      <w:proofErr w:type="spellEnd"/>
      <w:r w:rsidR="00CB1B69">
        <w:t>” nei dati rilevati, piuttosto che una mera contingente assenza di dati veri e propri per le taglie “intermedie”, che la ricerca condotta in tempi molto stringenti non ha permesso di colmare.</w:t>
      </w:r>
      <w:r w:rsidR="00FF16C0">
        <w:t xml:space="preserve"> Ciò nonostante si è inclini ad assumere la funzione trovata come strumento estimatore di primo approccio, almeno dove si tratti di impianti </w:t>
      </w:r>
      <w:r w:rsidR="00CF23C8">
        <w:t>sul mercato nazionale.</w:t>
      </w:r>
    </w:p>
    <w:sectPr w:rsidR="00EF129B" w:rsidRPr="00EF129B" w:rsidSect="00C579D6"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73AE" w:rsidRDefault="004273AE" w:rsidP="001B2A6D">
      <w:pPr>
        <w:spacing w:after="0" w:line="240" w:lineRule="auto"/>
      </w:pPr>
      <w:r>
        <w:separator/>
      </w:r>
    </w:p>
  </w:endnote>
  <w:endnote w:type="continuationSeparator" w:id="0">
    <w:p w:rsidR="004273AE" w:rsidRDefault="004273AE" w:rsidP="001B2A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73AE" w:rsidRDefault="004273AE" w:rsidP="001B2A6D">
      <w:pPr>
        <w:spacing w:after="0" w:line="240" w:lineRule="auto"/>
      </w:pPr>
      <w:r>
        <w:separator/>
      </w:r>
    </w:p>
  </w:footnote>
  <w:footnote w:type="continuationSeparator" w:id="0">
    <w:p w:rsidR="004273AE" w:rsidRDefault="004273AE" w:rsidP="001B2A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1A2533"/>
    <w:multiLevelType w:val="hybridMultilevel"/>
    <w:tmpl w:val="617420A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0B5EB8"/>
    <w:multiLevelType w:val="hybridMultilevel"/>
    <w:tmpl w:val="D1C87C70"/>
    <w:lvl w:ilvl="0" w:tplc="E69453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2CA2749"/>
    <w:multiLevelType w:val="hybridMultilevel"/>
    <w:tmpl w:val="024A1C16"/>
    <w:lvl w:ilvl="0" w:tplc="04100013">
      <w:start w:val="1"/>
      <w:numFmt w:val="upperRoman"/>
      <w:lvlText w:val="%1."/>
      <w:lvlJc w:val="righ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014D"/>
    <w:rsid w:val="00003E5C"/>
    <w:rsid w:val="00065AB1"/>
    <w:rsid w:val="00074740"/>
    <w:rsid w:val="00094F8F"/>
    <w:rsid w:val="00111046"/>
    <w:rsid w:val="001273BA"/>
    <w:rsid w:val="00143F63"/>
    <w:rsid w:val="001B2A6D"/>
    <w:rsid w:val="001E07F9"/>
    <w:rsid w:val="001E0E45"/>
    <w:rsid w:val="00252E0A"/>
    <w:rsid w:val="00256763"/>
    <w:rsid w:val="00297B1B"/>
    <w:rsid w:val="002A6BB7"/>
    <w:rsid w:val="00312E9E"/>
    <w:rsid w:val="00364FDA"/>
    <w:rsid w:val="003B1FFC"/>
    <w:rsid w:val="003C7779"/>
    <w:rsid w:val="00424713"/>
    <w:rsid w:val="004273AE"/>
    <w:rsid w:val="0044271D"/>
    <w:rsid w:val="00473DA6"/>
    <w:rsid w:val="00511D5D"/>
    <w:rsid w:val="0056056F"/>
    <w:rsid w:val="005A5DFB"/>
    <w:rsid w:val="0063210E"/>
    <w:rsid w:val="00647904"/>
    <w:rsid w:val="007453EB"/>
    <w:rsid w:val="00762559"/>
    <w:rsid w:val="00781720"/>
    <w:rsid w:val="007A0CCE"/>
    <w:rsid w:val="007A6AFE"/>
    <w:rsid w:val="007D1114"/>
    <w:rsid w:val="007F29A7"/>
    <w:rsid w:val="0080267B"/>
    <w:rsid w:val="0083607B"/>
    <w:rsid w:val="00894EE6"/>
    <w:rsid w:val="008F30B9"/>
    <w:rsid w:val="008F75CC"/>
    <w:rsid w:val="00907543"/>
    <w:rsid w:val="00943FE7"/>
    <w:rsid w:val="00A018E5"/>
    <w:rsid w:val="00B77E84"/>
    <w:rsid w:val="00BB0AD7"/>
    <w:rsid w:val="00C35E20"/>
    <w:rsid w:val="00C3746E"/>
    <w:rsid w:val="00C579D6"/>
    <w:rsid w:val="00C6014D"/>
    <w:rsid w:val="00C658B6"/>
    <w:rsid w:val="00CB1B69"/>
    <w:rsid w:val="00CF219B"/>
    <w:rsid w:val="00CF23C8"/>
    <w:rsid w:val="00D565C2"/>
    <w:rsid w:val="00DF11BD"/>
    <w:rsid w:val="00E7511C"/>
    <w:rsid w:val="00E9610C"/>
    <w:rsid w:val="00EB474F"/>
    <w:rsid w:val="00EF129B"/>
    <w:rsid w:val="00EF5964"/>
    <w:rsid w:val="00F02366"/>
    <w:rsid w:val="00FE2C4D"/>
    <w:rsid w:val="00FF16C0"/>
    <w:rsid w:val="00FF4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C601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360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3607B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1B2A6D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1B2A6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B2A6D"/>
  </w:style>
  <w:style w:type="paragraph" w:styleId="Pidipagina">
    <w:name w:val="footer"/>
    <w:basedOn w:val="Normale"/>
    <w:link w:val="PidipaginaCarattere"/>
    <w:uiPriority w:val="99"/>
    <w:unhideWhenUsed/>
    <w:rsid w:val="001B2A6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B2A6D"/>
  </w:style>
  <w:style w:type="paragraph" w:styleId="Paragrafoelenco">
    <w:name w:val="List Paragraph"/>
    <w:basedOn w:val="Normale"/>
    <w:uiPriority w:val="34"/>
    <w:qFormat/>
    <w:rsid w:val="0056056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C601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360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3607B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1B2A6D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1B2A6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B2A6D"/>
  </w:style>
  <w:style w:type="paragraph" w:styleId="Pidipagina">
    <w:name w:val="footer"/>
    <w:basedOn w:val="Normale"/>
    <w:link w:val="PidipaginaCarattere"/>
    <w:uiPriority w:val="99"/>
    <w:unhideWhenUsed/>
    <w:rsid w:val="001B2A6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B2A6D"/>
  </w:style>
  <w:style w:type="paragraph" w:styleId="Paragrafoelenco">
    <w:name w:val="List Paragraph"/>
    <w:basedOn w:val="Normale"/>
    <w:uiPriority w:val="34"/>
    <w:qFormat/>
    <w:rsid w:val="005605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51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85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5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03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93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96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9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hart" Target="charts/chart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va.mite.gov.it/it-IT/Oggetti/Info/8492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file:///D:/Documents/DC/Energia/Fotovoltaico_%20in%20Sicilia%20stanno%20per%20nascere%20due%20importanti%20parchi%20solari.pdf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chart" Target="charts/chart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D:\Documents\DC\Energia\Cartel1fotovolt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cuments\DC\Energia\Cartel1fotovolt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ocuments\DC\Energia\Cartel1fotovolt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it-I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'Domestici e PMI'!$B$2</c:f>
              <c:strCache>
                <c:ptCount val="1"/>
                <c:pt idx="0">
                  <c:v>€</c:v>
                </c:pt>
              </c:strCache>
            </c:strRef>
          </c:tx>
          <c:spPr>
            <a:ln w="28575">
              <a:noFill/>
            </a:ln>
          </c:spPr>
          <c:trendline>
            <c:spPr>
              <a:ln w="38100">
                <a:solidFill>
                  <a:srgbClr val="C00000"/>
                </a:solidFill>
                <a:prstDash val="dash"/>
              </a:ln>
            </c:spPr>
            <c:trendlineType val="power"/>
            <c:dispRSqr val="1"/>
            <c:dispEq val="1"/>
            <c:trendlineLbl>
              <c:layout>
                <c:manualLayout>
                  <c:x val="-4.1227252843394575E-2"/>
                  <c:y val="1.4863159426087905E-2"/>
                </c:manualLayout>
              </c:layout>
              <c:numFmt formatCode="General" sourceLinked="0"/>
              <c:txPr>
                <a:bodyPr/>
                <a:lstStyle/>
                <a:p>
                  <a:pPr>
                    <a:defRPr b="1"/>
                  </a:pPr>
                  <a:endParaRPr lang="it-IT"/>
                </a:p>
              </c:txPr>
            </c:trendlineLbl>
          </c:trendline>
          <c:xVal>
            <c:numRef>
              <c:f>'Domestici e PMI'!$A$3:$A$25</c:f>
              <c:numCache>
                <c:formatCode>General</c:formatCode>
                <c:ptCount val="23"/>
                <c:pt idx="0">
                  <c:v>1</c:v>
                </c:pt>
                <c:pt idx="1">
                  <c:v>1.5</c:v>
                </c:pt>
                <c:pt idx="2">
                  <c:v>1.5</c:v>
                </c:pt>
                <c:pt idx="3">
                  <c:v>2</c:v>
                </c:pt>
                <c:pt idx="4">
                  <c:v>3</c:v>
                </c:pt>
                <c:pt idx="5">
                  <c:v>3</c:v>
                </c:pt>
                <c:pt idx="6">
                  <c:v>3</c:v>
                </c:pt>
                <c:pt idx="7">
                  <c:v>4.5</c:v>
                </c:pt>
                <c:pt idx="8">
                  <c:v>4.5</c:v>
                </c:pt>
                <c:pt idx="9">
                  <c:v>6</c:v>
                </c:pt>
                <c:pt idx="10">
                  <c:v>6</c:v>
                </c:pt>
                <c:pt idx="11">
                  <c:v>10</c:v>
                </c:pt>
                <c:pt idx="12">
                  <c:v>10</c:v>
                </c:pt>
                <c:pt idx="13">
                  <c:v>10</c:v>
                </c:pt>
                <c:pt idx="14">
                  <c:v>10</c:v>
                </c:pt>
                <c:pt idx="15">
                  <c:v>20</c:v>
                </c:pt>
                <c:pt idx="16">
                  <c:v>20</c:v>
                </c:pt>
                <c:pt idx="17">
                  <c:v>30</c:v>
                </c:pt>
                <c:pt idx="18">
                  <c:v>30</c:v>
                </c:pt>
                <c:pt idx="19">
                  <c:v>30</c:v>
                </c:pt>
                <c:pt idx="20">
                  <c:v>50</c:v>
                </c:pt>
                <c:pt idx="21">
                  <c:v>50</c:v>
                </c:pt>
                <c:pt idx="22">
                  <c:v>50</c:v>
                </c:pt>
              </c:numCache>
            </c:numRef>
          </c:xVal>
          <c:yVal>
            <c:numRef>
              <c:f>'Domestici e PMI'!$B$3:$B$25</c:f>
              <c:numCache>
                <c:formatCode>General</c:formatCode>
                <c:ptCount val="23"/>
                <c:pt idx="0">
                  <c:v>1010</c:v>
                </c:pt>
                <c:pt idx="1">
                  <c:v>2500</c:v>
                </c:pt>
                <c:pt idx="2">
                  <c:v>3800</c:v>
                </c:pt>
                <c:pt idx="3">
                  <c:v>1490</c:v>
                </c:pt>
                <c:pt idx="4">
                  <c:v>2445</c:v>
                </c:pt>
                <c:pt idx="5">
                  <c:v>4500</c:v>
                </c:pt>
                <c:pt idx="6">
                  <c:v>6000</c:v>
                </c:pt>
                <c:pt idx="7">
                  <c:v>7000</c:v>
                </c:pt>
                <c:pt idx="8">
                  <c:v>9000</c:v>
                </c:pt>
                <c:pt idx="9">
                  <c:v>9600</c:v>
                </c:pt>
                <c:pt idx="10">
                  <c:v>12000</c:v>
                </c:pt>
                <c:pt idx="11">
                  <c:v>8000</c:v>
                </c:pt>
                <c:pt idx="12">
                  <c:v>11500</c:v>
                </c:pt>
                <c:pt idx="13">
                  <c:v>13500</c:v>
                </c:pt>
                <c:pt idx="14">
                  <c:v>15500</c:v>
                </c:pt>
                <c:pt idx="15">
                  <c:v>18000</c:v>
                </c:pt>
                <c:pt idx="16">
                  <c:v>49000</c:v>
                </c:pt>
                <c:pt idx="17">
                  <c:v>28000</c:v>
                </c:pt>
                <c:pt idx="18">
                  <c:v>36000</c:v>
                </c:pt>
                <c:pt idx="19">
                  <c:v>62000</c:v>
                </c:pt>
                <c:pt idx="20">
                  <c:v>43000</c:v>
                </c:pt>
                <c:pt idx="21">
                  <c:v>53000</c:v>
                </c:pt>
                <c:pt idx="22">
                  <c:v>92000</c:v>
                </c:pt>
              </c:numCache>
            </c:numRef>
          </c:y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22920320"/>
        <c:axId val="36496896"/>
      </c:scatterChart>
      <c:valAx>
        <c:axId val="122920320"/>
        <c:scaling>
          <c:orientation val="minMax"/>
        </c:scaling>
        <c:delete val="0"/>
        <c:axPos val="b"/>
        <c:majorGridlines/>
        <c:minorGridlines/>
        <c:title>
          <c:tx>
            <c:rich>
              <a:bodyPr/>
              <a:lstStyle/>
              <a:p>
                <a:pPr>
                  <a:defRPr/>
                </a:pPr>
                <a:r>
                  <a:rPr lang="it-IT"/>
                  <a:t>Potenza</a:t>
                </a:r>
                <a:r>
                  <a:rPr lang="it-IT" baseline="0"/>
                  <a:t> </a:t>
                </a:r>
                <a:r>
                  <a:rPr lang="it-IT" sz="1000" b="1" i="0" u="none" strike="noStrike" baseline="0">
                    <a:effectLst/>
                  </a:rPr>
                  <a:t> di picco </a:t>
                </a:r>
                <a:r>
                  <a:rPr lang="it-IT" baseline="0"/>
                  <a:t>in kWp del kit </a:t>
                </a:r>
                <a:endParaRPr lang="it-IT"/>
              </a:p>
            </c:rich>
          </c:tx>
          <c:layout/>
          <c:overlay val="0"/>
        </c:title>
        <c:numFmt formatCode="General" sourceLinked="1"/>
        <c:majorTickMark val="out"/>
        <c:minorTickMark val="none"/>
        <c:tickLblPos val="nextTo"/>
        <c:crossAx val="36496896"/>
        <c:crosses val="autoZero"/>
        <c:crossBetween val="midCat"/>
      </c:valAx>
      <c:valAx>
        <c:axId val="36496896"/>
        <c:scaling>
          <c:orientation val="minMax"/>
        </c:scaling>
        <c:delete val="0"/>
        <c:axPos val="l"/>
        <c:majorGridlines/>
        <c:minorGridlines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Costo in Eeuro</a:t>
                </a:r>
              </a:p>
            </c:rich>
          </c:tx>
          <c:layout/>
          <c:overlay val="0"/>
        </c:title>
        <c:numFmt formatCode="General" sourceLinked="1"/>
        <c:majorTickMark val="out"/>
        <c:minorTickMark val="none"/>
        <c:tickLblPos val="nextTo"/>
        <c:crossAx val="122920320"/>
        <c:crosses val="autoZero"/>
        <c:crossBetween val="midCat"/>
      </c:valAx>
    </c:plotArea>
    <c:plotVisOnly val="1"/>
    <c:dispBlanksAs val="gap"/>
    <c:showDLblsOverMax val="0"/>
  </c:chart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it-I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scatterChart>
        <c:scatterStyle val="smoothMarker"/>
        <c:varyColors val="0"/>
        <c:ser>
          <c:idx val="0"/>
          <c:order val="0"/>
          <c:trendline>
            <c:trendlineType val="poly"/>
            <c:order val="2"/>
            <c:dispRSqr val="1"/>
            <c:dispEq val="1"/>
            <c:trendlineLbl>
              <c:layout/>
              <c:numFmt formatCode="General" sourceLinked="0"/>
            </c:trendlineLbl>
          </c:trendline>
          <c:xVal>
            <c:numRef>
              <c:f>'Grandi Impianti'!$A$2:$A$5</c:f>
              <c:numCache>
                <c:formatCode>General</c:formatCode>
                <c:ptCount val="4"/>
                <c:pt idx="0">
                  <c:v>32</c:v>
                </c:pt>
                <c:pt idx="1">
                  <c:v>34</c:v>
                </c:pt>
                <c:pt idx="2">
                  <c:v>80</c:v>
                </c:pt>
                <c:pt idx="3">
                  <c:v>150</c:v>
                </c:pt>
              </c:numCache>
            </c:numRef>
          </c:xVal>
          <c:yVal>
            <c:numRef>
              <c:f>'Grandi Impianti'!$B$2:$B$5</c:f>
              <c:numCache>
                <c:formatCode>General</c:formatCode>
                <c:ptCount val="4"/>
                <c:pt idx="0">
                  <c:v>33</c:v>
                </c:pt>
                <c:pt idx="1">
                  <c:v>30</c:v>
                </c:pt>
                <c:pt idx="2">
                  <c:v>60</c:v>
                </c:pt>
                <c:pt idx="3">
                  <c:v>312</c:v>
                </c:pt>
              </c:numCache>
            </c:numRef>
          </c:yVal>
          <c:smooth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23201792"/>
        <c:axId val="123203968"/>
      </c:scatterChart>
      <c:valAx>
        <c:axId val="123201792"/>
        <c:scaling>
          <c:orientation val="minMax"/>
        </c:scaling>
        <c:delete val="0"/>
        <c:axPos val="b"/>
        <c:majorGridlines/>
        <c:minorGridlines/>
        <c:title>
          <c:tx>
            <c:rich>
              <a:bodyPr/>
              <a:lstStyle/>
              <a:p>
                <a:pPr>
                  <a:defRPr/>
                </a:pPr>
                <a:r>
                  <a:rPr lang="it-IT"/>
                  <a:t>MWp</a:t>
                </a:r>
              </a:p>
            </c:rich>
          </c:tx>
          <c:layout/>
          <c:overlay val="0"/>
        </c:title>
        <c:numFmt formatCode="General" sourceLinked="1"/>
        <c:majorTickMark val="out"/>
        <c:minorTickMark val="none"/>
        <c:tickLblPos val="nextTo"/>
        <c:crossAx val="123203968"/>
        <c:crosses val="autoZero"/>
        <c:crossBetween val="midCat"/>
      </c:valAx>
      <c:valAx>
        <c:axId val="123203968"/>
        <c:scaling>
          <c:orientation val="minMax"/>
        </c:scaling>
        <c:delete val="0"/>
        <c:axPos val="l"/>
        <c:majorGridlines/>
        <c:minorGridlines/>
        <c:title>
          <c:tx>
            <c:rich>
              <a:bodyPr/>
              <a:lstStyle/>
              <a:p>
                <a:pPr>
                  <a:defRPr/>
                </a:pPr>
                <a:r>
                  <a:rPr lang="it-IT"/>
                  <a:t>M€</a:t>
                </a:r>
              </a:p>
            </c:rich>
          </c:tx>
          <c:layout/>
          <c:overlay val="0"/>
        </c:title>
        <c:numFmt formatCode="General" sourceLinked="1"/>
        <c:majorTickMark val="out"/>
        <c:minorTickMark val="none"/>
        <c:tickLblPos val="nextTo"/>
        <c:crossAx val="123201792"/>
        <c:crosses val="autoZero"/>
        <c:crossBetween val="midCat"/>
      </c:valAx>
    </c:plotArea>
    <c:legend>
      <c:legendPos val="r"/>
      <c:layout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it-I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smoothMarker"/>
        <c:varyColors val="0"/>
        <c:ser>
          <c:idx val="0"/>
          <c:order val="0"/>
          <c:tx>
            <c:strRef>
              <c:f>'Effetto di Scala in UE'!$C$1</c:f>
              <c:strCache>
                <c:ptCount val="1"/>
                <c:pt idx="0">
                  <c:v>€/kW</c:v>
                </c:pt>
              </c:strCache>
            </c:strRef>
          </c:tx>
          <c:trendline>
            <c:trendlineType val="log"/>
            <c:dispRSqr val="1"/>
            <c:dispEq val="1"/>
            <c:trendlineLbl>
              <c:layout>
                <c:manualLayout>
                  <c:x val="5.9616797900262468E-2"/>
                  <c:y val="-0.19072214931466899"/>
                </c:manualLayout>
              </c:layout>
              <c:numFmt formatCode="General" sourceLinked="0"/>
              <c:txPr>
                <a:bodyPr/>
                <a:lstStyle/>
                <a:p>
                  <a:pPr>
                    <a:defRPr b="1"/>
                  </a:pPr>
                  <a:endParaRPr lang="it-IT"/>
                </a:p>
              </c:txPr>
            </c:trendlineLbl>
          </c:trendline>
          <c:xVal>
            <c:numRef>
              <c:f>'Effetto di Scala in UE'!$A$2:$A$28</c:f>
              <c:numCache>
                <c:formatCode>General</c:formatCode>
                <c:ptCount val="27"/>
                <c:pt idx="0">
                  <c:v>1</c:v>
                </c:pt>
                <c:pt idx="1">
                  <c:v>1.5</c:v>
                </c:pt>
                <c:pt idx="2">
                  <c:v>1.5</c:v>
                </c:pt>
                <c:pt idx="3">
                  <c:v>2</c:v>
                </c:pt>
                <c:pt idx="4">
                  <c:v>3</c:v>
                </c:pt>
                <c:pt idx="5">
                  <c:v>3</c:v>
                </c:pt>
                <c:pt idx="6">
                  <c:v>3</c:v>
                </c:pt>
                <c:pt idx="7">
                  <c:v>4.5</c:v>
                </c:pt>
                <c:pt idx="8">
                  <c:v>4.5</c:v>
                </c:pt>
                <c:pt idx="9">
                  <c:v>6</c:v>
                </c:pt>
                <c:pt idx="10">
                  <c:v>6</c:v>
                </c:pt>
                <c:pt idx="11">
                  <c:v>10</c:v>
                </c:pt>
                <c:pt idx="12">
                  <c:v>10</c:v>
                </c:pt>
                <c:pt idx="13">
                  <c:v>10</c:v>
                </c:pt>
                <c:pt idx="14">
                  <c:v>10</c:v>
                </c:pt>
                <c:pt idx="15">
                  <c:v>20</c:v>
                </c:pt>
                <c:pt idx="16">
                  <c:v>20</c:v>
                </c:pt>
                <c:pt idx="17">
                  <c:v>30</c:v>
                </c:pt>
                <c:pt idx="18">
                  <c:v>30</c:v>
                </c:pt>
                <c:pt idx="19">
                  <c:v>30</c:v>
                </c:pt>
                <c:pt idx="20">
                  <c:v>50</c:v>
                </c:pt>
                <c:pt idx="21">
                  <c:v>50</c:v>
                </c:pt>
                <c:pt idx="22">
                  <c:v>50</c:v>
                </c:pt>
                <c:pt idx="23">
                  <c:v>32000</c:v>
                </c:pt>
                <c:pt idx="24">
                  <c:v>34000</c:v>
                </c:pt>
                <c:pt idx="25">
                  <c:v>80000</c:v>
                </c:pt>
                <c:pt idx="26">
                  <c:v>150000</c:v>
                </c:pt>
              </c:numCache>
            </c:numRef>
          </c:xVal>
          <c:yVal>
            <c:numRef>
              <c:f>'Effetto di Scala in UE'!$C$2:$C$28</c:f>
              <c:numCache>
                <c:formatCode>General</c:formatCode>
                <c:ptCount val="27"/>
                <c:pt idx="0">
                  <c:v>1472.5</c:v>
                </c:pt>
                <c:pt idx="1">
                  <c:v>1451.1624031935683</c:v>
                </c:pt>
                <c:pt idx="2">
                  <c:v>1451.1624031935683</c:v>
                </c:pt>
                <c:pt idx="3">
                  <c:v>1436.2109170994524</c:v>
                </c:pt>
                <c:pt idx="4">
                  <c:v>1415.3991755184245</c:v>
                </c:pt>
                <c:pt idx="5">
                  <c:v>1415.3991755184245</c:v>
                </c:pt>
                <c:pt idx="6">
                  <c:v>1415.3991755184245</c:v>
                </c:pt>
                <c:pt idx="7">
                  <c:v>1394.8890112214006</c:v>
                </c:pt>
                <c:pt idx="8">
                  <c:v>1394.8890112214006</c:v>
                </c:pt>
                <c:pt idx="9">
                  <c:v>1380.5173160836168</c:v>
                </c:pt>
                <c:pt idx="10">
                  <c:v>1380.5173160836168</c:v>
                </c:pt>
                <c:pt idx="11">
                  <c:v>1355.3619944065451</c:v>
                </c:pt>
                <c:pt idx="12">
                  <c:v>1355.3619944065451</c:v>
                </c:pt>
                <c:pt idx="13">
                  <c:v>1355.3619944065451</c:v>
                </c:pt>
                <c:pt idx="14">
                  <c:v>1355.3619944065451</c:v>
                </c:pt>
                <c:pt idx="15">
                  <c:v>1321.95972359142</c:v>
                </c:pt>
                <c:pt idx="16">
                  <c:v>1321.95972359142</c:v>
                </c:pt>
                <c:pt idx="17">
                  <c:v>1302.8035649657256</c:v>
                </c:pt>
                <c:pt idx="18">
                  <c:v>1302.8035649657256</c:v>
                </c:pt>
                <c:pt idx="19">
                  <c:v>1302.8035649657256</c:v>
                </c:pt>
                <c:pt idx="20">
                  <c:v>1279.0643170932535</c:v>
                </c:pt>
                <c:pt idx="21">
                  <c:v>1279.0643170932535</c:v>
                </c:pt>
                <c:pt idx="22">
                  <c:v>1279.0643170932535</c:v>
                </c:pt>
                <c:pt idx="23">
                  <c:v>1013.6077074180239</c:v>
                </c:pt>
                <c:pt idx="24">
                  <c:v>1011.3979346730628</c:v>
                </c:pt>
                <c:pt idx="25">
                  <c:v>980.71781382788367</c:v>
                </c:pt>
                <c:pt idx="26">
                  <c:v>958.77349178494649</c:v>
                </c:pt>
              </c:numCache>
            </c:numRef>
          </c:yVal>
          <c:smooth val="1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24918784"/>
        <c:axId val="124937344"/>
      </c:scatterChart>
      <c:valAx>
        <c:axId val="124918784"/>
        <c:scaling>
          <c:logBase val="10"/>
          <c:orientation val="minMax"/>
        </c:scaling>
        <c:delete val="0"/>
        <c:axPos val="b"/>
        <c:majorGridlines/>
        <c:minorGridlines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Potenza di picco in kW</a:t>
                </a:r>
              </a:p>
            </c:rich>
          </c:tx>
          <c:layout/>
          <c:overlay val="0"/>
        </c:title>
        <c:numFmt formatCode="General" sourceLinked="1"/>
        <c:majorTickMark val="out"/>
        <c:minorTickMark val="none"/>
        <c:tickLblPos val="nextTo"/>
        <c:crossAx val="124937344"/>
        <c:crosses val="autoZero"/>
        <c:crossBetween val="midCat"/>
      </c:valAx>
      <c:valAx>
        <c:axId val="124937344"/>
        <c:scaling>
          <c:orientation val="minMax"/>
        </c:scaling>
        <c:delete val="0"/>
        <c:axPos val="l"/>
        <c:majorGridlines/>
        <c:minorGridlines/>
        <c:title>
          <c:tx>
            <c:rich>
              <a:bodyPr/>
              <a:lstStyle/>
              <a:p>
                <a:pPr>
                  <a:defRPr/>
                </a:pPr>
                <a:r>
                  <a:rPr lang="it-IT"/>
                  <a:t>Prezzo Unitario in €/kW</a:t>
                </a:r>
              </a:p>
            </c:rich>
          </c:tx>
          <c:layout/>
          <c:overlay val="0"/>
        </c:title>
        <c:numFmt formatCode="General" sourceLinked="1"/>
        <c:majorTickMark val="out"/>
        <c:minorTickMark val="none"/>
        <c:tickLblPos val="nextTo"/>
        <c:crossAx val="124918784"/>
        <c:crosses val="autoZero"/>
        <c:crossBetween val="midCat"/>
      </c:valAx>
    </c:plotArea>
    <c:legend>
      <c:legendPos val="r"/>
      <c:layout/>
      <c:overlay val="0"/>
    </c:legend>
    <c:plotVisOnly val="1"/>
    <c:dispBlanksAs val="gap"/>
    <c:showDLblsOverMax val="0"/>
  </c:chart>
  <c:externalData r:id="rId1">
    <c:autoUpdate val="0"/>
  </c:externalData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0.20486</cdr:x>
      <cdr:y>0.42725</cdr:y>
    </cdr:from>
    <cdr:to>
      <cdr:x>0.44514</cdr:x>
      <cdr:y>0.76212</cdr:y>
    </cdr:to>
    <cdr:cxnSp macro="">
      <cdr:nvCxnSpPr>
        <cdr:cNvPr id="3" name="Connettore 1 2"/>
        <cdr:cNvCxnSpPr/>
      </cdr:nvCxnSpPr>
      <cdr:spPr>
        <a:xfrm xmlns:a="http://schemas.openxmlformats.org/drawingml/2006/main" flipV="1">
          <a:off x="936625" y="1174744"/>
          <a:ext cx="1098550" cy="920750"/>
        </a:xfrm>
        <a:prstGeom xmlns:a="http://schemas.openxmlformats.org/drawingml/2006/main" prst="line">
          <a:avLst/>
        </a:prstGeom>
        <a:ln xmlns:a="http://schemas.openxmlformats.org/drawingml/2006/main">
          <a:solidFill>
            <a:srgbClr val="00B050"/>
          </a:solidFill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0.44514</cdr:x>
      <cdr:y>0.33025</cdr:y>
    </cdr:from>
    <cdr:to>
      <cdr:x>0.57153</cdr:x>
      <cdr:y>0.42725</cdr:y>
    </cdr:to>
    <cdr:cxnSp macro="">
      <cdr:nvCxnSpPr>
        <cdr:cNvPr id="5" name="Connettore 1 4"/>
        <cdr:cNvCxnSpPr/>
      </cdr:nvCxnSpPr>
      <cdr:spPr>
        <a:xfrm xmlns:a="http://schemas.openxmlformats.org/drawingml/2006/main" flipV="1">
          <a:off x="2035175" y="908044"/>
          <a:ext cx="577850" cy="266700"/>
        </a:xfrm>
        <a:prstGeom xmlns:a="http://schemas.openxmlformats.org/drawingml/2006/main" prst="line">
          <a:avLst/>
        </a:prstGeom>
        <a:ln xmlns:a="http://schemas.openxmlformats.org/drawingml/2006/main">
          <a:solidFill>
            <a:srgbClr val="00B050"/>
          </a:solidFill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0.57014</cdr:x>
      <cdr:y>0.10623</cdr:y>
    </cdr:from>
    <cdr:to>
      <cdr:x>0.82431</cdr:x>
      <cdr:y>0.33025</cdr:y>
    </cdr:to>
    <cdr:cxnSp macro="">
      <cdr:nvCxnSpPr>
        <cdr:cNvPr id="7" name="Connettore 1 6"/>
        <cdr:cNvCxnSpPr/>
      </cdr:nvCxnSpPr>
      <cdr:spPr>
        <a:xfrm xmlns:a="http://schemas.openxmlformats.org/drawingml/2006/main" flipV="1">
          <a:off x="2606675" y="292094"/>
          <a:ext cx="1162050" cy="615950"/>
        </a:xfrm>
        <a:prstGeom xmlns:a="http://schemas.openxmlformats.org/drawingml/2006/main" prst="line">
          <a:avLst/>
        </a:prstGeom>
        <a:ln xmlns:a="http://schemas.openxmlformats.org/drawingml/2006/main">
          <a:solidFill>
            <a:srgbClr val="00B050"/>
          </a:solidFill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0.82431</cdr:x>
      <cdr:y>0.10161</cdr:y>
    </cdr:from>
    <cdr:to>
      <cdr:x>0.8257</cdr:x>
      <cdr:y>0.45727</cdr:y>
    </cdr:to>
    <cdr:cxnSp macro="">
      <cdr:nvCxnSpPr>
        <cdr:cNvPr id="10" name="Connettore 1 9"/>
        <cdr:cNvCxnSpPr/>
      </cdr:nvCxnSpPr>
      <cdr:spPr>
        <a:xfrm xmlns:a="http://schemas.openxmlformats.org/drawingml/2006/main">
          <a:off x="3768725" y="279386"/>
          <a:ext cx="6355" cy="977905"/>
        </a:xfrm>
        <a:prstGeom xmlns:a="http://schemas.openxmlformats.org/drawingml/2006/main" prst="line">
          <a:avLst/>
        </a:prstGeom>
        <a:ln xmlns:a="http://schemas.openxmlformats.org/drawingml/2006/main">
          <a:solidFill>
            <a:srgbClr val="00B050"/>
          </a:solidFill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0.31597</cdr:x>
      <cdr:y>0.57967</cdr:y>
    </cdr:from>
    <cdr:to>
      <cdr:x>0.57014</cdr:x>
      <cdr:y>0.72286</cdr:y>
    </cdr:to>
    <cdr:cxnSp macro="">
      <cdr:nvCxnSpPr>
        <cdr:cNvPr id="15" name="Connettore 1 14"/>
        <cdr:cNvCxnSpPr/>
      </cdr:nvCxnSpPr>
      <cdr:spPr>
        <a:xfrm xmlns:a="http://schemas.openxmlformats.org/drawingml/2006/main" flipH="1">
          <a:off x="1444627" y="1593844"/>
          <a:ext cx="1162048" cy="393700"/>
        </a:xfrm>
        <a:prstGeom xmlns:a="http://schemas.openxmlformats.org/drawingml/2006/main" prst="line">
          <a:avLst/>
        </a:prstGeom>
        <a:ln xmlns:a="http://schemas.openxmlformats.org/drawingml/2006/main">
          <a:solidFill>
            <a:srgbClr val="00B050"/>
          </a:solidFill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0.20208</cdr:x>
      <cdr:y>0.72517</cdr:y>
    </cdr:from>
    <cdr:to>
      <cdr:x>0.32152</cdr:x>
      <cdr:y>0.78522</cdr:y>
    </cdr:to>
    <cdr:cxnSp macro="">
      <cdr:nvCxnSpPr>
        <cdr:cNvPr id="17" name="Connettore 1 16"/>
        <cdr:cNvCxnSpPr/>
      </cdr:nvCxnSpPr>
      <cdr:spPr>
        <a:xfrm xmlns:a="http://schemas.openxmlformats.org/drawingml/2006/main" flipH="1">
          <a:off x="923925" y="1993901"/>
          <a:ext cx="546081" cy="165093"/>
        </a:xfrm>
        <a:prstGeom xmlns:a="http://schemas.openxmlformats.org/drawingml/2006/main" prst="line">
          <a:avLst/>
        </a:prstGeom>
        <a:ln xmlns:a="http://schemas.openxmlformats.org/drawingml/2006/main">
          <a:solidFill>
            <a:srgbClr val="00B050"/>
          </a:solidFill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0.40764</cdr:x>
      <cdr:y>0.61201</cdr:y>
    </cdr:from>
    <cdr:to>
      <cdr:x>0.40764</cdr:x>
      <cdr:y>0.61201</cdr:y>
    </cdr:to>
    <cdr:cxnSp macro="">
      <cdr:nvCxnSpPr>
        <cdr:cNvPr id="19" name="Connettore 1 18"/>
        <cdr:cNvCxnSpPr/>
      </cdr:nvCxnSpPr>
      <cdr:spPr>
        <a:xfrm xmlns:a="http://schemas.openxmlformats.org/drawingml/2006/main">
          <a:off x="1863725" y="1682744"/>
          <a:ext cx="0" cy="0"/>
        </a:xfrm>
        <a:prstGeom xmlns:a="http://schemas.openxmlformats.org/drawingml/2006/main" prst="line">
          <a:avLst/>
        </a:prstGeom>
        <a:ln xmlns:a="http://schemas.openxmlformats.org/drawingml/2006/main">
          <a:solidFill>
            <a:srgbClr val="00B050"/>
          </a:solidFill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  <cdr:relSizeAnchor xmlns:cdr="http://schemas.openxmlformats.org/drawingml/2006/chartDrawing">
    <cdr:from>
      <cdr:x>0.57431</cdr:x>
      <cdr:y>0.47575</cdr:y>
    </cdr:from>
    <cdr:to>
      <cdr:x>0.82708</cdr:x>
      <cdr:y>0.58198</cdr:y>
    </cdr:to>
    <cdr:cxnSp macro="">
      <cdr:nvCxnSpPr>
        <cdr:cNvPr id="21" name="Connettore 1 20"/>
        <cdr:cNvCxnSpPr/>
      </cdr:nvCxnSpPr>
      <cdr:spPr>
        <a:xfrm xmlns:a="http://schemas.openxmlformats.org/drawingml/2006/main" flipH="1">
          <a:off x="2625725" y="1308094"/>
          <a:ext cx="1155700" cy="292100"/>
        </a:xfrm>
        <a:prstGeom xmlns:a="http://schemas.openxmlformats.org/drawingml/2006/main" prst="line">
          <a:avLst/>
        </a:prstGeom>
        <a:ln xmlns:a="http://schemas.openxmlformats.org/drawingml/2006/main">
          <a:solidFill>
            <a:srgbClr val="00B050"/>
          </a:solidFill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cxnSp>
  </cdr:relSizeAnchor>
</c:userShape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1098</Words>
  <Characters>6260</Characters>
  <Application>Microsoft Office Word</Application>
  <DocSecurity>0</DocSecurity>
  <Lines>52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39329</dc:creator>
  <cp:lastModifiedBy>39329</cp:lastModifiedBy>
  <cp:revision>2</cp:revision>
  <dcterms:created xsi:type="dcterms:W3CDTF">2023-07-19T19:54:00Z</dcterms:created>
  <dcterms:modified xsi:type="dcterms:W3CDTF">2023-07-19T19:54:00Z</dcterms:modified>
</cp:coreProperties>
</file>