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A52DA4" w:rsidRPr="00EB4BD8" w:rsidRDefault="00701850">
      <w:pPr>
        <w:keepNext/>
        <w:keepLines/>
        <w:spacing w:before="240" w:after="240"/>
        <w:jc w:val="both"/>
        <w:rPr>
          <w:rFonts w:asciiTheme="majorBidi" w:eastAsia="Times New Roman" w:hAnsiTheme="majorBidi" w:cstheme="majorBidi"/>
          <w:b/>
          <w:color w:val="333333"/>
          <w:sz w:val="28"/>
          <w:szCs w:val="28"/>
          <w:highlight w:val="white"/>
        </w:rPr>
      </w:pPr>
      <w:r w:rsidRPr="00EB4BD8">
        <w:rPr>
          <w:rFonts w:asciiTheme="majorBidi" w:eastAsia="Times New Roman" w:hAnsiTheme="majorBidi" w:cstheme="majorBidi"/>
          <w:b/>
          <w:color w:val="333333"/>
          <w:sz w:val="28"/>
          <w:szCs w:val="28"/>
          <w:highlight w:val="white"/>
        </w:rPr>
        <w:t>RNA sequencing and microarray analysis are helpful techniques to detect obesity-related lncRNAs. LncRNA can alter cholesterol metabolism and can be a target for gene therapy</w:t>
      </w:r>
    </w:p>
    <w:p w14:paraId="1BDAB7B9" w14:textId="77777777" w:rsidR="00EB4BD8" w:rsidRDefault="00EB4BD8">
      <w:pPr>
        <w:keepNext/>
        <w:keepLines/>
        <w:spacing w:before="240" w:after="240"/>
        <w:jc w:val="both"/>
        <w:rPr>
          <w:rFonts w:asciiTheme="majorBidi" w:eastAsia="Times New Roman" w:hAnsiTheme="majorBidi" w:cstheme="majorBidi"/>
          <w:color w:val="333333"/>
          <w:sz w:val="24"/>
          <w:szCs w:val="24"/>
          <w:highlight w:val="white"/>
        </w:rPr>
      </w:pPr>
    </w:p>
    <w:p w14:paraId="71723838" w14:textId="77777777" w:rsidR="00EB4BD8" w:rsidRDefault="00EB4BD8" w:rsidP="00EB4BD8">
      <w:pPr>
        <w:keepNext/>
        <w:keepLines/>
        <w:spacing w:before="240" w:after="240"/>
        <w:jc w:val="both"/>
        <w:rPr>
          <w:rFonts w:ascii="Times New Roman" w:eastAsia="Times New Roman" w:hAnsi="Times New Roman" w:cs="Times New Roman"/>
          <w:color w:val="2E2E2E"/>
          <w:sz w:val="24"/>
          <w:szCs w:val="24"/>
          <w:highlight w:val="white"/>
          <w:vertAlign w:val="superscript"/>
        </w:rPr>
      </w:pPr>
      <w:r>
        <w:rPr>
          <w:rFonts w:ascii="Times New Roman" w:eastAsia="Times New Roman" w:hAnsi="Times New Roman" w:cs="Times New Roman"/>
          <w:color w:val="2E2E2E"/>
          <w:sz w:val="24"/>
          <w:szCs w:val="24"/>
          <w:highlight w:val="white"/>
        </w:rPr>
        <w:t xml:space="preserve">Moataz Dowaidar </w:t>
      </w:r>
      <w:r>
        <w:rPr>
          <w:rFonts w:ascii="Times New Roman" w:eastAsia="Times New Roman" w:hAnsi="Times New Roman" w:cs="Times New Roman"/>
          <w:color w:val="2E2E2E"/>
          <w:sz w:val="24"/>
          <w:szCs w:val="24"/>
          <w:highlight w:val="white"/>
          <w:vertAlign w:val="superscript"/>
        </w:rPr>
        <w:t>1,2</w:t>
      </w:r>
    </w:p>
    <w:p w14:paraId="45E3C144" w14:textId="77777777" w:rsidR="00EB4BD8" w:rsidRDefault="00EB4BD8" w:rsidP="00EB4BD8">
      <w:pPr>
        <w:keepNext/>
        <w:keepLines/>
        <w:spacing w:before="240" w:after="240"/>
        <w:jc w:val="both"/>
        <w:rPr>
          <w:rFonts w:ascii="Times New Roman" w:eastAsia="Times New Roman" w:hAnsi="Times New Roman" w:cs="Times New Roman"/>
          <w:color w:val="2E2E2E"/>
          <w:sz w:val="24"/>
          <w:szCs w:val="24"/>
          <w:highlight w:val="white"/>
        </w:rPr>
      </w:pPr>
      <w:r>
        <w:rPr>
          <w:rFonts w:ascii="Times New Roman" w:eastAsia="Times New Roman" w:hAnsi="Times New Roman" w:cs="Times New Roman"/>
          <w:color w:val="2E2E2E"/>
          <w:sz w:val="24"/>
          <w:szCs w:val="24"/>
          <w:highlight w:val="white"/>
          <w:vertAlign w:val="superscript"/>
        </w:rPr>
        <w:t>1</w:t>
      </w:r>
      <w:r>
        <w:rPr>
          <w:rFonts w:ascii="Times New Roman" w:eastAsia="Times New Roman" w:hAnsi="Times New Roman" w:cs="Times New Roman"/>
          <w:color w:val="2E2E2E"/>
          <w:sz w:val="24"/>
          <w:szCs w:val="24"/>
          <w:highlight w:val="white"/>
        </w:rPr>
        <w:t xml:space="preserve"> Department of Bioengineering, King Fahd University of Petroleum and Minerals (KFUPM), Dhahran 31261, Saudi Arabia.</w:t>
      </w:r>
    </w:p>
    <w:p w14:paraId="4D7A3088" w14:textId="77777777" w:rsidR="00EB4BD8" w:rsidRDefault="00EB4BD8" w:rsidP="00EB4BD8">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2E2E2E"/>
          <w:sz w:val="24"/>
          <w:szCs w:val="24"/>
          <w:highlight w:val="white"/>
          <w:vertAlign w:val="superscript"/>
        </w:rPr>
        <w:t xml:space="preserve">2 </w:t>
      </w:r>
      <w:r>
        <w:rPr>
          <w:rFonts w:ascii="Times New Roman" w:eastAsia="Times New Roman" w:hAnsi="Times New Roman" w:cs="Times New Roman"/>
          <w:color w:val="2E2E2E"/>
          <w:sz w:val="24"/>
          <w:szCs w:val="24"/>
          <w:highlight w:val="white"/>
        </w:rPr>
        <w:t>Interdisciplinary Research Center for Hydrogen and Energy Storage (IRC-HES), King Fahd University of Petroleum and Minerals (KFUPM), Dhahran, 31261, Saudi Arabia.</w:t>
      </w:r>
    </w:p>
    <w:p w14:paraId="5CACB3F9" w14:textId="77777777" w:rsidR="00EB4BD8" w:rsidRDefault="00EB4BD8">
      <w:pPr>
        <w:keepNext/>
        <w:keepLines/>
        <w:spacing w:before="240" w:after="240"/>
        <w:jc w:val="both"/>
        <w:rPr>
          <w:rFonts w:asciiTheme="majorBidi" w:eastAsia="Times New Roman" w:hAnsiTheme="majorBidi" w:cstheme="majorBidi"/>
          <w:color w:val="333333"/>
          <w:sz w:val="24"/>
          <w:szCs w:val="24"/>
          <w:highlight w:val="white"/>
        </w:rPr>
      </w:pPr>
    </w:p>
    <w:p w14:paraId="00000002" w14:textId="30C6FB8A"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Abstract</w:t>
      </w:r>
    </w:p>
    <w:p w14:paraId="00000003" w14:textId="77777777" w:rsidR="00A52DA4" w:rsidRPr="00EB4BD8" w:rsidRDefault="00701850">
      <w:pPr>
        <w:keepNext/>
        <w:keepLines/>
        <w:spacing w:before="240" w:after="240"/>
        <w:jc w:val="both"/>
        <w:rPr>
          <w:rFonts w:asciiTheme="majorBidi" w:eastAsia="Times New Roman" w:hAnsiTheme="majorBidi" w:cstheme="majorBidi"/>
          <w:color w:val="333333"/>
          <w:sz w:val="20"/>
          <w:szCs w:val="20"/>
          <w:highlight w:val="white"/>
        </w:rPr>
      </w:pPr>
      <w:r w:rsidRPr="00EB4BD8">
        <w:rPr>
          <w:rFonts w:asciiTheme="majorBidi" w:eastAsia="Times New Roman" w:hAnsiTheme="majorBidi" w:cstheme="majorBidi"/>
          <w:color w:val="333333"/>
          <w:sz w:val="20"/>
          <w:szCs w:val="20"/>
          <w:highlight w:val="white"/>
        </w:rPr>
        <w:t>Recent study has connected obesity disorders including improper lipid, cholesterol, and glucose metabolism to lncRNAs, which may lead to obesity or type 2 diabetes. RNA sequencing and microarray analysis are helpful techniques to detect obesity-related lncRNAs. However, the important participation of several lncRNAs in controlling obesity problems is yet unexplored.</w:t>
      </w:r>
    </w:p>
    <w:p w14:paraId="00000004" w14:textId="77777777" w:rsidR="00A52DA4" w:rsidRPr="00EB4BD8" w:rsidRDefault="00701850">
      <w:pPr>
        <w:keepNext/>
        <w:keepLines/>
        <w:spacing w:before="240" w:after="240"/>
        <w:jc w:val="both"/>
        <w:rPr>
          <w:rFonts w:asciiTheme="majorBidi" w:eastAsia="Times New Roman" w:hAnsiTheme="majorBidi" w:cstheme="majorBidi"/>
          <w:color w:val="333333"/>
          <w:sz w:val="20"/>
          <w:szCs w:val="20"/>
          <w:highlight w:val="white"/>
        </w:rPr>
      </w:pPr>
      <w:r w:rsidRPr="00EB4BD8">
        <w:rPr>
          <w:rFonts w:asciiTheme="majorBidi" w:eastAsia="Times New Roman" w:hAnsiTheme="majorBidi" w:cstheme="majorBidi"/>
          <w:color w:val="333333"/>
          <w:sz w:val="20"/>
          <w:szCs w:val="20"/>
          <w:highlight w:val="white"/>
        </w:rPr>
        <w:t>Several lncRNAs interact with and influence lipid, cholesterol, and glucose metabolism genes, proteins, and enzymes. However, the number of lncRNAs found is substantially smaller than the number of lncRNAs detailing the lipid, cholesterol, and glucose metabolic activity. This is due in part to the complexity of the action mechanism of lncRNAs and the lack of reliable methodologies to predict functional properties of lncRNA. Consequently, if technologies exist to uncover and define lncRNAs connected to obesity syndrome, it will disclose possible therapeutic goals and drive the creation of novel, very useful ways for obesity therapy. Moreover, lncRNA can alter cholesterol accumulation, synthesis, intracellular transit, and excretion. Whether lncRNAs impact cholesterol homeostasis through cholesterol esterification, deesterification, and/or absorption remained unresolved till recently. It's worth highlighting that lncRNAs have poor species conservation levels. According to a recent study, about 10% of lncRNAs are preserved between mammals and chickens and 2% between mammals and fish,106 showing that preserved lncRNAs between species may play a crucial role in modulating the metabolism of obesity in animal evolution. Despite their poor conservation between species, however, most nonconservative lncRNAs have the potential to be transformed into nucleic acid medications to treat obesity syndrome in animal studies or for therapeutic advantages.</w:t>
      </w:r>
    </w:p>
    <w:p w14:paraId="00000005"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0"/>
          <w:szCs w:val="20"/>
          <w:highlight w:val="white"/>
        </w:rPr>
        <w:t>LncRNAs play a function in food intake, associated with obesity diseases. LncRNA was revealed to have a role in HFD-induced obesity diseases, which have intergenerational characteristics. Complete decipherment of lncRNA with regard to metabolic control of obesity might open the way for precise medication and prevention of obesity transmission from generation to generation. Moreover, as indicated in this study review, lncRNA-based therapeutic approaches may minimize genetic toxicity and maybe treat obesity problems. Natural products may have a lot of promise in the treatment of obesity syndrome and additional studies are needed. Future investigation may focus on finding effective and nontoxic strategies to introduce lncRNA interference agents to obese patients via natural products and gene therapy. As a consequence, discovering a unique mechanism for influencing obesity on the expression of lncRNA might help us better understand the pathophysiology of obesity syndromes and support the design of new tools to prevent and cure obesity syndrome, especially from food.</w:t>
      </w:r>
      <w:r w:rsidRPr="00EB4BD8">
        <w:rPr>
          <w:rFonts w:asciiTheme="majorBidi" w:hAnsiTheme="majorBidi" w:cstheme="majorBidi"/>
        </w:rPr>
        <w:br w:type="page"/>
      </w:r>
    </w:p>
    <w:p w14:paraId="00000006" w14:textId="32E0634B"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lastRenderedPageBreak/>
        <w:t>1 I</w:t>
      </w:r>
      <w:r w:rsidR="00583A59" w:rsidRPr="00EB4BD8">
        <w:rPr>
          <w:rFonts w:asciiTheme="majorBidi" w:eastAsia="Times New Roman" w:hAnsiTheme="majorBidi" w:cstheme="majorBidi"/>
          <w:color w:val="333333"/>
          <w:sz w:val="24"/>
          <w:szCs w:val="24"/>
          <w:highlight w:val="white"/>
        </w:rPr>
        <w:t>ntroduction</w:t>
      </w:r>
    </w:p>
    <w:p w14:paraId="00000007"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Obesity has become a global public health concern as a result of recent economic progress. Obesity is, without a doubt, the leading cause of human death and reduced quality of life in the twenty-first century. Overweight people account for around 2 billion individuals globally. 1 According to GonzalezJimenez, the World Health Organization 2 and the International Obesity Task Force have classified obesity as an epidemic. 3 Obesity and type II diabetes are both obesity disorders that entail dysregulated lipid, cholesterol, and glucose metabolism. Obesity's negative health repercussions are linked to type II diabetes as a severe risk factor. 4 According to Wilson et al.5, being overweight and/or obese was the cause of diabetes in around 21% of men and 3% of women.</w:t>
      </w:r>
    </w:p>
    <w:p w14:paraId="00000008"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LncRNAs are transcripts that are longer than 200 nucleotides but are not translated into proteins.</w:t>
      </w:r>
    </w:p>
    <w:p w14:paraId="00000009"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6 lncRNAs are classed as sense lncRNAs, antisense lncRNAs, bidirectional lncRNAs, intergenic lncRNAs, and intragenic lncRNAs based on their relative positions in the genome. 7 Signaling molecules, decoy molecules, guiding molecules, and scaffold molecules are four different categories of lncRNAs. 8 Furthermore, lncRNAs are less conserved than short noncoding RNAs like siRNAs and miRNAs, which have a complex secondary structure and can engage in a variety of biological processes. 8 The link between lncRNAs and obesity disorders, in particular, has been a hot topic of investigation.</w:t>
      </w:r>
    </w:p>
    <w:p w14:paraId="0000000A"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Some reviews have recently described the lncRNAs implicated in regulating lipid-associated renal disease,9 adipogenesis,10 fat cell metabolism,11, 12 tumor metabolism,13, 14, and adipose tissue function in both white and brown adipose tissue (WAT) (BAT).</w:t>
      </w:r>
    </w:p>
    <w:p w14:paraId="0000000B"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15 and 16 In addition, lncRNAs control hypertension and diabetes, chronic overnutrition and metainflammation19, 20, and obesity-related malignancies. 21 The relationship between obesity syndromes and lncRNAs, on the other hand, has yet to be thoroughly investigated. As a result, this scientific review will summarize and discuss how lncRNAs play a role in complex obesity metabolic syndromes, such as lipid, cholesterol, and glucose metabolism, gene transcription, epigenetic modification, and the regulation of metabolism-related genes, proteins, and enzymes, as well as obesity syndrome signaling pathways. Furthermore, the current study covers the role of lncRNAs in food consumption (e.g., high-fat diet [HFD], palmitate), which is linked to obesity disorders. Meanwhile, we discuss how nanomolecules such as small interfering RNAs (siRNAs), antisense oligonucleotides (ASOs), and natural extracts (folic acid, salvianolic acid B, high stability fucoxanthin, epigallocatechin-3gallate [EGCG]) may be used to target lncRNA, which is linked to obesity syndrome, as a potential treatment for obesity syndromes.</w:t>
      </w:r>
    </w:p>
    <w:p w14:paraId="7DD5C739" w14:textId="77777777" w:rsidR="00EB4BD8" w:rsidRDefault="00EB4BD8">
      <w:pPr>
        <w:rPr>
          <w:rFonts w:asciiTheme="majorBidi" w:eastAsia="Times New Roman" w:hAnsiTheme="majorBidi" w:cstheme="majorBidi"/>
          <w:color w:val="333333"/>
          <w:sz w:val="24"/>
          <w:szCs w:val="24"/>
          <w:highlight w:val="white"/>
        </w:rPr>
      </w:pPr>
      <w:r>
        <w:rPr>
          <w:rFonts w:asciiTheme="majorBidi" w:eastAsia="Times New Roman" w:hAnsiTheme="majorBidi" w:cstheme="majorBidi"/>
          <w:color w:val="333333"/>
          <w:sz w:val="24"/>
          <w:szCs w:val="24"/>
          <w:highlight w:val="white"/>
        </w:rPr>
        <w:br w:type="page"/>
      </w:r>
    </w:p>
    <w:p w14:paraId="0000000C" w14:textId="5E660AAD"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lastRenderedPageBreak/>
        <w:t>2 L</w:t>
      </w:r>
      <w:r w:rsidR="00583A59" w:rsidRPr="00EB4BD8">
        <w:rPr>
          <w:rFonts w:asciiTheme="majorBidi" w:eastAsia="Times New Roman" w:hAnsiTheme="majorBidi" w:cstheme="majorBidi"/>
          <w:color w:val="333333"/>
          <w:sz w:val="24"/>
          <w:szCs w:val="24"/>
          <w:highlight w:val="white"/>
        </w:rPr>
        <w:t>ncRNA regulation in obesity syndrome related metabolism</w:t>
      </w:r>
    </w:p>
    <w:p w14:paraId="0000000D"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2.1 Lipid metabolism is regulated by lncRNA.</w:t>
      </w:r>
    </w:p>
    <w:p w14:paraId="0000000E"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In most cases, proper lipid metabolism aids in the equilibrium of a variety of physiological functions. However, faulty lipid metabolism can contribute to fat accumulation, which can contribute to obesity75, implying that lipid metabolism is linked to obesity syndromes. Furthermore, lncRNAs can alter lipid homeostasis by interacting with RNA/DNA/protein and thereby regulating lipid metabolism. 76</w:t>
      </w:r>
    </w:p>
    <w:p w14:paraId="0000000F"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In the blood samples of obese people, the expression levels of lncRNAp5549, lncRNAp21015, and lncRNAp19461 were considerably lower than in normal weight people.</w:t>
      </w:r>
    </w:p>
    <w:p w14:paraId="00000010"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22 This discovery implies that the amounts of these three lncRNAs might be used as lipid metabolism indicators in obese people. During mouse brown fat cell development, 1064 lncRNAs were differently expressed on Day 0 compared to Day 8. In addition, three lncRNAs (Gm15051, Tmem189, and Cebpd) were shown to be linked to adipose commitment. 25 Researchers discovered that two upregulated lncRNAs, AK142386 and AK133540, might influence the expression of homeobox A3 (HOXA3) and acylCoA dehydrogenase family member 10 (ACAD10), respectively, impacting adipogenesis and energy metabolism in BAT and WAT, according to another study. 30 Understanding the molecular biology of brown adipocyte differentiation will require more research into the molecular and biological activities of these potential lncRNAs. WAT stores chemical energy in the form of triglycerides, whereas BAT creates heat and uses energy to guard against cold and obesity, as previously observed. 77 Adipocyte-specific metabolic-related lncRNAs, ASMER1 and ASMER2, were shown to be differently expressed in human subcutaneous WAT, controlling obesity and insulin resistance, according to some studies. 23 Furthermore, cold exposure can cause the synthesis of BAT in murine beige adipocytes, which is controlled by the elevated lncRNA 2310069B03Rik. 31 Although the lncRNA Blnc1 can create a Blnc1hnRNPUEBF2 complex to enhance adipose development and thermogenic gene expression in BAT, Blnc1 alone does not activate the heat generation program, according to prior research. 26 Furthermore, activation of Blnc1, which operates by establishing a complex with its protein partner, might enhance HFD-induced obesity. 27, 28, 29 Similarly, the lncRNA Paral1 may interact with the paraspeckle component and the hnRNPlike RNAbinding protein 14 (RBM14/NCoAA) complex, controlling adipogenesis in diet-induced obese mice 'adipocytes. 29 These findings suggest that certain lncRNAs may form complexes before performing their biological tasks. 78</w:t>
      </w:r>
    </w:p>
    <w:p w14:paraId="00000011"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2.1.1 Lipid metabolism epigenetic modification mediated by LncRNA</w:t>
      </w:r>
    </w:p>
    <w:p w14:paraId="00000012"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Through epigenetic alteration, LncRNA can influence lipid metabolism. One investigation looked at DNA methylation in the skeletal muscle of Tongcheng pigs (a breed with a lot of obesity genes), lean Landrace pigs, and tiny Wuzhishan pigs, and found that multiple lncRNAs involved in DNA methylation play important roles in controlling body shape and obesity. 74 Furthermore, these lncRNAs are being investigated as prospective genes for epigenetic investigations on skeletal muscle phenotypic variation in the future. 74</w:t>
      </w:r>
    </w:p>
    <w:p w14:paraId="00000013"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lastRenderedPageBreak/>
        <w:t>2.1.2 a. LncRNA regulates genes, proteins, and enzymes involved in lipid metabolism.</w:t>
      </w:r>
    </w:p>
    <w:p w14:paraId="00000014"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LncRNA can control lipid-related genes such as CCAAT/enhancerbinding protein alpha/beta (C/EBP/), fatty acidbinding protein 4 (FABP4), peroxisome proliferator activated receptor gamma 2 (PPAR2), and adiponectin, which are important in the synthesis and metabolism of lipids (ADIPOQ). Notably, a recent study found that the lncRNA GM13133 partly suppressed WAT development by lowering C/EBP and PPAR expression. 32 By reducing the expression of PPAR2, FABP4, ADIPOQ, and C/EBP, Chen et al.33 showed that lncU90926 reduced 3T3L1 adipocyte development and suppressed lipid accumulation. Furthermore, in HFD mice 'adipocytes, the translation of ADIPOQ messenger RNA (mRNA) could be inhibited by generating the ADIPOQ AS lncRNA/ADIPOQ mRNA duplex. 34 Furthermore, lncRNA can act as a carrier for protein transport and play a role in the obesity syndrome process. During 3T3L1 adipocyte development, for example, lncRNA NEAT1 controlled PPAR2 splicing by combining with serine/arginine rich splicing protein (SRp40). 35 Furthermore, RNA binding proteins have been shown to increase the stability of lncRNAs. For example, the lncRNA APOA4AS promoted the expression of apolipoprotein A4 (APOA4), a plasma lipoprotein closely linked to obesity,79 in the livers of mice with genetic obesity and patients with fatty liver disease, through an interaction with the mRNA stabilizing protein HuR. 37 A comparable laboratory investigation found that Sam68, an RNA binding protein involved in adipogenesis, enhanced the stability of the HOX antisense transcript RNA (Hotair) and accelerated adipogenesis in preadipocytes. 36 Two Sam68-regulated lncRNAs, SRlncRNA1 and SRlncRNA2, exhibited positive and negative effects on adipocyte differentiation, respectively. 36 According to the findings, inhibiting the carrier function of lncRNA might be used as a therapy for lipid-mediated obesity diseases.</w:t>
      </w:r>
    </w:p>
    <w:p w14:paraId="00000015"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LncRNA can potentially influence the activity of enzymes involved in lipid metabolism. ATGL (adipose triglyceride lipase) is a key enzyme in the hydrolysis of triglycerides. By boosting ATGL expression and free fatty acid (FFA) betaoxidation and enhancing lipid metabolism, glucose tolerance, and attenuating hepatic steatosis, the 80 LncRNA steroid receptor RNA activator (SRA) gene deletion protects against HFD-induced obesity and improves glucose tolerance39. 38</w:t>
      </w:r>
    </w:p>
    <w:p w14:paraId="00000016"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2.1.3 Cell signaling pathways linked to lipid metabolism and lncRNA</w:t>
      </w:r>
    </w:p>
    <w:p w14:paraId="3C65F2DC" w14:textId="77777777" w:rsid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 xml:space="preserve">According to new data, lncRNAs can play a role in the control of lipid metabolism by acting as a regulator of the lipid metabolism signaling pathway. The lncRNAmiRNA signaling pathway, for example, is critical in lipid metabolism. According to a recent study, the lncRNA Mirt2 sponged with miR34a5p to increase USP10 expression in the liver, reducing lipid droplet formation and glucose generation. 40 In mice, lncRNA Gm15622 may be sponged with miR7423p and miR2955p, resulting in increased hepatic fat buildup. 41 lncRNA Gm12664–001, on the other hand, may be sponged with miR2955p, reducing hepatic lipid accumulation in AML12 cells. 42 </w:t>
      </w:r>
    </w:p>
    <w:p w14:paraId="00000017" w14:textId="0D48C97A"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lastRenderedPageBreak/>
        <w:t>Another study found that H19 decreased steroidogenic acute regulatory protein (StAR) expression and thereby affected lipid metabolism in human KGN cells, human embryonic kidney (HEK) 293 cells, and mice Leydig cells through negatively regulating the miRNA let7. 47 Endogenous H19 silencing has been shown to minimize lipid buildup in hepatocytes. 43 In another work, the lncRNA HULC suppressed miR9 production in hepatoma cells via inducing methylation of CpG islands in the miR9 promoter. To control lipid metabolism, this epigenetic change increased the expression of PPAR and activated acylCoA synthetase longchain family members, as well as their intracellular components (such as triglycerides and cholesterol). 24 Other signaling pathways, including as p38, insulin/insulinlike growth factor 1 (IGF1), cJun NH (2) terminal kinase (JNK), cyclic adenosine monophosphate (cAMP) pathways, sterol response element binding protein 1c (SREBP1c), and PPAR, are also important in lipid metabolism. Recent research found that aberrant expression of the lncRNA uc.417 inhibited the phosphorylation of p38 in mouse primary brown adipocytes, impairing adipogenesis and the thermogenic program in BAT. 44 Inhibition of p38 phosphorylation, on the other hand, has a different effect on adipogenesis. In mouse 3T3L1 preadipocytes, for example, SRA overexpression boosted adipogenesis by boosting IGF1 signaling and controlled adipocyte differentiation by suppressing JNK and p38 phosphorylation, according to another laboratory investigation. 81 Furthermore, cold temperature induced GM13133 overexpression through 3adrenergic signaling, although this expression shift had little effect on white preadipocyte proliferation. Through cAMP signaling, however, GM13133 overexpression reduced lipid accumulation, hindered white adipocyte development, and promoted WAT to BAT transition. 32 Gm16551 is strongly activated by SREBP1c and inhibits lipid production in the mouse liver, according to one research, despite the fact that SREBP1c activity is increased by lipogenesis. As a result, Gm16551 inhibits SREBP1c and lipogenesis. 45 In addition to lipid metabolism, the PPAR signaling pathway is important. 82 Three fatty liver-related lncRNAs, FLRL8, FLRL3, and FLRL17, showed a potential role in the PPAR signaling pathway through interaction with lipid metabolism proteins, including lipoprotein lipase, fatty acid binding protein 5, and fatty acid desaturase, in a nonalcoholic fatty liver disease rodent model. 2. 46 Although many signaling pathways are known to be involved in lipid metabolism, the time and spatial interacting networks among them are yet unknown and require additional investigation.</w:t>
      </w:r>
    </w:p>
    <w:p w14:paraId="00000018"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In conclusion, lncRNAs influence lipid metabolism in adipose tissue, promote epigenetic alteration of lipid-related genes, influence the expression of lipid-related genes, proteins, and enzymes, and influence lipid signaling pathways. Further study might help to validate the link between these coding and noncoding genes, as well as their possible regulatory mechanisms. Furthermore, research into the control of lipid metabolism by lncRNAs via epigenetic pathways may give fresh insights into obesity therapy from an epigenetic perspective.</w:t>
      </w:r>
    </w:p>
    <w:p w14:paraId="058CD963" w14:textId="77777777" w:rsidR="00EB4BD8" w:rsidRDefault="00EB4BD8">
      <w:pPr>
        <w:rPr>
          <w:rFonts w:asciiTheme="majorBidi" w:eastAsia="Times New Roman" w:hAnsiTheme="majorBidi" w:cstheme="majorBidi"/>
          <w:color w:val="333333"/>
          <w:sz w:val="24"/>
          <w:szCs w:val="24"/>
          <w:highlight w:val="white"/>
        </w:rPr>
      </w:pPr>
      <w:r>
        <w:rPr>
          <w:rFonts w:asciiTheme="majorBidi" w:eastAsia="Times New Roman" w:hAnsiTheme="majorBidi" w:cstheme="majorBidi"/>
          <w:color w:val="333333"/>
          <w:sz w:val="24"/>
          <w:szCs w:val="24"/>
          <w:highlight w:val="white"/>
        </w:rPr>
        <w:br w:type="page"/>
      </w:r>
    </w:p>
    <w:p w14:paraId="00000019" w14:textId="2E22BBD6"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lastRenderedPageBreak/>
        <w:t>2.2 LncRNA regulates cholesterol metabolism</w:t>
      </w:r>
    </w:p>
    <w:p w14:paraId="0000001A"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Obesity is generally known to be caused by a malfunction in cholesterol metabolism.</w:t>
      </w:r>
    </w:p>
    <w:p w14:paraId="0000001B"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83 Furthermore, a recent study highlighted the functions of lncRNAs in lipid metabolism control through modifying cholesterol and triglyceride metabolism throughout health and illness. 84 LncRNAs have a role in cholesterol metabolism, and the following table summarizes the interaction between lncRNAs, cholesterol-related genes, and bile acid (BA) metabolism.</w:t>
      </w:r>
    </w:p>
    <w:p w14:paraId="0000001C"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2.2.1 LncRNA and genes, proteins, and enzymes associated with cholesterol</w:t>
      </w:r>
    </w:p>
    <w:p w14:paraId="0000001D"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LncRNA control of cholesterol-related genes, proteins, and enzymes helps to maintain cholesterol homeostasis, which is maintained in part through cholesterol buildup, production, intracellular transit, and excretion.</w:t>
      </w:r>
    </w:p>
    <w:p w14:paraId="0000001E"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85 According to Huang et al.48, the lncRNA HOXC cluster antisense RNA 1 (HOXCAS1) increased homeobox C6 (HOXC6) expression in THP1 macrophages, which partially inhibited cholesterol buildup produced by oxidized low-density lipoprotein (OxLDL). However, the precise mechanism by which HOXCAS1 induces HOXC6 in cholesterol metabolism has to be elucidated. Overexpression of lncRNA DYNLRB22 has been demonstrated to increase the expression of ATPbinding cassette transporter A1 (ABCA1) and G protein-coupled receptor 119 (GPR119) in THP1 macrophages, promoting cholesterol efflux. 52 In addition, a recent laboratory investigation found that lncHC coupled with heterogeneous nuclear ribonucleoprotein A2/B1 (hnRNPA2B1) decreased cholesterol excretion-related genes in hepatocytes to modulate cellular cholesterol excretion. 57 Furthermore, through antagonizing the action of the miRNA let7,47, overexpression of the lncRNA H19 promoted the production of StAR and changed intracellular cholesterol transport at the posttranscriptional level, indicating that the H19/let7 axis may play a key role in cholesterol metabolism. As a result, lncRNAs may influence cholesterol buildup and efflux genes. In HepG2 cells, the expression of HMG CoA reductase (HMGCR), the rate-limiting enzyme in cholesterol production, was shown to be reduced by lncRNA AT102202. 49</w:t>
      </w:r>
    </w:p>
    <w:p w14:paraId="0000001F"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2.2.2 LncRNA metabolism and BA</w:t>
      </w:r>
    </w:p>
    <w:p w14:paraId="00000020"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BA is mostly produced in the liver from cholesterol and released into bile. Furthermore, BA metabolism is important for maintaining lipid, cholesterol, glucose, and energy balance in living beings. 86 H19, lncLSTR, and MEG3 are only a few of the lncRNAs involved in BA metabolism. For example, in the liver of C57BL/6J mice, a molecular cascade involving H19 and the antiapoptotic Bcell lymphoma protein 2 preserved BA homeostasis. 53 Another research found that H19 led to dysregulated BA metabolism and cholestatic liver fibrosis51, which might be connected to H19's role in StAR protein production. 47 Liver-enriched lncLSTR has been found to maintain lipid homeostasis by regulating the expression of the BA producing enzyme CYP8B1. 54 MEG3, on the other hand, was discovered to interact with polypyrimidine tractbinding protein 1, promoting SHP degradation and disrupting BA homeostasis after liver damage. 55</w:t>
      </w:r>
    </w:p>
    <w:p w14:paraId="00000021"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lastRenderedPageBreak/>
        <w:t>2.2.3 Cholesterol metabolism and cell signaling networks involving lncRNA</w:t>
      </w:r>
    </w:p>
    <w:p w14:paraId="00000022"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It's worth mentioning that lncRNA and miRNA work together to maintain cholesterol balance. NEAT1 and miR140, for example, generated a unique adipogenesis-related signaling network. Furthermore, miR140 was discovered to enhance NEAT1 expression in adipocytes during adipogenesis. 56 Hu et al.50 also found that the lncRNA RP583A20.1 suppressed nuclear factor IA (NFIA) expression in human acute monocytic leukemia macrophages via promoting hasmiR3825p expression. NFIA downregulation also reduced circulating high-density lipoprotein cholesterol while increasing low-density lipoprotein and very-low-density lipoprotein cholesterol. These investigations demonstrated that lncRNA-miRNA interaction is important for lipid metabolism, but further study is needed to determine whether laboratory findings can be applied to humans and to create innovative therapies for obesity disorders.</w:t>
      </w:r>
    </w:p>
    <w:p w14:paraId="00000023"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These findings show that lncRNA regulates cholesterol-related genes, proteins, enzymes, BA metabolism, and signaling pathways, all of which have an impact on cholesterol homeostasis. Future studies should look at whether lncRNAs control cholesterol metabolism by cholesterol esterification, deesterification, uptake, and/or synthesis, BA secretion, and/or epigenetic alteration of cholesterol related genes.</w:t>
      </w:r>
    </w:p>
    <w:p w14:paraId="00000024"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2.3 The role of lncRNA in glucose metabolism</w:t>
      </w:r>
    </w:p>
    <w:p w14:paraId="00000025"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Glucose is a high-energy carbohydrate that serves as the primary energy source for cells in most animals, according to research.</w:t>
      </w:r>
    </w:p>
    <w:p w14:paraId="00000026"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87 To fulfill the energy demands of organisms, glucose levels are closely regulated. Because glucose plays such an important part in metabolism, metabolic problems may lead to obesity and type 2 diabetes.</w:t>
      </w:r>
    </w:p>
    <w:p w14:paraId="00000027"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2.3.1 Regulation of glucose-related transcription factors, genes, and enzymes by long noncoding RNA</w:t>
      </w:r>
    </w:p>
    <w:p w14:paraId="389F5176" w14:textId="77777777" w:rsid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 xml:space="preserve">lncRNAs are essential regulators of glucose metabolism, according to several laboratory investigations. Hepatic glucokinase expression was suppressed and hepatic glycogen accumulation was reduced when lncLGR was used. 65 Another study found that the lncRNA PCGEM1 acted as a coactivator in multiple metabolic pathways in prostate cancer cells, including glucose and glutamine metabolism, as well as nucleotide and fatty acid biosynthesis, alongside cMyc and androgen receptor (AR). 58 PCGEM1 might collaborate with epigenetic modifiers or histone markers to increase and maintain cMyc enrichment on glucose gene-related target chromatin. Arnes et al.64 recently shown that the lncRNA betalinc1 was important for islet cell formation and glucose homeostasis in adult mice by coordinating the regulation of several islet cell specific transcription factors. Furthermore, lncRNA TP53TG1 was discovered to control cell proliferation and migration in U87 and LN18 cells during glucose deprivation by regulating several glucose metabolism-related genes, including glucose regulated protein 78, lactate dehydrogenase A, and isocitrate dehydrogenase 1,59, indicating that some lncRNAs may be regulated by external environmental factors. </w:t>
      </w:r>
    </w:p>
    <w:p w14:paraId="00000028" w14:textId="2AC0919F"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lastRenderedPageBreak/>
        <w:t>Notably, the mRNAlncRNA axis is also important for glucose metabolism regulation. LincIRS2 was inhibited in a diet-induced obese rat, which was regulated by increased transcription factor MafG (MAFG) signaling, which then regulated hepatic glucose metabolism in obesity disorders. 66 This paves the way for further research into the mechanisms that regulate lncRNA expression, which is crucial in the prevention of obesity syndrome.</w:t>
      </w:r>
    </w:p>
    <w:p w14:paraId="00000029"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2.3.2 Long noncoding RNA (lncRNA) epigenetic modulation of glucose metabolism genes</w:t>
      </w:r>
    </w:p>
    <w:p w14:paraId="0000002A"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Histone acetylation and DNA methylation, like lipid metabolism, influence glucose metabolism.</w:t>
      </w:r>
    </w:p>
    <w:p w14:paraId="0000002B"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88 MEG3 is involved in the metabolism of lipids and glucose. MEG3 overexpression was observed to promote hepatic gluconeogenesis and suppress insulinstimulated glycogen synthesis in the hepatocytes of mice given an HFA, according to Zhu et al.67. MEG3 may be a potential danger factor or indication, such as in glucose or cholestatic metabolism,55 which deserves more investigation. The lncRNA ROIT, which is linked to DNA methyltransferase 3a and then prevents the methylation of the Nkx6.1 promoter in MIN6 cells and primary islet cells, was revealed to represent a new connection between obesity and glucose dysregulation in recent research. 69 Furthermore, Yang et al.74 showed that DNA hypermethylation elevated the lncRNA TUNAR, a homolog of human TCL1, in the skeletal muscle of lean, obese, and minitype pigs in a glucose-dependent way. Because this diseased condition also causes improper epigenetic alterations, lncRNA levels in obesity disorders might be used as a marker for aberrant glucose metabolism.</w:t>
      </w:r>
    </w:p>
    <w:p w14:paraId="0000002C"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2.3.3 Glucose metabolism and cell signaling pathways involving lncRNA</w:t>
      </w:r>
    </w:p>
    <w:p w14:paraId="7E2DEB20" w14:textId="77777777" w:rsid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 xml:space="preserve">Growing data suggests that lncRNAs can control a glucose metabolic cascade through a number of signaling pathways, including miRNA, mTOR, and insulin/cAMP. In osteosarcoma cells, the lncRNA PVT1 serves as a molecular sponge to suppress miR497 and enhance glucose intake. 60 A twofold negative feedback loop involving H19 and Let7 controls glucose absorption in muscle cells, according to another research. 70 Furthermore, animal studies showed that the lncRNA Gomafu enhances hepatic glucose production and gluconeogenesis by sponging miR1395p in HFD-induced obese mice71, and that MEG3 increased hepatic insulin resistance by functioning as a ceRNA of miR214 in the livers of HFD-fed and ob/ob mice. 68 Furthermore, the lncRNA ANRIL influenced glucose absorption and glucose-related gene expression in nasopharyngeal cancer via activating the mTOR signaling pathway61, which is an important regulator of glucose metabolism. 89 The lncRNA UCA1 stimulated mTOR signaling and enhanced glycolysis through activation of signal transducer and transcription activator 3 and suppression of miR143, according to recent research. In bladder cancer cells, these molecular alterations promoted the expression of hexokinase 2, an essential glycolysis mediator. 62 LncRNAs also regulate glucose metabolism by interacting with the insulin/cAMP signaling system. Adipocyte SRA, for example, was reported to boost insulin-sensitive glucose absorption and boost phosphorylation of Akt pathways and forkhead transcription factor 1 in adipocytes (FOXO1). </w:t>
      </w:r>
    </w:p>
    <w:p w14:paraId="0000002D" w14:textId="5304E765"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lastRenderedPageBreak/>
        <w:t>Both of these activities respond to insulin and are involved in insulin signaling. 72 Ellis et al.63 found that in colorectal cancer, CRNDE increased the expression of genes linked to glucose and lipid metabolism via the insulin/IGF signaling pathway and its downstream PI3KAktmTOR and RafMAPK signaling pathways. One research found that cAMP signaling increased 456 lncRNAs and downregulated 409 lncRNAs. 73 Gm13709001 and Ppargc1a are two upregulated lncRNAs that govern gluconeogenesis in primary mouse hepatocytes by regulating the expression of peroxisome proliferator activated receptor coactivator 1 and G protein-coupled receptor 155, respectively. 73 lncRNAs influence glucose metabolism via a variety of signaling mechanisms. However, few studies have been conducted at the animal level to further investigate the role of lncRNAmiRNA crosstalk in glucose metabolism, so more research is needed to determine the role of this crosstalk on other signaling pathways related to glucose metabolism in obesity syndromes, such as the Warburg effect.</w:t>
      </w:r>
    </w:p>
    <w:p w14:paraId="0000002E"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In general, lncRNAs influence glucose metabolism, which is linked to obesity disorders. Previous research has revealed that long noncoding RNAs (lncRNAs) affect glucose-related transcription factors, genes, and enzymes, as well as influencing glucose metabolism via epigenetic control and signaling pathways. However, our understanding of the relationships between different lncRNAs, as well as the interactions between lncRNAs and proteins and mRNAs in essential metabolic pathways, is still limited, and further research is needed.</w:t>
      </w:r>
    </w:p>
    <w:p w14:paraId="0000002F"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3 LNCRNA INVOLVED IN FOOD INDUCED OBESITY SYNDROME</w:t>
      </w:r>
    </w:p>
    <w:p w14:paraId="00000030"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Because many meals can produce metabolic abnormalities associated with obesity syndromes, and some lncRNAs are significantly linked to obesity syndromes, the association between lncRNA and food intake has gotten a lot of attention.</w:t>
      </w:r>
    </w:p>
    <w:p w14:paraId="5F7A998E" w14:textId="77777777" w:rsid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 xml:space="preserve">There is an inextricable relationship between food consumption, lncRNA, and obesity, according to a large body of peer-reviewed scientific literature. As previously reported, elevated lncRNA MALAT1 was found in hepatocytes exposed to palmitate and in the livers of ob/ob mice, resulting in hepatic fat buildup and insulin resistance. 90 However, a recent study found that the deletion of MALAT1 had no effect on age or diet-induced adipose tissue accretion and glucose intolerance in mice91, suggesting that the discrepancy in the aforementioned studies might be due to some compensatory mechanisms worth investigating further. In addition, HFDinduced obese mice could induce a set of dysregulated lncRNAs in adipocytes, particularly lncleptin, which exhibits dynamic changes in the conditions of eating and fasting and may serve as a novel molecular marker of adipose energy status92, and could also increase fat mass with reduced plasma leptin by reducing the expression of lncRNA lncOb, according to recent studies. 93 Alternative polyadenylation sites on lncRNA transcripts, which serve as a crucial transcription factor to control body weight in HFD exposed rats, may be implicated in HFD-induced obesity. 94 </w:t>
      </w:r>
    </w:p>
    <w:p w14:paraId="00000031" w14:textId="42A217DF"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lastRenderedPageBreak/>
        <w:t>Furthermore, comparing the chow and HFD mice, a total of 124 lncRNAs and 1606 mRNAs were differently expressed in adipose tissue,95 providing insight into the molecular underpinnings of metabolic illnesses induced by diet as well as biomarkers for the risk of obesity syndromes. It's also worth noting that HFD-induced lncRNA changes in obesity disorders might have a hereditary component. Microarray research found that 6,354 lncRNAs were substantially elevated and 7,541 lncRNAs were substantially downregulated in F0HFD mice compared to F0NC mice when animals and their male progeny were separated into F0/F1HFD (given an HFD) and F0/F1NC (given regular chow) groups. 96 Furthermore, the levels of lncRNAs and mRNAs in F0HFD and F1HFD mice were similar, indicating that lncRNAs may play a role in obesity intergenerational inheritance. However, it is uncertain how to decipher lncRNA-encoded information in early embryos to regulate progeny obesity. Furthermore, more laboratory research is needed to establish the roles of these differentially expressed lncRNAs and their control of obesity metabolic cis and trans target genes in obese mouse offspring.</w:t>
      </w:r>
    </w:p>
    <w:p w14:paraId="00000032"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In conclusion, multiple lncRNAs associated with obesity syndromes have been found to have a substantial association with food consumption. These lncRNAs might, for example, be used to treat obesity disorders, and future research should compare lncRNA expression in parents and offspring.</w:t>
      </w:r>
    </w:p>
    <w:p w14:paraId="00000033" w14:textId="153DBA8D"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4 P</w:t>
      </w:r>
      <w:r w:rsidR="00EB4BD8" w:rsidRPr="00EB4BD8">
        <w:rPr>
          <w:rFonts w:asciiTheme="majorBidi" w:eastAsia="Times New Roman" w:hAnsiTheme="majorBidi" w:cstheme="majorBidi"/>
          <w:color w:val="333333"/>
          <w:sz w:val="24"/>
          <w:szCs w:val="24"/>
          <w:highlight w:val="white"/>
        </w:rPr>
        <w:t>otential lncRNA-based obesity syndrome treatment strategies</w:t>
      </w:r>
    </w:p>
    <w:p w14:paraId="00000034"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Obesity disorders can be caused by the deregulation of several lncRNAs, as previously mentioned. As a result, we propose lncRNA-based obesity syndrome therapy options, such as lncRNA interference, lncRNA-related protein inhibitors, and natural extracts, which have been utilized to prevent and treat obesity syndrome and play a role in gene silencing and protein degradation control.</w:t>
      </w:r>
    </w:p>
    <w:p w14:paraId="00000035"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LncRNA interference and lncRNA-related protein inhibitors might be effective treatments for obesity disorders. Sequence complementarity is the mechanism by which siRNAs silence lncRNAs, according to research. 97 Furthermore, siRNA encapsulated in lipid nanoparticles can be delivered efficiently and result in gene silencing to regulate systemic lipid homeostasis. 98 Rupaimoole et al.99 recently revealed that the lncRNA NRCP may be suppressed by nanoparticleencapsulated siRNA (nanosiRNA), a therapy technique that might modulate glycolysis, similar to what was found with glucose metabolism. ASOs that attach to target RNA and inhibit its expression have also been used to treat a variety of illnesses, including obesity and glucose intolerance. 23 Targeting the lncRNA APOA1AS with short ASOs increased APOA1 expression and altered lipid metabolism in human and monkey liver cells. a hundred AntisenselncRNA might potentially be used in conjunction with a protein to stabilize the mRNA. The lncRNA APOA4AS was shown to interact with HuR and modulate the expression of APOA4, therefore modulating plasma triglyceride and total cholesterol in ob/ob mice in mice with hereditary obesity and humans with fatty liver disease. 37 Despite the fact that ASlncRNAs and lncRNA-related protein inhibitors play a key role in obesity, the interaction between them and their targets needs to be better understood.</w:t>
      </w:r>
    </w:p>
    <w:p w14:paraId="00000036"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lastRenderedPageBreak/>
        <w:t>Furthermore, through modulating the expression of lncRNAs, several natural extracts may be able to modulate obesity disorders. Folic acid [(2S) 2 [(4 [(2amino4hydroxypteridin6yl) methyl] aminophenyl) formamido] pentanedioic acid, C19H19N7O6] supplementation, for example, was shown to alleviate obesity and regulate a set of energy metabolism related to lncRNA and mRNA,101 protecting obesity and insulin secretion in HFD induced obese mice. 102nd Salvia miltiorrhiza (also known as red sage, Chinese sage, tan shen, or danshen, a perennial plant in the genus Salvia, highly valued for its roots in traditional Chinese medicine) may serve as a reagent for treating obesity in HFD-induced obese mice by regulating a set of lncRNAs, according to a recent study. 102 Another study found that high stability fucoxanthin (C42H58O6, a xanthophyll found as an accessory pigment in the chloroplasts of brown marine algae and most other heterokonts) could reduce the expression of lncRNAs linked to lipid droplet accumulation in human adipose-derived stem cells, inhibiting palmitic acid-induced lipid accumulation. No. 104 Green tea (produced from Camellia sinensis leaves and buds) and its primary catechin components, especially the polyphenol EGCG, have also been shown to help prevent metabolic disorders including obesity and type 2 diabetes. 105 words The expression of lncRNAs was altered in EGCG-treated HepG2 cells, according to Liu et al.49. These findings indicate that judicious application of natural extracts might aid in the treatment of obesity syndrome.</w:t>
      </w:r>
    </w:p>
    <w:p w14:paraId="00000037"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Overall, nanosiRNA and ASOs have the ability to mute and degrade lncRNAs, which might be used to treat obesity diseases. Furthermore, protein inhibitors may work against lncRNA-interacting mRNA stabilizing proteins. Natural extracts, such as those contained in green tea (C. sinensis), may also be useful in reducing the symptoms of obesity syndrome. RNA silencing, on the other hand, can only address lncRNAs that are excessively overexpressed. As a result, new approaches to targeting downregulated lncRNAs would be necessary. While RNA silencing and natural extracts are intriguing treatment options, further research is needed to determine their efficacy in obesity diseases. Complementary diagnostic approaches based on obesity-related differential lncRNA are very essential in addition to the above techniques created based on lncRNA that may be employed in the treatment of obesity syndrome. Rapid diagnosis approaches based on serum lncRNA, for example, should be investigated further in obese individuals.</w:t>
      </w:r>
    </w:p>
    <w:p w14:paraId="00000038" w14:textId="0CBC9F60"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5 C</w:t>
      </w:r>
      <w:r w:rsidR="00EB4BD8" w:rsidRPr="00EB4BD8">
        <w:rPr>
          <w:rFonts w:asciiTheme="majorBidi" w:eastAsia="Times New Roman" w:hAnsiTheme="majorBidi" w:cstheme="majorBidi"/>
          <w:color w:val="333333"/>
          <w:sz w:val="24"/>
          <w:szCs w:val="24"/>
          <w:highlight w:val="white"/>
        </w:rPr>
        <w:t>onclusions</w:t>
      </w:r>
    </w:p>
    <w:p w14:paraId="00000039" w14:textId="25E68BD5"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Obesity syndromes, such as faulty lipid, cholesterol, and glucose metabolism, have been linked to lncRNAs in recent research, which might contribute to obesity or type 2 diabetes. RNA sequencing and microarray analysis are useful tools for identifying lncRNAs linked to obesity disorders. However, it's likely that many lncRNAs' critical involvement in the control of obesity disorders is yet undiscovered.</w:t>
      </w:r>
      <w:r w:rsidR="00EB4BD8">
        <w:rPr>
          <w:rFonts w:asciiTheme="majorBidi" w:eastAsia="Times New Roman" w:hAnsiTheme="majorBidi" w:cstheme="majorBidi"/>
          <w:color w:val="333333"/>
          <w:sz w:val="24"/>
          <w:szCs w:val="24"/>
          <w:highlight w:val="white"/>
        </w:rPr>
        <w:t xml:space="preserve"> 50-274</w:t>
      </w:r>
    </w:p>
    <w:p w14:paraId="0000003A"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lastRenderedPageBreak/>
        <w:t>Several lncRNAs interact with and control genes, proteins, and enzymes involved in the metabolism of lipids, cholesterol, and glucose. The number of lncRNAs discovered, however, is much less than the number of lncRNAs that characterize the function of lipid, cholesterol, and glucose metabolism in detail. This is owing in part to the complexity of lncRNAs' mechanism of action and the absence of good methods for predicting lncRNA functional characteristics. As a result, if technologies exist to discover and describe lncRNAs linked to obesity syndrome, it will reveal prospective therapeutic targets and encourage the development of new obesity treatment strategies, which are extremely beneficial. Furthermore, lncRNA has the ability to influence cholesterol buildup, production, intracellular transit, and excretion. The critical topic of whether lncRNAs influence cholesterol homeostasis by cholesterol esterification, deesterification, and/or absorption has remained unsolved till now. It's worth mentioning that lncRNAs have a low level of conservation among species. According to recent research, roughly 10% of lncRNAs are conserved between mammals and chickens, and 2% between mammals and fish,106 implying that conserved lncRNAs between species may play a key role in controlling obesity metabolism in animal evolution. However, despite their poor conservation between species, most nonconservative lncRNAs have the potential to be converted into nucleic acid medicines for the treatment of obesity syndrome in animal studies or for therapeutic benefits.</w:t>
      </w:r>
    </w:p>
    <w:p w14:paraId="0000003B" w14:textId="77777777" w:rsidR="00A52DA4" w:rsidRPr="00EB4BD8" w:rsidRDefault="00701850">
      <w:pPr>
        <w:keepNext/>
        <w:keepLines/>
        <w:spacing w:before="240" w:after="24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t>LncRNAs play a role in food intake, which is linked to obesity disorders. Most notably, lncRNA has been found to have a role in HFD-induced obesity disorders, which have intergenerational features. The complete decipherment of lncRNA in relation to metabolic regulation of obesity might pave the way for precision therapy and the prevention of obesity transmission from generation to generation. Furthermore, as stated in this study review, lncRNA-based therapeutic techniques might reduce genetic toxicity and perhaps treat obesity disorders. It's worth noting that some research has found that natural products have a lot of potential in the treatment of obesity syndrome and that more research is needed. Future studies might concentrate on developing effective and harmless techniques for introducing lncRNA interference compounds into obese people via natural products. As a result, identifying a specific mechanism for the influence of obesity on lncRNA expression can help us better understand the pathophysiology of obesity syndromes and promote the creation of improved tools for obesity syndrome prevention and treatment, particularly from food.</w:t>
      </w:r>
    </w:p>
    <w:p w14:paraId="0000003C" w14:textId="77777777" w:rsidR="00A52DA4" w:rsidRPr="00EB4BD8" w:rsidRDefault="00A52DA4">
      <w:pPr>
        <w:keepNext/>
        <w:keepLines/>
        <w:spacing w:after="100"/>
        <w:jc w:val="both"/>
        <w:rPr>
          <w:rFonts w:asciiTheme="majorBidi" w:eastAsia="Times New Roman" w:hAnsiTheme="majorBidi" w:cstheme="majorBidi"/>
          <w:color w:val="333333"/>
          <w:sz w:val="24"/>
          <w:szCs w:val="24"/>
          <w:highlight w:val="white"/>
        </w:rPr>
      </w:pPr>
    </w:p>
    <w:p w14:paraId="6F29A866" w14:textId="77777777" w:rsidR="00EE3013" w:rsidRDefault="00EE3013">
      <w:pPr>
        <w:rPr>
          <w:rFonts w:asciiTheme="majorBidi" w:eastAsia="Times New Roman" w:hAnsiTheme="majorBidi" w:cstheme="majorBidi"/>
          <w:color w:val="333333"/>
          <w:sz w:val="24"/>
          <w:szCs w:val="24"/>
          <w:highlight w:val="white"/>
        </w:rPr>
      </w:pPr>
      <w:r>
        <w:rPr>
          <w:rFonts w:asciiTheme="majorBidi" w:eastAsia="Times New Roman" w:hAnsiTheme="majorBidi" w:cstheme="majorBidi"/>
          <w:color w:val="333333"/>
          <w:sz w:val="24"/>
          <w:szCs w:val="24"/>
          <w:highlight w:val="white"/>
        </w:rPr>
        <w:br w:type="page"/>
      </w:r>
    </w:p>
    <w:p w14:paraId="0000003D" w14:textId="4053EFF7" w:rsidR="00A52DA4" w:rsidRPr="00EB4BD8" w:rsidRDefault="00701850">
      <w:pPr>
        <w:keepNext/>
        <w:keepLines/>
        <w:spacing w:after="100"/>
        <w:jc w:val="both"/>
        <w:rPr>
          <w:rFonts w:asciiTheme="majorBidi" w:eastAsia="Times New Roman" w:hAnsiTheme="majorBidi" w:cstheme="majorBidi"/>
          <w:color w:val="333333"/>
          <w:sz w:val="24"/>
          <w:szCs w:val="24"/>
          <w:highlight w:val="white"/>
        </w:rPr>
      </w:pPr>
      <w:r w:rsidRPr="00EB4BD8">
        <w:rPr>
          <w:rFonts w:asciiTheme="majorBidi" w:eastAsia="Times New Roman" w:hAnsiTheme="majorBidi" w:cstheme="majorBidi"/>
          <w:color w:val="333333"/>
          <w:sz w:val="24"/>
          <w:szCs w:val="24"/>
          <w:highlight w:val="white"/>
        </w:rPr>
        <w:lastRenderedPageBreak/>
        <w:t>References</w:t>
      </w:r>
    </w:p>
    <w:p w14:paraId="0000013C" w14:textId="59E19EE7" w:rsidR="00A52DA4" w:rsidRDefault="00A52DA4" w:rsidP="00EE3013">
      <w:pPr>
        <w:keepNext/>
        <w:keepLines/>
        <w:spacing w:after="100"/>
        <w:jc w:val="both"/>
        <w:rPr>
          <w:rFonts w:asciiTheme="majorBidi" w:eastAsia="Times New Roman" w:hAnsiTheme="majorBidi" w:cstheme="majorBidi"/>
          <w:color w:val="333333"/>
          <w:sz w:val="24"/>
          <w:szCs w:val="24"/>
          <w:highlight w:val="white"/>
        </w:rPr>
      </w:pPr>
    </w:p>
    <w:p w14:paraId="0E8C59C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bookmarkStart w:id="0" w:name="_Hlk135572354"/>
      <w:bookmarkStart w:id="1" w:name="_Hlk135373309"/>
      <w:bookmarkStart w:id="2" w:name="_Hlk140678451"/>
      <w:r w:rsidRPr="00367CD3">
        <w:rPr>
          <w:rFonts w:asciiTheme="majorBidi" w:eastAsia="Times New Roman" w:hAnsiTheme="majorBidi" w:cstheme="majorBidi"/>
          <w:color w:val="333333"/>
          <w:sz w:val="18"/>
          <w:szCs w:val="18"/>
          <w:highlight w:val="white"/>
        </w:rPr>
        <w:t>Abdelhamid, H. N., M. Dowaidar, M. Hällbrink, and Ü. Langel. 2019. Cell Penetrating Peptides-Hierarchical Porous Zeolitic Imidazolate Frameworks Nanoparticles: An Efficient Gene Delivery Platform. SSRN Electron. J. https://papers.ssrn.com/sol3/papers.cfm?abstract_id=3435895.</w:t>
      </w:r>
    </w:p>
    <w:p w14:paraId="395BEFCB"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Abdelhamid, Hani Nasser, Moataz Dowaidar, Mattias Hällbrink, and Ülo Langel. 2020. Gene Delivery Using Cell Penetrating Peptides-Zeolitic Imidazolate Frameworks. Microporous and Mesoporous Materials: The Official Journal of the International Zeolite Association 300 (June): 110173. https://doi.org/10.1016/j.micromeso.2020.110173.</w:t>
      </w:r>
    </w:p>
    <w:p w14:paraId="170B1EC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Abdelhamid, Hani Nasser, Moataz Dowaidar, and Ülo Langel. 2020. Carbonized Chitosan Encapsulated Hierarchical Porous Zeolitic Imidazolate Frameworks Nanoparticles for Gene Delivery. Microporous and Mesoporous Materials: The Official Journal of the International Zeolite Association 302 (August): 110200. https://doi.org/10.1016/j.micromeso.2020.110200.</w:t>
      </w:r>
    </w:p>
    <w:p w14:paraId="20A9996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Ahmad, Almeman, Khalaf Hassan, Rasool Semaab, Moataz Dowaidar, and Al Orainy Mohammad. 2013. The Impact of CYP2C19 Polymorphism on Platelet Reactivity for Guiding Clopidogrel Treatment and Cost Analysis. Journal of the Saudi Heart Association 25 (2): 107. https://doi.org/10.1016/j.jsha.2013.03.005.</w:t>
      </w:r>
    </w:p>
    <w:p w14:paraId="256FED93"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Algahsham, Abdullah, Ahmad A. A. Settin, Ahmad Ali, and Hisham Ismail. n.d. Association of MTHFR C677T and A1298C Polymorphisms with Hypertension among Saudi Subjects from Qassim Region. International Journal of Health Sciences 6 (1). Accessed June 18, 2021. http://ijhs.org.sa/index.php/journal/article/view/312.</w:t>
      </w:r>
    </w:p>
    <w:p w14:paraId="51F9E75C"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Algasham, Abdullah, Hisham Ismail, Moataz Dowaidar, and Ahmad A. Settin. 2011. Methylenetetrahydrofolate Reductase (MTHFR) and Angiotensin Converting Enzyme (ACE) Gene Polymorphisms among Saudi Population from Qassim Region. International Journal of Health Sciences 5 (2 Suppl 1): 3–4. https://www.ncbi.nlm.nih.gov/pubmed/23284552.</w:t>
      </w:r>
    </w:p>
    <w:p w14:paraId="7B2D8EC8"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Alghasham, Abdullah, Ahmad Ali, Hisham Ismail, Moataz Dowaidar, and Ahmad A. Settin. 2012. CYP2J2 -50 G/T and ADRB2 G46A Gene Polymorphisms in Saudi Subjects with Hypertension. Genetic Testing and Molecular Biomarkers 16 (9): 1027–31. https://doi.org/10.1089/gtmb.2012.0006.</w:t>
      </w:r>
    </w:p>
    <w:p w14:paraId="1DCB911C"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Alghasham, Abdullah, Ahmad A. Settin, Ahmad Ali, Moataz Dowaidar, and Hisham Ismail. 2012a. Association of MTHFR C677T and A1298C Gene Polymorphisms with Hypertension. International Journal of Health Sciences 6 (1): 3–11. https://doi.org/10.12816/0005968.</w:t>
      </w:r>
    </w:p>
    <w:p w14:paraId="258A9BC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2012b. Association of MTHFR C677T and A1298C Gene Polymorphisms with Hypertension. International Journal of Health Sciences 6 (1): 3–11. https://doi.org/10.12816/0005968.</w:t>
      </w:r>
    </w:p>
    <w:p w14:paraId="51876C33"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Ali, Ahmad, Abdullah Alghasham, Hisham Ismail, Moataz Dowaidar, and Ahmad Settin. 2013. ACE I/D and eNOS E298D Gene Polymorphisms in Saudi Subjects with Hypertension. Journal of the Renin-Angiotensin-Aldosterone System: JRAAS 14 (4): 348–53. https://doi.org/10.1177/1470320312459976.</w:t>
      </w:r>
    </w:p>
    <w:p w14:paraId="534EB5D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Ali, Ahmed A. A., Nahla M. Wassim, Moataz M. Dowaidar, and Ahmed E. Yaseen. 2013. Genetic Polymorphism of CYP2D6 Gene among Egyptian Hypertensive Cases. The Journal of Basic &amp; Applied Zoology 66 (4): 228–33. https://doi.org/10.1016/j.jobaz.2012.12.002.</w:t>
      </w:r>
    </w:p>
    <w:p w14:paraId="0DA4019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Ali, Ahmed A. A., Nahla M. Wassim, Moataz Dowaidar, and Ahmed E. Yaseen. 2013b. Association of eNOS (E298D) and CYP2J2 (−50G/T) Gene Polymorphisms with Hypertension among Egyptian Cases. The Journal of Basic &amp; Applied Zoology 66 (4): 234–41. https://doi.org/10.1016/j.jobaz.2012.12.001.</w:t>
      </w:r>
    </w:p>
    <w:p w14:paraId="67DD753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2013. Association of eNOS (E298D) and CYP2J2 (−50G/T) Gene Polymorphisms with Hypertension among Egyptian Cases. The Journal of Basic &amp; Applied Zoology 66 (4): 234–41. https://doi.org/10.1016/j.jobaz.2012.12.001.</w:t>
      </w:r>
    </w:p>
    <w:p w14:paraId="35E7834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Aljarallah, Badr, Ahmed Ali, Moataz Dowaidar, and Ahmad Settin. 2011. Prevalence of α-1-Antitrypsin Gene Mutations in Saudi Arabia. Saudi Journal of Gastroenterology: Official Journal of the Saudi Gastroenterology Association 17 (4): 256–60. https://doi.org/10.4103/1319-3767.82580.</w:t>
      </w:r>
    </w:p>
    <w:p w14:paraId="0DA3CD4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 J. Regberg, D. A. Dobchev, and T. Lehto. 2017. Refinement of a Quantitative Structure–activity Relationship Model for Prediction of Cell-Penetrating Peptide Based Transfection Systems. International Journal of. https://link.springer.com/content/pdf/10.1007/s10989-016-9542-8.pdf.</w:t>
      </w:r>
    </w:p>
    <w:p w14:paraId="6007D7A4"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Moataz. 2017. In-Silico Design of Peptide-Based Transfection Systems, in-Vitro Validation, and up-Take Pathways Investigation. Department of Neurochemistry, Stockholm University.</w:t>
      </w:r>
    </w:p>
    <w:p w14:paraId="27E89229"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2018. Chimeric Gene Delivery Vectors : Design, Synthesis, and Mechanisms from Transcriptomics Analysis. Department of Biochemistry and Biophysics, Stockholm University. https://www.diva-portal.org/smash/record.jsf?pid=diva2:1242000.</w:t>
      </w:r>
    </w:p>
    <w:p w14:paraId="203BF1BC"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Cardiometabolic Conditions Could Be Related to Vitamin D Deficiency. The Genetic Determinants That Affect Vitamin D Pathways May Be Solved with Nanomedicines. https://doi.org/10.31219/osf.io/nqewr.</w:t>
      </w:r>
    </w:p>
    <w:p w14:paraId="36B56DAC"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Moataz Dowaidar. Different Insulin Resistance and Inflammation Pathways Are Influenced by Genetic Factors in Metabolic Syndrome. Gene Therapy Enables Early Recognition and Treatment of the Genetic Factors. https://doi.org/10.31219/osf.io/gqwj2.</w:t>
      </w:r>
    </w:p>
    <w:p w14:paraId="693D380C"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Has Been Shown to Be Valuable for Understanding Complex Disease Pathophysiologies. The Medical Profession as a Whole Will Have to Invest in Specialized Investigations. https://doi.org/10.31219/osf.io/8fg9y.</w:t>
      </w:r>
    </w:p>
    <w:p w14:paraId="6C9C190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Genetic and Epigenetic Discoveries Hold Promising Avenues in Cardiovascular Prevention and Management (CVDs). Key Nucleic Acids Are Being Researched and Developed for Medicinal Use. https://doi.org/10.31219/osf.io/hk7pe.</w:t>
      </w:r>
    </w:p>
    <w:p w14:paraId="3B78CDE7"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Genome Editing Can Now Be Carried out in an Isogenic Setting. It Can Be Effectively Transmitted to Somatic Tissues in Mice, but Not to Humans. Despite These Doubts, CRIS Has Great Potential as a Medical Promise. https://doi.org/10.31219/osf.io/4rn3v.</w:t>
      </w:r>
    </w:p>
    <w:p w14:paraId="247FDEC7"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Genome-Wide Association Experiments Have Uncovered a Slew of Cardiometabolic Trait-Associated Variants. This Information Can Be Useful in the Implementation of New Diagnostic and Treatment Strategies. https://doi.org/10.31219/osf.io/4vws8.</w:t>
      </w:r>
    </w:p>
    <w:p w14:paraId="5892332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Genome-Wide Association Studies (GWAS) Have Revolutionized Our View of Human Health and Disease Genetics and Offered Novel Gene Therapy Targets. https://doi.org/10.31219/osf.io/rvm3z.</w:t>
      </w:r>
    </w:p>
    <w:p w14:paraId="7BC2896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Metabolic Syndrome_ the Presence of Inflammatory Mechanisms in Abdominal Obesity Is Undeniable, Gene Therapy Using Nanoparticles and Adenoviruses Technologies Is Promising. https://doi.org/10.31219/osf.io/2j5xt.</w:t>
      </w:r>
    </w:p>
    <w:p w14:paraId="711F4EB9"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miRNAs May Be Used as Preventive Agents for Metabolic Diseases in the near Future. Understanding the Interplay between pro-Adipogenic_ and Anti-Ad Pipogenic miRNA’ Could Lead to New Biomarkers. https://doi.org/10.31219/osf.io/3dr8c.</w:t>
      </w:r>
    </w:p>
    <w:p w14:paraId="591C028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Nanomedicine Has Elegantly Attempted to Cure Multiple Gene Polymorphisms and Mutations in Cardiovascular Diseases Using Gene Therapy Techniques. https://doi.org/10.31219/osf.io/d3x8g.</w:t>
      </w:r>
    </w:p>
    <w:p w14:paraId="22999723"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Thrombosis Pathways and Therapeutic Strategies. https://doi.org/10.31219/osf.io/57vyz.</w:t>
      </w:r>
    </w:p>
    <w:p w14:paraId="7947E5F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What Genomic Research Has Told Us about the Obesity and Its Possible Gene Therapy Targets. https://doi.org/10.31219/osf.io/ym49s.</w:t>
      </w:r>
    </w:p>
    <w:p w14:paraId="564F17A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Exosomes Can Make the Use of Circulating miRNA as a Biomarker More Feasible. The Aim of Gene Therapy Should Be to Learn Everything There Is to Know about miRNA Activity. https://doi.org/10.31219/osf.io/edkua.</w:t>
      </w:r>
    </w:p>
    <w:p w14:paraId="334BBF3B"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Anti-Sense Pathways Have Been Generated Using siRNA. The Liver and Other Often Used Organs Will Now Be Targeted. https://doi.org/10.31219/osf.io/m6xvp.</w:t>
      </w:r>
    </w:p>
    <w:p w14:paraId="7BF4188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CrisPR/CRIS Systems Are Highly Effective and Useful for Genomic Manipulation. Despite This, Cardiac Treatment Remains Difficult due to Existing Genome Editing and Delivery Processes. https://doi.org/10.31219/osf.io/3nwzd.</w:t>
      </w:r>
    </w:p>
    <w:p w14:paraId="5E5E6BB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Discoveries in Gene-Environment Interactions That Influence CVD, Lipid Traits, Obesity, Diabetes, and Hypertension Appear to Be Able to Influence Gene Therapy. https://doi.org/10.31219/osf.io/cr5af.</w:t>
      </w:r>
    </w:p>
    <w:p w14:paraId="6757B9A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Genome Editing’s Potential Target Diseases in the Cardiovascular Field. https://doi.org/10.31219/osf.io/gc23p.</w:t>
      </w:r>
    </w:p>
    <w:p w14:paraId="2B7B0C66"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Key Genetic Factors in the Metabolic Syndrome Predisposition Which May Be a Therapeutic Options by Gene Therapy. https://doi.org/10.31219/osf.io/f38sk.</w:t>
      </w:r>
    </w:p>
    <w:p w14:paraId="2A9763C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miRNA Can Be a Part of Both the Onset and Cure of Coronary Heart Disease. https://doi.org/10.31219/osf.io/teqh8.</w:t>
      </w:r>
    </w:p>
    <w:p w14:paraId="0CDB57A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Preclinical Studies and Clinical Trials Have Sparked Interest in Certain Biological Medications for Atherosclerotic Coronary Heart Disease. https://doi.org/10.31219/osf.io/ts8mh.</w:t>
      </w:r>
    </w:p>
    <w:p w14:paraId="55BF834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Researchers Would Be Able to Develop a Detailed Picture of Chromatin in Disease, Which Would Be Useful for Gene Therapy. https://doi.org/10.31219/osf.io/m9z48.</w:t>
      </w:r>
    </w:p>
    <w:p w14:paraId="2F1B34AC"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Cardiometabolic-Based Chronic Disease Model Lays the Foundations for Accurate, Evidence-Based Preventive Targeting and Gene Therapy. https://doi.org/10.31219/osf.io/up9z4.</w:t>
      </w:r>
    </w:p>
    <w:p w14:paraId="41C07F14"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2D MOFs Have Unique Features for Biological Applications. They Can Be Utilized for Gene Therapy, Bioimaging, Biosensing, Photodynamic Therapy, and Tissue Engineering. https://doi.org/10.31219/osf.io/4q9ct.</w:t>
      </w:r>
    </w:p>
    <w:p w14:paraId="10D7FEE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3D Bioprinting for Enhanced Vascularization, and Gene Editing to Provide a More Favorable Immunological Response Are Just Some of the Potential Uses of Carbon Materials. https://doi.org/10.31219/osf.io/v2xy8.</w:t>
      </w:r>
    </w:p>
    <w:p w14:paraId="4959C4B2"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Anderson–Fabry Disease Can Be a Target for Gene Therapy. https://doi.org/10.31219/osf.io/tcgka.</w:t>
      </w:r>
    </w:p>
    <w:p w14:paraId="13DBBB08"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Antisense Oligonucleotides (ASOs) and CRISPR Systems Are Promising Gene Therapy Treatments for Alzheimer’s Disease. https://doi.org/10.31219/osf.io/ws796.</w:t>
      </w:r>
    </w:p>
    <w:p w14:paraId="6FA2D7A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Moataz Dowaidar. Any Alteration in PPAR Genomic Sequence, Splicing Pattern, or PTM Is Likely to Cause Major Alterations in Its Function. In Personalized Medicine, Such Data Becomes More Significant in Gene Therapy Design. https://doi.org/10.31219/osf.io/y8n79.</w:t>
      </w:r>
    </w:p>
    <w:p w14:paraId="55371E6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Applying Genome-Wide Association Technology to Brain Diseases Enables the Discovery of lncRNas Targets for Gene Therapy. https://doi.org/10.31219/osf.io/hm4eu.</w:t>
      </w:r>
    </w:p>
    <w:p w14:paraId="3E95D98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Autophagy and Proteostasis Adjustment Role in Normal Brain Function and Neurodegenerative Disorders. https://doi.org/10.31219/osf.io/m4yra.</w:t>
      </w:r>
    </w:p>
    <w:p w14:paraId="15C75C9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Basal Ganglia-Cerebellar and Brainstem-Cerebellar Circuits May Interact Improperly with Dystonia. Linking Network Disruptions to Cell Failure Will Enable Understanding Pathophysiology and Designing Gene Therapy Methods. https://doi.org/10.31219/osf.io/8w35s.</w:t>
      </w:r>
    </w:p>
    <w:p w14:paraId="1C382EC7"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Blood Products Are Used to Treat a Multitude of Diseases, so the Blood Transfusion System Needs to Be Enhanced. CRISPR/Cas9 Has Made It Viable to Make HLA Class I-Deleted Blood Products to Avoid Rejection. https://doi.org/10.31219/osf.io/egr3n.</w:t>
      </w:r>
    </w:p>
    <w:p w14:paraId="32674FE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Calixarenes (CAs) Are Promising in Biomedicine, Biosensing, Bioimaging and Gene Delivery Systems. https://doi.org/10.31219/osf.io/n9vjy.</w:t>
      </w:r>
    </w:p>
    <w:p w14:paraId="40720373"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CAR T Cell Research Has Quickly Advanced from the Bench to the Clinic and Back. The Results of the Trials Have Revealed New Mechanisms. https://doi.org/10.31219/osf.io/f9wm7.</w:t>
      </w:r>
    </w:p>
    <w:p w14:paraId="70FB3023"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CAR T-Cell Treatment Remains Clinically Challenging. Therapeutic Strategies May Be Designed to Cut off Immunotherapy Utilizing Safety Switches. https://doi.org/10.31219/osf.io/s7x4y.</w:t>
      </w:r>
    </w:p>
    <w:p w14:paraId="6F7294F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Central Nervous System Gene Therapy Has Entered a New Development Paradigm. New Techniques Are Being Employed for a Wide Range of Illness Indications and Pathways. https://doi.org/10.31219/osf.io/j49wz.</w:t>
      </w:r>
    </w:p>
    <w:p w14:paraId="19CAABD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Chronic Obstructive Pulmonary Condition (COPD) Is a Prevalent, Preventable, and Curable Illness with Persistent Respiratory Symptoms and Airflow Limitation. https://doi.org/10.31219/osf.io/vkdut.</w:t>
      </w:r>
    </w:p>
    <w:p w14:paraId="0F30242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CircRNAs Have the Potential to Aid in the Diagnosis and Treatment of Lipid Diseases. https://doi.org/10.31219/osf.io/y3hp4.</w:t>
      </w:r>
    </w:p>
    <w:p w14:paraId="44E821CB"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Clinical Symptoms, Underlying Pathogenesis, and the Prospect of Tailored Therapies Have All Benefited from Genetic Discoveries in Parkinson’s Disease. https://doi.org/10.31219/osf.io/pdzqb.</w:t>
      </w:r>
    </w:p>
    <w:p w14:paraId="18654DF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Code Distribution of siRNA for Cancer Genes such as p53 and Bcl2 Family Genes Has Demonstrated Efficacy in Killing Cancer Cells. Nanoparticles Can Produce a Surface Where Numerous Drugs May Be Coupled, Allowing Combinatory Treatment. https://doi.org/10.31219/osf.io/hvcse.</w:t>
      </w:r>
    </w:p>
    <w:p w14:paraId="016D3283"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Cognitive Deficiencies Pathophysiology Are Mainly an Unknown Area. Curing the Neurological Conditions Could Be an Objective for Gene Therapy. https://doi.org/10.31219/osf.io/23xf8.</w:t>
      </w:r>
    </w:p>
    <w:p w14:paraId="55377207"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CRISPR-Based Gene Editing Is Presently Being Tried in Many Clinical Trials. https://doi.org/10.31219/osf.io/qbngx.</w:t>
      </w:r>
    </w:p>
    <w:p w14:paraId="4B1E575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CRISPR–Cas9 Gene Editing as a Tool for Developing Immunotherapy for Cancer. https://doi.org/10.31219/osf.io/dvr4t.</w:t>
      </w:r>
    </w:p>
    <w:p w14:paraId="6609F0B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CRISPR/Cas System Research Has Advanced Significantly in Biological sciences.There Are Still Many Challenges to Effective Delivery before Efficient Gene Editing May Be Achieved. https://doi.org/10.31219/osf.io/mc26v.</w:t>
      </w:r>
    </w:p>
    <w:p w14:paraId="266447D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CRISPR/Cas9 Genome Editing Technology Applications in Biological and Biomedical Fields. https://doi.org/10.31219/osf.io/ctqbe.</w:t>
      </w:r>
    </w:p>
    <w:p w14:paraId="7025C9A4"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Critical Limb Ischemia Potential Gene Therapy Strategies. https://doi.org/10.31219/osf.io/aqcpt.</w:t>
      </w:r>
    </w:p>
    <w:p w14:paraId="74B5890B"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Deep Learning Algorithms for scRNAseq Analysis Have Yielded Positive Results, but There Are Still More Promising Ways That Need to Be Developed for Regenerative Medicine. https://doi.org/10.31219/osf.io/dh2pt.</w:t>
      </w:r>
    </w:p>
    <w:p w14:paraId="73575D8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Depression May Be Epigenetically Controlled by miRNAs Making It a Diagnostic or Gene Therapy Target. https://doi.org/10.31219/osf.io/fw65m.</w:t>
      </w:r>
    </w:p>
    <w:p w14:paraId="79AD2CC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Dermatophytes: Role of Host Genetics in the Development of Illness. https://doi.org/10.31219/osf.io/mf3bu.</w:t>
      </w:r>
    </w:p>
    <w:p w14:paraId="039CF6C4"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Developments in Biomedical Technology Will Increase the Importance of mRNA in Treating Brain Tumors, as Well as Other Malignancies. https://doi.org/10.31219/osf.io/tvj5x.</w:t>
      </w:r>
    </w:p>
    <w:p w14:paraId="37B37088"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Downstream Processing of Virus, Virus-like Particles and Nanoparticulate Inclusion Bodies to Be Used as Gene Delivery Vehicles for Human Gene Therapy Applications. https://doi.org/10.31219/osf.io/exa3q.</w:t>
      </w:r>
    </w:p>
    <w:p w14:paraId="79F0D523"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Dravet Syndrome Is a Severe Developmental and Epileptic Encephalopathy. Fenfluramine and Gene Therapy Are Promising. https://doi.org/10.31219/osf.io/zvq8y.</w:t>
      </w:r>
    </w:p>
    <w:p w14:paraId="272DA7B6"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Exosomes’ Function in Cardiovascular Protection and Neovascularization Implies That They Might Be Used to Treat Ischemia and Atherosclerotic Cardiovascular Diseases. https://doi.org/10.31219/osf.io/2h8c7.</w:t>
      </w:r>
    </w:p>
    <w:p w14:paraId="1D87BEAC"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Moataz Dowaidar. Ferropsis Cell Death Can Cause Complications That May Be Difficult to Detect and Quantify: Autophagy Role and Possible Therapeutics. https://doi.org/10.31219/osf.io/zd2jg.</w:t>
      </w:r>
    </w:p>
    <w:p w14:paraId="7BAA7FE2"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Following the Discovery of Anti-MDA5 Ab, the Clinical Understanding of Dermatomyositis Has Been Improved. https://doi.org/10.31219/osf.io/j2t5f.</w:t>
      </w:r>
    </w:p>
    <w:p w14:paraId="56F8F22B"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For the Treatment of Cystic Fibrosis, RNA Medicines, Gene Transfer Therapies, and Gene Editing Treatments Have Potential. https://doi.org/10.31219/osf.io/6afzm.</w:t>
      </w:r>
    </w:p>
    <w:p w14:paraId="276F393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Frontotemporal Dementia Is a Complex Disorder with a Wide Spectrum of Clinical Symptoms. Personalized Medicine and Gene Therapy Are Promising Strategies for Treatment. https://doi.org/10.31219/osf.io/gh4x7.</w:t>
      </w:r>
    </w:p>
    <w:p w14:paraId="70F27B12"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G6PD Deficiency Is a Common Genetic Trait That Can Protect Heterozygotes from Dying from Malaria. https://doi.org/10.31219/osf.io/g2kza.</w:t>
      </w:r>
    </w:p>
    <w:p w14:paraId="2168530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Gastric Cancer Is the World’s Second-Largest Death Cause. Peptides Can Be Used to Deliver Radiation or Other Fatal Chemicals to Tumors. https://doi.org/10.31219/osf.io/eu5mj.</w:t>
      </w:r>
    </w:p>
    <w:p w14:paraId="3A47211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Doping May Be Possible for Lifestyle Enhancement. https://doi.org/10.31219/osf.io/8xkm5.</w:t>
      </w:r>
    </w:p>
    <w:p w14:paraId="55CE5E5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Expression Assays Gather Evidence That They Can Provide Useful Therapeutic Information in Young Women. https://doi.org/10.31219/osf.io/d372s.</w:t>
      </w:r>
    </w:p>
    <w:p w14:paraId="6906967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and Genome-Editing Treatments That Can Protect Patients from Coronary Artery Disease Are under Investigation. https://doi.org/10.31219/osf.io/xqgf8.</w:t>
      </w:r>
    </w:p>
    <w:p w14:paraId="3CC6F8B2"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Approaches for Hemophilia A and B. https://doi.org/10.31219/osf.io/ufc4g.</w:t>
      </w:r>
    </w:p>
    <w:p w14:paraId="383F979C"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for the Central Nervous System Has Been Initiated. This Expansion Will Require Some Degree of Simplicity in Delivery Processes. https://doi.org/10.31219/osf.io/hdy5q.</w:t>
      </w:r>
    </w:p>
    <w:p w14:paraId="7AA8186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for the Treatment of Spinal Muscular Atrophy. https://doi.org/10.31219/osf.io/kpz5f.</w:t>
      </w:r>
    </w:p>
    <w:p w14:paraId="1DBE2F38"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May Benefit Inherited Ichthyoses with Concurrent Fungal Infections and Severe Ich Thyroidoses. https://doi.org/10.31219/osf.io/zxmun.</w:t>
      </w:r>
    </w:p>
    <w:p w14:paraId="2426498B"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May Target APOE for Alzheimer’s Disease. https://doi.org/10.31219/osf.io/3y52k.</w:t>
      </w:r>
    </w:p>
    <w:p w14:paraId="6BE016E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Promises Accurate, Targeted Administration and Overcoming Drug Resistance in Diverse Cancer Cells. https://doi.org/10.31219/osf.io/j34n6.</w:t>
      </w:r>
    </w:p>
    <w:p w14:paraId="0EDCCCE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Targeting FVIII, FIX for Haemophilia Treatment. https://doi.org/10.31219/osf.io/qcbwp.</w:t>
      </w:r>
    </w:p>
    <w:p w14:paraId="47AE94E9"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Targeting PRMT5 May Be Useful in Immunotherapy. https://doi.org/10.31219/osf.io/gkw8j.</w:t>
      </w:r>
    </w:p>
    <w:p w14:paraId="0F938F4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Using Extracellular Vesicles Loaded with miRNA Derived from Bone Marrow Mesenchymal Stem Cells Is a Cell-Free Medication Delivery Method Used in a Variety of Diseases. https://doi.org/10.31219/osf.io/3znvw.</w:t>
      </w:r>
    </w:p>
    <w:p w14:paraId="2AED62F4"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Genetic Engineered MSCs Are Attractive Possibilities for Regenerative Stem-Cell Therapy to Treat Several Liver Diseases. https://doi.org/10.31219/osf.io/4cfrd.</w:t>
      </w:r>
    </w:p>
    <w:p w14:paraId="6FF9E648"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Genetic Variants Shared between Alzheimer’s Disease and Parkinson's Disease Have Been Discovered in Blood and Brain Samples. Somatic Mosaicism Might Function as an Accelerator. https://doi.org/10.31219/osf.io/tr58n.</w:t>
      </w:r>
    </w:p>
    <w:p w14:paraId="61044879"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Genome-Wide Association Studies Promise to Discover Novel Indicators of Hypertension. Endothelin-Related SNPs Are Currently in Clinical Trials. https://doi.org/10.31219/osf.io/2n4wa.</w:t>
      </w:r>
    </w:p>
    <w:p w14:paraId="7C5D2E9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Gingival and Intraventricular Haemorrhages Are Severe Newborn Diseases Causing Damage to White Matter and Neurological Dysfunction in Surviving Newborns Who Can Benefit from Gene Therapy. https://doi.org/10.31219/osf.io/qb84p.</w:t>
      </w:r>
    </w:p>
    <w:p w14:paraId="1DD10829"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Glioblastoma Therapeutic Approaches Were Established Utilizing Contemporary Discoveries in Delivering Medicines to the Brain as Smart Nanoparticles for Focused Therapy. https://doi.org/10.31219/osf.io/db4f6.</w:t>
      </w:r>
    </w:p>
    <w:p w14:paraId="7732D473"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Haemophilia Gene Therapy Is in Clinical Studies, Making Continuous Safety and Efficacy Testing a Key Emphasis. https://doi.org/10.31219/osf.io/sa8ny.</w:t>
      </w:r>
    </w:p>
    <w:p w14:paraId="740D2B8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Hematopoietic Stem Cell Transplantation and Gene Therapy Are the Sole Treatments for Sickle Cell Disease and Other Hemoglobinopathies. https://doi.org/10.31219/osf.io/v8xqc.</w:t>
      </w:r>
    </w:p>
    <w:p w14:paraId="384B9550"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Huntington’s Disease Gene Therapy and Nanomedicines May Be Available Shortly. https://doi.org/10.31219/osf.io/rxvgd.</w:t>
      </w:r>
    </w:p>
    <w:p w14:paraId="46ABEB9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Hybrid Gene Therapy Designed to Fully Understand the Underlying Molecular Cancer Process May Be a Feasible Option. https://doi.org/10.31219/osf.io/ajyfd.</w:t>
      </w:r>
    </w:p>
    <w:p w14:paraId="4C7ABFCC"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Hydrogels Are Promising Considering Their Incredible Capacity to Modify, Encapsulate and Co-Deliver Medicinal Compounds, Cells, Biomolecules, and Nanomaterials. https://doi.org/10.31219/osf.io/px3qy.</w:t>
      </w:r>
    </w:p>
    <w:p w14:paraId="1C1CE62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Immune Evasion Is Linked to Histone Variation Malfunction. Gene Therapy Could Provide Tools for Targeting Histone Variant Deposition as a Critical Part of Its Pharmacology. https://doi.org/10.31219/osf.io/kjm76.</w:t>
      </w:r>
    </w:p>
    <w:p w14:paraId="1BB729DC"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Moataz Dowaidar. Implementing the Human Artificial Chromosome Gene Therapy Platform Remains Challenging, but Continuous Animal Model Research Will Advance the Platform Closer to Clinical Trials. https://doi.org/10.31219/osf.io/a53f7.</w:t>
      </w:r>
    </w:p>
    <w:p w14:paraId="5CCDAAC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Inflammatory Breast Cancer Remains the Most Aggressive Form of Breast Cancer. A Multimodality Therapeutic Plan Has Shown Improved Survival Results. https://doi.org/10.31219/osf.io/cr935.</w:t>
      </w:r>
    </w:p>
    <w:p w14:paraId="591D3D34"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Inherited Immunohematological and Metabolic Diseases Have the Potential to Improve Significantly, or Be Cured, Using Haematopoietic Stem Cell Transplantation Gene Therapy. https://doi.org/10.31219/osf.io/ukbnm.</w:t>
      </w:r>
    </w:p>
    <w:p w14:paraId="51C1D479"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Insulin and IGF-1 Receptors Mutations Can Lead to Targets for Gene Therapy in Diabetes, Obesity, and Metabolic Syndrome. https://doi.org/10.31219/osf.io/s86x5.</w:t>
      </w:r>
    </w:p>
    <w:p w14:paraId="140104F8"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Integrating High-Throughput Genetics and Neuroimaging Technologies Promises Greater Information on Neurobiological Anomalies in Neurodegenerative Diseases. https://doi.org/10.31219/osf.io/hpgyz.</w:t>
      </w:r>
    </w:p>
    <w:p w14:paraId="06285DD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Intravitreal and Subretinal Injections Currently Deliver Most Gene Therapy, Including siRNA for Eye Illnesses. Non-Viral Vectors May Provide Targeting. https://doi.org/10.31219/osf.io/rjkhy.</w:t>
      </w:r>
    </w:p>
    <w:p w14:paraId="55A58A80"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LncRNA Regulating Reprogramming Glucose Metabolism Has Become One of the Most Tempting Antineoplastic Targets for Gene Therapy. https://doi.org/10.31219/osf.io/hqma5.</w:t>
      </w:r>
    </w:p>
    <w:p w14:paraId="4ABF3893"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lncRNAs Are Upregulated and Downregulated in OS Cells. Angiogenesis, Metastasis, Cell Signaling, Autophagy, and Death Are among Biological Processes That RNAs Play a Role in. https://doi.org/10.31219/osf.io/48n7q.</w:t>
      </w:r>
    </w:p>
    <w:p w14:paraId="24EA44B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Magnetic Nanoparticles Are Widely Used in Drug Delivery, Imaging, Diagnosis, and Targeting. It Has Promises for the Treatment of Inflammatory Disorders such as Rheumatoid Arthritis. https://doi.org/10.31219/osf.io/p2gme.</w:t>
      </w:r>
    </w:p>
    <w:p w14:paraId="4A5A9D68"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Many miRNAs Participate in Inflammatory Regulation and Bone Metabolism. Overexpression of miR21 and miR155 Releases Proinflammatory Cytokines. https://doi.org/10.31219/osf.io/2wuvp.</w:t>
      </w:r>
    </w:p>
    <w:p w14:paraId="11558DD4"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MiR490’s Diagnostic Capacity Was Demonstrated in Various Cancer Kinds and Diseases, Adding to Its Clinical Value. https://doi.org/10.31219/osf.io/wysre.</w:t>
      </w:r>
    </w:p>
    <w:p w14:paraId="1A2EB8D6"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miRNAs Have an Impact on Xeno-Infectious Diseases by Influencing Host And/or Infection Factors. https://doi.org/10.31219/osf.io/7qewx.</w:t>
      </w:r>
    </w:p>
    <w:p w14:paraId="0D75B3C6"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Mutations in MED12 Lead to Mental Retardation, Including Opitz–Kaveggia Syndrome, Ohdo Syndrome, Lujan–Fryns Syndrome, and Psychosis. It’s a Target for Gene Therapy. https://doi.org/10.31219/osf.io/cyns8.</w:t>
      </w:r>
    </w:p>
    <w:p w14:paraId="777E7816"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Nanocarriers Can Be Used to Control the Activity of Genome Editing in a Spatiotemporal Way by Using Stimulusresponsive Nanocarriers. https://doi.org/10.31219/osf.io/nua89.</w:t>
      </w:r>
    </w:p>
    <w:p w14:paraId="49D1D6E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Nanomaterials Were Formed into Various Shapes, with Functionalization Aimed at Various Internalization Processes. Their Nanoscale Size Allows Drugs to Reach Cells or Extracellular Environments. https://doi.org/10.31219/osf.io/p2ajv.</w:t>
      </w:r>
    </w:p>
    <w:p w14:paraId="122F5AE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Nanomedicine Is Offering Promising Strategies for Tumor Blockade Treatment. https://doi.org/10.31219/osf.io/yzxuq.</w:t>
      </w:r>
    </w:p>
    <w:p w14:paraId="3DBE2B3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Network Medicine Might Lead to New Treatments for Dyslipidemia. It Will Be a Challenging Method to Implement in a Clinical Context. https://doi.org/10.31219/osf.io/nksbw.</w:t>
      </w:r>
    </w:p>
    <w:p w14:paraId="438D2078"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Neuroinflammation Caused by Activated Microglia and Astrocytes Can Contribute to the Progression of Pathogenic Damage to Substantia Nigra Neurons, Playing a Role in Parkinson’s Disease Progression. https://doi.org/10.31219/osf.io/ac896.</w:t>
      </w:r>
    </w:p>
    <w:p w14:paraId="1823719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Neurologists Rarely Perform Genetic Testing for Parkinson’s Disease. Evidence Suggests That Many Patients with Major Genetic Variants Go Undiagnosed. https://doi.org/10.31219/osf.io/ykpb2.</w:t>
      </w:r>
    </w:p>
    <w:p w14:paraId="22CA5B98"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Neuronal Intranuclear Hyaline Inclusion Disease Is a Neurodegenerative Condition Which Can Be a Target for Gene Therapy. https://doi.org/10.31219/osf.io/upgqd.</w:t>
      </w:r>
    </w:p>
    <w:p w14:paraId="48289B9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New Therapies Aim at Restoring the Molecular, Morphological, and Functional Integrity of Parkinson’s Specific Brain Circuits. https://doi.org/10.31219/osf.io/dvyxc.</w:t>
      </w:r>
    </w:p>
    <w:p w14:paraId="58E6446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Not All lncMIRHGs Are ‘Junk Transcripts,’. LncM IRHG Loci May Make Both Functional miRNAs and lncRNAs, Which Can Work Together or Separately. https://doi.org/10.31219/osf.io/a567w.</w:t>
      </w:r>
    </w:p>
    <w:p w14:paraId="14DBEF8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Nrf2 Signaling Pathways Are Part of a Wider Network of Signaling Pathways Regulating Thymoquinone Therapeutic Actions Which Need Innovative Formulations and Delivery Methods. https://doi.org/10.31219/osf.io/u2fa7.</w:t>
      </w:r>
    </w:p>
    <w:p w14:paraId="547FDC89"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Omics Should Be Integrated with Genomics to Uncover Molecular Networks and Tissue and Single-Cell Epigenetic Changes. With These Findings, Targeted Pseudoexfoliation Syndrome and Glaucoma Gene Therapy Procedures May Be Viable. https://doi.org/10.31219/osf.io/48fj5.</w:t>
      </w:r>
    </w:p>
    <w:p w14:paraId="483C683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Ophthalmic Gene and Cell Therapies. https://doi.org/10.31219/osf.io/n84m9.</w:t>
      </w:r>
    </w:p>
    <w:p w14:paraId="50769D6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Moataz Dowaidar. P21 Is a Flexible, Multi-Functional Protein. It Governs Various Tumor Cell Activities, Including Autophagy. p21 Is a Possible Radiotherapy Target. https://doi.org/10.31219/osf.io/ydkca.</w:t>
      </w:r>
    </w:p>
    <w:p w14:paraId="71827F8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Parkinson’s Disease Simulating Complexity via Improving the Identification of Significant Genetic Alterations and Environmental Contaminants Should Be a Priority. https://doi.org/10.31219/osf.io/pmcu9.</w:t>
      </w:r>
    </w:p>
    <w:p w14:paraId="3663D7A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Patient-Specific Microphysiology Systems Are Likely to Become a Crucial Aspect of Translational Research and Precision Medicine. https://doi.org/10.31219/osf.io/bc8fr.</w:t>
      </w:r>
    </w:p>
    <w:p w14:paraId="2F541720"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Patients with PMD Who Are Thoroughly Screened by Genomic Medicine Have a Considerable Chance of Benefiting Greatly from Whole-Genome Sequencing. https://doi.org/10.31219/osf.io/dajft.</w:t>
      </w:r>
    </w:p>
    <w:p w14:paraId="4808061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Polydopamine Nanoparticles’ Activity and Long-Term Stability Should Be Fully Studied for Gene Therapy Applications. https://doi.org/10.31219/osf.io/x4nej.</w:t>
      </w:r>
    </w:p>
    <w:p w14:paraId="76DE3D33"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Potential Therapeutics for Primary Mitochondrial Disorders. https://doi.org/10.31219/osf.io/6pz5k.</w:t>
      </w:r>
    </w:p>
    <w:p w14:paraId="46DECB1B"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Potentials of Medicinal Nanostructured Diamond Particles and Coatings. https://doi.org/10.31219/osf.io/h68xz.</w:t>
      </w:r>
    </w:p>
    <w:p w14:paraId="6C22B52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Preclinical Investigations Revealed Possibilities for Salmonella Tumor Treatment. Bacteria Can Also Be Coupled to Nanomaterials Enabling Drug-Loading, Photocatalytic And/or Magnetic Properties, Using the Bacteria’s Net Negative Charge. https://doi.org/10.31219/osf.io/embqk.</w:t>
      </w:r>
    </w:p>
    <w:p w14:paraId="0A8BA987"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Research into P2X Purinergic Receptor Function in Tumor Growth Has Made Substantial Progress with Potential Gene Therapy Targeting. https://doi.org/10.31219/osf.io/r34fs.</w:t>
      </w:r>
    </w:p>
    <w:p w14:paraId="2AF3614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RNA Therapies Hold Great Promise for Treating Cancer. High-Throughput Screening Techniques Have Facilitated the Development of RNA Treatments. https://doi.org/10.31219/osf.io/9vxrb.</w:t>
      </w:r>
    </w:p>
    <w:p w14:paraId="55E8CF3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RNAi Treatment Has Been Shown to Successfully Modify Human-Related Target Gene Expression, Including Cancer. It Has the Capacity to Control Non-Standard Oncogenes, such as Oncogenic lncRNAs. https://doi.org/10.31219/osf.io/bwqep.</w:t>
      </w:r>
    </w:p>
    <w:p w14:paraId="5F616D2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RNAs Hold a Lot of Potential When It Comes to Druggable Molecular Targets. https://doi.org/10.31219/osf.io/2dtxg.</w:t>
      </w:r>
    </w:p>
    <w:p w14:paraId="37A66A82"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Shadow Enhancers’ Objective Seems to Be to Establish Robust Growth Patterns Independent of Genetic or Environmental Stress. https://doi.org/10.31219/osf.io/qfnkp.</w:t>
      </w:r>
    </w:p>
    <w:p w14:paraId="0650CD2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Sickle Cell Disease Hematopoietic Stem Cell Gene Therapy with Globin Gene Addition Is Promising. https://doi.org/10.31219/osf.io/j5fkb.</w:t>
      </w:r>
    </w:p>
    <w:p w14:paraId="64DC09EB"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Single-Gene Mutations in mtDNA-Associated Proteins Are Unlikely to Be the Main Cause of Sporadic Parkinson’s Disease. Cumulative Genetic Variation in Numerous Genes May Be Important in Neurodegeneration and PD Risk. https://doi.org/10.31219/osf.io/89qte.</w:t>
      </w:r>
    </w:p>
    <w:p w14:paraId="68755CA7"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Small Nuclear Ribonucleoproteins (snRNPs) Based Gene Therapy. https://doi.org/10.31219/osf.io/c43r9.</w:t>
      </w:r>
    </w:p>
    <w:p w14:paraId="79705C2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Studying the Pathologic Mechanisms of Osteoporosis and the Bone Microenvironment May Help Researchers Better Know the Etiology of Rheumatoid Arthritis, Periodontitis, and Multiple Myeloma, as Well as Other Inflammatory and Autoimmune Disorders. https://doi.org/10.31219/osf.io/t3z6y.</w:t>
      </w:r>
    </w:p>
    <w:p w14:paraId="668CADD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Suicide Gene Therapy May Be Effective in the Treatment of Malignant Glioma. https://doi.org/10.31219/osf.io/vdkst.</w:t>
      </w:r>
    </w:p>
    <w:p w14:paraId="3DF70C2B"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Synuclein Is a Protein That Is Expressed in Brain Tissue. The Specific Missense Mutation (SNCA) Found in a Family with Parkinson’s Disease Is the Cause. Other Diseases Include Alzheimer's Disease and REM Sleep Behavior Disorder. https://doi.org/10.31219/osf.io/bs8rc.</w:t>
      </w:r>
    </w:p>
    <w:p w14:paraId="499AA463"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Systems Biology Is a Method for Analyzing Massive Amounts of Multidimensional Data Generated by Omics Technologies. Cross-Validation of the Various Technological Platforms Is Critical. https://doi.org/10.31219/osf.io/p8vkd.</w:t>
      </w:r>
    </w:p>
    <w:p w14:paraId="4CA150D7"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Targeting Mitochondria and Especially Taz Gene Mutation Induces CL May Give Novel Therapeutic Alternatives for Treating Barth Syndrome. https://doi.org/10.31219/osf.io/unfpy.</w:t>
      </w:r>
    </w:p>
    <w:p w14:paraId="63A7310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Ability to Combine Multiple mRNA Antigens Targeting Multiple Pathogens Simultaneously, and the Robust Immune Responses Are Confirmed in Several Clinical Studies. https://doi.org/10.31219/osf.io/6qksx.</w:t>
      </w:r>
    </w:p>
    <w:p w14:paraId="200FD898"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Cubic Polyhedral Oligomeric Silsesquioxanes Based Hybrid Materials Have a Wide Variety of Applications, Including Drug Administration, Gene Therapy, Biological Imaging, and Bone Regeneration. https://doi.org/10.31219/osf.io/9peq8.</w:t>
      </w:r>
    </w:p>
    <w:p w14:paraId="1AF501E8"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Development of Tissue Replacement Therapies and Drug Discovery Was a Critical Milestone in Advancing Regenerative Medicine. https://doi.org/10.31219/osf.io/w9bsm.</w:t>
      </w:r>
    </w:p>
    <w:p w14:paraId="4456EE1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Epidemic of COVID-19 Prompted Widespread Use of mRNA Vaccinations. https://doi.org/10.31219/osf.io/jqws5.</w:t>
      </w:r>
    </w:p>
    <w:p w14:paraId="55F87C6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Moataz Dowaidar. The Most Useful and Commonly Available Acute Rejection Surveillance Strategies Are Routine Monitoring of Myocardial Function and Donor-Specific Anti-HLA Abs Monitoring. https://doi.org/10.31219/osf.io/ebw68.</w:t>
      </w:r>
    </w:p>
    <w:p w14:paraId="38CAA23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Protease MBTPS2 Is an Important Regulator of Several Cellular Processes, Especially in Health and Sickness. https://doi.org/10.31219/osf.io/qyn6h.</w:t>
      </w:r>
    </w:p>
    <w:p w14:paraId="50BED7EC"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Sigma 1 Receptor (S1R) Is a Potential Therapeutic Target for the Treatment of Huntington’s Disease. https://doi.org/10.31219/osf.io/mcefx.</w:t>
      </w:r>
    </w:p>
    <w:p w14:paraId="446E69C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Use of a Network Medicine Approach Might Result in Innovative Strategies for Lowering Coronary Heart Disease and CV Risks. https://doi.org/10.31219/osf.io/eakg8.</w:t>
      </w:r>
    </w:p>
    <w:p w14:paraId="5ADDBAFB"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Vasoconstrictor Endothelin System Involvement in Chronic Kidney Diseases Pathogenesis Is Now the Most Often Employed Treatment Method. https://doi.org/10.31219/osf.io/cnkqy.</w:t>
      </w:r>
    </w:p>
    <w:p w14:paraId="075B2367"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VPS35-D620N Mutation Is Associated with Parkinson’s Disease and Can Be a Target for Gene Therapy. https://doi.org/10.31219/osf.io/83sxr.</w:t>
      </w:r>
    </w:p>
    <w:p w14:paraId="4E69CF54"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Therapeutics Including Gene Therapy for Osteoarthritis as a Concept. https://doi.org/10.31219/osf.io/7zsqy.</w:t>
      </w:r>
    </w:p>
    <w:p w14:paraId="4C43AA19"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Tissue Hypoxia Has Been Established as a Master Regulator for Alternative Splicing, with Substantial Clinical Consequences and Possibilities for Gene Therapy Targeting. https://doi.org/10.31219/osf.io/5pbw4.</w:t>
      </w:r>
    </w:p>
    <w:p w14:paraId="5AE16017"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To Rectify Alzheimer’s Disease Etiology, Excessive Mitochondrial Division Might Be Stopped or Mitophagy Might Be Promoted. https://doi.org/10.31219/osf.io/6kdxw.</w:t>
      </w:r>
    </w:p>
    <w:p w14:paraId="1330387C"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Transcriptomics Is a Rapidly Growing Field That Generates New Data That May Be Used on Its Own or in Combination with Existing Clinical Data for Development of New Therapeutics, Including Gene Therapy. https://doi.org/10.31219/osf.io/kfr6a.</w:t>
      </w:r>
    </w:p>
    <w:p w14:paraId="3BF3B6A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Tumor Microenvironment Has Clinical Significance in Terms of Prognosis and Therapy Prediction. https://doi.org/10.31219/osf.io/4dz8q.</w:t>
      </w:r>
    </w:p>
    <w:p w14:paraId="0FB20034"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Using AAV as a Gene Delivery Vector in the Neural System Is Effective in Several Animals, such as Nonhuman Primates. https://doi.org/10.31219/osf.io/ut4fa.</w:t>
      </w:r>
    </w:p>
    <w:p w14:paraId="3ABE89D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Using Pre-Existing Datasets to Combine Published Information with New Metrics Would Help Researchers Construct a Broader Picture of Chromatin in Disease. https://doi.org/10.31219/osf.io/gsqv5.</w:t>
      </w:r>
    </w:p>
    <w:p w14:paraId="3ABA7A09"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Virus-like Particles Are Good Nanocarriers for Liquid Biopsy Probes, Imaging Contrast Agents, and Anticancer Medications. https://doi.org/10.31219/osf.io/xbtka.</w:t>
      </w:r>
    </w:p>
    <w:p w14:paraId="1EE873F4"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ZEB1 Controls the Expression of ICAM1, Promoting Monocyte-Macrophage Adhesion and Hence the Formation of Atherosclerotic Lesions. https://doi.org/10.31219/osf.io/kzjqg.</w:t>
      </w:r>
    </w:p>
    <w:p w14:paraId="56B5127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Development and Legislation. https://doi.org/10.31219/osf.io/mwb2n.</w:t>
      </w:r>
    </w:p>
    <w:p w14:paraId="7B9202E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Next-Generation Sequencing Is Now Utilized to Identify Genetic Abnormalities and Develop Gene Therapy. https://doi.org/10.31219/osf.io/em7xp.</w:t>
      </w:r>
    </w:p>
    <w:p w14:paraId="2B85F6B7"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Nucleic Acid Designs, Artificial Intelligence for Screening Nanomaterials, and Enhanced Characterization Methods Are Needed to Make Nanomedicine More Successful. https://doi.org/10.31219/osf.io/2w5aq.</w:t>
      </w:r>
    </w:p>
    <w:p w14:paraId="4D569722"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Potential Strategies for Cancer Gene Therapy. https://doi.org/10.31219/osf.io/atcqz.</w:t>
      </w:r>
    </w:p>
    <w:p w14:paraId="0DF0C63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Quantitative Groups Will Be Critical to the Success of Future Gene Therapy Programs. https://doi.org/10.31219/osf.io/v97ht.</w:t>
      </w:r>
    </w:p>
    <w:p w14:paraId="68F14E7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Treatment of Major Human Illnesses with Recombinant Adeno-Associated Virus (rAAV) Has Shown Tremendous Promises. https://doi.org/10.31219/osf.io/uwa4e.</w:t>
      </w:r>
    </w:p>
    <w:p w14:paraId="0C5D5D8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Carbon Nanotubes Have Enormous Potential in Gene Therapy. https://doi.org/10.31219/osf.io/9bcxk.</w:t>
      </w:r>
    </w:p>
    <w:p w14:paraId="74D962B2"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Charge-Alteration-Based Approaches Can Address the Evolving Needs of Nucleic Acid-Based Gene Therapy, Charge Reversal Techniques Are Also Promising. https://doi.org/10.31219/osf.io/zwq5h.</w:t>
      </w:r>
    </w:p>
    <w:p w14:paraId="52AC4D62"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Chromosome X, the Most Explored Genome-Editing Chromosome, Presents Possibilities for Hemophilia A Treatments. https://doi.org/10.31219/osf.io/6vsdz.</w:t>
      </w:r>
    </w:p>
    <w:p w14:paraId="37219938"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Clinical Investigations Show That siRNA May Be Used to Treat a Variety of Disorders, Including Cancer. https://doi.org/10.31219/osf.io/fcsgq.</w:t>
      </w:r>
    </w:p>
    <w:p w14:paraId="1EFFD369"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Cyclodextrins as Potential Gene Therapy Vectors. https://doi.org/10.31219/osf.io/zhtsc.</w:t>
      </w:r>
    </w:p>
    <w:p w14:paraId="575E235B"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Development of Specialized Carriers Capable of Delivering Effective RNAi and siRNA Gene Therapy. https://doi.org/10.31219/osf.io/3ykwm.</w:t>
      </w:r>
    </w:p>
    <w:p w14:paraId="517F4D73"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Can Target Mutations such as BRAF, Which Have Been Shown to Make Tumors More Susceptible to Autophagy Suppression. https://doi.org/10.31219/osf.io/3gwra.</w:t>
      </w:r>
    </w:p>
    <w:p w14:paraId="1BCB042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Vectors Should Enable CRISPR Systems to Accumulate at Disease Sites and Successfully Penetrate Nuclei. https://doi.org/10.31219/osf.io/xzmnc.</w:t>
      </w:r>
    </w:p>
    <w:p w14:paraId="566A272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Nanoformulations Can Be Utilized to Deliver Effective siRNA to Tumor Cells to Decrease Gene Expression. https://doi.org/10.31219/osf.io/zvukc.</w:t>
      </w:r>
    </w:p>
    <w:p w14:paraId="416DC43C"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Moataz Dowaidar. Neuronal Ceroid Lipofuscinosis Therapeutics. https://doi.org/10.31219/osf.io/75vcp.</w:t>
      </w:r>
    </w:p>
    <w:p w14:paraId="2B0E184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Nonviral Gene Delivery Vectors for Transfection of the CAR Gene for CAR-T Cell Therapy. https://doi.org/10.31219/osf.io/ckxh5.</w:t>
      </w:r>
    </w:p>
    <w:p w14:paraId="56C70808"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Potential HIV Gene Therapy Strategies. https://doi.org/10.31219/osf.io/e5hm2.</w:t>
      </w:r>
    </w:p>
    <w:p w14:paraId="2C8BEE6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Research on Cell Sources for Brain Cell Replacement Methods Has Gained Major Importance. Cell and Gene Therapy Are Potentially Intriguing New Domains of Regenerative Medicine. https://doi.org/10.31219/osf.io/g835b.</w:t>
      </w:r>
    </w:p>
    <w:p w14:paraId="0F44C00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RNAi-Based Gene Therapy Provides a Wide Variety of Applications. Safe, Biodegradable Nano Delivery Vectors Are Still Needed. https://doi.org/10.31219/osf.io/s2zhn.</w:t>
      </w:r>
    </w:p>
    <w:p w14:paraId="5B889122"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Strategies for Treating Multiple Sclerosis with Gene Therapy. https://doi.org/10.31219/osf.io/sycn6.</w:t>
      </w:r>
    </w:p>
    <w:p w14:paraId="21349A19"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Combination of Unique Biomolecules and Nanoparticles Has Shown Successful Gene Therapy Treatment Approaches for Non-Small Cell Lung Cancer Treatment. https://doi.org/10.31219/osf.io/yeq5z.</w:t>
      </w:r>
    </w:p>
    <w:p w14:paraId="7A087543"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Understanding Why the Same Gene Delivery Vector Behaves Differently in Different Cell Types Is Essential for Developing More Adaptable Transfection Systems. https://doi.org/10.31219/osf.io/6q8af.</w:t>
      </w:r>
    </w:p>
    <w:p w14:paraId="318796C8"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AAV9 Is Considered the Most Efficient AAV Serotype Targeting Blood-Brain Barriers. To Enhance Effective Gene Therapy for CNS Illnesses, Testing Novel Vectors with More Efficient Crossing Capabilities Is Vital. https://doi.org/10.31219/osf.io/7bf5s.</w:t>
      </w:r>
    </w:p>
    <w:p w14:paraId="39B051D8"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Artificial miRNAs Are Potential Gene Therapy Tools, Especially for Incurable Monogenic Disorders. https://doi.org/10.31219/osf.io/d5rnm.</w:t>
      </w:r>
    </w:p>
    <w:p w14:paraId="3C40A77B"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Breakthroughs in mRNA Modification and Nanoparticle-Based Delivery Vehicles Facilitate Gene Therapy Strategies. https://doi.org/10.31219/osf.io/ky7dt.</w:t>
      </w:r>
    </w:p>
    <w:p w14:paraId="1765F5A0"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CRISPR/Cas9-Mediated Genome Editing Has Demonstrated Significant Promise for Genetic Correction in Autologous Hematopoietic Stem/progenitor Cells (HSPCs) and Induced Pluripotent Stem Cells (iPSCs). https://doi.org/10.31219/osf.io/xk54r.</w:t>
      </w:r>
    </w:p>
    <w:p w14:paraId="3D8CA9BB"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Vectors for Targeting the Heart. https://doi.org/10.31219/osf.io/gcbhf.</w:t>
      </w:r>
    </w:p>
    <w:p w14:paraId="58584406"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Liposomes Can Minimize Cardiotoxicity, Address Drug Resistance, and Improve Overall Drug Release Profiles in Breast Cancer. https://doi.org/10.31219/osf.io/tn56d.</w:t>
      </w:r>
    </w:p>
    <w:p w14:paraId="4D3672E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Liposomes with Cerasome-Forming Lipids as Gene Therapy Vectors. https://doi.org/10.31219/osf.io/zjn6v.</w:t>
      </w:r>
    </w:p>
    <w:p w14:paraId="3CE2976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Nanomaterials Combine Multiple Therapeutic Approaches for Cancer Cell Multidrug Resistance, Ferroptotic Cell Death Is Promising in Various Cancers. https://doi.org/10.31219/osf.io/7bg9t.</w:t>
      </w:r>
    </w:p>
    <w:p w14:paraId="5BD82170"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Nanomedicines for Enhanced Permeability and Retention (EPR)-Stratified Patients Have the Potential to Improve Treatment Outcomes. https://doi.org/10.31219/osf.io/xrcb2.</w:t>
      </w:r>
    </w:p>
    <w:p w14:paraId="0D87B4A9"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RNA-Based Gene Therapy for Manipulating the Neuroinflammatory Cascade Closely Linked to Neurodegeneration Can Help Reduce Disease Development. https://doi.org/10.31219/osf.io/2hswv.</w:t>
      </w:r>
    </w:p>
    <w:p w14:paraId="2A2A6B3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Targeted Chemical Nucleases Have a Wide Range of Untapped Applications in Biological Fields, Including Gene Therapy. https://doi.org/10.31219/osf.io/6bexs.</w:t>
      </w:r>
    </w:p>
    <w:p w14:paraId="38611E0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Bacterial Nanoparticles Can Deliver Proteins, Medications, Enzymes, and Genes to Diagnose and Cure Numerous Illnesses. https://doi.org/10.31219/osf.io/7gyna.</w:t>
      </w:r>
    </w:p>
    <w:p w14:paraId="00CA2A6C"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Exosomal miRNA Diagnostic and Gene Therapy Tools. https://doi.org/10.31219/osf.io/aknrc.</w:t>
      </w:r>
    </w:p>
    <w:p w14:paraId="66CA1AF8"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Modification Research Has Potential, from Diagnostic to Therapeutic Levels. The Most Promising Metabolic Pathways Include the TGF-1 Signaling System, Inflammation and Protein Transport. https://doi.org/10.31219/osf.io/5ert4.</w:t>
      </w:r>
    </w:p>
    <w:p w14:paraId="72797C9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Using MnO2 Nanoparticles. https://doi.org/10.31219/osf.io/xmwjs.</w:t>
      </w:r>
    </w:p>
    <w:p w14:paraId="39AE0373"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Gene-Regulatory Elements May Change the Amount, Timing, or Location of Gene Expression, Cis-Regulation Therapy Platforms Might Become a Gene Therapy to Treat Many Genetic Diseases. https://doi.org/10.31219/osf.io/xc5a2.</w:t>
      </w:r>
    </w:p>
    <w:p w14:paraId="63C73502"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Hemophilia Therapeutics. https://doi.org/10.31219/osf.io/gu74x.</w:t>
      </w:r>
    </w:p>
    <w:p w14:paraId="6C496C9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Mesenchymal Stem Cells Strategies in Cancer Immunotherapy. https://doi.org/10.31219/osf.io/dkv6w.</w:t>
      </w:r>
    </w:p>
    <w:p w14:paraId="57D78EA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Nanomaterials Can Inhibit Planktonic and Biofilm Bacteria and Can Be Used as Topical Therapy for Mouth and Wound-Related Infections. https://doi.org/10.31219/osf.io/aqd2e.</w:t>
      </w:r>
    </w:p>
    <w:p w14:paraId="0389A17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New Technologies to Improve CAR T Cell Generation and Biomanufacturing Will Lead to Safer, More Therapeutically Effective Cells. https://doi.org/10.31219/osf.io/un8gp.</w:t>
      </w:r>
    </w:p>
    <w:p w14:paraId="520466E3"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Ocular Gene Therapy Strategies. https://doi.org/10.31219/osf.io/7en3k.</w:t>
      </w:r>
    </w:p>
    <w:p w14:paraId="0DEBFAB2"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Peripheral Nerve Injury Therapeutics, Including Electrical Stimulation, Stem Cell Treatments, and Synthetic Neural Scaffolds, Have Shown Promising Preclinical and Even Clinical Results with Potential Regenerative Treatment. https://doi.org/10.31219/osf.io/m8cs9.</w:t>
      </w:r>
    </w:p>
    <w:p w14:paraId="30FD252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Moataz Dowaidar. Photothermal and Photodynamic Photoactivation of Nanomaterials-Based Prodrugs Are Two Key Methods for NIR Light-Mediated Photoactivation. https://doi.org/10.31219/osf.io/2bh3r.</w:t>
      </w:r>
    </w:p>
    <w:p w14:paraId="7A88171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Quantum Dots Have the Potential to Be Used in Gene Therapy. https://doi.org/10.31219/osf.io/bdeg6.</w:t>
      </w:r>
    </w:p>
    <w:p w14:paraId="51EBF00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Sickle Cell Disease Has Emerged as a Public Health Concern. Some Drugs May Conflict with Curative Therapies, yet They May Be Useful as a Bridge to HSCT and Gene Therapy. https://doi.org/10.31219/osf.io/6kufh.</w:t>
      </w:r>
    </w:p>
    <w:p w14:paraId="63652339"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Stimulator of Interferon Genes (STING)-Activating Nanoparticles Can Be Employed as a Tool for Controlled Immune Activation. https://doi.org/10.31219/osf.io/2ez7a.</w:t>
      </w:r>
    </w:p>
    <w:p w14:paraId="3A052F4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CRISPR/Cas9 Has Introduced New Gene Therapy Possibilities for Muscular Dystrophies. https://doi.org/10.31219/osf.io/ug8v4.</w:t>
      </w:r>
    </w:p>
    <w:p w14:paraId="73F29984"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Degradable Branched Polycationic Systems Are Promising Gene Therapy Vectors. https://doi.org/10.31219/osf.io/utypf.</w:t>
      </w:r>
    </w:p>
    <w:p w14:paraId="3CF8530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Developing Nanotechnology Platforms for Peptide-Based Combinatory Cancer Gene Therapy Will Likely Have a Significant Influence on the Development of Personalized Cancer Medicines. https://doi.org/10.31219/osf.io/zbrkj.</w:t>
      </w:r>
    </w:p>
    <w:p w14:paraId="1D968AA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Exosomes May Prevent Cardiac Attacks, Heart Failure, and Cardiomyopathy. https://doi.org/10.31219/osf.io/agm3k.</w:t>
      </w:r>
    </w:p>
    <w:p w14:paraId="3352620B"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2021gr. Exosomes Potential Therapeutics. https://doi.org/10.31219/osf.io/mhwt3.</w:t>
      </w:r>
    </w:p>
    <w:p w14:paraId="7A88020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Using miRNA Treatment Suppresses the Expression of Bone-Forming Defective Genes and Raises the Expression of Genes That Become Dormant during Bone Building. https://doi.org/10.31219/osf.io/tcka3.</w:t>
      </w:r>
    </w:p>
    <w:p w14:paraId="4EC1E18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Genome-Editing Is Promising for Producing Therapeutically Relevant Animal Models for Possible Therapies for Rare Human Diseases. https://doi.org/10.31219/osf.io/dehr9.</w:t>
      </w:r>
    </w:p>
    <w:p w14:paraId="7EF64AA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Human Corneal Endothelial Cells Grafts to Replace Cadaveric Donor Corneas. https://doi.org/10.31219/osf.io/p9x7e.</w:t>
      </w:r>
    </w:p>
    <w:p w14:paraId="499B4C4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Hybrid Nanotechnology and Peptide Nucleic Acid Could Improve the Effectiveness of Gene Therapy by Increasing Its Cell Permeability. https://doi.org/10.31219/osf.io/d8wzt.</w:t>
      </w:r>
    </w:p>
    <w:p w14:paraId="65CAF937"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In Prenatal Stem Cell Transplantation and in Utero Gene Therapy, a Wide Spectrum of Genetic Diseases Can Be Diagnosed and Treated before Birth. https://doi.org/10.31219/osf.io/sa3vz.</w:t>
      </w:r>
    </w:p>
    <w:p w14:paraId="36C7AB9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Magnetic Iron Oxide Nanoparticles Have Potential on Gene Therapy Effectiveness and Biocompatibility. https://doi.org/10.31219/osf.io/f3hm4.</w:t>
      </w:r>
    </w:p>
    <w:p w14:paraId="250F90C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Neurotrophin Gene Therapy May Be Able to Treat Individuals with Noise-Induced Hearing Loss or Neural Presbyacusis. https://doi.org/10.31219/osf.io/spkxh.</w:t>
      </w:r>
    </w:p>
    <w:p w14:paraId="613328D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Plant Viral Nanoparticles Can Be Used in Biological Systems for Loading and Transporting Cargo. https://doi.org/10.31219/osf.io/txdka.</w:t>
      </w:r>
    </w:p>
    <w:p w14:paraId="02B1CF0B"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Polydopamine May Be Easily Functionalized with a Range of Nanomaterials for Synergistic Cancer Therapy, in Addition to Its Exceptional Photothermal Effects. https://doi.org/10.31219/osf.io/cq942.</w:t>
      </w:r>
    </w:p>
    <w:p w14:paraId="7A6088CC"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Tumor-Targeted Drug Delivery Systems for Anticancer Therapies Can Selectively Provide an Appropriate Cytotoxic Payload to Cancer Cells, Reducing the Side Effects of Chemo. https://doi.org/10.31219/osf.io/683nj.</w:t>
      </w:r>
    </w:p>
    <w:p w14:paraId="646CF5F7"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Moataz, Hani Nasser Abdelhamid, Mattias Hällbrink, Krista Freimann, Kaido Kurrikoff, Xiaodong Zou, and Ülo Langel. 2017. Magnetic Nanoparticle Assisted Self-Assembly of Cell Penetrating Peptides-Oligonucleotides Complexes for Gene Delivery. Scientific Reports 7 (1): 9159. https://doi.org/10.1038/s41598-017-09803-z.</w:t>
      </w:r>
    </w:p>
    <w:p w14:paraId="4324FF3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Moataz, Hani Nasser Abdelhamid, Mattias Hällbrink, Ülo Langel, and Xiaodong Zou. 2018. Supplemental Material for Chitosan Enhances Gene Delivery of Oligonucleotide Complexes with Magnetic Nanoparticles–cell-Penetrating Peptide. SAGE Journals. https://doi.org/10.25384/SAGE.7105436.V1.</w:t>
      </w:r>
    </w:p>
    <w:p w14:paraId="7D60A052"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Moataz, Hani Nasser Abdelhamid, Mattias Hällbrink, Xiaodong Zou, and Ülo Langel. 2017. Graphene Oxide Nanosheets in Complex with Cell Penetrating Peptides for Oligonucleotides Delivery General Subjects. Biochimica et Biophysica Acta, General Subjects. https://pubag.nal.usda.gov/catalog/5734174.</w:t>
      </w:r>
    </w:p>
    <w:p w14:paraId="7EF36FD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2017. Graphene Oxide Nanosheets in Complex with Cell Penetrating Peptides for Oligonucleotides Delivery. Biochimica et Biophysica Acta, General Subjects 1861 (9): 2334–41. https://doi.org/10.1016/j.bbagen.2017.07.002.</w:t>
      </w:r>
    </w:p>
    <w:p w14:paraId="5C163CE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Moataz, and Moataz Dowaidar. 2018. Chimeric Gene Delivery Vectors : Design, Synthesis, and Mechanisms from Transcriptomics Analysis.</w:t>
      </w:r>
    </w:p>
    <w:p w14:paraId="5C2C6EB8"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Addiction Biology Research on miRNAs, and Their Role in the Pathophysiology of Addiction Is Enabling Gene Therapy Opportunities. https://doi.org/10.31219/osf.io/z5wyt.</w:t>
      </w:r>
    </w:p>
    <w:p w14:paraId="2FA07724"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Aptamers Targeting Vascular Endothelial Growth Factor Molecular Regulation as Potential Therapists. https://doi.org/10.31219/osf.io/a8qpr.</w:t>
      </w:r>
    </w:p>
    <w:p w14:paraId="3A0761F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Moataz Dowaidar. Arrhythmogenic Cardiomyopathy Is a Set of Hereditary Cardiac Muscle Disorders Where Various Etiologies Converge. Most ACM Patients Do Not Have a Genetic Diagnosis. https://doi.org/10.31219/osf.io/pztv3.</w:t>
      </w:r>
    </w:p>
    <w:p w14:paraId="4845276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Autophagy, Immunological Response, and Inflammation All Rely on the TRIM Family Proteins. TRIM-Based Therapeutics for Inflammatory Illnesses Including Diabetes and Diabetic Comorbidities Are Promising. https://doi.org/10.31219/osf.io/y4g6e.</w:t>
      </w:r>
    </w:p>
    <w:p w14:paraId="20066860"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Biogenic Particles Can Be Multiantigenic, Immunostimulative and Activate Innate Immunity While Suppressing Tumor Development. https://doi.org/10.31219/osf.io/q2kby.</w:t>
      </w:r>
    </w:p>
    <w:p w14:paraId="30DEF44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Biological Medications for Interventional Pain Have a Lot of Clinical Data behind Them. It Is Fair to Assume They Will Replace Steroid-Based Interventional Techniques, Providing Patients with Longer Relief. https://doi.org/10.31219/osf.io/4y5fm.</w:t>
      </w:r>
    </w:p>
    <w:p w14:paraId="744F2E79"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Carbon Nanofibers Assist in the Manufacture of Prosthetic Joints, Promote Tissue, Organ, Nerve Regeneration and Development, and Improve Anticancer Therapy Impact and Chemosensitization for a Range of Tumor Types. https://doi.org/10.31219/osf.io/z3ucn.</w:t>
      </w:r>
    </w:p>
    <w:p w14:paraId="1CB6C58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Emerging Therapy Options May Help Patients with RAG Deficiency, Especially Those with Severe Immune Dysregulation. https://doi.org/10.31219/osf.io/v5tjg.</w:t>
      </w:r>
    </w:p>
    <w:p w14:paraId="2AC3AEEC"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Exosomes as Promising Gene Therapy Tools Still Need to Be Researched and Manufactured More Efficiently. https://doi.org/10.31219/osf.io/nw4z7.</w:t>
      </w:r>
    </w:p>
    <w:p w14:paraId="301A4B08"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Focus on Exosomes Could Help Make the Use of Circulating miRNA as Biomarkers More Practical. A Detailed Understanding of miRNA Behavior Should Be a Subject of Gene Therapy. https://doi.org/10.31219/osf.io/uan6x.</w:t>
      </w:r>
    </w:p>
    <w:p w14:paraId="7BBD4DB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Gene-Free Viral-like Particles (VLPs) Offer a Safer Alternative to Inactivating or Weakening Viral Strains for Traditional Vaccines. VLP-Based Vaccinations without Adjuvants Have Been Found to Promote Humoral and Cellular Immunity. https://doi.org/10.31219/osf.io/9dvut.</w:t>
      </w:r>
    </w:p>
    <w:p w14:paraId="285A6CB3"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Given the Importance of mTOR Signaling in a Number of Illnesses, It Looks Suitable to Use miR 99 Family Members as a Therapeutic Intervention to Deal with These Illnesses by Using Gene Therapy Tools. https://doi.org/10.31219/osf.io/8cwgh.</w:t>
      </w:r>
    </w:p>
    <w:p w14:paraId="3008C9F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HMGB1 Has Sparked a Lot of Attention as a Model DAMP Molecule Involved in Inflammation, Inflammatory Diseases, and Cancer. https://doi.org/10.31219/osf.io/5qx36.</w:t>
      </w:r>
    </w:p>
    <w:p w14:paraId="5C3A139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Nucleic Acid Nanocarriers Can Be Programmable, Spatially Adjustable and Biocompatible, Minimizing Systemic Toxicity and Improving Pharmacodynamics. https://doi.org/10.31219/osf.io/wr237.</w:t>
      </w:r>
    </w:p>
    <w:p w14:paraId="3B0EDE3A"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Osteoporosis Is a Prominent Source of Morbidity and Mortality in the Elderly, Particularly in Postmenopausal Women. Long Noncoding RNAs (lncRNAs) Have Been Found to Be Important Regulators and Possible Gene Therapy Targets. https://doi.org/10.31219/osf.io/ghfpt.</w:t>
      </w:r>
    </w:p>
    <w:p w14:paraId="44702465"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Polycomb Genes Role in Cancer Pathophysiology Is Offering Targets for Therapeutics Including Gene Therapy. https://doi.org/10.31219/osf.io/sfvej.</w:t>
      </w:r>
    </w:p>
    <w:p w14:paraId="1D3121EB"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RNA Sequencing and Microarray Analysis Are Helpful Techniques to Detect Obesity-Related lncRNAs. LncRNA Can Alter Cholesterol Metabolism and Can Be a Target for Gene Therapy. https://doi.org/10.31219/osf.io/3fb6w.</w:t>
      </w:r>
    </w:p>
    <w:p w14:paraId="00EEE514"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Sepsis-Associated Acute Kidney Damage Is a Disease That Affects the Patient’s Quality of Life. It Should Be a Target for Gene Therapy. https://doi.org/10.31219/osf.io/49k7q.</w:t>
      </w:r>
    </w:p>
    <w:p w14:paraId="67D6E649"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Gene Expression Profiling Gives an in-Depth Insight of Breast Cancer Heterogeneity, Better than a Single Protein or Gene Expression. It Is Time to Include It in the Daily Routine. https://doi.org/10.31219/osf.io/xhyd7.</w:t>
      </w:r>
    </w:p>
    <w:p w14:paraId="3A4D7D4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Nanomedicine System Has Successfully Inhibited Tumor Neovascularization Using Gene Silencing, Chemotherapy, Photothermal Therapy, and Other Therapies. https://doi.org/10.31219/osf.io/rk2bf.</w:t>
      </w:r>
    </w:p>
    <w:p w14:paraId="49CCBEC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Therapeutic Application of a Nucleic Acid Sequence to Patients’ Diseased Organs Is Currently Available. https://doi.org/10.31219/osf.io/pqsbf.</w:t>
      </w:r>
    </w:p>
    <w:p w14:paraId="4EC0916B"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Triple-Negative Breast Cancer, Which Lacks the Expression of Hormone Receptors and HER2, Has a Worse Prognosis. Massive Parallel Sequencing Is Capable of Reliably Breaking down the Intra-Tumor and Inter-Tumor Heterogeneity. https://doi.org/10.31219/osf.io/pvk7u.</w:t>
      </w:r>
    </w:p>
    <w:p w14:paraId="4C9792A2"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Moataz, H. A. Ismail, A. A. Alghasham, M. M. Dowaidar, and A. A. Settin. 2011. Polymorophisms in MTHF and Ace Genes and the Association with Hypertension among Saudi Population from Qassim Region. Egyptian Journal of Biochemistry and Molecular Biology 29 (1). https://doi.org/10.4314/ejbmb.v29i1.67382.</w:t>
      </w:r>
    </w:p>
    <w:p w14:paraId="6DE125B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Moataz, Hani Nasser Abdelhamid, Mattias Hällbrink, Ülo Langel, and Xiaodong Zou. 2018. Chitosan Enhances Gene Delivery of Oligonucleotide Complexes with Magnetic Nanoparticles-Cell-Penetrating Peptide. Journal of Biomaterials Applications 33 (3): 392–401. https://doi.org/10.1177/0885328218796623.</w:t>
      </w:r>
    </w:p>
    <w:p w14:paraId="7171E28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Moataz, and Ahmad Settin. 2010. Risk of Myocardial Infarction Related to Factor V Leiden Mutation: A Meta-Analysis. Genetic Testing and Molecular Biomarkers 14 (4): 493–98. https://doi.org/10.1089/gtmb.2010.0017.</w:t>
      </w:r>
    </w:p>
    <w:p w14:paraId="390B7210"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Gestin, Maxime, Moataz Dowaidar, and Ülo Langel. 2017. Uptake Mechanism of Cell-Penetrating Peptides. Advances in Experimental Medicine and Biology 1030: 255–64. https://doi.org/10.1007/978-3-319-66095-0_11.</w:t>
      </w:r>
    </w:p>
    <w:p w14:paraId="0723ABC1"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Ismail, H. A., A. A. Alghasham, M. M. Dowaidar, and A. A. Settin. 2011. Polymorophisms in MTHF and Ace Genes and the Association with Hypertension among Saudi Population from Qassim Region. Egyptian Journal of Biochemistry and Molecular Biology 29 (1). https://doi.org/10.4314/ejbmb.v29i1.67382.</w:t>
      </w:r>
    </w:p>
    <w:p w14:paraId="7E80B9B7"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Settin, Ahmad A., Abdullah Algasham, Moataz Dowaidar, and Hisham Ismail. 2009. Methylene Tetrahydrofolate Reductase and Angiotensin Converting Enzyme Gene Polymorphisms Related to Overweight/obesity among Saudi Subjects from Qassim Region. Disease Markers 27 (2): 97–102. https://doi.org/10.3233/DMA-2009-0660.</w:t>
      </w:r>
    </w:p>
    <w:p w14:paraId="2B61A0EF"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Settin, Ahmad A., Abdullah Alghasham, Ahmad Ali, Moataz Dowaidar, and Hisham Ismail. 2012. Frequency of Thrombophilic Genetic Polymorphisms among Saudi Subjects Compared with Other Populations. Hematology 17 (3): 176–82. https://doi.org/10.1179/102453312X13376952196575.</w:t>
      </w:r>
    </w:p>
    <w:p w14:paraId="5B67C99D"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Settin, Ahmad, Ibrahem S. Abu-Saif, Rizk El-Baz, Moataz Dowaidar, Rabab Abu-Al Kasim, and Shaimaa Shabana. 2007a. Diagnosis of Sex Chromosome Disorders and Prenatal Diagnosis of Down Syndrome Using Interphase Fluorescent In-Situ Hyperidization Technique. International Journal of Health Sciences 1 (2): 203–9. https://www.ncbi.nlm.nih.gov/pubmed/21475429.</w:t>
      </w:r>
    </w:p>
    <w:p w14:paraId="37AE6F3E"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Settin, Ahmad, Abdullah Algasham, Moataz Dowaidar, and Hisham Ismail. 2011. Methylene Tetrahydrofolate Reductase (MTHFR) and Angiotensinogen Converting Enzyme (ACE) Gene Polymorphisms Related to Overweight and Obesity among Saudi Patients in Al Qassim. International Journal of Health Sciences 5 (2 Suppl 1): 24–25. https://www.ncbi.nlm.nih.gov/pubmed/23284565.</w:t>
      </w:r>
    </w:p>
    <w:p w14:paraId="39EE63E2"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Settin, Ahmad, Hala Almarsafawy, Ahmad Alhussieny, and Moataz Dowaidar. 2008a. Dysmorphic Features, Consanguinity and Cytogenetic Pattern of Congenital Heart Diseases: A Pilot Study from Mansoura Locality, Egypt. International Journal of Health Sciences 2 (2): 101–11. https://www.ncbi.nlm.nih.gov/pubmed/21475491.</w:t>
      </w:r>
    </w:p>
    <w:p w14:paraId="097A9E16"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 xml:space="preserve">Settin, Ahmad, Moataz Dowaidar, Rizk El-Baz, Ayman Abd-Al-Samad, Ibrahim El-Sayed, and Mahmoud Nasr. 2008. Frequency of Factor V Leiden Mutation in Egyptian Cases with Myocardial Infarction. Hematology 13 (3): 170–74. </w:t>
      </w:r>
      <w:hyperlink r:id="rId8" w:history="1">
        <w:r w:rsidRPr="00367CD3">
          <w:rPr>
            <w:rFonts w:asciiTheme="majorBidi" w:eastAsia="Times New Roman" w:hAnsiTheme="majorBidi" w:cstheme="majorBidi"/>
            <w:color w:val="333333"/>
            <w:sz w:val="18"/>
            <w:szCs w:val="18"/>
            <w:highlight w:val="white"/>
          </w:rPr>
          <w:t>https://doi.org/10.1179/102453308X316158</w:t>
        </w:r>
      </w:hyperlink>
      <w:r w:rsidRPr="00367CD3">
        <w:rPr>
          <w:rFonts w:asciiTheme="majorBidi" w:eastAsia="Times New Roman" w:hAnsiTheme="majorBidi" w:cstheme="majorBidi"/>
          <w:color w:val="333333"/>
          <w:sz w:val="18"/>
          <w:szCs w:val="18"/>
          <w:highlight w:val="white"/>
        </w:rPr>
        <w:t>.</w:t>
      </w:r>
    </w:p>
    <w:p w14:paraId="400F6252" w14:textId="77777777" w:rsidR="00EE3013" w:rsidRPr="00367CD3"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 xml:space="preserve">Venit, Tomas, Moataz Dowaidar, Maxime Gestin, Syed Raza Mahmood, Ülo Langel, and Piergiorgio Percipalle. 2020. Transcriptional Profiling Reveals Ribosome Biogenesis, Microtubule Dynamics and Expression of Specific lncRNAs to Be Part of a Common Response to Cell-Penetrating Peptides. Biomolecules 10 (11): 1567. </w:t>
      </w:r>
      <w:hyperlink r:id="rId9" w:history="1">
        <w:r w:rsidRPr="00367CD3">
          <w:rPr>
            <w:rFonts w:asciiTheme="majorBidi" w:eastAsia="Times New Roman" w:hAnsiTheme="majorBidi" w:cstheme="majorBidi"/>
            <w:color w:val="333333"/>
            <w:sz w:val="18"/>
            <w:szCs w:val="18"/>
            <w:highlight w:val="white"/>
          </w:rPr>
          <w:t>https://doi.org/10.3390/biom10111567</w:t>
        </w:r>
      </w:hyperlink>
      <w:r w:rsidRPr="00367CD3">
        <w:rPr>
          <w:rFonts w:asciiTheme="majorBidi" w:eastAsia="Times New Roman" w:hAnsiTheme="majorBidi" w:cstheme="majorBidi"/>
          <w:color w:val="333333"/>
          <w:sz w:val="18"/>
          <w:szCs w:val="18"/>
          <w:highlight w:val="white"/>
        </w:rPr>
        <w:t>.</w:t>
      </w:r>
      <w:bookmarkEnd w:id="0"/>
      <w:bookmarkEnd w:id="1"/>
    </w:p>
    <w:p w14:paraId="293BC3B3" w14:textId="77777777" w:rsidR="00EE3013" w:rsidRPr="00287DA1" w:rsidRDefault="00EE3013" w:rsidP="00EE3013">
      <w:pPr>
        <w:pStyle w:val="ListParagraph"/>
        <w:keepNext/>
        <w:keepLines/>
        <w:numPr>
          <w:ilvl w:val="0"/>
          <w:numId w:val="4"/>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 Cell-Penetrating Peptides Uptake Pathways and Role in Drug Deliverywith</w:t>
      </w:r>
      <w:r w:rsidRPr="00287DA1">
        <w:rPr>
          <w:rFonts w:asciiTheme="majorBidi" w:eastAsia="Times New Roman" w:hAnsiTheme="majorBidi" w:cstheme="majorBidi"/>
          <w:color w:val="333333"/>
          <w:sz w:val="18"/>
          <w:szCs w:val="18"/>
          <w:highlight w:val="white"/>
        </w:rPr>
        <w:t xml:space="preserve"> Potentials for Gene Therapy and Vaccine Development . Preprints.org 2023, 2023070889. https://doi.org/10.20944/preprints202307.0889.v1</w:t>
      </w:r>
    </w:p>
    <w:p w14:paraId="3F99E8FF" w14:textId="77777777" w:rsidR="00EE3013" w:rsidRPr="00EE3013" w:rsidRDefault="00EE3013" w:rsidP="00EE3013">
      <w:pPr>
        <w:keepNext/>
        <w:keepLines/>
        <w:spacing w:after="100"/>
        <w:jc w:val="both"/>
        <w:rPr>
          <w:rFonts w:asciiTheme="majorBidi" w:eastAsia="Times New Roman" w:hAnsiTheme="majorBidi" w:cstheme="majorBidi"/>
          <w:color w:val="333333"/>
          <w:sz w:val="24"/>
          <w:szCs w:val="24"/>
          <w:highlight w:val="white"/>
        </w:rPr>
      </w:pPr>
      <w:bookmarkStart w:id="3" w:name="_GoBack"/>
      <w:bookmarkEnd w:id="2"/>
      <w:bookmarkEnd w:id="3"/>
    </w:p>
    <w:sectPr w:rsidR="00EE3013" w:rsidRPr="00EE3013">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DDF84D" w14:textId="77777777" w:rsidR="00713333" w:rsidRDefault="00713333" w:rsidP="00EB4BD8">
      <w:pPr>
        <w:spacing w:line="240" w:lineRule="auto"/>
      </w:pPr>
      <w:r>
        <w:separator/>
      </w:r>
    </w:p>
  </w:endnote>
  <w:endnote w:type="continuationSeparator" w:id="0">
    <w:p w14:paraId="20B30A71" w14:textId="77777777" w:rsidR="00713333" w:rsidRDefault="00713333" w:rsidP="00EB4BD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3B4589" w14:textId="77777777" w:rsidR="00713333" w:rsidRDefault="00713333" w:rsidP="00EB4BD8">
      <w:pPr>
        <w:spacing w:line="240" w:lineRule="auto"/>
      </w:pPr>
      <w:r>
        <w:separator/>
      </w:r>
    </w:p>
  </w:footnote>
  <w:footnote w:type="continuationSeparator" w:id="0">
    <w:p w14:paraId="39C81DF4" w14:textId="77777777" w:rsidR="00713333" w:rsidRDefault="00713333" w:rsidP="00EB4BD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1D3613"/>
    <w:multiLevelType w:val="multilevel"/>
    <w:tmpl w:val="B784FC0C"/>
    <w:lvl w:ilvl="0">
      <w:start w:val="107"/>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1" w15:restartNumberingAfterBreak="0">
    <w:nsid w:val="59305DBE"/>
    <w:multiLevelType w:val="multilevel"/>
    <w:tmpl w:val="2E6EB640"/>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2" w15:restartNumberingAfterBreak="0">
    <w:nsid w:val="62551179"/>
    <w:multiLevelType w:val="hybridMultilevel"/>
    <w:tmpl w:val="718A39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302252"/>
    <w:multiLevelType w:val="hybridMultilevel"/>
    <w:tmpl w:val="92C8873E"/>
    <w:lvl w:ilvl="0" w:tplc="0409000F">
      <w:start w:val="1"/>
      <w:numFmt w:val="decimal"/>
      <w:lvlText w:val="%1."/>
      <w:lvlJc w:val="left"/>
      <w:pPr>
        <w:ind w:left="432" w:hanging="360"/>
      </w:p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2DA4"/>
    <w:rsid w:val="00583A59"/>
    <w:rsid w:val="00701850"/>
    <w:rsid w:val="00713333"/>
    <w:rsid w:val="00A52DA4"/>
    <w:rsid w:val="00EB4BD8"/>
    <w:rsid w:val="00EE301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AD7614"/>
  <w15:docId w15:val="{5A47FA7A-2781-4B73-A808-5DF66FF10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EB4BD8"/>
    <w:pPr>
      <w:tabs>
        <w:tab w:val="center" w:pos="4680"/>
        <w:tab w:val="right" w:pos="9360"/>
      </w:tabs>
      <w:spacing w:line="240" w:lineRule="auto"/>
    </w:pPr>
  </w:style>
  <w:style w:type="character" w:customStyle="1" w:styleId="HeaderChar">
    <w:name w:val="Header Char"/>
    <w:basedOn w:val="DefaultParagraphFont"/>
    <w:link w:val="Header"/>
    <w:uiPriority w:val="99"/>
    <w:rsid w:val="00EB4BD8"/>
  </w:style>
  <w:style w:type="paragraph" w:styleId="Footer">
    <w:name w:val="footer"/>
    <w:basedOn w:val="Normal"/>
    <w:link w:val="FooterChar"/>
    <w:uiPriority w:val="99"/>
    <w:unhideWhenUsed/>
    <w:rsid w:val="00EB4BD8"/>
    <w:pPr>
      <w:tabs>
        <w:tab w:val="center" w:pos="4680"/>
        <w:tab w:val="right" w:pos="9360"/>
      </w:tabs>
      <w:spacing w:line="240" w:lineRule="auto"/>
    </w:pPr>
  </w:style>
  <w:style w:type="character" w:customStyle="1" w:styleId="FooterChar">
    <w:name w:val="Footer Char"/>
    <w:basedOn w:val="DefaultParagraphFont"/>
    <w:link w:val="Footer"/>
    <w:uiPriority w:val="99"/>
    <w:rsid w:val="00EB4BD8"/>
  </w:style>
  <w:style w:type="paragraph" w:styleId="ListParagraph">
    <w:name w:val="List Paragraph"/>
    <w:basedOn w:val="Normal"/>
    <w:uiPriority w:val="34"/>
    <w:qFormat/>
    <w:rsid w:val="00EB4B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doi.org/10.1179/102453308X31615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i.org/10.3390/biom1011156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d="http://www.w3.org/2001/XMLSchema" xmlns:xsi="http://www.w3.org/2001/XMLSchema-instance" xmlns="http://www.boldonjames.com/2008/01/sie/internal/label" sislVersion="0" policy="f9677ce1-080b-4051-a037-2610debe14cb" origin="userSelected">
  <element uid="id_classification_confidential" value=""/>
</sisl>
</file>

<file path=customXml/itemProps1.xml><?xml version="1.0" encoding="utf-8"?>
<ds:datastoreItem xmlns:ds="http://schemas.openxmlformats.org/officeDocument/2006/customXml" ds:itemID="{DD5E53A3-6A53-469B-BEAD-2F6C5D6130D4}">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23</Pages>
  <Words>13550</Words>
  <Characters>77241</Characters>
  <Application>Microsoft Office Word</Application>
  <DocSecurity>0</DocSecurity>
  <Lines>643</Lines>
  <Paragraphs>181</Paragraphs>
  <ScaleCrop>false</ScaleCrop>
  <Company/>
  <LinksUpToDate>false</LinksUpToDate>
  <CharactersWithSpaces>90610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Moataz Mohamed Hamed Abdelmoneim Dowaidar</cp:lastModifiedBy>
  <cp:revision>4</cp:revision>
  <dcterms:created xsi:type="dcterms:W3CDTF">2023-05-19T06:44:00Z</dcterms:created>
  <dcterms:modified xsi:type="dcterms:W3CDTF">2023-07-19T21:03:00Z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22a927a6-cd02-4a06-955d-fdbf8e691bab</vt:lpwstr>
  </property>
  <property fmtid="{D5CDD505-2E9C-101B-9397-08002B2CF9AE}" pid="3" name="bjSaver">
    <vt:lpwstr>jq2/fvDgNq2KeRNLmtdSa3bh9+v7dWPc</vt:lpwstr>
  </property>
  <property fmtid="{D5CDD505-2E9C-101B-9397-08002B2CF9AE}" pid="4" name="bjDocumentLabelXML">
    <vt:lpwstr>&lt;?xml version="1.0" encoding="us-ascii"?&gt;&lt;sisl xmlns:xsd="http://www.w3.org/2001/XMLSchema" xmlns:xsi="http://www.w3.org/2001/XMLSchema-instance" sislVersion="0" policy="f9677ce1-080b-4051-a037-2610debe14cb" origin="userSelected" xmlns="http://www.boldonj</vt:lpwstr>
  </property>
  <property fmtid="{D5CDD505-2E9C-101B-9397-08002B2CF9AE}" pid="5" name="bjDocumentLabelXML-0">
    <vt:lpwstr>ames.com/2008/01/sie/internal/label"&gt;&lt;element uid="id_classification_confidential" value="" /&gt;&lt;/sisl&gt;</vt:lpwstr>
  </property>
  <property fmtid="{D5CDD505-2E9C-101B-9397-08002B2CF9AE}" pid="6" name="bjDocumentSecurityLabel">
    <vt:lpwstr>Confidential</vt:lpwstr>
  </property>
  <property fmtid="{D5CDD505-2E9C-101B-9397-08002B2CF9AE}" pid="7" name="bjClsUserRVM">
    <vt:lpwstr>[]</vt:lpwstr>
  </property>
</Properties>
</file>