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1618BA" w:rsidRPr="002234F2" w:rsidRDefault="00FD65DE">
      <w:pPr>
        <w:keepNext/>
        <w:keepLines/>
        <w:spacing w:before="240" w:after="240"/>
        <w:jc w:val="both"/>
        <w:rPr>
          <w:rFonts w:ascii="Times New Roman" w:eastAsia="Times New Roman" w:hAnsi="Times New Roman" w:cs="Times New Roman"/>
          <w:b/>
          <w:color w:val="333333"/>
          <w:sz w:val="28"/>
          <w:szCs w:val="28"/>
          <w:highlight w:val="white"/>
        </w:rPr>
      </w:pPr>
      <w:r w:rsidRPr="002234F2">
        <w:rPr>
          <w:rFonts w:ascii="Times New Roman" w:eastAsia="Times New Roman" w:hAnsi="Times New Roman" w:cs="Times New Roman"/>
          <w:b/>
          <w:color w:val="333333"/>
          <w:sz w:val="28"/>
          <w:szCs w:val="28"/>
          <w:highlight w:val="white"/>
        </w:rPr>
        <w:t>Nanomedicine potential for endometriosis treatment</w:t>
      </w:r>
    </w:p>
    <w:p w14:paraId="00000002" w14:textId="77777777" w:rsidR="001618BA" w:rsidRDefault="001618BA">
      <w:pPr>
        <w:keepNext/>
        <w:keepLines/>
        <w:spacing w:before="240" w:after="240"/>
        <w:jc w:val="both"/>
        <w:rPr>
          <w:rFonts w:ascii="Times New Roman" w:eastAsia="Times New Roman" w:hAnsi="Times New Roman" w:cs="Times New Roman"/>
          <w:color w:val="333333"/>
          <w:sz w:val="24"/>
          <w:szCs w:val="24"/>
          <w:highlight w:val="white"/>
        </w:rPr>
      </w:pPr>
    </w:p>
    <w:p w14:paraId="3243BEF8" w14:textId="77777777" w:rsidR="002234F2" w:rsidRDefault="002234F2" w:rsidP="002234F2">
      <w:pPr>
        <w:keepNext/>
        <w:keepLines/>
        <w:spacing w:before="240" w:after="240"/>
        <w:jc w:val="both"/>
        <w:rPr>
          <w:rFonts w:ascii="Times New Roman" w:eastAsia="Times New Roman" w:hAnsi="Times New Roman" w:cs="Times New Roman"/>
          <w:color w:val="2E2E2E"/>
          <w:sz w:val="24"/>
          <w:szCs w:val="24"/>
          <w:highlight w:val="white"/>
          <w:vertAlign w:val="superscript"/>
        </w:rPr>
      </w:pPr>
      <w:r>
        <w:rPr>
          <w:rFonts w:ascii="Times New Roman" w:eastAsia="Times New Roman" w:hAnsi="Times New Roman" w:cs="Times New Roman"/>
          <w:color w:val="2E2E2E"/>
          <w:sz w:val="24"/>
          <w:szCs w:val="24"/>
          <w:highlight w:val="white"/>
        </w:rPr>
        <w:t xml:space="preserve">Moataz Dowaidar </w:t>
      </w:r>
      <w:r>
        <w:rPr>
          <w:rFonts w:ascii="Times New Roman" w:eastAsia="Times New Roman" w:hAnsi="Times New Roman" w:cs="Times New Roman"/>
          <w:color w:val="2E2E2E"/>
          <w:sz w:val="24"/>
          <w:szCs w:val="24"/>
          <w:highlight w:val="white"/>
          <w:vertAlign w:val="superscript"/>
        </w:rPr>
        <w:t>1,2</w:t>
      </w:r>
    </w:p>
    <w:p w14:paraId="6C020031" w14:textId="77777777" w:rsidR="002234F2" w:rsidRDefault="002234F2" w:rsidP="002234F2">
      <w:pPr>
        <w:keepNext/>
        <w:keepLines/>
        <w:spacing w:before="240" w:after="240"/>
        <w:jc w:val="both"/>
        <w:rPr>
          <w:rFonts w:ascii="Times New Roman" w:eastAsia="Times New Roman" w:hAnsi="Times New Roman" w:cs="Times New Roman"/>
          <w:color w:val="2E2E2E"/>
          <w:sz w:val="24"/>
          <w:szCs w:val="24"/>
          <w:highlight w:val="white"/>
        </w:rPr>
      </w:pPr>
      <w:r>
        <w:rPr>
          <w:rFonts w:ascii="Times New Roman" w:eastAsia="Times New Roman" w:hAnsi="Times New Roman" w:cs="Times New Roman"/>
          <w:color w:val="2E2E2E"/>
          <w:sz w:val="24"/>
          <w:szCs w:val="24"/>
          <w:highlight w:val="white"/>
          <w:vertAlign w:val="superscript"/>
        </w:rPr>
        <w:t>1</w:t>
      </w:r>
      <w:r>
        <w:rPr>
          <w:rFonts w:ascii="Times New Roman" w:eastAsia="Times New Roman" w:hAnsi="Times New Roman" w:cs="Times New Roman"/>
          <w:color w:val="2E2E2E"/>
          <w:sz w:val="24"/>
          <w:szCs w:val="24"/>
          <w:highlight w:val="white"/>
        </w:rPr>
        <w:t xml:space="preserve"> Department of Bioengineering, King Fahd University of Petroleum and Minerals (KFUPM), Dhahran 31261, Saudi Arabia.</w:t>
      </w:r>
    </w:p>
    <w:p w14:paraId="23CE384F" w14:textId="77777777" w:rsidR="002234F2" w:rsidRDefault="002234F2" w:rsidP="002234F2">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2E2E2E"/>
          <w:sz w:val="24"/>
          <w:szCs w:val="24"/>
          <w:highlight w:val="white"/>
          <w:vertAlign w:val="superscript"/>
        </w:rPr>
        <w:t xml:space="preserve">2 </w:t>
      </w:r>
      <w:r>
        <w:rPr>
          <w:rFonts w:ascii="Times New Roman" w:eastAsia="Times New Roman" w:hAnsi="Times New Roman" w:cs="Times New Roman"/>
          <w:color w:val="2E2E2E"/>
          <w:sz w:val="24"/>
          <w:szCs w:val="24"/>
          <w:highlight w:val="white"/>
        </w:rPr>
        <w:t>Interdisciplinary Research Center for Hydrogen and Energy Storage (IRC-HES), King Fahd University of Petroleum and Minerals (KFUPM), Dhahran, 31261, Saudi Arabia.</w:t>
      </w:r>
    </w:p>
    <w:p w14:paraId="00000003" w14:textId="77777777" w:rsidR="001618BA" w:rsidRDefault="001618BA">
      <w:pPr>
        <w:keepNext/>
        <w:keepLines/>
        <w:spacing w:before="240" w:after="240"/>
        <w:jc w:val="both"/>
        <w:rPr>
          <w:rFonts w:ascii="Times New Roman" w:eastAsia="Times New Roman" w:hAnsi="Times New Roman" w:cs="Times New Roman"/>
          <w:color w:val="333333"/>
          <w:sz w:val="24"/>
          <w:szCs w:val="24"/>
          <w:highlight w:val="white"/>
        </w:rPr>
      </w:pPr>
    </w:p>
    <w:p w14:paraId="00000004" w14:textId="77777777" w:rsidR="001618BA" w:rsidRDefault="001618BA">
      <w:pPr>
        <w:keepNext/>
        <w:keepLines/>
        <w:spacing w:before="240" w:after="240"/>
        <w:jc w:val="both"/>
        <w:rPr>
          <w:rFonts w:ascii="Times New Roman" w:eastAsia="Times New Roman" w:hAnsi="Times New Roman" w:cs="Times New Roman"/>
          <w:color w:val="333333"/>
          <w:sz w:val="24"/>
          <w:szCs w:val="24"/>
          <w:highlight w:val="white"/>
        </w:rPr>
      </w:pPr>
    </w:p>
    <w:p w14:paraId="00000005" w14:textId="77777777" w:rsidR="001618BA" w:rsidRDefault="001618BA">
      <w:pPr>
        <w:keepNext/>
        <w:keepLines/>
        <w:spacing w:before="240" w:after="240"/>
        <w:jc w:val="both"/>
        <w:rPr>
          <w:rFonts w:ascii="Times New Roman" w:eastAsia="Times New Roman" w:hAnsi="Times New Roman" w:cs="Times New Roman"/>
          <w:color w:val="333333"/>
          <w:sz w:val="24"/>
          <w:szCs w:val="24"/>
          <w:highlight w:val="white"/>
        </w:rPr>
      </w:pPr>
    </w:p>
    <w:p w14:paraId="00000006"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Abstract</w:t>
      </w:r>
    </w:p>
    <w:p w14:paraId="00000007"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Contraception has previously provided alternative medication delivery techniques for the treatment of endometriosis. Only LNG-IUSs and depot formulation (DMPA), however, have been studied in numerous RCTs to treat patients. These approaches tend to enhance patient compliance and satisfaction when compared to other conventional treatment alternatives. Nanotechnologies are potential new drug delivery techniques that have been shown to deliver compounds with a particular therapeutic impact. However, the information is limited and preliminary. Endometriosis research has identified the patients who could benefit most from this kind of medication administration. No one has ever been used in a clinical study to treat endometria. Alternative medication delivery techniques may help to enhance compliance, effectiveness, and the development of novel treatment approaches. The use of vaginal rings as a unique and alternative medication delivery route for AIs, as well as the experience with danazol, are examples. The vaginal ring has been studied as a new medication delivery mechanism for danazol and aromatase inhibitors. Nanotechnologies are made up of bioconjugates that deliver anti-inflammatory, antioxidant, anti-angiogenic, and immunomodulating chemicals directly to the illness site. At this early stage of proof-of-concept, the evidence is limited and tentative. Clinical effectiveness can not be predicted using mouse models.</w:t>
      </w:r>
    </w:p>
    <w:p w14:paraId="00000008" w14:textId="77777777" w:rsidR="001618BA" w:rsidRDefault="00FD65DE">
      <w:pPr>
        <w:keepNext/>
        <w:keepLines/>
        <w:spacing w:before="240" w:after="240"/>
        <w:ind w:left="720"/>
        <w:rPr>
          <w:rFonts w:ascii="Times New Roman" w:eastAsia="Times New Roman" w:hAnsi="Times New Roman" w:cs="Times New Roman"/>
          <w:color w:val="333333"/>
          <w:sz w:val="24"/>
          <w:szCs w:val="24"/>
          <w:highlight w:val="white"/>
        </w:rPr>
      </w:pPr>
      <w:r>
        <w:br w:type="page"/>
      </w:r>
    </w:p>
    <w:p w14:paraId="00000009" w14:textId="77777777" w:rsidR="001618BA" w:rsidRDefault="00FD65DE">
      <w:pPr>
        <w:keepNext/>
        <w:keepLines/>
        <w:spacing w:before="240" w:after="240"/>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1. Introduction</w:t>
      </w:r>
    </w:p>
    <w:p w14:paraId="0000000A" w14:textId="15CB738A"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Endometriosis is a chronic hormone-dependent inflammatory disease that mostly affects premenopausal women, with a prevalence of 5–10%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 illness is defined by the presence of ectopic endometrial tissue, and the clinical presentation is varied, with pain sensations, infertility, and anatomic disturbance being the most common symptoms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0B" w14:textId="796A5A6A"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Most severe instances with considerable anatomic disruption and organ damage, such as bowel blockage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or ureteral hydronephrosis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9–11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require surgery. Surgery, on the other hand, is more divisive in the treatment of infertility and pain, because of the proclivity of endometriosis to return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the unpredictability of symptom relief and infertility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8,13–16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Pain, infertility, and the anatomic expansion of ectopic implants are not necessarily linked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the clinical presentation is thought to be influenced by a number of variables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18–20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As a result, determining the most suitable therapy for each patient can be difficult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0C" w14:textId="106D4A7B"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After surgery, medical treatment is critical for controlling symptoms and avoiding disease progression or recurrence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 first-line medication for endometriosis treatment is progestins and estroprogestins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They suppress ovarian function by inhibiting the production of gonadotropin-releasing hormone (GnRH) and gonadotropins. Furthermore, both elevated progesterone levels and the hypoestrogenic condition caused by progestin monotherapy elicit decidualization of both eutopic and ectopic endometrium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as well as decreased activity and inflammation at the level of endometriotic implants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23–25</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In non-responsive patients, GnRH analogs are a second-line alternative to progestins and estroprogestins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They work by inhibiting gonadotropin release and reducing ovarian activity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resulting in a hypoestrogenic condition that can effectively manage symptoms and promote endometriotic implant regression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However, serious side effects (AEs)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need add-back treatment and restrict their usefulness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0D" w14:textId="317545B0"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Although the growing body of evidence on the etiopathogenesis of endometriosis is increasing the number of investigational drugs targeting the disease, such as aromatase inhibitors (AIs), selective progesterone receptor modulators, immunomodulators, and histone deacetylase inhibitors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23,29–32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only a few of these new drugs have progressed to the early stages of clinical trials. As a result, endometriosis pharmacotherapy is currently mostly focused on conventional hormone treatment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which provides only sporadic or limited benefit to a substantial number of patients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Discomfort does not improve in about 15% of patients, and pain is still present at the conclusion of treatment in 5%–59% of instances. Furthermore, AEs associated with conventional treatments result in treatment cessation in almost 10% of patients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On this premise, further research is needed to expand the current methods as well as customize and enhance the care of endometriosis patients.</w:t>
      </w:r>
    </w:p>
    <w:p w14:paraId="0000000E" w14:textId="2EE1A618"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In this sense, pharmacotherapy innovation is not confined to the creation of novel molecules, but also encompasses any alteration that might improve medication efficacy, boost patient compliance, or minimize adverse events. Among the several alternatives, alternative drug delivery system research is a well-known technique for generating novel medicines and improving existing therapy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Many different delivery methods have been developed to improve compliance, efficacy, and tolerability of estrogen and progestin-based contraceptive hormones, which are perfect examples of such innovation. </w:t>
      </w:r>
    </w:p>
    <w:p w14:paraId="0000000F" w14:textId="4BC66088"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From a drug delivery centered on oral administration, many different delivery methods have been developed to improve compliance, efficacy, and tolerability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35</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These advancements were extended beyond contraception to endometriosis therapy, and they served as a model that is now being applied to other medicines in more recent studies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36–39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Given the relevance of alternative drug delivery techniques in enhancing endometriosis pharmacotherapy, the goal of this review is to give the reader an overview of the existing data about drug delivery strategies that have been or will be studied for endometriosis therapies.</w:t>
      </w:r>
    </w:p>
    <w:p w14:paraId="00000010"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2. Techniques</w:t>
      </w:r>
    </w:p>
    <w:p w14:paraId="00000011"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A literature search was conducted on the electronic databases MEDLINE, EMBASE, The Cochrane Library, and the Web of Science from inception to May 2020 for this review. The medical phrases ‘endometriosis,' ‘drug delivery,' ‘vaginal ring,' ‘subcutaneous,' ‘intramuscular,' ‘depot,' ‘transdermal,' ‘nanoparticles,' and ‘nanofibers' were included in the search strategy. The goal of the literature search was to find all preclinical and clinical trials published in English that looked at the use of a new drug delivery system to treat endometriosis. There were no explicit inclusion or exclusion criteria used. Two writers separately reviewed the titles and abstracts of recognized studies (S.G., A.S.L.). Two more team members downloaded the entire text of possibly qualifying studies and independently assessed them (J.C., F.B.). Any discrepancies were worked out with the help of a third author (S.F.). All the selected studies' reference lists were carefully reviewed to find other articles that were suitable.</w:t>
      </w:r>
    </w:p>
    <w:p w14:paraId="00000012"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We did not utilize a systematic approach to reporting the data because the current analysis focused on diverse delivery modalities for different existing or experimental medicines. Instead, we reported on more relevant studies that were chosen based on the authors' personal professional opinions in order to give the reader a comprehensive and comprehensive review of new medication delivery techniques in endometriosis.</w:t>
      </w:r>
    </w:p>
    <w:p w14:paraId="00000013"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3. Endometriosis drug delivery techniques</w:t>
      </w:r>
    </w:p>
    <w:p w14:paraId="00000014"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Endometriosis may be treated using a variety of medication delivery techniques. Consolidated techniques for the delivery of estrogestins and progestins for contraception are among the most researched. Moreover, the same delivery methods have been examined for the delivery of particular medicines for endometriosis. Nanotechnology, on the other hand, is a possible novelty. Although they are still in the preclinical and proof-of-concept stages for use in endometriosis, they may provide a novel medication delivery mechanism.</w:t>
      </w:r>
    </w:p>
    <w:p w14:paraId="00000015"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3.1 Vaginal rings </w:t>
      </w:r>
    </w:p>
    <w:p w14:paraId="00000016" w14:textId="59884BE6"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For a variety of medicines, including hormones for contraceptive and replacement treatment, vaginal administration has been shown to be an effective drug delivery technique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Vaginal rings come in a variety of sizes, structures, polymer compositions, and hormone delivery options, but they all offer similar benefits over oral treatment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Vaginal rings produce hormones that are efficiently absorbed by the vaginal mucosa on a regular basis. This method of delivery avoids the first hepatic transit and gives a systemic exposure equivalent to oral contraceptives with a nearly 50% reduced total exposure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Reduced steroid exposure reduces adverse effects and their impact on hemostatic function, preserving ovulation inhibition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43,44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Furthermore, the use of vaginal rings for contraception has been linked to increased compliance, consistency, and acceptability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45,46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Based on this experience, vaginal rings have been examined as an alternative to oral delivery for the treatment of endometriosis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 justification for using vaginal rings as a medication delivery technique in endometriosis is based mostly on two factors: 1) to minimize the systemic concentration and accompanying AEs of medicines that are poorly tolerated when taken orally; 2) to take advantage of the ‘uterine first-pass' effect, which might offer direct action on deep infiltrating endometriosis when delivered locally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47,48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17"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Estroprogestins </w:t>
      </w:r>
    </w:p>
    <w:p w14:paraId="00000018" w14:textId="2AD0877E"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Vercellini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conducted a patient preference trial comparing estroprogestins administered continuously for 12 months by a vaginal ring (ethinyl estradiol (EE) 15 g + etonogestrel (ENG) 120 g) versus estroprogestins administered continuously for 12 months by a transdermal patch (EE 20 g + norelgestromin 150 g) in women who underwent surgery for Withdrawal was high in both groups, although it was higher in the transdermal patch group (36 percent versus 61 percent). AEs were the most common cause for discontinuation, followed by a desire to utilize a combination oral contraceptive (COC). Although both groups had poor bleeding control and better pain symptoms, patients who utilized the vaginal ring had less dysmenorrhea, less profound dyspareunia, fewer AEs, and higher satisfaction, especially when rectovaginal implants were present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19" w14:textId="642C15B3"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Despite these encouraging outcomes, only a second experiment looked into the vaginal route as a drug delivery mechanism for endometriosis estroprogestins. For symptomatic rectovaginal endometriosis, a combined contraceptive vaginal ring was compared to a desogestrel single tablet (75 mcg/day) given consistently for 12 months. Women who took the desogestrel pill reported higher satisfaction (61.7 percent vs. 36.1 percent) and better relief of gastrointestinal symptoms, chronic pelvic pain, and dyspareunia in this patient preference study. However, there were no differences in the rate of cessation or the decrease of rectovaginal nodules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On this premise, while the vaginal route is successful and offers many benefits when estroprogestins are used for contraception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data on endometriosis therapy is sparse. As a result, we can't say whether all of the benefits of contraception, such as compliance, are also present when endometriosis is treated with vaginal rings that release estroprogestins. Every new clinical indication necessitates a separate evaluation of each medication delivery technique.</w:t>
      </w:r>
    </w:p>
    <w:p w14:paraId="0000001A"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3.1.2. Danazol</w:t>
      </w:r>
    </w:p>
    <w:p w14:paraId="0000001B" w14:textId="20690C7F"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In endometriosis, the vaginal route has been studied as an alternate delivery strategy for several medicines, with the goal of taking advantage of both local administration and lower systemic levels. The majority of data focuses on the use of danazol, a 17-ethynyl-testosterone derivate that suppresses gonadotropin production, inhibits aromatase activity, and reduces inflammation, resulting in endometriotic implant atrophy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Oral administration of danazol has been linked to adverse effects due to its moderate androgenic activity, making it unsuitable for long-term use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1C" w14:textId="0636558E"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Several studies have looked into the use of danazol vaginally to preserve its effectiveness and minimize the AEs. The dosages examined ranged from 95 to 200 mg per day for 6–12 months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53–57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In all studies, pain symptoms were reported to have improved, especially in individuals with deep infiltrating endometriosis. It's worth noting that all of the trials showed a decrease in rectovaginal nodules but no effect on the number of endometriomas. In contrast to oral delivery, blood levels of danazol were found to be reduced or undetectable, with practically no AEs associated with the androgenic effect. Danazol concentrations in the ovaries and uterus were equivalent to those obtained following oral treatment, but only 1/20 of those found in the blood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 release of danazol through vaginal rings in the vicinity of deep endometriotic implants creates large local concentrations, decreasing systemic levels and associated adverse events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Low systemic levels, for example, have no contraceptive effect. If danazol is not removed after conception, prolonged ovulation offers a danger of female fetal virilization; thus, concurrent contraceptive measures are suggested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1D"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3.1.3 Aromatase inhibitors </w:t>
      </w:r>
    </w:p>
    <w:p w14:paraId="0000001E" w14:textId="1F26E171"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Letrozole and anastrozole (ATZ), both third-generation AIs, are reversible inhibitors that compete with androgens for aromatase binding sites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They've been studied in endometriosis because they block aromatase, which suppresses estrogen production more effectively than ovarian function inhibition. AIs have been shown to inhibit estrogen synthesis in the ovaries, periphery tissues, and endometriotic implants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In this regard, vaginal rings have recently been investigated to take advantage of the local administration and lower systemic levels provided by this route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47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based on the local presence and activity of aromatase in endometriotic lesions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the significant AEs after systemic administration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59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1F" w14:textId="65F5F44C"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Hefler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conducted a single-arm open-label clinical study in which ten premenopausal women with rectovaginal endometriosis were given daily ATZ 0.25 mg in a 2-g vaginal suppository for six months. Every day, all of the patients were given 2400 mg of elemental calcium and 800 IU of vitamin D. Chronic pelvic pain and dyspareunia did not improve during or after therapy as compared to baseline values; only dysmenorrhea and quality of life as measured by the Short Form 36 (SF-36) health survey improved. There were no changes in gonadotropin, estradiol, or bone mineral density (BMD) levels. However, they calculated the dose of ATZ using danazol suppositories' pharmacokinetics and the anticipated resorption capability of vaginal walls.</w:t>
      </w:r>
    </w:p>
    <w:p w14:paraId="00000020" w14:textId="624CE040"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Schultze-Mosgau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were the first to perform a randomized phase I study to evaluate the pharmacokinetics, pharmacodynamics, safety, and tolerability of vaginally given ATZ with levonorgestrel (LNG). Sixty healthy women between the ages of 18 and 35 were randomly assigned to one of three arms and were required to wear the vaginal ring for two consecutive 28-day periods (A: 500 mcg/day ATZ and 20 mcg/day LNG; B: 1000 mcg/day ATZ and 30 mcg/day LNG; C: 1500 mcg/day ATZ and 40 mcg/day LNG). There were no ovarian cysts or any major AEs noted by the researchers. Only groups B and C showed a substantial reduction in estradiol levels, and 40 mcg/day of LNG was required to attain serum levels equivalent to oral treatment. These findings allowed the ATZ and LNG doses for Phase 2 trials to be determined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 phase IIb randomized, parallel-group, double-blind clinical study was recently completed. In endometriosis patients, the research looked at the effectiveness and safety of LNG 40 mcg given with or without different dosages of ATZ through a vaginal ring. In symptomatic endometriosis, they compared three months of treatment to placebo and leuprolide (NCT02203331). The findings will help us to determine if the use of a vaginal ring is a novel approach to treating endometriosis using AIs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21"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3.2 Intrauterine systems </w:t>
      </w:r>
    </w:p>
    <w:p w14:paraId="00000022" w14:textId="2DAD83BC"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IUSs (intrauterine drug delivery systems) were first developed in the early 1990s and quickly became one of the most widely used contraceptive methods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65</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IUSs are the most effective of the many alternatives because they provide protective effects that are independent of the subject's motivation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LNG (LNG-IUSs) is a second-generation progestogen produced from 19-nortestosterone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all current IUSs include various doses (total content: 13.5, 19.5, and 52 mg). The intrauterine administration technique produces a regionally high LNG concentration, which leads to endometrial decidualization and atrophy, as well as low systemic levels, reducing AEs and increasing tolerance. It's worth noting that most patients' cycles are still ovulatory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68–70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Additional non-contraceptive advantages were linked to the high local LNG content. Different investigations revealed a substantial decrease or resolution of excessive monthly bleeding and dysmenorrhea (whether primary or secondary)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while other data suggested that endometrial hyperplasia may be prevented and treated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As a result, some research has looked into intrauterine administration as an alternative means of delivering LNG to endometriosis patients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23" w14:textId="41DBEFE4"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In patients with endometriosis, the justification for using IUSs as a medication delivery technique is similar to that of vaginal rings. It is based on lowering systemic LNG concentrations and associated AEs, as well as the advantages of local administration. Furthermore, LNG-IUSs are self-motivating and have a contraceptive effect, as well as the possibility of long-term treatment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IUSs, on the other hand, have the disadvantage of requiring expert fitting, despite the fact that this feature is critical for the stated high compliance.</w:t>
      </w:r>
    </w:p>
    <w:p w14:paraId="00000024" w14:textId="62560492"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After 6 months of therapy, LNG-IUSs in endometriosis have been linked to better pain symptoms, including dyschezia and profound dyspareunia, as well as smaller rectovaginal implants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Later randomized controlled studies (RCTs)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75–82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corroborated these early findings. Compared to expectant treatment following surgery, LNG-IUSs were related to better relief of pain complaints and improved patient satisfaction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75,76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Compared to other therapeutic options like GnRH analogs, depot medroxyprogesterone acetate, or an ENG releasing contraceptive implant, LNG-IUSs resulted in similar pain symptom improvement but overall higher, or at least similar, patient satisfaction and compliance, even after a three-year follow-up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77–82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All known trials suggest IUSs as a viable alternative medication delivery route for endometriosis, with irregular bleeding being the most common adverse event that tends to subside over time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25" w14:textId="39259D46"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Despite these findings, LNG-IUSs in endometriosis have been questioned due to the lack of certainty in endometrioma recurrence prevention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 majority of patients have long ovulatory cycles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68–70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some writers have expressed worry about the possibility of endometrioma or misdiagnosis in individuals with functioning ovarian cysts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After surgery, retrospective studies comparing LNG-IUS to COC found mixed outcomes. In terms of endometrioma recurrence, two studies found no differences between the two treatments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83,84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whereas other research found a cumulative rate of endometrioma recurrence of 25% after 5 years.</w:t>
      </w:r>
    </w:p>
    <w:p w14:paraId="00000026" w14:textId="7215C9F8"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In the case of RTCs, two investigations found no endometriomas, but the limited sample size and short follow-up did not allow definite conclusions to be drawn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76,78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In contrast, Chen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81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found a comparable cumulative rate of endometrioma recurrence in women who received surgery and 6 months of GnRH analogs following 30 months of LNG-IUS vs expectant care (25 percent vs. 37.5 percent, respectively; p = 0.2). However, only 2.5 percent of LNG-IUS patients needed a second surgery for endometrioma, compared to 20% of patients who had expectant care (p = 0.031). IUSs can be regarded as a helpful alternative medication delivery technique for patients with endometriosis, especially those who have dysmenorrhea and are searching for contraception, based on these findings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LNG-IUSs, on the other hand, should be questioned and avoided by individuals with a history of endometrioma, especially if their family plan is not completed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27"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3.2.1 Other non-LNG IUSs </w:t>
      </w:r>
    </w:p>
    <w:p w14:paraId="00000028" w14:textId="7B0C9A8C"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Although LNG is included in all currently available IUSs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67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other medicines have been studied in preclinical and preliminary clinical studies using this delivery mechanism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Only danazol is being used to treat endometriosis among the compounds examined. Danazol has been made as an IUS and evaluated in a rat model of adenomyosis, similar to vaginal rings. Similar to oral delivery, two months of therapy resulted in a substantial decrease in adenomyosis nodules, but with considerably lower serum levels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85</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t>
      </w:r>
    </w:p>
    <w:p w14:paraId="00000029" w14:textId="4F0D157E"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Although danazol-loaded IUS was originally designed for adenomyosis, the benefits of local administration made it worthwhile to investigate this delivery technique in endometriosis. Cobellis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86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tested a danazol-loaded IUS containing 300–400 mg in 18 women with symptomatic endometriosis in a pilot trial. Dysmenorrhea, dyspareunia, and chronic pelvic pain were found to be considerably reduced with appropriate compliance after 6 months, indicating that danazol-loaded IUS might be beneficial for symptomatic endometriosis.</w:t>
      </w:r>
    </w:p>
    <w:p w14:paraId="0000002A"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3.3 Formulations for depots </w:t>
      </w:r>
    </w:p>
    <w:p w14:paraId="0000002B" w14:textId="5BD55F38"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Long-acting delivery methods offer the benefit of improving patient compliance while also eliminating the initial hepatic transit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87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IUSs are one of the long-acting delivery techniques used in the treatment of endometriosis. GnRH analogs and progestogens, when used as long-acting injectable medicines or implants, are another example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2C" w14:textId="6C353140"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Progestins are an important part of endometriosis treatment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Different chemicals are available, all of which imitate natural progesterone activity, with eutopic and ectopic endometrial decidualization and atrophy as a result. They decrease ovarian function, block inflammatory pathways, metalloprotease activity, and gonadotropin release, and cause death in endometriotic cells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Progestins come in a variety of formulations, allowing you to tailor your therapy. Subdermal, subcutaneous, and intramuscular drug delivery by injection or implants, in addition to IUSs, are well-known drug delivery techniques used for contraceptives and explored for endometriosis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2D"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3.3.1. Medroxyprogesterone acetate </w:t>
      </w:r>
    </w:p>
    <w:p w14:paraId="0000002E" w14:textId="36F45E6D"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Medroxyprogesterone acetate is available as a long-acting depot formulation (DMPA), which is given intramuscularly (150 mg/1.0 mL) or subcutaneously (104 mg/0.65 mL) every three months. DMPA is an injectable progesterone-only (17-OH progesterone derivate) contraception that has been widely used across the world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88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Vercellini et al. compared intramuscular DMPA every three months with COC with a modest dose of danazol in one of the first RCTs on endometriosis in 1996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89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40 women with endometriosis and persistent pelvic pain were randomized into each group and treated for one year. Patients reported a substantial reduction in pain symptoms with both therapies, which had similar effects except for the DMPA group's greater improvement in dysmenorrhea. When compared to COC, the DMPA satisfied a greater but non-significant number of patients (72.5 percent vs. 57.5 percent; p = 0.24). A second RCT compared DMPA with COC and found comparable outcomes, with equal satisfaction in both groups and reduced dysmenorrhea in the DMPA group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2F" w14:textId="3CA1914F"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Three RCTs compared subcutaneous DMPA with GnRH analogs (leuprolide acetate, elagolix) given for 6 months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91–93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one study compared intramuscular DMPA with LNG-IUS for 36 months of therapy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one RCT compared one year of DMPA with one year of ENG-releasing implant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After 12 months of follow-up, subcutaneous DMPA and GnRH analogs given every 3 months for 6 months showed a comparable decrease in pain symptoms and better quality of life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91–93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Subcutaneous DMPA, on the other hand, was linked to improved sexual pleasure, lower BMD loss (only with leuprolide acetate)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fewer hypoestrogenic symptoms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Wong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randomized 30 women to either injectable DMPA every three months or LNG-IUS for 36 months of therapy; both groups reported a comparable decrease in pain complaints with no recurrences. In the DMPA arm, however, a greater percentage of patients stopped taking the medication.</w:t>
      </w:r>
    </w:p>
    <w:p w14:paraId="00000030" w14:textId="2F9FC31E"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In all RCTs, the most common adverse effect of DMPA was irregular bleeding, which most patients described as spotting and, less commonly, as breakthrough bleeding. In all studies, the DMPA group experienced significantly more irregular bleeding, which was also associated with a significantly longer period to recover from a normal menstrual flow.Only in the RCT by Walch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were there no differences in efficacy, adverse events, compliance, or satisfaction reported after 1 year of therapy between DMPA and the ENG-releasing implant.</w:t>
      </w:r>
    </w:p>
    <w:p w14:paraId="00000031" w14:textId="3A0F0C1A"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The loss of BMD caused by the induced hypoestrogenic condition raises concerns about DMPA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95</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.Long-term use of DMPA has been linked to an increased risk of bone fracture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despite the fact that it is lower and returns to baseline levels faster than GnRH analogs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Even after long-term usage, however, the observed BMD loss was confined to the first two years of therapy, after which it stabilized. Several investigations have shown that BMD levels revert to normal following a two-year cessation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95–97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Finally, large-scale, population-based investigations found that DMPA users have a minor or non-existent increased risk of fracture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98–100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Despite the need for more study, the American College of Obstetricians and Gynecologists (ACOG) and the World Health Organization (WHO) both believe that the advantages exceed the dangers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101,102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Although not the first option, they propose DMPA as a method to improve patient adherence to progestin treatment in endometriosis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32"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3.3.2. Implant that releases etonogestrel</w:t>
      </w:r>
    </w:p>
    <w:p w14:paraId="00000033" w14:textId="264B1686"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A single-rod subdermal ENG-containing implant (68 mg) offers three years of contraception by suppressing ovulation.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103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There are just two RCTs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that support its use in the treatment of endometriosis. Walch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randomized 41 women with surgically proven endometriosis to receive either DMPA or an ENG-releasing implant for a year; after 6 and 12 months of therapy, both therapies reported a comparable reduction in pain sensations. There were no statistically significant differences between groups in terms of patient satisfaction, adverse events, compliance, or drop-out, with irregular bleeding being the most commonly reported AE in both.</w:t>
      </w:r>
    </w:p>
    <w:p w14:paraId="00000034" w14:textId="41145DA0"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In a clinical trial without a control group, the same effectiveness was observed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104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Fifty women with symptomatic surgically diagnosed endometriosis had the ENG-releasing device implanted beneath their skin. Pain sensations were shown to be significantly reduced, particularly in the case of dysmenorrhea. Regular menstruation, amenorrhea, spotting, and breakthrough bleeding were the most common adverse events, with 42 percent, 28 percent, 26 percent, and 4 percent of patients reporting regular menstruation, amenorrhea, spotting, and breakthrough bleeding, respectively. However, 80 percent of patients were very satisfied or satisfied with the treatment. Carvalho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82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recently published the findings of a randomized controlled trial (RCT) comparing an ENG-releasing implant to LNG-IUS (52 mg) in the treatment of endometriosis-related pelvic pain. Both therapies showed equal improvements in pain symptoms and quality of life, as well as a similar rate of adverse events.</w:t>
      </w:r>
    </w:p>
    <w:p w14:paraId="00000035" w14:textId="3A6107B4"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The usage of the ENG-releasing method, like DMPA, has been linked to BMD loss. The data, however, is mixed, with studies finding both steady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105</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decreased BMD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106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Furthermore, implant migration has been a source of worry, despite the fact that it is expected to occur at a rate of 1.3 per million implanted devices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73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36"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3.3.3. Long-acting GnRH analogs</w:t>
      </w:r>
    </w:p>
    <w:p w14:paraId="00000037" w14:textId="25ACBBDF"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GnRH analogs are a well-established second-line treatment for endometriosis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with a variety of delivery methods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including intranasal, intramuscular, subcutaneous, and oral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93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Both intramuscular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107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subcutaneous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108–110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injections of GnRH analogs have been compared to intranasal delivery. Regardless of the efficacy of GnRH analogs in comparison to other medications, all GnRH administration modalities have proved to be equally efficacious when compared to one another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As a result, GnRH analogs allow patients to select the optimum delivery strategy according to their preferences. With the introduction of long-acting depot formulations that last up to three months, endometriosis patients may now be treated with just two injections over the course of six months, improving patient compliance and adherence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38"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3.4 Nanotechnologies</w:t>
      </w:r>
    </w:p>
    <w:p w14:paraId="00000039" w14:textId="2B96B0E3"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Novel drug delivery methods are necessary to overcome delivery challenges for adopting new molecules and developing new therapeutic strategies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They are not only intended to change the pharmacotherapy of existing drugs, but they are also required to overcome delivery challenges for developing new therapeutic strategies. Nanotechnologies have been studied in endometriosis as innovative medication delivery techniques for both new and existing drugs. Bioconjugates are used to provide anti-inflammatory, antioxidant, anti-angiogenic, or immunomodulating chemicals to endometriotic implants. For compounds with low bioavailability, nanotechnologies are primarily used to improve stability, delivery efficiency, and tailored release duration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111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t>
      </w:r>
    </w:p>
    <w:p w14:paraId="0000003A" w14:textId="678FAFC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Nanotechnologies can also be coupled with radiation physics to deliver drugs on demand. Photothermal effects, radiofrequency waves, and ultrasounds can cause nanoparticles to release medicines in response to a laser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112–115</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Although this new technology has mostly been used to treat cancer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116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there is no theoretical difference between it and the medication delivery idea in endometriosis. However, at the preclinical or proof-of-concept stage, the use of nanotechnologies in endometriosis remains quite early. The data is limited and mostly based on animal models. As a result, more study is required to confirm its potential for therapeutic use. To minimize misunderstanding or overinterpretation, caution and criticism should be used when drawing conclusions from mouse model data; mouse models are incapable of predicting nanotechnology's therapeutic effectiveness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117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3B"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Nanoparticles of poly (lactic-co-glycolic) acid (PLGA)</w:t>
      </w:r>
    </w:p>
    <w:p w14:paraId="0000003C" w14:textId="2A850F8D"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The FDA considers poly (lactic-co-glycolic) acid (PLGA) nanoparticles to be a safe carrier polymer for nanoencapsulation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118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With epigallocatechin gallate and doxycycline, PLGA was used to create a dual drug-loaded nanoparticle. Doxycycline inhibits metalloprotease activity, while epigallocatechin gallate (the main catechin in green tea) possesses antioxidant and antiangiogenic properties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111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When compared to controls, the dual drug-loaded PLGA nanoparticle was linked to lower levels of oxidative stress indicators, metalloprotease expression and activity, and angiogenic factors in a mouse model of endometriosis. The number of endometrial glands, as well as the number and size of new microvessels, were reduced in the histological examination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111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3D" w14:textId="73CB6C95"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The use of PLGA nanoparticles as a delivery mechanism for Copaiba Oleoresin (CPO)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119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antibodies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120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has been studied further. CPO is a natural substance derived from the Copaifera genus of plants. It possesses antioxidant, anti-inflammatory, and antinociceptive properties, all of which might be useful in the treatment of endometriosis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PLGA/CPO nanoparticles decreased cell viability in both the eutopic and ectopic endometriums of women with endometriosis in a time-dependent manner after 48 hours of exposure in cell cultures.In the eutopic endometrium of women without endometriosis, a modest and delayed decrease in cell availability was found. It's worth noting that PLGA nanoparticles without CPO had no impact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119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3E" w14:textId="797745DB"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Anti-CTLA-4 antibodies are directed against CTLA-4, which is one of the most important suppressive immunological checkpoints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122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CTLA-4 inhibition inhibits CD4+/CD25+/Treg activation, therefore modulating the Treg suppressor role implicated in immunological self-tolerance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123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One of the immunologic abnormalities thought to be involved in endometriosis maintenance is the increased concentration of Treg in the peritoneal fluid of women with endometriosis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124–126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 anti-CTLA-4 antibody has been studied as a therapy for endometriosis on this premise. The Anti-CTLA-4 antibody encapsulated in PLGA nanoparticles has been studied as a drug delivery strategy to optimize the effect of anti-CTLA-4 at the level of endometriotic implants to improve the stability, transport efficiency, and prolong the targeted antibody release. </w:t>
      </w:r>
    </w:p>
    <w:p w14:paraId="0000003F" w14:textId="2FBE80C3"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Anti-CTLA-4/PLGA nanoparticles were shown to release anti-CTLA-4 antibody continuously for 24 days while maintaining bioactivity. In a mouse model, this continuous release inhibited ectopic endometrial cell growth and invasion more effectively than anti-CTLA-4 alone. These findings show that anti-CTLA-4 antibodies have a role in endometriosis etiopathogenesis through regulating immunological self-tolerance. The use of PLGA nanoparticles as a delivery mechanism allowed for long-term anti-CTLA-4 antibody release in the microenvironment, potentially improving therapeutic results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120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40" w14:textId="16F3FC06"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Peritoneal macrophage dysfunction is another immune dysregulation linked to endometriosis that plays a role in its etiology. Endometriosis is defined by a lack of pro-inflammatory M1 macrophages and an overabundance of anti-inflammatory and pro-fibrotic M2 macrophages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127,128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In a mouse model of endometriosis, PLGA nanoparticles were explored as carriers of anti-CCR5 antibodies to decrease macrophage anti-inflammatory and pro-fibrotic activities. For up to 24 days, the bioconjugate anti-CCR5/PLGA delivered a continuous and regulated release of anti-CCR5. There was a substantial decrease in macrophage, IL-10, and TGF- levels, as well as ectopic endometrial cell proliferation and invasion capacity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129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41"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3.4.2 Aminopropyl mesoporous silica nanoparticles (AMNPs)</w:t>
      </w:r>
    </w:p>
    <w:p w14:paraId="00000042" w14:textId="6C6A2535"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Macrophages have been linked to both anti-inflammatory and pro-fibrotic activities, as well as a faulty clearance function, in the etiology of endometriosis. Endometriosis patients' peritoneal macrophages have been found to be deficient in membrane scavenger receptors SR-A1 and SR-B, which are important in peritoneal clearance of cellular debris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 N-acetylglucosaminyl-N-acetylmuramyl-L-alanyl-D-isoglutamine (GMDP), a derivate of Muramyl dipeptide (MDP; a fragment of peptidoglycan from Gram-positive and Gram-negative bacteria), has been proposed to stimulate both the innate and adaptive immune response to increase the clearance of endometriotic cells based on this impaired function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130–132.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Due to the drug's poor bioavailability (7–13%), immobilization of GMDP on nanoparticles has been proposed as a way to stabilize it and prolong its effect. The usage of aminopropyl modified and unmodified mesoporous silica nanoparticles (AMNPs) as GMDP nanocarriers was linked to a stronger immunomodulatory effect on peritoneal macrophages. The impact was greater than that of GMDP alone, with enhanced scavenger receptor expression and macrophage activity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41366AE9" w14:textId="77777777" w:rsidR="002234F2" w:rsidRDefault="002234F2">
      <w:pPr>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br w:type="page"/>
      </w:r>
    </w:p>
    <w:p w14:paraId="00000043" w14:textId="395306BE"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3.4.3 Lipid nanoparticles </w:t>
      </w:r>
    </w:p>
    <w:p w14:paraId="00000044" w14:textId="75464020"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Lipid nanoparticles have been explored as potential medication delivery methods for endometriosis in recent research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Artificial nanoparticles that resemble low-density lipoproteins (LDLs) and can carry therapeutic compounds are known as lipid nanoparticles. Lipid nanoparticles bind to LDL receptors and can be utilized to direct medicines to tissues that need a lot of cholesterol, such as cancer and inflammatory cells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14 patients who had surgery for severe endometriosis received lipid nanoparticles containing cholesterol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14 C</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-oleate intravenously the day before surgery, based on the upregulation of LDL receptors by endometriotic implants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135</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The goal of the study was to see if lipid nanoparticles could target endometriotic tissues. Endometriotic implants, surrounding healthy peritoneum, and eutopic endometrium all took up lipid nanoparticles, according to the findings. The uptake was greater in individuals with ovarian and deep endometriotic lesions than in those with intestinal endometriotic implants, suggesting that it might be used to treat deep endometriosis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45"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3.4.4. Photothermal ablation using nanoparticles</w:t>
      </w:r>
    </w:p>
    <w:p w14:paraId="00000046" w14:textId="4381748B"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Nanotechnologies have been studied for delivering medicines to endometriotic implants with excellent selectivity for photothermal ablation. The TNYL peptide has been conjugated to hollow gold nanospheres (HAuNS), which possess affinity for a tyrosine kinase receptor overexpressed by endometriosis (EphB4 receptor). Through permeable arteries and the EphB4 receptor, the conjugate effectively accumulated at the level of endometriotic implants, and photothermal ablation caused atrophy and degeneration of implants without AEs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47" w14:textId="13EDF060"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Moses et 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137</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created a nanoplatform based on the dye silicon naphthalocyanine (SiNc) for real-time near-infrared fluorescence and photothermal treatment in their more recent work. The researchers combined SiNc with a polymeric nanoparticle, which successfully transported SiNc to endometriotic tissue. The nanoparticle was designed to be non-fluorescent before internalization, allowing real-time near-infrared fluorescence to possibly locate endometriosis implantation. In vivo and in vitro, this nanoplatform raised the temperature of the target tissue and delivered photothermal ablation.</w:t>
      </w:r>
    </w:p>
    <w:p w14:paraId="00000048"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3.4.5 Nanofibers </w:t>
      </w:r>
    </w:p>
    <w:p w14:paraId="00000049" w14:textId="5991447D"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Nanofibers can be utilized to make scaffolds, heal wounds, and transport drugs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138</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Boroumand et al. examined curcumin-loaded nanofibers as a new drug delivery technique for curcumin in their study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Curcumin is a well-known phytochemical with anticancer, anti-inflammatory, and antioxidant effects that has been suggested as a possible treatment for endometriosis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Curcumin's bioavailability is restricted by its poor absorption, low water solubility, and fast metabolism when taken orally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140</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As a result, the researchers looked at curcumin-loaded poly-Caprolactone (PCL) and polyethylene glycol (PEG) polymer nanofibers as an anti-endometriosis implantable scaffold capable of constantly releasing curcumin into endometriotic implants. </w:t>
      </w:r>
    </w:p>
    <w:p w14:paraId="0000004A" w14:textId="72E499F2"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Curcumin-laden PCL-PEG nanofibers released almost 25% of loaded curcumin in the first 30 minutes in vitro, and 50% after 30 days. In a mouse model of endometriosis, intraperitoneal implantation of curcumin-loaded nanofibers decreased endometriotic implants (both stroma and glands) and inflammatory cell infiltration when compared to controls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139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However, these findings are preliminary and restricted; more evidence is needed to pursue nanofibers further. This study is only a proof-of-concept, and further research is needed before a viable therapeutic use for endometriosis can be determined. Practical problems, such as how to deliver nanofibers, must be addressed.</w:t>
      </w:r>
    </w:p>
    <w:p w14:paraId="0000004B"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4. Final thoughts</w:t>
      </w:r>
    </w:p>
    <w:p w14:paraId="0000004C"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Contraception has previously provided alternative medication delivery techniques for the treatment of endometriosis. Only LNG-IUSs and DMPA, however, have been studied in numerous RCTs to treat endometriosis patients. Although DMPA is linked to irregular bleeding and BMD loss, these approaches tend to enhance patient compliance and satisfaction when compared to other conventional treatment alternatives. Only a few RCTs, on the other hand, looked at the use of vaginal rings that carry estroprogestins, an ENG-releasing implant, or a transdermal patch. As a result, there isn't enough information to draw firm judgments about their effectiveness for endometriosis patients.</w:t>
      </w:r>
    </w:p>
    <w:p w14:paraId="0000004D"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With the benefit of local administration and the potential for direct action on deep endometriosis and lower systemic levels, researchers looked into vaginal rings and IUSs as alternative drug delivery systems for danazol, with encouraging findings. Instead, only vaginal rings have been studied for AIs, necessitating more research to validate their therapeutic usefulness.</w:t>
      </w:r>
    </w:p>
    <w:p w14:paraId="0000004E" w14:textId="7A395B18"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Nanotechnologies are potential new medication delivery techniques that have been shown to deliver compounds with a particular therapeutic impact on endometriosis in vitro and in mouse models. However, the information is limited and preliminary. Only a few nanotechnologies have been tested on people for different ailments. Almost all approaches are still in the early stages of research. No one has been tested in clinical trials for the treatment of endometriosis, and mouse models are unable to predict the clinical effectiveness of nanotechnology</w:t>
      </w:r>
      <w:r w:rsidR="001654FB">
        <w:rPr>
          <w:rFonts w:ascii="Times New Roman" w:eastAsia="Times New Roman" w:hAnsi="Times New Roman" w:cs="Times New Roman"/>
          <w:color w:val="333333"/>
          <w:sz w:val="24"/>
          <w:szCs w:val="24"/>
          <w:highlight w:val="white"/>
        </w:rPr>
        <w:t xml:space="preserve"> (137-41</w:t>
      </w:r>
      <w:r w:rsidR="00455313">
        <w:rPr>
          <w:rFonts w:ascii="Times New Roman" w:eastAsia="Times New Roman" w:hAnsi="Times New Roman" w:cs="Times New Roman"/>
          <w:color w:val="333333"/>
          <w:sz w:val="24"/>
          <w:szCs w:val="24"/>
          <w:highlight w:val="white"/>
        </w:rPr>
        <w:t>5</w:t>
      </w:r>
      <w:r w:rsidR="001654FB">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4F" w14:textId="4B6A2F9B"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In the treatment of endometriosis, pharmacotherapy is critical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However, available therapeutic options have various limitations: a significant proportion of patients receive only intermittent or limited benefit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21</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AEs cause treatment discontinuation in nearly 10% of patients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33</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and consolidation options primarily target symptoms rather than disease etiopathogenesis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29</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xml:space="preserve">. On this premise, it is certain that further study is required to enhance endometriosis pharmaceutical management. In this context, one well-known technique for innovating current pharmacotherapies or developing novel treatment strategies is the development and implementation of alternate drug delivery systems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34</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w:t>
      </w:r>
    </w:p>
    <w:p w14:paraId="00000050" w14:textId="7F965EB2"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 xml:space="preserve">Alternative drug delivery systems have an advantage for endometriosis patients, since progestins and estroprogestins, which are the first-line treatment, are currently available in several formulations with substantial contraceptive experience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35</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On this premise, endometriosis pharmacotherapy should be personalized to include the use of different hormone delivery systems in order to discover the optimum choice for maximizing efficacy, reducing adverse effects, and improving compliance and quality of life. LNG-IUSs are a great illustration of this type of potential. Several RCTs have shown that they are more effective and provide better patient satisfaction than other medicines. Knowing the benefits and drawbacks of each medicine delivery technique might help patients choose the best customized treatment plan.</w:t>
      </w:r>
    </w:p>
    <w:p w14:paraId="00000051"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Alternative medication delivery techniques for endometriosis patients should not, however, be chosen only on the basis of contraceptive experience. In patients with endometriomas, LNG-IUSs do not appear to be the optimal solution. Only endometriosis research has identified the patients who could benefit the most from this kind of medication administration. As a result, more research into alternate progestin and estroprogestin medication delivery systems other than LNG-IUSs and DMPA is required. Every new clinical indication necessitates a separate evaluation of each medication delivery technique.</w:t>
      </w:r>
    </w:p>
    <w:p w14:paraId="00000052" w14:textId="2DE8E828"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Nanotechnologies have been studied as potential new medication delivery techniques for molecules targeting etiopathogenetic pathways in the treatment of endometriosis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36</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In mouse models, bioconjugates carrying anti-inflammatory, antioxidant, anti-angiogenic, and immunomodulating compounds have been studied and found to be beneficial. However, further study is needed before clinical use. Only a few nanotechnologies have been tested on people for different ailments. Almost all approaches are still in the early stages of research. No one has ever been used in a clinical study to treat endometriosis. The real safety profile, as well as the administration path, must be fully described. A large number of them may necessitate intraperitoneal injection, creating serious concerns regarding their restricted use at the conclusion of surgical procedures. On this premise, more research is needed to both show clinical effectiveness and confirm the potential for therapeutic use. Because mouse models are incapable of predicting therapeutic effectiveness, care is advised when drawing inferences from their data in order to avoid misunderstanding or overinterpretation.</w:t>
      </w:r>
    </w:p>
    <w:p w14:paraId="00000053" w14:textId="51F367A9"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The growing body of knowledge on the etiopathogenesis of endometriosis will increase the number of medicines available to treat the disease in the future </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23,29–32</w:t>
      </w:r>
      <w:r w:rsidR="00810CEE">
        <w:rPr>
          <w:rFonts w:ascii="Times New Roman" w:eastAsia="Times New Roman" w:hAnsi="Times New Roman" w:cs="Times New Roman"/>
          <w:color w:val="333333"/>
          <w:sz w:val="24"/>
          <w:szCs w:val="24"/>
          <w:highlight w:val="white"/>
        </w:rPr>
        <w:t>)</w:t>
      </w:r>
      <w:r>
        <w:rPr>
          <w:rFonts w:ascii="Times New Roman" w:eastAsia="Times New Roman" w:hAnsi="Times New Roman" w:cs="Times New Roman"/>
          <w:color w:val="333333"/>
          <w:sz w:val="24"/>
          <w:szCs w:val="24"/>
          <w:highlight w:val="white"/>
        </w:rPr>
        <w:t>, and expertise in developing alternative drug delivery systems will be critical to bringing such molecules into clinical practice.For example, the use of vaginal rings as a unique and alternative medication delivery route for AIs, as well as the experience with danazol, are examples. On this premise, more research into alternative and new medication delivery systems is required to expand the current options, personalize and improve the care of endometriosis patients, improve therapeutic effectiveness, and promote patient compliance while decreasing adverse events.</w:t>
      </w:r>
    </w:p>
    <w:p w14:paraId="00000054"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lastRenderedPageBreak/>
        <w:t>Pharmacotherapy plays an important part in the treatment of endometriosis, although for a large percentage of patients, the advantages are only temporary or limited. Alternative medication delivery techniques may help to enhance compliance, effectiveness, and the development of novel treatment approaches. Endometriosis treatment with progestins and estroprogestins can make use of current contraceptive formulations, allowing for personalization, improved compliance, reduced side effects, and perhaps increased effectiveness. Levonorgestrel intrauterine systems (LNG-IUSs) were linked with better pain and satisfaction in randomized controlled trials (RCTs) on endometriosis patients when compared to observation following surgery. LNG-IUSs did not reduce symptoms as compared to other treatments, but they did enhance satisfaction and compliance, despite concerns regarding their efficacy in endometriomas. Multiple randomized controlled trials (RCTs) looked at the use of depot medroxyprogesterone acetate (DMPA) as a therapy for endometriosis. DMPA not only decreased pain like GnRH analogs, but it also enhanced the quality of life by reducing bone loss and hypoestrogenic symptoms. The most serious side effect is irregular bleeding.</w:t>
      </w:r>
    </w:p>
    <w:p w14:paraId="00000055" w14:textId="77777777" w:rsidR="001618BA" w:rsidRDefault="00FD65DE">
      <w:pPr>
        <w:keepNext/>
        <w:keepLines/>
        <w:spacing w:before="240" w:after="240"/>
        <w:jc w:val="both"/>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Other progestin and estroprogestin administration techniques for contraception, such as vaginal rings, patches, and subcutaneous implants, have only been tested for a limited number of people and in endometriosis patients. The vaginal ring, on the other hand, has been studied as a new medication delivery mechanism for danazol and aromatase inhibitors. Nanotechnologies have been tested in endometriosis animal models as a potential new medication delivery strategy. They are made up of bioconjugates that deliver anti-inflammatory, antioxidant, anti-angiogenic, and immunomodulating chemicals directly to the illness site. However, at this early stage of proof-of-concept, the evidence is limited and tentative. To assess its potential for clinical use in endometriosis, more study is required. Clinical effectiveness can not be predicted using mouse models.</w:t>
      </w:r>
    </w:p>
    <w:p w14:paraId="00000056" w14:textId="77777777" w:rsidR="001618BA" w:rsidRDefault="001618BA">
      <w:pPr>
        <w:keepNext/>
        <w:keepLines/>
        <w:spacing w:before="240" w:after="240"/>
        <w:jc w:val="both"/>
        <w:rPr>
          <w:rFonts w:ascii="Times New Roman" w:eastAsia="Times New Roman" w:hAnsi="Times New Roman" w:cs="Times New Roman"/>
          <w:color w:val="333333"/>
          <w:sz w:val="24"/>
          <w:szCs w:val="24"/>
          <w:highlight w:val="white"/>
        </w:rPr>
      </w:pPr>
    </w:p>
    <w:p w14:paraId="000001EF" w14:textId="340B872E" w:rsidR="001618BA" w:rsidRDefault="00FD65DE" w:rsidP="00D32E58">
      <w:pPr>
        <w:spacing w:before="320" w:after="320" w:line="381"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References</w:t>
      </w:r>
    </w:p>
    <w:p w14:paraId="24AF728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bookmarkStart w:id="0" w:name="_Hlk135572354"/>
      <w:bookmarkStart w:id="1" w:name="_Hlk135373309"/>
      <w:bookmarkStart w:id="2" w:name="_Hlk140678451"/>
      <w:r w:rsidRPr="00367CD3">
        <w:rPr>
          <w:rFonts w:asciiTheme="majorBidi" w:eastAsia="Times New Roman" w:hAnsiTheme="majorBidi" w:cstheme="majorBidi"/>
          <w:color w:val="333333"/>
          <w:sz w:val="18"/>
          <w:szCs w:val="18"/>
          <w:highlight w:val="white"/>
        </w:rPr>
        <w:lastRenderedPageBreak/>
        <w:t>Abdelhamid, H. N., M. Dowaidar, M. Hällbrink, and Ü. Langel. 2019. Cell Penetrating Peptides-Hierarchical Porous Zeolitic Imidazolate Frameworks Nanoparticles: An Efficient Gene Delivery Platform. SSRN Electron. J. https://papers.ssrn.com/sol3/papers.cfm?abstract_id=3435895.</w:t>
      </w:r>
    </w:p>
    <w:p w14:paraId="79C9561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Abdelhamid, Hani Nasser, Moataz Dowaidar, Mattias Hällbrink, and Ülo Langel. 2020. Gene Delivery Using Cell Penetrating Peptides-Zeolitic Imidazolate Frameworks. Microporous and Mesoporous Materials: The Official Journal of the International Zeolite Association 300 (June): 110173. https://doi.org/10.1016/j.micromeso.2020.110173.</w:t>
      </w:r>
    </w:p>
    <w:p w14:paraId="3BF9BC2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Abdelhamid, Hani Nasser, Moataz Dowaidar, and Ülo Langel. 2020. Carbonized Chitosan Encapsulated Hierarchical Porous Zeolitic Imidazolate Frameworks Nanoparticles for Gene Delivery. Microporous and Mesoporous Materials: The Official Journal of the International Zeolite Association 302 (August): 110200. https://doi.org/10.1016/j.micromeso.2020.110200.</w:t>
      </w:r>
    </w:p>
    <w:p w14:paraId="76B301F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Ahmad, Almeman, Khalaf Hassan, Rasool Semaab, Moataz Dowaidar, and Al Orainy Mohammad. 2013. The Impact of CYP2C19 Polymorphism on Platelet Reactivity for Guiding Clopidogrel Treatment and Cost Analysis. Journal of the Saudi Heart Association 25 (2): 107. https://doi.org/10.1016/j.jsha.2013.03.005.</w:t>
      </w:r>
    </w:p>
    <w:p w14:paraId="4C5E977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Algahsham, Abdullah, Ahmad A. A. Settin, Ahmad Ali, and Hisham Ismail. n.d. Association of MTHFR C677T and A1298C Polymorphisms with Hypertension among Saudi Subjects from Qassim Region. International Journal of Health Sciences 6 (1). Accessed June 18, 2021. http://ijhs.org.sa/index.php/journal/article/view/312.</w:t>
      </w:r>
    </w:p>
    <w:p w14:paraId="63E4FE6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Algasham, Abdullah, Hisham Ismail, Moataz Dowaidar, and Ahmad A. Settin. 2011. Methylenetetrahydrofolate Reductase (MTHFR) and Angiotensin Converting Enzyme (ACE) Gene Polymorphisms among Saudi Population from Qassim Region. International Journal of Health Sciences 5 (2 Suppl 1): 3–4. https://www.ncbi.nlm.nih.gov/pubmed/23284552.</w:t>
      </w:r>
    </w:p>
    <w:p w14:paraId="6300974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Alghasham, Abdullah, Ahmad Ali, Hisham Ismail, Moataz Dowaidar, and Ahmad A. Settin. 2012. CYP2J2 -50 G/T and ADRB2 G46A Gene Polymorphisms in Saudi Subjects with Hypertension. Genetic Testing and Molecular Biomarkers 16 (9): 1027–31. https://doi.org/10.1089/gtmb.2012.0006.</w:t>
      </w:r>
    </w:p>
    <w:p w14:paraId="28B83AD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Alghasham, Abdullah, Ahmad A. Settin, Ahmad Ali, Moataz Dowaidar, and Hisham Ismail. 2012a. Association of MTHFR C677T and A1298C Gene Polymorphisms with Hypertension. International Journal of Health Sciences 6 (1): 3–11. https://doi.org/10.12816/0005968.</w:t>
      </w:r>
    </w:p>
    <w:p w14:paraId="3EB503F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2012b. Association of MTHFR C677T and A1298C Gene Polymorphisms with Hypertension. International Journal of Health Sciences 6 (1): 3–11. https://doi.org/10.12816/0005968.</w:t>
      </w:r>
    </w:p>
    <w:p w14:paraId="41671D9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Ali, Ahmad, Abdullah Alghasham, Hisham Ismail, Moataz Dowaidar, and Ahmad Settin. 2013. ACE I/D and eNOS E298D Gene Polymorphisms in Saudi Subjects with Hypertension. Journal of the Renin-Angiotensin-Aldosterone System: JRAAS 14 (4): 348–53. https://doi.org/10.1177/1470320312459976.</w:t>
      </w:r>
    </w:p>
    <w:p w14:paraId="2BE6D61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Ali, Ahmed A. A., Nahla M. Wassim, Moataz M. Dowaidar, and Ahmed E. Yaseen. 2013. Genetic Polymorphism of CYP2D6 Gene among Egyptian Hypertensive Cases. The Journal of Basic &amp; Applied Zoology 66 (4): 228–33. https://doi.org/10.1016/j.jobaz.2012.12.002.</w:t>
      </w:r>
    </w:p>
    <w:p w14:paraId="51AF041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Ali, Ahmed A. A., Nahla M. Wassim, Moataz Dowaidar, and Ahmed E. Yaseen. 2013b. Association of eNOS (E298D) and CYP2J2 (−50G/T) Gene Polymorphisms with Hypertension among Egyptian Cases. The Journal of Basic &amp; Applied Zoology 66 (4): 234–41. https://doi.org/10.1016/j.jobaz.2012.12.001.</w:t>
      </w:r>
    </w:p>
    <w:p w14:paraId="423CF63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2013. Association of eNOS (E298D) and CYP2J2 (−50G/T) Gene Polymorphisms with Hypertension among Egyptian Cases. The Journal of Basic &amp; Applied Zoology 66 (4): 234–41. https://doi.org/10.1016/j.jobaz.2012.12.001.</w:t>
      </w:r>
    </w:p>
    <w:p w14:paraId="37BE929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Aljarallah, Badr, Ahmed Ali, Moataz Dowaidar, and Ahmad Settin. 2011. Prevalence of α-1-Antitrypsin Gene Mutations in Saudi Arabia. Saudi Journal of Gastroenterology: Official Journal of the Saudi Gastroenterology Association 17 (4): 256–60. https://doi.org/10.4103/1319-3767.82580.</w:t>
      </w:r>
    </w:p>
    <w:p w14:paraId="250A994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 J. Regberg, D. A. Dobchev, and T. Lehto. 2017. Refinement of a Quantitative Structure–activity Relationship Model for Prediction of Cell-Penetrating Peptide Based Transfection Systems. International Journal of. https://link.springer.com/content/pdf/10.1007/s10989-016-9542-8.pdf.</w:t>
      </w:r>
    </w:p>
    <w:p w14:paraId="22A7EEC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2017. In-Silico Design of Peptide-Based Transfection Systems, in-Vitro Validation, and up-Take Pathways Investigation. Department of Neurochemistry, Stockholm University.</w:t>
      </w:r>
    </w:p>
    <w:p w14:paraId="1F7FE69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2018. Chimeric Gene Delivery Vectors : Design, Synthesis, and Mechanisms from Transcriptomics Analysis. Department of Biochemistry and Biophysics, Stockholm University. https://www.diva-portal.org/smash/record.jsf?pid=diva2:1242000.</w:t>
      </w:r>
    </w:p>
    <w:p w14:paraId="08BD0AD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Cardiometabolic Conditions Could Be Related to Vitamin D Deficiency. The Genetic Determinants That Affect Vitamin D Pathways May Be Solved with Nanomedicines. https://doi.org/10.31219/osf.io/nqewr.</w:t>
      </w:r>
    </w:p>
    <w:p w14:paraId="57559C7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Different Insulin Resistance and Inflammation Pathways Are Influenced by Genetic Factors in Metabolic Syndrome. Gene Therapy Enables Early Recognition and Treatment of the Genetic Factors. https://doi.org/10.31219/osf.io/gqwj2.</w:t>
      </w:r>
    </w:p>
    <w:p w14:paraId="0A61651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Gene Therapy Has Been Shown to Be Valuable for Understanding Complex Disease Pathophysiologies. The Medical Profession as a Whole Will Have to Invest in Specialized Investigations. https://doi.org/10.31219/osf.io/8fg9y.</w:t>
      </w:r>
    </w:p>
    <w:p w14:paraId="556F081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Genetic and Epigenetic Discoveries Hold Promising Avenues in Cardiovascular Prevention and Management (CVDs). Key Nucleic Acids Are Being Researched and Developed for Medicinal Use. https://doi.org/10.31219/osf.io/hk7pe.</w:t>
      </w:r>
    </w:p>
    <w:p w14:paraId="1F96BFD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 Editing Can Now Be Carried out in an Isogenic Setting. It Can Be Effectively Transmitted to Somatic Tissues in Mice, but Not to Humans. Despite These Doubts, CRIS Has Great Potential as a Medical Promise. https://doi.org/10.31219/osf.io/4rn3v.</w:t>
      </w:r>
    </w:p>
    <w:p w14:paraId="754B42C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Genome-Wide Association Experiments Have Uncovered a Slew of Cardiometabolic Trait-Associated Variants. This Information Can Be Useful in the Implementation of New Diagnostic and Treatment Strategies. https://doi.org/10.31219/osf.io/4vws8.</w:t>
      </w:r>
    </w:p>
    <w:p w14:paraId="634D765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Genome-Wide Association Studies (GWAS) Have Revolutionized Our View of Human Health and Disease Genetics and Offered Novel Gene Therapy Targets. https://doi.org/10.31219/osf.io/rvm3z.</w:t>
      </w:r>
    </w:p>
    <w:p w14:paraId="2DC14A9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Metabolic Syndrome_ the Presence of Inflammatory Mechanisms in Abdominal Obesity Is Undeniable, Gene Therapy Using Nanoparticles and Adenoviruses Technologies Is Promising. https://doi.org/10.31219/osf.io/2j5xt.</w:t>
      </w:r>
    </w:p>
    <w:p w14:paraId="6B58113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miRNAs May Be Used as Preventive Agents for Metabolic Diseases in the near Future. Understanding the Interplay between pro-Adipogenic_ and Anti-Ad Pipogenic miRNA’ Could Lead to New Biomarkers. https://doi.org/10.31219/osf.io/3dr8c.</w:t>
      </w:r>
    </w:p>
    <w:p w14:paraId="2C9892C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Nanomedicine Has Elegantly Attempted to Cure Multiple Gene Polymorphisms and Mutations in Cardiovascular Diseases Using Gene Therapy Techniques. https://doi.org/10.31219/osf.io/d3x8g.</w:t>
      </w:r>
    </w:p>
    <w:p w14:paraId="7444315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Thrombosis Pathways and Therapeutic Strategies. https://doi.org/10.31219/osf.io/57vyz.</w:t>
      </w:r>
    </w:p>
    <w:p w14:paraId="7724B36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What Genomic Research Has Told Us about the Obesity and Its Possible Gene Therapy Targets. https://doi.org/10.31219/osf.io/ym49s.</w:t>
      </w:r>
    </w:p>
    <w:p w14:paraId="5603ABF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Exosomes Can Make the Use of Circulating miRNA as a Biomarker More Feasible. The Aim of Gene Therapy Should Be to Learn Everything There Is to Know about miRNA Activity. https://doi.org/10.31219/osf.io/edkua.</w:t>
      </w:r>
    </w:p>
    <w:p w14:paraId="65E9276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Anti-Sense Pathways Have Been Generated Using siRNA. The Liver and Other Often Used Organs Will Now Be Targeted. https://doi.org/10.31219/osf.io/m6xvp.</w:t>
      </w:r>
    </w:p>
    <w:p w14:paraId="3C9A74B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CrisPR/CRIS Systems Are Highly Effective and Useful for Genomic Manipulation. Despite This, Cardiac Treatment Remains Difficult due to Existing Genome Editing and Delivery Processes. https://doi.org/10.31219/osf.io/3nwzd.</w:t>
      </w:r>
    </w:p>
    <w:p w14:paraId="0C7D3EF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Discoveries in Gene-Environment Interactions That Influence CVD, Lipid Traits, Obesity, Diabetes, and Hypertension Appear to Be Able to Influence Gene Therapy. https://doi.org/10.31219/osf.io/cr5af.</w:t>
      </w:r>
    </w:p>
    <w:p w14:paraId="3BE56E6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 Editing’s Potential Target Diseases in the Cardiovascular Field. https://doi.org/10.31219/osf.io/gc23p.</w:t>
      </w:r>
    </w:p>
    <w:p w14:paraId="6BCA76F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Key Genetic Factors in the Metabolic Syndrome Predisposition Which May Be a Therapeutic Options by Gene Therapy. https://doi.org/10.31219/osf.io/f38sk.</w:t>
      </w:r>
    </w:p>
    <w:p w14:paraId="51427EA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miRNA Can Be a Part of Both the Onset and Cure of Coronary Heart Disease. https://doi.org/10.31219/osf.io/teqh8.</w:t>
      </w:r>
    </w:p>
    <w:p w14:paraId="7F01AB0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Preclinical Studies and Clinical Trials Have Sparked Interest in Certain Biological Medications for Atherosclerotic Coronary Heart Disease. https://doi.org/10.31219/osf.io/ts8mh.</w:t>
      </w:r>
    </w:p>
    <w:p w14:paraId="7E0A132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Researchers Would Be Able to Develop a Detailed Picture of Chromatin in Disease, Which Would Be Useful for Gene Therapy. https://doi.org/10.31219/osf.io/m9z48.</w:t>
      </w:r>
    </w:p>
    <w:p w14:paraId="638D148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Cardiometabolic-Based Chronic Disease Model Lays the Foundations for Accurate, Evidence-Based Preventive Targeting and Gene Therapy. https://doi.org/10.31219/osf.io/up9z4.</w:t>
      </w:r>
    </w:p>
    <w:p w14:paraId="3659981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2D MOFs Have Unique Features for Biological Applications. They Can Be Utilized for Gene Therapy, Bioimaging, Biosensing, Photodynamic Therapy, and Tissue Engineering. https://doi.org/10.31219/osf.io/4q9ct.</w:t>
      </w:r>
    </w:p>
    <w:p w14:paraId="262DBAA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3D Bioprinting for Enhanced Vascularization, and Gene Editing to Provide a More Favorable Immunological Response Are Just Some of the Potential Uses of Carbon Materials. https://doi.org/10.31219/osf.io/v2xy8.</w:t>
      </w:r>
    </w:p>
    <w:p w14:paraId="435D4C0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Anderson–Fabry Disease Can Be a Target for Gene Therapy. https://doi.org/10.31219/osf.io/tcgka.</w:t>
      </w:r>
    </w:p>
    <w:p w14:paraId="6D3AF32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Antisense Oligonucleotides (ASOs) and CRISPR Systems Are Promising Gene Therapy Treatments for Alzheimer’s Disease. https://doi.org/10.31219/osf.io/ws796.</w:t>
      </w:r>
    </w:p>
    <w:p w14:paraId="098ED8A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Any Alteration in PPAR Genomic Sequence, Splicing Pattern, or PTM Is Likely to Cause Major Alterations in Its Function. In Personalized Medicine, Such Data Becomes More Significant in Gene Therapy Design. https://doi.org/10.31219/osf.io/y8n79.</w:t>
      </w:r>
    </w:p>
    <w:p w14:paraId="4819CB5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Applying Genome-Wide Association Technology to Brain Diseases Enables the Discovery of lncRNas Targets for Gene Therapy. https://doi.org/10.31219/osf.io/hm4eu.</w:t>
      </w:r>
    </w:p>
    <w:p w14:paraId="209AB88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Autophagy and Proteostasis Adjustment Role in Normal Brain Function and Neurodegenerative Disorders. https://doi.org/10.31219/osf.io/m4yra.</w:t>
      </w:r>
    </w:p>
    <w:p w14:paraId="6AA6BAE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Basal Ganglia-Cerebellar and Brainstem-Cerebellar Circuits May Interact Improperly with Dystonia. Linking Network Disruptions to Cell Failure Will Enable Understanding Pathophysiology and Designing Gene Therapy Methods. https://doi.org/10.31219/osf.io/8w35s.</w:t>
      </w:r>
    </w:p>
    <w:p w14:paraId="195E482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Blood Products Are Used to Treat a Multitude of Diseases, so the Blood Transfusion System Needs to Be Enhanced. CRISPR/Cas9 Has Made It Viable to Make HLA Class I-Deleted Blood Products to Avoid Rejection. https://doi.org/10.31219/osf.io/egr3n.</w:t>
      </w:r>
    </w:p>
    <w:p w14:paraId="5101E3A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Calixarenes (CAs) Are Promising in Biomedicine, Biosensing, Bioimaging and Gene Delivery Systems. https://doi.org/10.31219/osf.io/n9vjy.</w:t>
      </w:r>
    </w:p>
    <w:p w14:paraId="5086F99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 T Cell Research Has Quickly Advanced from the Bench to the Clinic and Back. The Results of the Trials Have Revealed New Mechanisms. https://doi.org/10.31219/osf.io/f9wm7.</w:t>
      </w:r>
    </w:p>
    <w:p w14:paraId="652329F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 T-Cell Treatment Remains Clinically Challenging. Therapeutic Strategies May Be Designed to Cut off Immunotherapy Utilizing Safety Switches. https://doi.org/10.31219/osf.io/s7x4y.</w:t>
      </w:r>
    </w:p>
    <w:p w14:paraId="110CF2F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Central Nervous System Gene Therapy Has Entered a New Development Paradigm. New Techniques Are Being Employed for a Wide Range of Illness Indications and Pathways. https://doi.org/10.31219/osf.io/j49wz.</w:t>
      </w:r>
    </w:p>
    <w:p w14:paraId="38D0F31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Chronic Obstructive Pulmonary Condition (COPD) Is a Prevalent, Preventable, and Curable Illness with Persistent Respiratory Symptoms and Airflow Limitation. https://doi.org/10.31219/osf.io/vkdut.</w:t>
      </w:r>
    </w:p>
    <w:p w14:paraId="4309EC7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CircRNAs Have the Potential to Aid in the Diagnosis and Treatment of Lipid Diseases. https://doi.org/10.31219/osf.io/y3hp4.</w:t>
      </w:r>
    </w:p>
    <w:p w14:paraId="6EC1F69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Clinical Symptoms, Underlying Pathogenesis, and the Prospect of Tailored Therapies Have All Benefited from Genetic Discoveries in Parkinson’s Disease. https://doi.org/10.31219/osf.io/pdzqb.</w:t>
      </w:r>
    </w:p>
    <w:p w14:paraId="221DB26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Code Distribution of siRNA for Cancer Genes such as p53 and Bcl2 Family Genes Has Demonstrated Efficacy in Killing Cancer Cells. Nanoparticles Can Produce a Surface Where Numerous Drugs May Be Coupled, Allowing Combinatory Treatment. https://doi.org/10.31219/osf.io/hvcse.</w:t>
      </w:r>
    </w:p>
    <w:p w14:paraId="6852186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Cognitive Deficiencies Pathophysiology Are Mainly an Unknown Area. Curing the Neurological Conditions Could Be an Objective for Gene Therapy. https://doi.org/10.31219/osf.io/23xf8.</w:t>
      </w:r>
    </w:p>
    <w:p w14:paraId="307FBC8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CRISPR-Based Gene Editing Is Presently Being Tried in Many Clinical Trials. https://doi.org/10.31219/osf.io/qbngx.</w:t>
      </w:r>
    </w:p>
    <w:p w14:paraId="2F6F6F7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CRISPR–Cas9 Gene Editing as a Tool for Developing Immunotherapy for Cancer. https://doi.org/10.31219/osf.io/dvr4t.</w:t>
      </w:r>
    </w:p>
    <w:p w14:paraId="6113F07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 System Research Has Advanced Significantly in Biological sciences.There Are Still Many Challenges to Effective Delivery before Efficient Gene Editing May Be Achieved. https://doi.org/10.31219/osf.io/mc26v.</w:t>
      </w:r>
    </w:p>
    <w:p w14:paraId="54FCBC9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CRISPR/Cas9 Genome Editing Technology Applications in Biological and Biomedical Fields. https://doi.org/10.31219/osf.io/ctqbe.</w:t>
      </w:r>
    </w:p>
    <w:p w14:paraId="7EDC42B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Critical Limb Ischemia Potential Gene Therapy Strategies. https://doi.org/10.31219/osf.io/aqcpt.</w:t>
      </w:r>
    </w:p>
    <w:p w14:paraId="62F7B64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Deep Learning Algorithms for scRNAseq Analysis Have Yielded Positive Results, but There Are Still More Promising Ways That Need to Be Developed for Regenerative Medicine. https://doi.org/10.31219/osf.io/dh2pt.</w:t>
      </w:r>
    </w:p>
    <w:p w14:paraId="541989C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Depression May Be Epigenetically Controlled by miRNAs Making It a Diagnostic or Gene Therapy Target. https://doi.org/10.31219/osf.io/fw65m.</w:t>
      </w:r>
    </w:p>
    <w:p w14:paraId="72C68C8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Dermatophytes: Role of Host Genetics in the Development of Illness. https://doi.org/10.31219/osf.io/mf3bu.</w:t>
      </w:r>
    </w:p>
    <w:p w14:paraId="4609E19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Developments in Biomedical Technology Will Increase the Importance of mRNA in Treating Brain Tumors, as Well as Other Malignancies. https://doi.org/10.31219/osf.io/tvj5x.</w:t>
      </w:r>
    </w:p>
    <w:p w14:paraId="04207A3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Downstream Processing of Virus, Virus-like Particles and Nanoparticulate Inclusion Bodies to Be Used as Gene Delivery Vehicles for Human Gene Therapy Applications. https://doi.org/10.31219/osf.io/exa3q.</w:t>
      </w:r>
    </w:p>
    <w:p w14:paraId="6CFE067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Dravet Syndrome Is a Severe Developmental and Epileptic Encephalopathy. Fenfluramine and Gene Therapy Are Promising. https://doi.org/10.31219/osf.io/zvq8y.</w:t>
      </w:r>
    </w:p>
    <w:p w14:paraId="684C008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Exosomes’ Function in Cardiovascular Protection and Neovascularization Implies That They Might Be Used to Treat Ischemia and Atherosclerotic Cardiovascular Diseases. https://doi.org/10.31219/osf.io/2h8c7.</w:t>
      </w:r>
    </w:p>
    <w:p w14:paraId="46BD963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Ferropsis Cell Death Can Cause Complications That May Be Difficult to Detect and Quantify: Autophagy Role and Possible Therapeutics. https://doi.org/10.31219/osf.io/zd2jg.</w:t>
      </w:r>
    </w:p>
    <w:p w14:paraId="7238548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Following the Discovery of Anti-MDA5 Ab, the Clinical Understanding of Dermatomyositis Has Been Improved. https://doi.org/10.31219/osf.io/j2t5f.</w:t>
      </w:r>
    </w:p>
    <w:p w14:paraId="7610BB9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For the Treatment of Cystic Fibrosis, RNA Medicines, Gene Transfer Therapies, and Gene Editing Treatments Have Potential. https://doi.org/10.31219/osf.io/6afzm.</w:t>
      </w:r>
    </w:p>
    <w:p w14:paraId="7AF9F21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Frontotemporal Dementia Is a Complex Disorder with a Wide Spectrum of Clinical Symptoms. Personalized Medicine and Gene Therapy Are Promising Strategies for Treatment. https://doi.org/10.31219/osf.io/gh4x7.</w:t>
      </w:r>
    </w:p>
    <w:p w14:paraId="61C8380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G6PD Deficiency Is a Common Genetic Trait That Can Protect Heterozygotes from Dying from Malaria. https://doi.org/10.31219/osf.io/g2kza.</w:t>
      </w:r>
    </w:p>
    <w:p w14:paraId="591AA49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Gastric Cancer Is the World’s Second-Largest Death Cause. Peptides Can Be Used to Deliver Radiation or Other Fatal Chemicals to Tumors. https://doi.org/10.31219/osf.io/eu5mj.</w:t>
      </w:r>
    </w:p>
    <w:p w14:paraId="6E28D6D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Doping May Be Possible for Lifestyle Enhancement. https://doi.org/10.31219/osf.io/8xkm5.</w:t>
      </w:r>
    </w:p>
    <w:p w14:paraId="2FC814A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Expression Assays Gather Evidence That They Can Provide Useful Therapeutic Information in Young Women. https://doi.org/10.31219/osf.io/d372s.</w:t>
      </w:r>
    </w:p>
    <w:p w14:paraId="29CE582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and Genome-Editing Treatments That Can Protect Patients from Coronary Artery Disease Are under Investigation. https://doi.org/10.31219/osf.io/xqgf8.</w:t>
      </w:r>
    </w:p>
    <w:p w14:paraId="6C190DE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Approaches for Hemophilia A and B. https://doi.org/10.31219/osf.io/ufc4g.</w:t>
      </w:r>
    </w:p>
    <w:p w14:paraId="1836940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for the Central Nervous System Has Been Initiated. This Expansion Will Require Some Degree of Simplicity in Delivery Processes. https://doi.org/10.31219/osf.io/hdy5q.</w:t>
      </w:r>
    </w:p>
    <w:p w14:paraId="00D8E2C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for the Treatment of Spinal Muscular Atrophy. https://doi.org/10.31219/osf.io/kpz5f.</w:t>
      </w:r>
    </w:p>
    <w:p w14:paraId="1B809BC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May Benefit Inherited Ichthyoses with Concurrent Fungal Infections and Severe Ich Thyroidoses. https://doi.org/10.31219/osf.io/zxmun.</w:t>
      </w:r>
    </w:p>
    <w:p w14:paraId="2FE5C11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May Target APOE for Alzheimer’s Disease. https://doi.org/10.31219/osf.io/3y52k.</w:t>
      </w:r>
    </w:p>
    <w:p w14:paraId="1C2D8ED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Promises Accurate, Targeted Administration and Overcoming Drug Resistance in Diverse Cancer Cells. https://doi.org/10.31219/osf.io/j34n6.</w:t>
      </w:r>
    </w:p>
    <w:p w14:paraId="1ACDE3D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Targeting FVIII, FIX for Haemophilia Treatment. https://doi.org/10.31219/osf.io/qcbwp.</w:t>
      </w:r>
    </w:p>
    <w:p w14:paraId="67AAE93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Targeting PRMT5 May Be Useful in Immunotherapy. https://doi.org/10.31219/osf.io/gkw8j.</w:t>
      </w:r>
    </w:p>
    <w:p w14:paraId="22C0C77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Using Extracellular Vesicles Loaded with miRNA Derived from Bone Marrow Mesenchymal Stem Cells Is a Cell-Free Medication Delivery Method Used in a Variety of Diseases. https://doi.org/10.31219/osf.io/3znvw.</w:t>
      </w:r>
    </w:p>
    <w:p w14:paraId="58B10D7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Genetic Engineered MSCs Are Attractive Possibilities for Regenerative Stem-Cell Therapy to Treat Several Liver Diseases. https://doi.org/10.31219/osf.io/4cfrd.</w:t>
      </w:r>
    </w:p>
    <w:p w14:paraId="1B5ED4B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Genetic Variants Shared between Alzheimer’s Disease and Parkinson's Disease Have Been Discovered in Blood and Brain Samples. Somatic Mosaicism Might Function as an Accelerator. https://doi.org/10.31219/osf.io/tr58n.</w:t>
      </w:r>
    </w:p>
    <w:p w14:paraId="201350B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Genome-Wide Association Studies Promise to Discover Novel Indicators of Hypertension. Endothelin-Related SNPs Are Currently in Clinical Trials. https://doi.org/10.31219/osf.io/2n4wa.</w:t>
      </w:r>
    </w:p>
    <w:p w14:paraId="200B527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Gingival and Intraventricular Haemorrhages Are Severe Newborn Diseases Causing Damage to White Matter and Neurological Dysfunction in Surviving Newborns Who Can Benefit from Gene Therapy. https://doi.org/10.31219/osf.io/qb84p.</w:t>
      </w:r>
    </w:p>
    <w:p w14:paraId="6D6799F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Glioblastoma Therapeutic Approaches Were Established Utilizing Contemporary Discoveries in Delivering Medicines to the Brain as Smart Nanoparticles for Focused Therapy. https://doi.org/10.31219/osf.io/db4f6.</w:t>
      </w:r>
    </w:p>
    <w:p w14:paraId="3A8A607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Haemophilia Gene Therapy Is in Clinical Studies, Making Continuous Safety and Efficacy Testing a Key Emphasis. https://doi.org/10.31219/osf.io/sa8ny.</w:t>
      </w:r>
    </w:p>
    <w:p w14:paraId="69A27C1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Hematopoietic Stem Cell Transplantation and Gene Therapy Are the Sole Treatments for Sickle Cell Disease and Other Hemoglobinopathies. https://doi.org/10.31219/osf.io/v8xqc.</w:t>
      </w:r>
    </w:p>
    <w:p w14:paraId="197F11D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Huntington’s Disease Gene Therapy and Nanomedicines May Be Available Shortly. https://doi.org/10.31219/osf.io/rxvgd.</w:t>
      </w:r>
    </w:p>
    <w:p w14:paraId="3ADC214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Hybrid Gene Therapy Designed to Fully Understand the Underlying Molecular Cancer Process May Be a Feasible Option. https://doi.org/10.31219/osf.io/ajyfd.</w:t>
      </w:r>
    </w:p>
    <w:p w14:paraId="29F54EC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Hydrogels Are Promising Considering Their Incredible Capacity to Modify, Encapsulate and Co-Deliver Medicinal Compounds, Cells, Biomolecules, and Nanomaterials. https://doi.org/10.31219/osf.io/px3qy.</w:t>
      </w:r>
    </w:p>
    <w:p w14:paraId="42DCD62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Immune Evasion Is Linked to Histone Variation Malfunction. Gene Therapy Could Provide Tools for Targeting Histone Variant Deposition as a Critical Part of Its Pharmacology. https://doi.org/10.31219/osf.io/kjm76.</w:t>
      </w:r>
    </w:p>
    <w:p w14:paraId="2D11760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Implementing the Human Artificial Chromosome Gene Therapy Platform Remains Challenging, but Continuous Animal Model Research Will Advance the Platform Closer to Clinical Trials. https://doi.org/10.31219/osf.io/a53f7.</w:t>
      </w:r>
    </w:p>
    <w:p w14:paraId="11E9EA2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Inflammatory Breast Cancer Remains the Most Aggressive Form of Breast Cancer. A Multimodality Therapeutic Plan Has Shown Improved Survival Results. https://doi.org/10.31219/osf.io/cr935.</w:t>
      </w:r>
    </w:p>
    <w:p w14:paraId="55C8741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Inherited Immunohematological and Metabolic Diseases Have the Potential to Improve Significantly, or Be Cured, Using Haematopoietic Stem Cell Transplantation Gene Therapy. https://doi.org/10.31219/osf.io/ukbnm.</w:t>
      </w:r>
    </w:p>
    <w:p w14:paraId="061A90B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Insulin and IGF-1 Receptors Mutations Can Lead to Targets for Gene Therapy in Diabetes, Obesity, and Metabolic Syndrome. https://doi.org/10.31219/osf.io/s86x5.</w:t>
      </w:r>
    </w:p>
    <w:p w14:paraId="442E87B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Integrating High-Throughput Genetics and Neuroimaging Technologies Promises Greater Information on Neurobiological Anomalies in Neurodegenerative Diseases. https://doi.org/10.31219/osf.io/hpgyz.</w:t>
      </w:r>
    </w:p>
    <w:p w14:paraId="481912A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Intravitreal and Subretinal Injections Currently Deliver Most Gene Therapy, Including siRNA for Eye Illnesses. Non-Viral Vectors May Provide Targeting. https://doi.org/10.31219/osf.io/rjkhy.</w:t>
      </w:r>
    </w:p>
    <w:p w14:paraId="04EE749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LncRNA Regulating Reprogramming Glucose Metabolism Has Become One of the Most Tempting Antineoplastic Targets for Gene Therapy. https://doi.org/10.31219/osf.io/hqma5.</w:t>
      </w:r>
    </w:p>
    <w:p w14:paraId="4AFB23A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lncRNAs Are Upregulated and Downregulated in OS Cells. Angiogenesis, Metastasis, Cell Signaling, Autophagy, and Death Are among Biological Processes That RNAs Play a Role in. https://doi.org/10.31219/osf.io/48n7q.</w:t>
      </w:r>
    </w:p>
    <w:p w14:paraId="1F93F8B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Magnetic Nanoparticles Are Widely Used in Drug Delivery, Imaging, Diagnosis, and Targeting. It Has Promises for the Treatment of Inflammatory Disorders such as Rheumatoid Arthritis. https://doi.org/10.31219/osf.io/p2gme.</w:t>
      </w:r>
    </w:p>
    <w:p w14:paraId="0AB8602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Many miRNAs Participate in Inflammatory Regulation and Bone Metabolism. Overexpression of miR21 and miR155 Releases Proinflammatory Cytokines. https://doi.org/10.31219/osf.io/2wuvp.</w:t>
      </w:r>
    </w:p>
    <w:p w14:paraId="5E4DF82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MiR490’s Diagnostic Capacity Was Demonstrated in Various Cancer Kinds and Diseases, Adding to Its Clinical Value. https://doi.org/10.31219/osf.io/wysre.</w:t>
      </w:r>
    </w:p>
    <w:p w14:paraId="7035182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miRNAs Have an Impact on Xeno-Infectious Diseases by Influencing Host And/or Infection Factors. https://doi.org/10.31219/osf.io/7qewx.</w:t>
      </w:r>
    </w:p>
    <w:p w14:paraId="3FEB736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Mutations in MED12 Lead to Mental Retardation, Including Opitz–Kaveggia Syndrome, Ohdo Syndrome, Lujan–Fryns Syndrome, and Psychosis. It’s a Target for Gene Therapy. https://doi.org/10.31219/osf.io/cyns8.</w:t>
      </w:r>
    </w:p>
    <w:p w14:paraId="46B7AA0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Nanocarriers Can Be Used to Control the Activity of Genome Editing in a Spatiotemporal Way by Using Stimulusresponsive Nanocarriers. https://doi.org/10.31219/osf.io/nua89.</w:t>
      </w:r>
    </w:p>
    <w:p w14:paraId="0F01FC4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Nanomaterials Were Formed into Various Shapes, with Functionalization Aimed at Various Internalization Processes. Their Nanoscale Size Allows Drugs to Reach Cells or Extracellular Environments. https://doi.org/10.31219/osf.io/p2ajv.</w:t>
      </w:r>
    </w:p>
    <w:p w14:paraId="5A37D25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Nanomedicine Is Offering Promising Strategies for Tumor Blockade Treatment. https://doi.org/10.31219/osf.io/yzxuq.</w:t>
      </w:r>
    </w:p>
    <w:p w14:paraId="2A8CFCF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Network Medicine Might Lead to New Treatments for Dyslipidemia. It Will Be a Challenging Method to Implement in a Clinical Context. https://doi.org/10.31219/osf.io/nksbw.</w:t>
      </w:r>
    </w:p>
    <w:p w14:paraId="7DD173C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Neuroinflammation Caused by Activated Microglia and Astrocytes Can Contribute to the Progression of Pathogenic Damage to Substantia Nigra Neurons, Playing a Role in Parkinson’s Disease Progression. https://doi.org/10.31219/osf.io/ac896.</w:t>
      </w:r>
    </w:p>
    <w:p w14:paraId="6752C61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Neurologists Rarely Perform Genetic Testing for Parkinson’s Disease. Evidence Suggests That Many Patients with Major Genetic Variants Go Undiagnosed. https://doi.org/10.31219/osf.io/ykpb2.</w:t>
      </w:r>
    </w:p>
    <w:p w14:paraId="6D877BC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Neuronal Intranuclear Hyaline Inclusion Disease Is a Neurodegenerative Condition Which Can Be a Target for Gene Therapy. https://doi.org/10.31219/osf.io/upgqd.</w:t>
      </w:r>
    </w:p>
    <w:p w14:paraId="01A4B6C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New Therapies Aim at Restoring the Molecular, Morphological, and Functional Integrity of Parkinson’s Specific Brain Circuits. https://doi.org/10.31219/osf.io/dvyxc.</w:t>
      </w:r>
    </w:p>
    <w:p w14:paraId="27047B0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Not All lncMIRHGs Are ‘Junk Transcripts,’. LncM IRHG Loci May Make Both Functional miRNAs and lncRNAs, Which Can Work Together or Separately. https://doi.org/10.31219/osf.io/a567w.</w:t>
      </w:r>
    </w:p>
    <w:p w14:paraId="71EFD49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Nrf2 Signaling Pathways Are Part of a Wider Network of Signaling Pathways Regulating Thymoquinone Therapeutic Actions Which Need Innovative Formulations and Delivery Methods. https://doi.org/10.31219/osf.io/u2fa7.</w:t>
      </w:r>
    </w:p>
    <w:p w14:paraId="18BB9A8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Omics Should Be Integrated with Genomics to Uncover Molecular Networks and Tissue and Single-Cell Epigenetic Changes. With These Findings, Targeted Pseudoexfoliation Syndrome and Glaucoma Gene Therapy Procedures May Be Viable. https://doi.org/10.31219/osf.io/48fj5.</w:t>
      </w:r>
    </w:p>
    <w:p w14:paraId="7024246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Ophthalmic Gene and Cell Therapies. https://doi.org/10.31219/osf.io/n84m9.</w:t>
      </w:r>
    </w:p>
    <w:p w14:paraId="35956AD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P21 Is a Flexible, Multi-Functional Protein. It Governs Various Tumor Cell Activities, Including Autophagy. p21 Is a Possible Radiotherapy Target. https://doi.org/10.31219/osf.io/ydkca.</w:t>
      </w:r>
    </w:p>
    <w:p w14:paraId="402FC73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Parkinson’s Disease Simulating Complexity via Improving the Identification of Significant Genetic Alterations and Environmental Contaminants Should Be a Priority. https://doi.org/10.31219/osf.io/pmcu9.</w:t>
      </w:r>
    </w:p>
    <w:p w14:paraId="03FB5DE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Patient-Specific Microphysiology Systems Are Likely to Become a Crucial Aspect of Translational Research and Precision Medicine. https://doi.org/10.31219/osf.io/bc8fr.</w:t>
      </w:r>
    </w:p>
    <w:p w14:paraId="5D4E529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Patients with PMD Who Are Thoroughly Screened by Genomic Medicine Have a Considerable Chance of Benefiting Greatly from Whole-Genome Sequencing. https://doi.org/10.31219/osf.io/dajft.</w:t>
      </w:r>
    </w:p>
    <w:p w14:paraId="20C3455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Polydopamine Nanoparticles’ Activity and Long-Term Stability Should Be Fully Studied for Gene Therapy Applications. https://doi.org/10.31219/osf.io/x4nej.</w:t>
      </w:r>
    </w:p>
    <w:p w14:paraId="7E49112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Potential Therapeutics for Primary Mitochondrial Disorders. https://doi.org/10.31219/osf.io/6pz5k.</w:t>
      </w:r>
    </w:p>
    <w:p w14:paraId="54249FA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Potentials of Medicinal Nanostructured Diamond Particles and Coatings. https://doi.org/10.31219/osf.io/h68xz.</w:t>
      </w:r>
    </w:p>
    <w:p w14:paraId="1C0D750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Preclinical Investigations Revealed Possibilities for Salmonella Tumor Treatment. Bacteria Can Also Be Coupled to Nanomaterials Enabling Drug-Loading, Photocatalytic And/or Magnetic Properties, Using the Bacteria’s Net Negative Charge. https://doi.org/10.31219/osf.io/embqk.</w:t>
      </w:r>
    </w:p>
    <w:p w14:paraId="4B50541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Research into P2X Purinergic Receptor Function in Tumor Growth Has Made Substantial Progress with Potential Gene Therapy Targeting. https://doi.org/10.31219/osf.io/r34fs.</w:t>
      </w:r>
    </w:p>
    <w:p w14:paraId="63B673B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 Therapies Hold Great Promise for Treating Cancer. High-Throughput Screening Techniques Have Facilitated the Development of RNA Treatments. https://doi.org/10.31219/osf.io/9vxrb.</w:t>
      </w:r>
    </w:p>
    <w:p w14:paraId="6982BF6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RNAi Treatment Has Been Shown to Successfully Modify Human-Related Target Gene Expression, Including Cancer. It Has the Capacity to Control Non-Standard Oncogenes, such as Oncogenic lncRNAs. https://doi.org/10.31219/osf.io/bwqep.</w:t>
      </w:r>
    </w:p>
    <w:p w14:paraId="57F6810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RNAs Hold a Lot of Potential When It Comes to Druggable Molecular Targets. https://doi.org/10.31219/osf.io/2dtxg.</w:t>
      </w:r>
    </w:p>
    <w:p w14:paraId="26C1C25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Shadow Enhancers’ Objective Seems to Be to Establish Robust Growth Patterns Independent of Genetic or Environmental Stress. https://doi.org/10.31219/osf.io/qfnkp.</w:t>
      </w:r>
    </w:p>
    <w:p w14:paraId="724A402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Sickle Cell Disease Hematopoietic Stem Cell Gene Therapy with Globin Gene Addition Is Promising. https://doi.org/10.31219/osf.io/j5fkb.</w:t>
      </w:r>
    </w:p>
    <w:p w14:paraId="258CE8B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Single-Gene Mutations in mtDNA-Associated Proteins Are Unlikely to Be the Main Cause of Sporadic Parkinson’s Disease. Cumulative Genetic Variation in Numerous Genes May Be Important in Neurodegeneration and PD Risk. https://doi.org/10.31219/osf.io/89qte.</w:t>
      </w:r>
    </w:p>
    <w:p w14:paraId="29C9BE8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Small Nuclear Ribonucleoproteins (snRNPs) Based Gene Therapy. https://doi.org/10.31219/osf.io/c43r9.</w:t>
      </w:r>
    </w:p>
    <w:p w14:paraId="3B9F246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Studying the Pathologic Mechanisms of Osteoporosis and the Bone Microenvironment May Help Researchers Better Know the Etiology of Rheumatoid Arthritis, Periodontitis, and Multiple Myeloma, as Well as Other Inflammatory and Autoimmune Disorders. https://doi.org/10.31219/osf.io/t3z6y.</w:t>
      </w:r>
    </w:p>
    <w:p w14:paraId="6344315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Suicide Gene Therapy May Be Effective in the Treatment of Malignant Glioma. https://doi.org/10.31219/osf.io/vdkst.</w:t>
      </w:r>
    </w:p>
    <w:p w14:paraId="4A260A6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Synuclein Is a Protein That Is Expressed in Brain Tissue. The Specific Missense Mutation (SNCA) Found in a Family with Parkinson’s Disease Is the Cause. Other Diseases Include Alzheimer's Disease and REM Sleep Behavior Disorder. https://doi.org/10.31219/osf.io/bs8rc.</w:t>
      </w:r>
    </w:p>
    <w:p w14:paraId="306B1BC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Systems Biology Is a Method for Analyzing Massive Amounts of Multidimensional Data Generated by Omics Technologies. Cross-Validation of the Various Technological Platforms Is Critical. https://doi.org/10.31219/osf.io/p8vkd.</w:t>
      </w:r>
    </w:p>
    <w:p w14:paraId="1815071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Targeting Mitochondria and Especially Taz Gene Mutation Induces CL May Give Novel Therapeutic Alternatives for Treating Barth Syndrome. https://doi.org/10.31219/osf.io/unfpy.</w:t>
      </w:r>
    </w:p>
    <w:p w14:paraId="79BD015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Ability to Combine Multiple mRNA Antigens Targeting Multiple Pathogens Simultaneously, and the Robust Immune Responses Are Confirmed in Several Clinical Studies. https://doi.org/10.31219/osf.io/6qksx.</w:t>
      </w:r>
    </w:p>
    <w:p w14:paraId="62E99BE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Cubic Polyhedral Oligomeric Silsesquioxanes Based Hybrid Materials Have a Wide Variety of Applications, Including Drug Administration, Gene Therapy, Biological Imaging, and Bone Regeneration. https://doi.org/10.31219/osf.io/9peq8.</w:t>
      </w:r>
    </w:p>
    <w:p w14:paraId="370FE92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Development of Tissue Replacement Therapies and Drug Discovery Was a Critical Milestone in Advancing Regenerative Medicine. https://doi.org/10.31219/osf.io/w9bsm.</w:t>
      </w:r>
    </w:p>
    <w:p w14:paraId="78715CE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Epidemic of COVID-19 Prompted Widespread Use of mRNA Vaccinations. https://doi.org/10.31219/osf.io/jqws5.</w:t>
      </w:r>
    </w:p>
    <w:p w14:paraId="3005156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Most Useful and Commonly Available Acute Rejection Surveillance Strategies Are Routine Monitoring of Myocardial Function and Donor-Specific Anti-HLA Abs Monitoring. https://doi.org/10.31219/osf.io/ebw68.</w:t>
      </w:r>
    </w:p>
    <w:p w14:paraId="4E12FF6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Protease MBTPS2 Is an Important Regulator of Several Cellular Processes, Especially in Health and Sickness. https://doi.org/10.31219/osf.io/qyn6h.</w:t>
      </w:r>
    </w:p>
    <w:p w14:paraId="49DC532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The Sigma 1 Receptor (S1R) Is a Potential Therapeutic Target for the Treatment of Huntington’s Disease. https://doi.org/10.31219/osf.io/mcefx.</w:t>
      </w:r>
    </w:p>
    <w:p w14:paraId="246FD9D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Use of a Network Medicine Approach Might Result in Innovative Strategies for Lowering Coronary Heart Disease and CV Risks. https://doi.org/10.31219/osf.io/eakg8.</w:t>
      </w:r>
    </w:p>
    <w:p w14:paraId="7205B81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Vasoconstrictor Endothelin System Involvement in Chronic Kidney Diseases Pathogenesis Is Now the Most Often Employed Treatment Method. https://doi.org/10.31219/osf.io/cnkqy.</w:t>
      </w:r>
    </w:p>
    <w:p w14:paraId="60735AA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VPS35-D620N Mutation Is Associated with Parkinson’s Disease and Can Be a Target for Gene Therapy. https://doi.org/10.31219/osf.io/83sxr.</w:t>
      </w:r>
    </w:p>
    <w:p w14:paraId="4468FFC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Therapeutics Including Gene Therapy for Osteoarthritis as a Concept. https://doi.org/10.31219/osf.io/7zsqy.</w:t>
      </w:r>
    </w:p>
    <w:p w14:paraId="0B2A141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Tissue Hypoxia Has Been Established as a Master Regulator for Alternative Splicing, with Substantial Clinical Consequences and Possibilities for Gene Therapy Targeting. https://doi.org/10.31219/osf.io/5pbw4.</w:t>
      </w:r>
    </w:p>
    <w:p w14:paraId="6852A90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To Rectify Alzheimer’s Disease Etiology, Excessive Mitochondrial Division Might Be Stopped or Mitophagy Might Be Promoted. https://doi.org/10.31219/osf.io/6kdxw.</w:t>
      </w:r>
    </w:p>
    <w:p w14:paraId="462B3B1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Transcriptomics Is a Rapidly Growing Field That Generates New Data That May Be Used on Its Own or in Combination with Existing Clinical Data for Development of New Therapeutics, Including Gene Therapy. https://doi.org/10.31219/osf.io/kfr6a.</w:t>
      </w:r>
    </w:p>
    <w:p w14:paraId="0387FC5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Tumor Microenvironment Has Clinical Significance in Terms of Prognosis and Therapy Prediction. https://doi.org/10.31219/osf.io/4dz8q.</w:t>
      </w:r>
    </w:p>
    <w:p w14:paraId="12E8548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Using AAV as a Gene Delivery Vector in the Neural System Is Effective in Several Animals, such as Nonhuman Primates. https://doi.org/10.31219/osf.io/ut4fa.</w:t>
      </w:r>
    </w:p>
    <w:p w14:paraId="7600488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Using Pre-Existing Datasets to Combine Published Information with New Metrics Would Help Researchers Construct a Broader Picture of Chromatin in Disease. https://doi.org/10.31219/osf.io/gsqv5.</w:t>
      </w:r>
    </w:p>
    <w:p w14:paraId="03EAB8A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Virus-like Particles Are Good Nanocarriers for Liquid Biopsy Probes, Imaging Contrast Agents, and Anticancer Medications. https://doi.org/10.31219/osf.io/xbtka.</w:t>
      </w:r>
    </w:p>
    <w:p w14:paraId="5EBA002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ZEB1 Controls the Expression of ICAM1, Promoting Monocyte-Macrophage Adhesion and Hence the Formation of Atherosclerotic Lesions. https://doi.org/10.31219/osf.io/kzjqg.</w:t>
      </w:r>
    </w:p>
    <w:p w14:paraId="20A5E30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Development and Legislation. https://doi.org/10.31219/osf.io/mwb2n.</w:t>
      </w:r>
    </w:p>
    <w:p w14:paraId="1703D9E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Next-Generation Sequencing Is Now Utilized to Identify Genetic Abnormalities and Develop Gene Therapy. https://doi.org/10.31219/osf.io/em7xp.</w:t>
      </w:r>
    </w:p>
    <w:p w14:paraId="09CBB35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Nucleic Acid Designs, Artificial Intelligence for Screening Nanomaterials, and Enhanced Characterization Methods Are Needed to Make Nanomedicine More Successful. https://doi.org/10.31219/osf.io/2w5aq.</w:t>
      </w:r>
    </w:p>
    <w:p w14:paraId="66ABAF1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Potential Strategies for Cancer Gene Therapy. https://doi.org/10.31219/osf.io/atcqz.</w:t>
      </w:r>
    </w:p>
    <w:p w14:paraId="63694F8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Quantitative Groups Will Be Critical to the Success of Future Gene Therapy Programs. https://doi.org/10.31219/osf.io/v97ht.</w:t>
      </w:r>
    </w:p>
    <w:p w14:paraId="5A1C30F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Treatment of Major Human Illnesses with Recombinant Adeno-Associated Virus (rAAV) Has Shown Tremendous Promises. https://doi.org/10.31219/osf.io/uwa4e.</w:t>
      </w:r>
    </w:p>
    <w:p w14:paraId="068FBF3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Carbon Nanotubes Have Enormous Potential in Gene Therapy. https://doi.org/10.31219/osf.io/9bcxk.</w:t>
      </w:r>
    </w:p>
    <w:p w14:paraId="53A8478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Charge-Alteration-Based Approaches Can Address the Evolving Needs of Nucleic Acid-Based Gene Therapy, Charge Reversal Techniques Are Also Promising. https://doi.org/10.31219/osf.io/zwq5h.</w:t>
      </w:r>
    </w:p>
    <w:p w14:paraId="79CCBAA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Chromosome X, the Most Explored Genome-Editing Chromosome, Presents Possibilities for Hemophilia A Treatments. https://doi.org/10.31219/osf.io/6vsdz.</w:t>
      </w:r>
    </w:p>
    <w:p w14:paraId="3E21130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Clinical Investigations Show That siRNA May Be Used to Treat a Variety of Disorders, Including Cancer. https://doi.org/10.31219/osf.io/fcsgq.</w:t>
      </w:r>
    </w:p>
    <w:p w14:paraId="15E49BB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Cyclodextrins as Potential Gene Therapy Vectors. https://doi.org/10.31219/osf.io/zhtsc.</w:t>
      </w:r>
    </w:p>
    <w:p w14:paraId="7E37561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Development of Specialized Carriers Capable of Delivering Effective RNAi and siRNA Gene Therapy. https://doi.org/10.31219/osf.io/3ykwm.</w:t>
      </w:r>
    </w:p>
    <w:p w14:paraId="2BEF4FB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Can Target Mutations such as BRAF, Which Have Been Shown to Make Tumors More Susceptible to Autophagy Suppression. https://doi.org/10.31219/osf.io/3gwra.</w:t>
      </w:r>
    </w:p>
    <w:p w14:paraId="16D19D0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Vectors Should Enable CRISPR Systems to Accumulate at Disease Sites and Successfully Penetrate Nuclei. https://doi.org/10.31219/osf.io/xzmnc.</w:t>
      </w:r>
    </w:p>
    <w:p w14:paraId="02812FC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Nanoformulations Can Be Utilized to Deliver Effective siRNA to Tumor Cells to Decrease Gene Expression. https://doi.org/10.31219/osf.io/zvukc.</w:t>
      </w:r>
    </w:p>
    <w:p w14:paraId="31133EF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Neuronal Ceroid Lipofuscinosis Therapeutics. https://doi.org/10.31219/osf.io/75vcp.</w:t>
      </w:r>
    </w:p>
    <w:p w14:paraId="4A63306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Nonviral Gene Delivery Vectors for Transfection of the CAR Gene for CAR-T Cell Therapy. https://doi.org/10.31219/osf.io/ckxh5.</w:t>
      </w:r>
    </w:p>
    <w:p w14:paraId="5A44790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Potential HIV Gene Therapy Strategies. https://doi.org/10.31219/osf.io/e5hm2.</w:t>
      </w:r>
    </w:p>
    <w:p w14:paraId="0FE4797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Research on Cell Sources for Brain Cell Replacement Methods Has Gained Major Importance. Cell and Gene Therapy Are Potentially Intriguing New Domains of Regenerative Medicine. https://doi.org/10.31219/osf.io/g835b.</w:t>
      </w:r>
    </w:p>
    <w:p w14:paraId="4B153F6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RNAi-Based Gene Therapy Provides a Wide Variety of Applications. Safe, Biodegradable Nano Delivery Vectors Are Still Needed. https://doi.org/10.31219/osf.io/s2zhn.</w:t>
      </w:r>
    </w:p>
    <w:p w14:paraId="092DEC1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Strategies for Treating Multiple Sclerosis with Gene Therapy. https://doi.org/10.31219/osf.io/sycn6.</w:t>
      </w:r>
    </w:p>
    <w:p w14:paraId="41C8205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Combination of Unique Biomolecules and Nanoparticles Has Shown Successful Gene Therapy Treatment Approaches for Non-Small Cell Lung Cancer Treatment. https://doi.org/10.31219/osf.io/yeq5z.</w:t>
      </w:r>
    </w:p>
    <w:p w14:paraId="358DF44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Understanding Why the Same Gene Delivery Vector Behaves Differently in Different Cell Types Is Essential for Developing More Adaptable Transfection Systems. https://doi.org/10.31219/osf.io/6q8af.</w:t>
      </w:r>
    </w:p>
    <w:p w14:paraId="21E17B5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AAV9 Is Considered the Most Efficient AAV Serotype Targeting Blood-Brain Barriers. To Enhance Effective Gene Therapy for CNS Illnesses, Testing Novel Vectors with More Efficient Crossing Capabilities Is Vital. https://doi.org/10.31219/osf.io/7bf5s.</w:t>
      </w:r>
    </w:p>
    <w:p w14:paraId="6244DAB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Artificial miRNAs Are Potential Gene Therapy Tools, Especially for Incurable Monogenic Disorders. https://doi.org/10.31219/osf.io/d5rnm.</w:t>
      </w:r>
    </w:p>
    <w:p w14:paraId="0687AE3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Breakthroughs in mRNA Modification and Nanoparticle-Based Delivery Vehicles Facilitate Gene Therapy Strategies. https://doi.org/10.31219/osf.io/ky7dt.</w:t>
      </w:r>
    </w:p>
    <w:p w14:paraId="1E32767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CRISPR/Cas9-Mediated Genome Editing Has Demonstrated Significant Promise for Genetic Correction in Autologous Hematopoietic Stem/progenitor Cells (HSPCs) and Induced Pluripotent Stem Cells (iPSCs). https://doi.org/10.31219/osf.io/xk54r.</w:t>
      </w:r>
    </w:p>
    <w:p w14:paraId="10F7F6A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Vectors for Targeting the Heart. https://doi.org/10.31219/osf.io/gcbhf.</w:t>
      </w:r>
    </w:p>
    <w:p w14:paraId="13BDE6F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Liposomes Can Minimize Cardiotoxicity, Address Drug Resistance, and Improve Overall Drug Release Profiles in Breast Cancer. https://doi.org/10.31219/osf.io/tn56d.</w:t>
      </w:r>
    </w:p>
    <w:p w14:paraId="775369F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Liposomes with Cerasome-Forming Lipids as Gene Therapy Vectors. https://doi.org/10.31219/osf.io/zjn6v.</w:t>
      </w:r>
    </w:p>
    <w:p w14:paraId="56147AA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Nanomaterials Combine Multiple Therapeutic Approaches for Cancer Cell Multidrug Resistance, Ferroptotic Cell Death Is Promising in Various Cancers. https://doi.org/10.31219/osf.io/7bg9t.</w:t>
      </w:r>
    </w:p>
    <w:p w14:paraId="6AB2176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Nanomedicines for Enhanced Permeability and Retention (EPR)-Stratified Patients Have the Potential to Improve Treatment Outcomes. https://doi.org/10.31219/osf.io/xrcb2.</w:t>
      </w:r>
    </w:p>
    <w:p w14:paraId="4D37E5B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RNA-Based Gene Therapy for Manipulating the Neuroinflammatory Cascade Closely Linked to Neurodegeneration Can Help Reduce Disease Development. https://doi.org/10.31219/osf.io/2hswv.</w:t>
      </w:r>
    </w:p>
    <w:p w14:paraId="7474728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Targeted Chemical Nucleases Have a Wide Range of Untapped Applications in Biological Fields, Including Gene Therapy. https://doi.org/10.31219/osf.io/6bexs.</w:t>
      </w:r>
    </w:p>
    <w:p w14:paraId="325A5EB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Bacterial Nanoparticles Can Deliver Proteins, Medications, Enzymes, and Genes to Diagnose and Cure Numerous Illnesses. https://doi.org/10.31219/osf.io/7gyna.</w:t>
      </w:r>
    </w:p>
    <w:p w14:paraId="4FF14D6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Exosomal miRNA Diagnostic and Gene Therapy Tools. https://doi.org/10.31219/osf.io/aknrc.</w:t>
      </w:r>
    </w:p>
    <w:p w14:paraId="773352F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Modification Research Has Potential, from Diagnostic to Therapeutic Levels. The Most Promising Metabolic Pathways Include the TGF-1 Signaling System, Inflammation and Protein Transport. https://doi.org/10.31219/osf.io/5ert4.</w:t>
      </w:r>
    </w:p>
    <w:p w14:paraId="0702B2D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Using MnO2 Nanoparticles. https://doi.org/10.31219/osf.io/xmwjs.</w:t>
      </w:r>
    </w:p>
    <w:p w14:paraId="0D928A6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Gene-Regulatory Elements May Change the Amount, Timing, or Location of Gene Expression, Cis-Regulation Therapy Platforms Might Become a Gene Therapy to Treat Many Genetic Diseases. https://doi.org/10.31219/osf.io/xc5a2.</w:t>
      </w:r>
    </w:p>
    <w:p w14:paraId="49D3D3F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Hemophilia Therapeutics. https://doi.org/10.31219/osf.io/gu74x.</w:t>
      </w:r>
    </w:p>
    <w:p w14:paraId="5E77F9C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Mesenchymal Stem Cells Strategies in Cancer Immunotherapy. https://doi.org/10.31219/osf.io/dkv6w.</w:t>
      </w:r>
    </w:p>
    <w:p w14:paraId="3BB55C7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Nanomaterials Can Inhibit Planktonic and Biofilm Bacteria and Can Be Used as Topical Therapy for Mouth and Wound-Related Infections. https://doi.org/10.31219/osf.io/aqd2e.</w:t>
      </w:r>
    </w:p>
    <w:p w14:paraId="37A85A8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New Technologies to Improve CAR T Cell Generation and Biomanufacturing Will Lead to Safer, More Therapeutically Effective Cells. https://doi.org/10.31219/osf.io/un8gp.</w:t>
      </w:r>
    </w:p>
    <w:p w14:paraId="50A4DF9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Ocular Gene Therapy Strategies. https://doi.org/10.31219/osf.io/7en3k.</w:t>
      </w:r>
    </w:p>
    <w:p w14:paraId="60220D0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Peripheral Nerve Injury Therapeutics, Including Electrical Stimulation, Stem Cell Treatments, and Synthetic Neural Scaffolds, Have Shown Promising Preclinical and Even Clinical Results with Potential Regenerative Treatment. https://doi.org/10.31219/osf.io/m8cs9.</w:t>
      </w:r>
    </w:p>
    <w:p w14:paraId="1559A9D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Photothermal and Photodynamic Photoactivation of Nanomaterials-Based Prodrugs Are Two Key Methods for NIR Light-Mediated Photoactivation. https://doi.org/10.31219/osf.io/2bh3r.</w:t>
      </w:r>
    </w:p>
    <w:p w14:paraId="2BD58C1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Quantum Dots Have the Potential to Be Used in Gene Therapy. https://doi.org/10.31219/osf.io/bdeg6.</w:t>
      </w:r>
    </w:p>
    <w:p w14:paraId="3A6B8F1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Sickle Cell Disease Has Emerged as a Public Health Concern. Some Drugs May Conflict with Curative Therapies, yet They May Be Useful as a Bridge to HSCT and Gene Therapy. https://doi.org/10.31219/osf.io/6kufh.</w:t>
      </w:r>
    </w:p>
    <w:p w14:paraId="4B5E400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Stimulator of Interferon Genes (STING)-Activating Nanoparticles Can Be Employed as a Tool for Controlled Immune Activation. https://doi.org/10.31219/osf.io/2ez7a.</w:t>
      </w:r>
    </w:p>
    <w:p w14:paraId="79CBF78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CRISPR/Cas9 Has Introduced New Gene Therapy Possibilities for Muscular Dystrophies. https://doi.org/10.31219/osf.io/ug8v4.</w:t>
      </w:r>
    </w:p>
    <w:p w14:paraId="20E3065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Degradable Branched Polycationic Systems Are Promising Gene Therapy Vectors. https://doi.org/10.31219/osf.io/utypf.</w:t>
      </w:r>
    </w:p>
    <w:p w14:paraId="40767EB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Developing Nanotechnology Platforms for Peptide-Based Combinatory Cancer Gene Therapy Will Likely Have a Significant Influence on the Development of Personalized Cancer Medicines. https://doi.org/10.31219/osf.io/zbrkj.</w:t>
      </w:r>
    </w:p>
    <w:p w14:paraId="1CE8D14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Exosomes May Prevent Cardiac Attacks, Heart Failure, and Cardiomyopathy. https://doi.org/10.31219/osf.io/agm3k.</w:t>
      </w:r>
    </w:p>
    <w:p w14:paraId="2AB2837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2021gr. Exosomes Potential Therapeutics. https://doi.org/10.31219/osf.io/mhwt3.</w:t>
      </w:r>
    </w:p>
    <w:p w14:paraId="1D6A35D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 Therapy Using miRNA Treatment Suppresses the Expression of Bone-Forming Defective Genes and Raises the Expression of Genes That Become Dormant during Bone Building. https://doi.org/10.31219/osf.io/tcka3.</w:t>
      </w:r>
    </w:p>
    <w:p w14:paraId="0E9F2E4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Genome-Editing Is Promising for Producing Therapeutically Relevant Animal Models for Possible Therapies for Rare Human Diseases. https://doi.org/10.31219/osf.io/dehr9.</w:t>
      </w:r>
    </w:p>
    <w:p w14:paraId="0BBF18B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Human Corneal Endothelial Cells Grafts to Replace Cadaveric Donor Corneas. https://doi.org/10.31219/osf.io/p9x7e.</w:t>
      </w:r>
    </w:p>
    <w:p w14:paraId="3D24ADF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Hybrid Nanotechnology and Peptide Nucleic Acid Could Improve the Effectiveness of Gene Therapy by Increasing Its Cell Permeability. https://doi.org/10.31219/osf.io/d8wzt.</w:t>
      </w:r>
    </w:p>
    <w:p w14:paraId="4332325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In Prenatal Stem Cell Transplantation and in Utero Gene Therapy, a Wide Spectrum of Genetic Diseases Can Be Diagnosed and Treated before Birth. https://doi.org/10.31219/osf.io/sa3vz.</w:t>
      </w:r>
    </w:p>
    <w:p w14:paraId="77C154F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Magnetic Iron Oxide Nanoparticles Have Potential on Gene Therapy Effectiveness and Biocompatibility. https://doi.org/10.31219/osf.io/f3hm4.</w:t>
      </w:r>
    </w:p>
    <w:p w14:paraId="4EE59E7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Neurotrophin Gene Therapy May Be Able to Treat Individuals with Noise-Induced Hearing Loss or Neural Presbyacusis. https://doi.org/10.31219/osf.io/spkxh.</w:t>
      </w:r>
    </w:p>
    <w:p w14:paraId="59FDE69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Plant Viral Nanoparticles Can Be Used in Biological Systems for Loading and Transporting Cargo. https://doi.org/10.31219/osf.io/txdka.</w:t>
      </w:r>
    </w:p>
    <w:p w14:paraId="7C833B9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Polydopamine May Be Easily Functionalized with a Range of Nanomaterials for Synergistic Cancer Therapy, in Addition to Its Exceptional Photothermal Effects. https://doi.org/10.31219/osf.io/cq942.</w:t>
      </w:r>
    </w:p>
    <w:p w14:paraId="5192E84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Tumor-Targeted Drug Delivery Systems for Anticancer Therapies Can Selectively Provide an Appropriate Cytotoxic Payload to Cancer Cells, Reducing the Side Effects of Chemo. https://doi.org/10.31219/osf.io/683nj.</w:t>
      </w:r>
    </w:p>
    <w:p w14:paraId="0BE6ABF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Hani Nasser Abdelhamid, Mattias Hällbrink, Krista Freimann, Kaido Kurrikoff, Xiaodong Zou, and Ülo Langel. 2017. Magnetic Nanoparticle Assisted Self-Assembly of Cell Penetrating Peptides-Oligonucleotides Complexes for Gene Delivery. Scientific Reports 7 (1): 9159. https://doi.org/10.1038/s41598-017-09803-z.</w:t>
      </w:r>
    </w:p>
    <w:p w14:paraId="2B5FDBF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Hani Nasser Abdelhamid, Mattias Hällbrink, Ülo Langel, and Xiaodong Zou. 2018. Supplemental Material for Chitosan Enhances Gene Delivery of Oligonucleotide Complexes with Magnetic Nanoparticles–cell-Penetrating Peptide. SAGE Journals. https://doi.org/10.25384/SAGE.7105436.V1.</w:t>
      </w:r>
    </w:p>
    <w:p w14:paraId="1786D6F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Hani Nasser Abdelhamid, Mattias Hällbrink, Xiaodong Zou, and Ülo Langel. 2017. Graphene Oxide Nanosheets in Complex with Cell Penetrating Peptides for Oligonucleotides Delivery General Subjects. Biochimica et Biophysica Acta, General Subjects. https://pubag.nal.usda.gov/catalog/5734174.</w:t>
      </w:r>
    </w:p>
    <w:p w14:paraId="2AF1B712"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2017. Graphene Oxide Nanosheets in Complex with Cell Penetrating Peptides for Oligonucleotides Delivery. Biochimica et Biophysica Acta, General Subjects 1861 (9): 2334–41. https://doi.org/10.1016/j.bbagen.2017.07.002.</w:t>
      </w:r>
    </w:p>
    <w:p w14:paraId="1608F24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and Moataz Dowaidar. 2018. Chimeric Gene Delivery Vectors : Design, Synthesis, and Mechanisms from Transcriptomics Analysis.</w:t>
      </w:r>
    </w:p>
    <w:p w14:paraId="70424A6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Addiction Biology Research on miRNAs, and Their Role in the Pathophysiology of Addiction Is Enabling Gene Therapy Opportunities. https://doi.org/10.31219/osf.io/z5wyt.</w:t>
      </w:r>
    </w:p>
    <w:p w14:paraId="3A2C4FD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Aptamers Targeting Vascular Endothelial Growth Factor Molecular Regulation as Potential Therapists. https://doi.org/10.31219/osf.io/a8qpr.</w:t>
      </w:r>
    </w:p>
    <w:p w14:paraId="5100CF6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Arrhythmogenic Cardiomyopathy Is a Set of Hereditary Cardiac Muscle Disorders Where Various Etiologies Converge. Most ACM Patients Do Not Have a Genetic Diagnosis. https://doi.org/10.31219/osf.io/pztv3.</w:t>
      </w:r>
    </w:p>
    <w:p w14:paraId="2720FDB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Moataz Dowaidar. Autophagy, Immunological Response, and Inflammation All Rely on the TRIM Family Proteins. TRIM-Based Therapeutics for Inflammatory Illnesses Including Diabetes and Diabetic Comorbidities Are Promising. https://doi.org/10.31219/osf.io/y4g6e.</w:t>
      </w:r>
    </w:p>
    <w:p w14:paraId="37B1BC15"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Biogenic Particles Can Be Multiantigenic, Immunostimulative and Activate Innate Immunity While Suppressing Tumor Development. https://doi.org/10.31219/osf.io/q2kby.</w:t>
      </w:r>
    </w:p>
    <w:p w14:paraId="3889355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Biological Medications for Interventional Pain Have a Lot of Clinical Data behind Them. It Is Fair to Assume They Will Replace Steroid-Based Interventional Techniques, Providing Patients with Longer Relief. https://doi.org/10.31219/osf.io/4y5fm.</w:t>
      </w:r>
    </w:p>
    <w:p w14:paraId="02D1126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Carbon Nanofibers Assist in the Manufacture of Prosthetic Joints, Promote Tissue, Organ, Nerve Regeneration and Development, and Improve Anticancer Therapy Impact and Chemosensitization for a Range of Tumor Types. https://doi.org/10.31219/osf.io/z3ucn.</w:t>
      </w:r>
    </w:p>
    <w:p w14:paraId="29BC6059"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Emerging Therapy Options May Help Patients with RAG Deficiency, Especially Those with Severe Immune Dysregulation. https://doi.org/10.31219/osf.io/v5tjg.</w:t>
      </w:r>
    </w:p>
    <w:p w14:paraId="3AC9092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Exosomes as Promising Gene Therapy Tools Still Need to Be Researched and Manufactured More Efficiently. https://doi.org/10.31219/osf.io/nw4z7.</w:t>
      </w:r>
    </w:p>
    <w:p w14:paraId="4D701CD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Focus on Exosomes Could Help Make the Use of Circulating miRNA as Biomarkers More Practical. A Detailed Understanding of miRNA Behavior Should Be a Subject of Gene Therapy. https://doi.org/10.31219/osf.io/uan6x.</w:t>
      </w:r>
    </w:p>
    <w:p w14:paraId="610E51F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Gene-Free Viral-like Particles (VLPs) Offer a Safer Alternative to Inactivating or Weakening Viral Strains for Traditional Vaccines. VLP-Based Vaccinations without Adjuvants Have Been Found to Promote Humoral and Cellular Immunity. https://doi.org/10.31219/osf.io/9dvut.</w:t>
      </w:r>
    </w:p>
    <w:p w14:paraId="7D6C75D4"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Given the Importance of mTOR Signaling in a Number of Illnesses, It Looks Suitable to Use miR 99 Family Members as a Therapeutic Intervention to Deal with These Illnesses by Using Gene Therapy Tools. https://doi.org/10.31219/osf.io/8cwgh.</w:t>
      </w:r>
    </w:p>
    <w:p w14:paraId="44F1502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HMGB1 Has Sparked a Lot of Attention as a Model DAMP Molecule Involved in Inflammation, Inflammatory Diseases, and Cancer. https://doi.org/10.31219/osf.io/5qx36.</w:t>
      </w:r>
    </w:p>
    <w:p w14:paraId="789DF2D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Nucleic Acid Nanocarriers Can Be Programmable, Spatially Adjustable and Biocompatible, Minimizing Systemic Toxicity and Improving Pharmacodynamics. https://doi.org/10.31219/osf.io/wr237.</w:t>
      </w:r>
    </w:p>
    <w:p w14:paraId="5E790A4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Osteoporosis Is a Prominent Source of Morbidity and Mortality in the Elderly, Particularly in Postmenopausal Women. Long Noncoding RNAs (lncRNAs) Have Been Found to Be Important Regulators and Possible Gene Therapy Targets. https://doi.org/10.31219/osf.io/ghfpt.</w:t>
      </w:r>
    </w:p>
    <w:p w14:paraId="648D05C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Polycomb Genes Role in Cancer Pathophysiology Is Offering Targets for Therapeutics Including Gene Therapy. https://doi.org/10.31219/osf.io/sfvej.</w:t>
      </w:r>
    </w:p>
    <w:p w14:paraId="1124CE3D"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RNA Sequencing and Microarray Analysis Are Helpful Techniques to Detect Obesity-Related lncRNAs. LncRNA Can Alter Cholesterol Metabolism and Can Be a Target for Gene Therapy. https://doi.org/10.31219/osf.io/3fb6w.</w:t>
      </w:r>
    </w:p>
    <w:p w14:paraId="4C08AD3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Sepsis-Associated Acute Kidney Damage Is a Disease That Affects the Patient’s Quality of Life. It Should Be a Target for Gene Therapy. https://doi.org/10.31219/osf.io/49k7q.</w:t>
      </w:r>
    </w:p>
    <w:p w14:paraId="03E8D8AB"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Gene Expression Profiling Gives an in-Depth Insight of Breast Cancer Heterogeneity, Better than a Single Protein or Gene Expression. It Is Time to Include It in the Daily Routine. https://doi.org/10.31219/osf.io/xhyd7.</w:t>
      </w:r>
    </w:p>
    <w:p w14:paraId="16CCBD83"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Nanomedicine System Has Successfully Inhibited Tumor Neovascularization Using Gene Silencing, Chemotherapy, Photothermal Therapy, and Other Therapies. https://doi.org/10.31219/osf.io/rk2bf.</w:t>
      </w:r>
    </w:p>
    <w:p w14:paraId="478F1691"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The Therapeutic Application of a Nucleic Acid Sequence to Patients’ Diseased Organs Is Currently Available. https://doi.org/10.31219/osf.io/pqsbf.</w:t>
      </w:r>
    </w:p>
    <w:p w14:paraId="5761998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Moataz Dowaidar. Triple-Negative Breast Cancer, Which Lacks the Expression of Hormone Receptors and HER2, Has a Worse Prognosis. Massive Parallel Sequencing Is Capable of Reliably Breaking down the Intra-Tumor and Inter-Tumor Heterogeneity. https://doi.org/10.31219/osf.io/pvk7u.</w:t>
      </w:r>
    </w:p>
    <w:p w14:paraId="564CD778"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 A. Ismail, A. A. Alghasham, M. M. Dowaidar, and A. A. Settin. 2011. Polymorophisms in MTHF and Ace Genes and the Association with Hypertension among Saudi Population from Qassim Region. Egyptian Journal of Biochemistry and Molecular Biology 29 (1). https://doi.org/10.4314/ejbmb.v29i1.67382.</w:t>
      </w:r>
    </w:p>
    <w:p w14:paraId="5CF2EC3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Hani Nasser Abdelhamid, Mattias Hällbrink, Ülo Langel, and Xiaodong Zou. 2018. Chitosan Enhances Gene Delivery of Oligonucleotide Complexes with Magnetic Nanoparticles-Cell-Penetrating Peptide. Journal of Biomaterials Applications 33 (3): 392–401. https://doi.org/10.1177/0885328218796623.</w:t>
      </w:r>
    </w:p>
    <w:p w14:paraId="6E5DAB3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Moataz, and Ahmad Settin. 2010. Risk of Myocardial Infarction Related to Factor V Leiden Mutation: A Meta-Analysis. Genetic Testing and Molecular Biomarkers 14 (4): 493–98. https://doi.org/10.1089/gtmb.2010.0017.</w:t>
      </w:r>
    </w:p>
    <w:p w14:paraId="1A7F1D2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Gestin, Maxime, Moataz Dowaidar, and Ülo Langel. 2017. Uptake Mechanism of Cell-Penetrating Peptides. Advances in Experimental Medicine and Biology 1030: 255–64. https://doi.org/10.1007/978-3-319-66095-0_11.</w:t>
      </w:r>
    </w:p>
    <w:p w14:paraId="198E1A7E"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lastRenderedPageBreak/>
        <w:t>Ismail, H. A., A. A. Alghasham, M. M. Dowaidar, and A. A. Settin. 2011. Polymorophisms in MTHF and Ace Genes and the Association with Hypertension among Saudi Population from Qassim Region. Egyptian Journal of Biochemistry and Molecular Biology 29 (1). https://doi.org/10.4314/ejbmb.v29i1.67382.</w:t>
      </w:r>
    </w:p>
    <w:p w14:paraId="7B9B058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A., Abdullah Algasham, Moataz Dowaidar, and Hisham Ismail. 2009. Methylene Tetrahydrofolate Reductase and Angiotensin Converting Enzyme Gene Polymorphisms Related to Overweight/obesity among Saudi Subjects from Qassim Region. Disease Markers 27 (2): 97–102. https://doi.org/10.3233/DMA-2009-0660.</w:t>
      </w:r>
    </w:p>
    <w:p w14:paraId="052FD6E6"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A., Abdullah Alghasham, Ahmad Ali, Moataz Dowaidar, and Hisham Ismail. 2012. Frequency of Thrombophilic Genetic Polymorphisms among Saudi Subjects Compared with Other Populations. Hematology 17 (3): 176–82. https://doi.org/10.1179/102453312X13376952196575.</w:t>
      </w:r>
    </w:p>
    <w:p w14:paraId="1753FAB7"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Ibrahem S. Abu-Saif, Rizk El-Baz, Moataz Dowaidar, Rabab Abu-Al Kasim, and Shaimaa Shabana. 2007a. Diagnosis of Sex Chromosome Disorders and Prenatal Diagnosis of Down Syndrome Using Interphase Fluorescent In-Situ Hyperidization Technique. International Journal of Health Sciences 1 (2): 203–9. https://www.ncbi.nlm.nih.gov/pubmed/21475429.</w:t>
      </w:r>
    </w:p>
    <w:p w14:paraId="0BC60B10"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Abdullah Algasham, Moataz Dowaidar, and Hisham Ismail. 2011. Methylene Tetrahydrofolate Reductase (MTHFR) and Angiotensinogen Converting Enzyme (ACE) Gene Polymorphisms Related to Overweight and Obesity among Saudi Patients in Al Qassim. International Journal of Health Sciences 5 (2 Suppl 1): 24–25. https://www.ncbi.nlm.nih.gov/pubmed/23284565.</w:t>
      </w:r>
    </w:p>
    <w:p w14:paraId="47A30A5A"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Settin, Ahmad, Hala Almarsafawy, Ahmad Alhussieny, and Moataz Dowaidar. 2008a. Dysmorphic Features, Consanguinity and Cytogenetic Pattern of Congenital Heart Diseases: A Pilot Study from Mansoura Locality, Egypt. International Journal of Health Sciences 2 (2): 101–11. https://www.ncbi.nlm.nih.gov/pubmed/21475491.</w:t>
      </w:r>
    </w:p>
    <w:p w14:paraId="54D0F89C"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 xml:space="preserve">Settin, Ahmad, Moataz Dowaidar, Rizk El-Baz, Ayman Abd-Al-Samad, Ibrahim El-Sayed, and Mahmoud Nasr. 2008. Frequency of Factor V Leiden Mutation in Egyptian Cases with Myocardial Infarction. Hematology 13 (3): 170–74. </w:t>
      </w:r>
      <w:hyperlink r:id="rId8" w:history="1">
        <w:r w:rsidRPr="00367CD3">
          <w:rPr>
            <w:rFonts w:asciiTheme="majorBidi" w:eastAsia="Times New Roman" w:hAnsiTheme="majorBidi" w:cstheme="majorBidi"/>
            <w:color w:val="333333"/>
            <w:sz w:val="18"/>
            <w:szCs w:val="18"/>
            <w:highlight w:val="white"/>
          </w:rPr>
          <w:t>https://doi.org/10.1179/102453308X316158</w:t>
        </w:r>
      </w:hyperlink>
      <w:r w:rsidRPr="00367CD3">
        <w:rPr>
          <w:rFonts w:asciiTheme="majorBidi" w:eastAsia="Times New Roman" w:hAnsiTheme="majorBidi" w:cstheme="majorBidi"/>
          <w:color w:val="333333"/>
          <w:sz w:val="18"/>
          <w:szCs w:val="18"/>
          <w:highlight w:val="white"/>
        </w:rPr>
        <w:t>.</w:t>
      </w:r>
    </w:p>
    <w:p w14:paraId="6FDE514F" w14:textId="77777777" w:rsidR="00D32E58" w:rsidRPr="00367CD3"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 xml:space="preserve">Venit, Tomas, Moataz Dowaidar, Maxime Gestin, Syed Raza Mahmood, Ülo Langel, and Piergiorgio Percipalle. 2020. Transcriptional Profiling Reveals Ribosome Biogenesis, Microtubule Dynamics and Expression of Specific lncRNAs to Be Part of a Common Response to Cell-Penetrating Peptides. Biomolecules 10 (11): 1567. </w:t>
      </w:r>
      <w:hyperlink r:id="rId9" w:history="1">
        <w:r w:rsidRPr="00367CD3">
          <w:rPr>
            <w:rFonts w:asciiTheme="majorBidi" w:eastAsia="Times New Roman" w:hAnsiTheme="majorBidi" w:cstheme="majorBidi"/>
            <w:color w:val="333333"/>
            <w:sz w:val="18"/>
            <w:szCs w:val="18"/>
            <w:highlight w:val="white"/>
          </w:rPr>
          <w:t>https://doi.org/10.3390/biom10111567</w:t>
        </w:r>
      </w:hyperlink>
      <w:r w:rsidRPr="00367CD3">
        <w:rPr>
          <w:rFonts w:asciiTheme="majorBidi" w:eastAsia="Times New Roman" w:hAnsiTheme="majorBidi" w:cstheme="majorBidi"/>
          <w:color w:val="333333"/>
          <w:sz w:val="18"/>
          <w:szCs w:val="18"/>
          <w:highlight w:val="white"/>
        </w:rPr>
        <w:t>.</w:t>
      </w:r>
      <w:bookmarkEnd w:id="0"/>
      <w:bookmarkEnd w:id="1"/>
    </w:p>
    <w:p w14:paraId="3EE23F55" w14:textId="77777777" w:rsidR="00D32E58" w:rsidRPr="00287DA1" w:rsidRDefault="00D32E58" w:rsidP="00D32E58">
      <w:pPr>
        <w:pStyle w:val="ListParagraph"/>
        <w:keepNext/>
        <w:keepLines/>
        <w:numPr>
          <w:ilvl w:val="0"/>
          <w:numId w:val="2"/>
        </w:numPr>
        <w:spacing w:after="100"/>
        <w:jc w:val="both"/>
        <w:rPr>
          <w:rFonts w:asciiTheme="majorBidi" w:eastAsia="Times New Roman" w:hAnsiTheme="majorBidi" w:cstheme="majorBidi"/>
          <w:color w:val="333333"/>
          <w:sz w:val="18"/>
          <w:szCs w:val="18"/>
          <w:highlight w:val="white"/>
        </w:rPr>
      </w:pPr>
      <w:r w:rsidRPr="00367CD3">
        <w:rPr>
          <w:rFonts w:asciiTheme="majorBidi" w:eastAsia="Times New Roman" w:hAnsiTheme="majorBidi" w:cstheme="majorBidi"/>
          <w:color w:val="333333"/>
          <w:sz w:val="18"/>
          <w:szCs w:val="18"/>
          <w:highlight w:val="white"/>
        </w:rPr>
        <w:t>Dowaidar, M. Cell-Penetrating Peptides Uptake Pathways and Role in Drug Deliverywith</w:t>
      </w:r>
      <w:r w:rsidRPr="00287DA1">
        <w:rPr>
          <w:rFonts w:asciiTheme="majorBidi" w:eastAsia="Times New Roman" w:hAnsiTheme="majorBidi" w:cstheme="majorBidi"/>
          <w:color w:val="333333"/>
          <w:sz w:val="18"/>
          <w:szCs w:val="18"/>
          <w:highlight w:val="white"/>
        </w:rPr>
        <w:t xml:space="preserve"> Potentials for Gene Therapy and Vaccine Development . Preprints.org 2023, 2023070889. https://doi.org/10.20944/preprints202307.0889.v1</w:t>
      </w:r>
    </w:p>
    <w:p w14:paraId="394DBF23" w14:textId="77777777" w:rsidR="00D32E58" w:rsidRDefault="00D32E58" w:rsidP="00D32E58">
      <w:pPr>
        <w:spacing w:before="320" w:after="320" w:line="381" w:lineRule="auto"/>
        <w:jc w:val="both"/>
        <w:rPr>
          <w:rFonts w:ascii="Times New Roman" w:eastAsia="Times New Roman" w:hAnsi="Times New Roman" w:cs="Times New Roman"/>
          <w:sz w:val="24"/>
          <w:szCs w:val="24"/>
        </w:rPr>
      </w:pPr>
      <w:bookmarkStart w:id="3" w:name="_GoBack"/>
      <w:bookmarkEnd w:id="2"/>
      <w:bookmarkEnd w:id="3"/>
    </w:p>
    <w:sectPr w:rsidR="00D32E5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FA5493" w14:textId="77777777" w:rsidR="00024FBD" w:rsidRDefault="00024FBD" w:rsidP="002234F2">
      <w:pPr>
        <w:spacing w:line="240" w:lineRule="auto"/>
      </w:pPr>
      <w:r>
        <w:separator/>
      </w:r>
    </w:p>
  </w:endnote>
  <w:endnote w:type="continuationSeparator" w:id="0">
    <w:p w14:paraId="0289FAC7" w14:textId="77777777" w:rsidR="00024FBD" w:rsidRDefault="00024FBD" w:rsidP="002234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6B848F" w14:textId="77777777" w:rsidR="00024FBD" w:rsidRDefault="00024FBD" w:rsidP="002234F2">
      <w:pPr>
        <w:spacing w:line="240" w:lineRule="auto"/>
      </w:pPr>
      <w:r>
        <w:separator/>
      </w:r>
    </w:p>
  </w:footnote>
  <w:footnote w:type="continuationSeparator" w:id="0">
    <w:p w14:paraId="589408B2" w14:textId="77777777" w:rsidR="00024FBD" w:rsidRDefault="00024FBD" w:rsidP="002234F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8B7668"/>
    <w:multiLevelType w:val="multilevel"/>
    <w:tmpl w:val="7AEAF52C"/>
    <w:lvl w:ilvl="0">
      <w:start w:val="1"/>
      <w:numFmt w:val="decimal"/>
      <w:lvlText w:val="%1."/>
      <w:lvlJc w:val="right"/>
      <w:pPr>
        <w:ind w:left="720" w:hanging="360"/>
      </w:pPr>
      <w:rPr>
        <w:rFonts w:ascii="Arial" w:eastAsia="Arial" w:hAnsi="Arial" w:cs="Arial"/>
        <w:color w:val="333333"/>
        <w:sz w:val="26"/>
        <w:szCs w:val="26"/>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15:restartNumberingAfterBreak="0">
    <w:nsid w:val="65302252"/>
    <w:multiLevelType w:val="hybridMultilevel"/>
    <w:tmpl w:val="92C8873E"/>
    <w:lvl w:ilvl="0" w:tplc="0409000F">
      <w:start w:val="1"/>
      <w:numFmt w:val="decimal"/>
      <w:lvlText w:val="%1."/>
      <w:lvlJc w:val="left"/>
      <w:pPr>
        <w:ind w:left="432" w:hanging="360"/>
      </w:p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18BA"/>
    <w:rsid w:val="0000223D"/>
    <w:rsid w:val="00024FBD"/>
    <w:rsid w:val="000949C2"/>
    <w:rsid w:val="001618BA"/>
    <w:rsid w:val="001654FB"/>
    <w:rsid w:val="00205217"/>
    <w:rsid w:val="002234F2"/>
    <w:rsid w:val="00401913"/>
    <w:rsid w:val="00455313"/>
    <w:rsid w:val="0072273D"/>
    <w:rsid w:val="00760F64"/>
    <w:rsid w:val="00774F53"/>
    <w:rsid w:val="00810CEE"/>
    <w:rsid w:val="00A66551"/>
    <w:rsid w:val="00D32E58"/>
    <w:rsid w:val="00D807B2"/>
    <w:rsid w:val="00FC5671"/>
    <w:rsid w:val="00FD65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1AB21B"/>
  <w15:docId w15:val="{C9049F73-10B4-41EC-BE1D-1E9CF65F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2234F2"/>
    <w:pPr>
      <w:tabs>
        <w:tab w:val="center" w:pos="4680"/>
        <w:tab w:val="right" w:pos="9360"/>
      </w:tabs>
      <w:spacing w:line="240" w:lineRule="auto"/>
    </w:pPr>
  </w:style>
  <w:style w:type="character" w:customStyle="1" w:styleId="HeaderChar">
    <w:name w:val="Header Char"/>
    <w:basedOn w:val="DefaultParagraphFont"/>
    <w:link w:val="Header"/>
    <w:uiPriority w:val="99"/>
    <w:rsid w:val="002234F2"/>
  </w:style>
  <w:style w:type="paragraph" w:styleId="Footer">
    <w:name w:val="footer"/>
    <w:basedOn w:val="Normal"/>
    <w:link w:val="FooterChar"/>
    <w:uiPriority w:val="99"/>
    <w:unhideWhenUsed/>
    <w:rsid w:val="002234F2"/>
    <w:pPr>
      <w:tabs>
        <w:tab w:val="center" w:pos="4680"/>
        <w:tab w:val="right" w:pos="9360"/>
      </w:tabs>
      <w:spacing w:line="240" w:lineRule="auto"/>
    </w:pPr>
  </w:style>
  <w:style w:type="character" w:customStyle="1" w:styleId="FooterChar">
    <w:name w:val="Footer Char"/>
    <w:basedOn w:val="DefaultParagraphFont"/>
    <w:link w:val="Footer"/>
    <w:uiPriority w:val="99"/>
    <w:rsid w:val="002234F2"/>
  </w:style>
  <w:style w:type="character" w:styleId="Hyperlink">
    <w:name w:val="Hyperlink"/>
    <w:basedOn w:val="DefaultParagraphFont"/>
    <w:uiPriority w:val="99"/>
    <w:unhideWhenUsed/>
    <w:rsid w:val="00774F53"/>
    <w:rPr>
      <w:color w:val="0000FF" w:themeColor="hyperlink"/>
      <w:u w:val="single"/>
    </w:rPr>
  </w:style>
  <w:style w:type="character" w:styleId="UnresolvedMention">
    <w:name w:val="Unresolved Mention"/>
    <w:basedOn w:val="DefaultParagraphFont"/>
    <w:uiPriority w:val="99"/>
    <w:semiHidden/>
    <w:unhideWhenUsed/>
    <w:rsid w:val="00774F53"/>
    <w:rPr>
      <w:color w:val="605E5C"/>
      <w:shd w:val="clear" w:color="auto" w:fill="E1DFDD"/>
    </w:rPr>
  </w:style>
  <w:style w:type="paragraph" w:styleId="ListParagraph">
    <w:name w:val="List Paragraph"/>
    <w:basedOn w:val="Normal"/>
    <w:uiPriority w:val="34"/>
    <w:qFormat/>
    <w:rsid w:val="00D32E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827863">
      <w:bodyDiv w:val="1"/>
      <w:marLeft w:val="0"/>
      <w:marRight w:val="0"/>
      <w:marTop w:val="0"/>
      <w:marBottom w:val="0"/>
      <w:divBdr>
        <w:top w:val="none" w:sz="0" w:space="0" w:color="auto"/>
        <w:left w:val="none" w:sz="0" w:space="0" w:color="auto"/>
        <w:bottom w:val="none" w:sz="0" w:space="0" w:color="auto"/>
        <w:right w:val="none" w:sz="0" w:space="0" w:color="auto"/>
      </w:divBdr>
    </w:div>
    <w:div w:id="14336713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79/102453308X31615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i.org/10.3390/biom101115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d="http://www.w3.org/2001/XMLSchema" xmlns:xsi="http://www.w3.org/2001/XMLSchema-instance" xmlns="http://www.boldonjames.com/2008/01/sie/internal/label" sislVersion="0" policy="f9677ce1-080b-4051-a037-2610debe14cb" origin="userSelected">
  <element uid="id_classification_confidential" value=""/>
</sisl>
</file>

<file path=customXml/itemProps1.xml><?xml version="1.0" encoding="utf-8"?>
<ds:datastoreItem xmlns:ds="http://schemas.openxmlformats.org/officeDocument/2006/customXml" ds:itemID="{C51CB922-4567-420F-8297-A8C7FF07FB4C}">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27</Pages>
  <Words>15009</Words>
  <Characters>85555</Characters>
  <Application>Microsoft Office Word</Application>
  <DocSecurity>0</DocSecurity>
  <Lines>712</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Moataz Mohamed Hamed Abdelmoneim Dowaidar</cp:lastModifiedBy>
  <cp:revision>10</cp:revision>
  <dcterms:created xsi:type="dcterms:W3CDTF">2023-05-15T08:31:00Z</dcterms:created>
  <dcterms:modified xsi:type="dcterms:W3CDTF">2023-07-19T19:18:00Z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4601f227-bf56-46c3-a1c4-c14ebd25adcb</vt:lpwstr>
  </property>
  <property fmtid="{D5CDD505-2E9C-101B-9397-08002B2CF9AE}" pid="3" name="bjSaver">
    <vt:lpwstr>jq2/fvDgNq2KeRNLmtdSa3bh9+v7dWPc</vt:lpwstr>
  </property>
  <property fmtid="{D5CDD505-2E9C-101B-9397-08002B2CF9AE}" pid="4" name="bjDocumentLabelXML">
    <vt:lpwstr>&lt;?xml version="1.0" encoding="us-ascii"?&gt;&lt;sisl xmlns:xsd="http://www.w3.org/2001/XMLSchema" xmlns:xsi="http://www.w3.org/2001/XMLSchema-instance" sislVersion="0" policy="f9677ce1-080b-4051-a037-2610debe14cb" origin="userSelected" xmlns="http://www.boldonj</vt:lpwstr>
  </property>
  <property fmtid="{D5CDD505-2E9C-101B-9397-08002B2CF9AE}" pid="5" name="bjDocumentLabelXML-0">
    <vt:lpwstr>ames.com/2008/01/sie/internal/label"&gt;&lt;element uid="id_classification_confidential" value="" /&gt;&lt;/sisl&gt;</vt:lpwstr>
  </property>
  <property fmtid="{D5CDD505-2E9C-101B-9397-08002B2CF9AE}" pid="6" name="bjDocumentSecurityLabel">
    <vt:lpwstr>Confidential</vt:lpwstr>
  </property>
  <property fmtid="{D5CDD505-2E9C-101B-9397-08002B2CF9AE}" pid="7" name="bjClsUserRVM">
    <vt:lpwstr>[]</vt:lpwstr>
  </property>
</Properties>
</file>