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3132" w:rsidRPr="00893132" w:rsidRDefault="00893132" w:rsidP="00893132">
      <w:pPr>
        <w:rPr>
          <w:b/>
        </w:rPr>
      </w:pPr>
      <w:r w:rsidRPr="00893132">
        <w:rPr>
          <w:b/>
        </w:rPr>
        <w:t>Field experiment design</w:t>
      </w:r>
    </w:p>
    <w:p w:rsidR="00893132" w:rsidRDefault="00893132" w:rsidP="00893132">
      <w:r>
        <w:t>The experiment was conducted in a suburban area of Union County, New Jersey, USA, during the months of June and July of 2021</w:t>
      </w:r>
      <w:r>
        <w:t xml:space="preserve">. </w:t>
      </w:r>
      <w:r>
        <w:t xml:space="preserve">Twelve juvenile pig carcasses were left in an open field until complete decomposition was achieved. The carcasses were protected by metal cages to avoid predation by vertebrate predators, but allow access to arthropods. At the beginning of each decomposition stage (five stages: fresh, bloat, active decay, decay, skeletal), three distinct body districts (mouth, abdomen, genitalia) were sampled for fungal community analysis. First sampling at “time zero” was obtained as control before placement of pigs into the field. The samples were stored in a -80˚C freezer until analysis. Four randomly chosen pigs were analyzed for fungal communities. </w:t>
      </w:r>
    </w:p>
    <w:p w:rsidR="00893132" w:rsidRPr="00893132" w:rsidRDefault="00893132" w:rsidP="00893132">
      <w:pPr>
        <w:rPr>
          <w:b/>
        </w:rPr>
      </w:pPr>
      <w:r w:rsidRPr="00893132">
        <w:rPr>
          <w:b/>
        </w:rPr>
        <w:t>DNA extraction</w:t>
      </w:r>
    </w:p>
    <w:p w:rsidR="00893132" w:rsidRDefault="00893132" w:rsidP="00893132">
      <w:r>
        <w:t>DNA swabs were collected using a sterile cotton swab from the surface of decaying pigs at each stage and location. The swabs where then stored in individual 15 ml Falcon tubes at -80</w:t>
      </w:r>
      <w:r>
        <w:rPr>
          <w:rFonts w:ascii="Cambria Math" w:hAnsi="Cambria Math" w:cs="Cambria Math"/>
        </w:rPr>
        <w:t>℃</w:t>
      </w:r>
      <w:r>
        <w:t xml:space="preserve">. DNA was isolated using </w:t>
      </w:r>
      <w:proofErr w:type="spellStart"/>
      <w:r>
        <w:t>PowerSoil</w:t>
      </w:r>
      <w:proofErr w:type="spellEnd"/>
      <w:r>
        <w:t xml:space="preserve"> DNA isolation kit (</w:t>
      </w:r>
      <w:proofErr w:type="spellStart"/>
      <w:r>
        <w:t>Qiagen</w:t>
      </w:r>
      <w:proofErr w:type="spellEnd"/>
      <w:r>
        <w:t xml:space="preserve">) according to manufacturer’s instructions. Swabs were cut from the wooden stems and mixed properly with the initial DNA isolation solution from the kit using </w:t>
      </w:r>
      <w:proofErr w:type="spellStart"/>
      <w:r>
        <w:t>BeadBug</w:t>
      </w:r>
      <w:proofErr w:type="spellEnd"/>
      <w:r>
        <w:t xml:space="preserve"> (USA) homogenizer. Concentration of extracted DNA was measured using </w:t>
      </w:r>
      <w:proofErr w:type="spellStart"/>
      <w:r>
        <w:t>NanoDrop</w:t>
      </w:r>
      <w:proofErr w:type="spellEnd"/>
      <w:r>
        <w:t xml:space="preserve"> spectrophotometer. Extracted DNA was stored in 10 </w:t>
      </w:r>
      <w:proofErr w:type="spellStart"/>
      <w:r>
        <w:t>mM</w:t>
      </w:r>
      <w:proofErr w:type="spellEnd"/>
      <w:r>
        <w:t xml:space="preserve"> </w:t>
      </w:r>
      <w:proofErr w:type="spellStart"/>
      <w:r>
        <w:t>Tris</w:t>
      </w:r>
      <w:proofErr w:type="spellEnd"/>
      <w:r>
        <w:t xml:space="preserve"> buffer pH 8.0 at -80°C.</w:t>
      </w:r>
    </w:p>
    <w:p w:rsidR="00893132" w:rsidRPr="00893132" w:rsidRDefault="00893132" w:rsidP="00893132">
      <w:pPr>
        <w:rPr>
          <w:b/>
        </w:rPr>
      </w:pPr>
      <w:r w:rsidRPr="00893132">
        <w:rPr>
          <w:b/>
        </w:rPr>
        <w:t>PCR</w:t>
      </w:r>
      <w:r w:rsidRPr="00893132">
        <w:rPr>
          <w:b/>
        </w:rPr>
        <w:t xml:space="preserve"> Protocol</w:t>
      </w:r>
    </w:p>
    <w:p w:rsidR="00893132" w:rsidRDefault="00893132" w:rsidP="00893132">
      <w:r>
        <w:t>PCR for the ITS2 gene region from the extracted DNA was carried out as in (</w:t>
      </w:r>
      <w:proofErr w:type="spellStart"/>
      <w:r>
        <w:t>Clemmensen</w:t>
      </w:r>
      <w:proofErr w:type="spellEnd"/>
      <w:r>
        <w:t xml:space="preserve"> et al., 2016; </w:t>
      </w:r>
      <w:proofErr w:type="spellStart"/>
      <w:r>
        <w:t>Shumskaya</w:t>
      </w:r>
      <w:proofErr w:type="spellEnd"/>
      <w:r>
        <w:t xml:space="preserve"> et al., 2023). The primers were always ITS7 as forward (F), 5’-GTGARTCATCGAATCTTTG, and ITS4 as rever</w:t>
      </w:r>
      <w:r>
        <w:t>se (R), 5’-TCCTCCGCTTATTGATATGC</w:t>
      </w:r>
      <w:r>
        <w:t xml:space="preserve"> Negative control (water used in all reactions) and positive control as </w:t>
      </w:r>
      <w:proofErr w:type="spellStart"/>
      <w:r>
        <w:t>SynMock</w:t>
      </w:r>
      <w:proofErr w:type="spellEnd"/>
      <w:r>
        <w:t xml:space="preserve"> collection provided by Drs. J. Palmer and D. Lindner, USDA Forest services (Palmer et al., 2018) were also amplified with the individual tags. For the positive control, 9 mock fungal ITS sequences, with a total concentration 0.1 ng per PCR reaction of the </w:t>
      </w:r>
      <w:proofErr w:type="spellStart"/>
      <w:r>
        <w:t>equimolar</w:t>
      </w:r>
      <w:proofErr w:type="spellEnd"/>
      <w:r>
        <w:t xml:space="preserve"> mix of </w:t>
      </w:r>
      <w:proofErr w:type="spellStart"/>
      <w:r>
        <w:t>SynMock</w:t>
      </w:r>
      <w:proofErr w:type="spellEnd"/>
      <w:r>
        <w:t xml:space="preserve"> plasmids (Palmer et al., 2018), each 0.1ng/</w:t>
      </w:r>
      <w:proofErr w:type="spellStart"/>
      <w:r>
        <w:t>ul</w:t>
      </w:r>
      <w:proofErr w:type="spellEnd"/>
      <w:r>
        <w:t xml:space="preserve">, was taken. Negative and positive controls were to serve as controls in the subsequent NGS reaction. PCR was performed using PCR </w:t>
      </w:r>
      <w:proofErr w:type="spellStart"/>
      <w:r>
        <w:t>Supermix</w:t>
      </w:r>
      <w:proofErr w:type="spellEnd"/>
      <w:r>
        <w:t xml:space="preserve"> (</w:t>
      </w:r>
      <w:proofErr w:type="spellStart"/>
      <w:r>
        <w:t>ThermoFisher</w:t>
      </w:r>
      <w:proofErr w:type="spellEnd"/>
      <w:r>
        <w:t xml:space="preserve"> Scientific). The </w:t>
      </w:r>
      <w:r>
        <w:t>PCR conditions were 5 min at 94</w:t>
      </w:r>
      <w:r>
        <w:sym w:font="Symbol" w:char="F0B0"/>
      </w:r>
      <w:r>
        <w:t>C, 3</w:t>
      </w:r>
      <w:r>
        <w:t>0 cycles of 30 s at 94</w:t>
      </w:r>
      <w:r>
        <w:sym w:font="Symbol" w:char="F0B0"/>
      </w:r>
      <w:r>
        <w:t>C, 30 s at 52</w:t>
      </w:r>
      <w:r>
        <w:sym w:font="Symbol" w:char="F0B0"/>
      </w:r>
      <w:r>
        <w:t>C and 30 s 72</w:t>
      </w:r>
      <w:r>
        <w:sym w:font="Symbol" w:char="F0B0"/>
      </w:r>
      <w:r>
        <w:t>C, and the final 5 min at 72</w:t>
      </w:r>
      <w:r>
        <w:sym w:font="Symbol" w:char="F0B0"/>
      </w:r>
      <w:r>
        <w:t xml:space="preserve">C. The PCR products were then visualized and successful PCR confirmed by gel electrophoresis. The Mag-Bind RXN Pure </w:t>
      </w:r>
      <w:proofErr w:type="gramStart"/>
      <w:r>
        <w:t>Plus</w:t>
      </w:r>
      <w:proofErr w:type="gramEnd"/>
      <w:r>
        <w:t xml:space="preserve"> Quick kit (Omega </w:t>
      </w:r>
      <w:proofErr w:type="spellStart"/>
      <w:r>
        <w:t>Biotek</w:t>
      </w:r>
      <w:proofErr w:type="spellEnd"/>
      <w:r>
        <w:t>, USA) was used to purify the PCR products according to the manufacturer’s manual. Concentration of the purified tagged amplicons was measured using Qubit fluorimeter (</w:t>
      </w:r>
      <w:proofErr w:type="spellStart"/>
      <w:r>
        <w:t>ThermoFisher</w:t>
      </w:r>
      <w:proofErr w:type="spellEnd"/>
      <w:r>
        <w:t xml:space="preserve"> Scientific). All PCR results were verified </w:t>
      </w:r>
      <w:r>
        <w:t>by agarose gel electrophoresis.</w:t>
      </w:r>
    </w:p>
    <w:p w:rsidR="00893132" w:rsidRPr="00893132" w:rsidRDefault="00893132" w:rsidP="00893132">
      <w:pPr>
        <w:rPr>
          <w:b/>
        </w:rPr>
      </w:pPr>
      <w:r w:rsidRPr="00893132">
        <w:rPr>
          <w:b/>
        </w:rPr>
        <w:t xml:space="preserve">High-throughput sequencing (Next Generation Sequencing, NGS) </w:t>
      </w:r>
    </w:p>
    <w:p w:rsidR="00893132" w:rsidRDefault="00893132" w:rsidP="00893132">
      <w:r>
        <w:t xml:space="preserve">Purified tagged PCR amplicons were mixed together in a multiplex in equal 100 ng amounts, then the sample was concentrated using </w:t>
      </w:r>
      <w:proofErr w:type="spellStart"/>
      <w:r>
        <w:t>Amicon</w:t>
      </w:r>
      <w:proofErr w:type="spellEnd"/>
      <w:r>
        <w:t xml:space="preserve"> Ultra-0.5 30K centrifugal filters (Millipore Sigma) to the volume and concentration required by the sequencing facility. DNA library preparations, sequencing reactions, and adapter sequences trimming were conducted at </w:t>
      </w:r>
      <w:proofErr w:type="spellStart"/>
      <w:r>
        <w:t>Genewiz</w:t>
      </w:r>
      <w:proofErr w:type="spellEnd"/>
      <w:r>
        <w:t xml:space="preserve"> (now </w:t>
      </w:r>
      <w:proofErr w:type="spellStart"/>
      <w:r>
        <w:t>Azenta</w:t>
      </w:r>
      <w:proofErr w:type="spellEnd"/>
      <w:r>
        <w:t xml:space="preserve">, South Plainfield, NJ, USA). DNA Library Preparation was performed using </w:t>
      </w:r>
      <w:proofErr w:type="spellStart"/>
      <w:r>
        <w:t>NEBNext</w:t>
      </w:r>
      <w:proofErr w:type="spellEnd"/>
      <w:r>
        <w:t xml:space="preserve"> Ultra DNA Library Prep kit following the manufacturer’s recommendations (Illumina, San Diego, CA, USA). Briefly, end repaired adapters were ligated after </w:t>
      </w:r>
      <w:proofErr w:type="spellStart"/>
      <w:r>
        <w:t>adenylation</w:t>
      </w:r>
      <w:proofErr w:type="spellEnd"/>
      <w:r>
        <w:t xml:space="preserve"> of the 3’ends followed by enrichment by limited cycle PCR. DNA libraries were validated and quantified before loading. The pooled DNA libraries were loaded on the Illumina </w:t>
      </w:r>
      <w:r>
        <w:lastRenderedPageBreak/>
        <w:t>instrument according to manufacturer’s instructions. The samples were sequenced using a 2x 250 paired-end (PE) configuration. Image analysis and base calling were conducted by the Illumina Control Software on the Illumina instrument.</w:t>
      </w:r>
    </w:p>
    <w:p w:rsidR="00893132" w:rsidRPr="00893132" w:rsidRDefault="00893132" w:rsidP="00893132">
      <w:pPr>
        <w:rPr>
          <w:b/>
        </w:rPr>
      </w:pPr>
      <w:r>
        <w:rPr>
          <w:b/>
        </w:rPr>
        <w:t>Resolution of taxon identifiers and count table data</w:t>
      </w:r>
    </w:p>
    <w:p w:rsidR="00893132" w:rsidRDefault="00893132" w:rsidP="00893132">
      <w:r>
        <w:t>Our bioinformatics procedure was performed using the SCATA pipeline (https://scata.mykopat.slu.se/) using default settings as described in (</w:t>
      </w:r>
      <w:proofErr w:type="spellStart"/>
      <w:r>
        <w:t>Clemmensen</w:t>
      </w:r>
      <w:proofErr w:type="spellEnd"/>
      <w:r>
        <w:t xml:space="preserve"> et al., 2016). The initial sequence quality filtering of FASTQ files was performed to remove sequences that were incomplete (i.e. miss one or both primers) or of low quality. The sequences were then de-multiplexed based on the tag sequences, to recover the sample identities. Once this was completed, amplicons were grouped by sequence similarity (clustered) into OTUs. For the ITS7–ITS4 primer combination, clustering was based on 41 </w:t>
      </w:r>
      <w:proofErr w:type="spellStart"/>
      <w:r>
        <w:t>bp</w:t>
      </w:r>
      <w:proofErr w:type="spellEnd"/>
      <w:r>
        <w:t xml:space="preserve"> of the conserved 5.8S region, about 105–330 </w:t>
      </w:r>
      <w:proofErr w:type="spellStart"/>
      <w:r>
        <w:t>bp</w:t>
      </w:r>
      <w:proofErr w:type="spellEnd"/>
      <w:r>
        <w:t xml:space="preserve"> of the ITS2 region and 38 </w:t>
      </w:r>
      <w:proofErr w:type="spellStart"/>
      <w:r>
        <w:t>bp</w:t>
      </w:r>
      <w:proofErr w:type="spellEnd"/>
      <w:r>
        <w:t xml:space="preserve"> of the large subunit ribosomal </w:t>
      </w:r>
      <w:proofErr w:type="spellStart"/>
      <w:r>
        <w:t>rRNA</w:t>
      </w:r>
      <w:proofErr w:type="spellEnd"/>
      <w:r>
        <w:t xml:space="preserve"> (LSU) gene. The number of sequences in each OTU represented the relative abundance of that OTU. Sequence similarity to the reference database was established using USEARCH (http://www.drive5.com/usearch/) as a search engine, and sequences were assembled into OTUs by single-linkage clustering. Parameters of our search included a clustering distance 0.015, minimum alignment to consider clustering 0.85, mismatch penalty 1, gap open penalty 0, gap extension penalty 1, </w:t>
      </w:r>
      <w:proofErr w:type="gramStart"/>
      <w:r>
        <w:t>end</w:t>
      </w:r>
      <w:proofErr w:type="gramEnd"/>
      <w:r>
        <w:t xml:space="preserve"> gap weight 0.0, collapse </w:t>
      </w:r>
      <w:proofErr w:type="spellStart"/>
      <w:r>
        <w:t>homopolymers</w:t>
      </w:r>
      <w:proofErr w:type="spellEnd"/>
      <w:r>
        <w:t xml:space="preserve"> 3, BLAST e-value cut off 1e-60. The UNITE database (http://unite.ut.ee) was included in the clustering procedure as a reference database, plus an additional reference file containing 11 sequences </w:t>
      </w:r>
      <w:proofErr w:type="spellStart"/>
      <w:r>
        <w:t>SynMock</w:t>
      </w:r>
      <w:proofErr w:type="spellEnd"/>
      <w:r>
        <w:t xml:space="preserve"> (Palmer et al., 2018). </w:t>
      </w:r>
    </w:p>
    <w:p w:rsidR="004504A1" w:rsidRDefault="00893132" w:rsidP="00893132">
      <w:pPr>
        <w:rPr>
          <w:b/>
        </w:rPr>
      </w:pPr>
      <w:r>
        <w:rPr>
          <w:b/>
        </w:rPr>
        <w:t>Methods works cited:</w:t>
      </w:r>
    </w:p>
    <w:p w:rsidR="00893132" w:rsidRDefault="00893132" w:rsidP="00893132">
      <w:proofErr w:type="spellStart"/>
      <w:r w:rsidRPr="00893132">
        <w:t>Clemmensen</w:t>
      </w:r>
      <w:proofErr w:type="spellEnd"/>
      <w:r w:rsidRPr="00893132">
        <w:t xml:space="preserve">, K. E., </w:t>
      </w:r>
      <w:proofErr w:type="spellStart"/>
      <w:r w:rsidRPr="00893132">
        <w:t>Ihrmark</w:t>
      </w:r>
      <w:proofErr w:type="spellEnd"/>
      <w:r w:rsidRPr="00893132">
        <w:t xml:space="preserve">, K., </w:t>
      </w:r>
      <w:proofErr w:type="spellStart"/>
      <w:r w:rsidRPr="00893132">
        <w:t>Durling</w:t>
      </w:r>
      <w:proofErr w:type="spellEnd"/>
      <w:r w:rsidRPr="00893132">
        <w:t xml:space="preserve">, M. B., &amp; </w:t>
      </w:r>
      <w:proofErr w:type="spellStart"/>
      <w:r w:rsidRPr="00893132">
        <w:t>Lindahl</w:t>
      </w:r>
      <w:proofErr w:type="spellEnd"/>
      <w:r w:rsidRPr="00893132">
        <w:t xml:space="preserve">, B. D. (2016). Sample Preparation for Fungal Community Analysis by High-Throughput Sequencing of Barcode Amplicons. Methods in molecular biology (Clifton, N.J.), 1399, 61-88. </w:t>
      </w:r>
      <w:hyperlink r:id="rId4" w:history="1">
        <w:r w:rsidRPr="00B95154">
          <w:rPr>
            <w:rStyle w:val="Hyperlink"/>
          </w:rPr>
          <w:t>https://doi.org/10.1007/978-1-4939-3369-3_4</w:t>
        </w:r>
      </w:hyperlink>
    </w:p>
    <w:p w:rsidR="00893132" w:rsidRDefault="00893132" w:rsidP="00893132">
      <w:proofErr w:type="spellStart"/>
      <w:r w:rsidRPr="00893132">
        <w:t>Shumskaya</w:t>
      </w:r>
      <w:proofErr w:type="spellEnd"/>
      <w:r w:rsidRPr="00893132">
        <w:t xml:space="preserve">, M., Lorusso, N., Patel, U., Leigh, M., </w:t>
      </w:r>
      <w:proofErr w:type="spellStart"/>
      <w:r w:rsidRPr="00893132">
        <w:t>Somervuo</w:t>
      </w:r>
      <w:proofErr w:type="spellEnd"/>
      <w:r w:rsidRPr="00893132">
        <w:t xml:space="preserve">, P., &amp; </w:t>
      </w:r>
      <w:proofErr w:type="spellStart"/>
      <w:r w:rsidRPr="00893132">
        <w:t>Schigel</w:t>
      </w:r>
      <w:proofErr w:type="spellEnd"/>
      <w:r w:rsidRPr="00893132">
        <w:t xml:space="preserve">, D. (2023). </w:t>
      </w:r>
      <w:proofErr w:type="spellStart"/>
      <w:r w:rsidRPr="00893132">
        <w:t>MycoPins</w:t>
      </w:r>
      <w:proofErr w:type="spellEnd"/>
      <w:r w:rsidRPr="00893132">
        <w:t xml:space="preserve">: a </w:t>
      </w:r>
      <w:proofErr w:type="spellStart"/>
      <w:r w:rsidRPr="00893132">
        <w:t>metabarcoding</w:t>
      </w:r>
      <w:proofErr w:type="spellEnd"/>
      <w:r w:rsidRPr="00893132">
        <w:t xml:space="preserve">-based method to monitor fungal colonization of fine woody debris. </w:t>
      </w:r>
      <w:proofErr w:type="spellStart"/>
      <w:proofErr w:type="gramStart"/>
      <w:r w:rsidRPr="00893132">
        <w:t>Mycokeys</w:t>
      </w:r>
      <w:proofErr w:type="spellEnd"/>
      <w:r w:rsidRPr="00893132">
        <w:t>(</w:t>
      </w:r>
      <w:proofErr w:type="gramEnd"/>
      <w:r w:rsidRPr="00893132">
        <w:t xml:space="preserve">96), 77-95. </w:t>
      </w:r>
      <w:hyperlink r:id="rId5" w:history="1">
        <w:r w:rsidRPr="00B95154">
          <w:rPr>
            <w:rStyle w:val="Hyperlink"/>
          </w:rPr>
          <w:t>https://doi.org/10.3897/mycokeys.96.101033</w:t>
        </w:r>
      </w:hyperlink>
    </w:p>
    <w:p w:rsidR="00893132" w:rsidRPr="00893132" w:rsidRDefault="00893132" w:rsidP="00893132">
      <w:r w:rsidRPr="00893132">
        <w:t xml:space="preserve">Palmer, J. M., </w:t>
      </w:r>
      <w:proofErr w:type="spellStart"/>
      <w:r w:rsidRPr="00893132">
        <w:t>Jusino</w:t>
      </w:r>
      <w:proofErr w:type="spellEnd"/>
      <w:r w:rsidRPr="00893132">
        <w:t xml:space="preserve">, M. A., </w:t>
      </w:r>
      <w:proofErr w:type="spellStart"/>
      <w:r w:rsidRPr="00893132">
        <w:t>Banik</w:t>
      </w:r>
      <w:proofErr w:type="spellEnd"/>
      <w:r w:rsidRPr="00893132">
        <w:t xml:space="preserve">, M. T., &amp; Lindner, D. L. (2018). Non-biological synthetic spike-in controls and the </w:t>
      </w:r>
      <w:proofErr w:type="spellStart"/>
      <w:r w:rsidRPr="00893132">
        <w:t>AMPtk</w:t>
      </w:r>
      <w:proofErr w:type="spellEnd"/>
      <w:r w:rsidRPr="00893132">
        <w:t xml:space="preserve"> software pipeline improve </w:t>
      </w:r>
      <w:proofErr w:type="spellStart"/>
      <w:r w:rsidRPr="00893132">
        <w:t>mycobiome</w:t>
      </w:r>
      <w:proofErr w:type="spellEnd"/>
      <w:r w:rsidRPr="00893132">
        <w:t xml:space="preserve"> data. </w:t>
      </w:r>
      <w:proofErr w:type="spellStart"/>
      <w:r w:rsidRPr="00893132">
        <w:t>Peerj</w:t>
      </w:r>
      <w:proofErr w:type="spellEnd"/>
      <w:r w:rsidRPr="00893132">
        <w:t>, 6, Article e4925. https://doi.org/10.7717/peerj.4925</w:t>
      </w:r>
      <w:bookmarkStart w:id="0" w:name="_GoBack"/>
      <w:bookmarkEnd w:id="0"/>
    </w:p>
    <w:sectPr w:rsidR="00893132" w:rsidRPr="008931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3132"/>
    <w:rsid w:val="00101C2B"/>
    <w:rsid w:val="004504A1"/>
    <w:rsid w:val="008931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06DAF"/>
  <w15:chartTrackingRefBased/>
  <w15:docId w15:val="{1AB0C386-8A04-451D-B1EF-694B09D47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313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oi.org/10.3897/mycokeys.96.101033" TargetMode="External"/><Relationship Id="rId4" Type="http://schemas.openxmlformats.org/officeDocument/2006/relationships/hyperlink" Target="https://doi.org/10.1007/978-1-4939-3369-3_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924</Words>
  <Characters>5273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NSL</dc:creator>
  <cp:keywords/>
  <dc:description/>
  <cp:lastModifiedBy>NSL</cp:lastModifiedBy>
  <cp:revision>1</cp:revision>
  <dcterms:created xsi:type="dcterms:W3CDTF">2023-07-11T15:46:00Z</dcterms:created>
  <dcterms:modified xsi:type="dcterms:W3CDTF">2023-07-11T15:56:00Z</dcterms:modified>
</cp:coreProperties>
</file>