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93B706" w14:textId="5E644AA8" w:rsidR="007D2927" w:rsidRPr="007D2927" w:rsidRDefault="007D2927" w:rsidP="007D2927">
      <w:pPr>
        <w:spacing w:before="100" w:beforeAutospacing="1" w:after="100" w:afterAutospacing="1"/>
        <w:jc w:val="center"/>
        <w:outlineLvl w:val="2"/>
        <w:rPr>
          <w:rFonts w:ascii="Times New Roman" w:eastAsia="Times New Roman" w:hAnsi="Times New Roman" w:cs="Times New Roman"/>
          <w:b/>
          <w:bCs/>
          <w:sz w:val="27"/>
          <w:szCs w:val="27"/>
        </w:rPr>
      </w:pPr>
      <w:r w:rsidRPr="007D2927">
        <w:rPr>
          <w:rFonts w:ascii="Times New Roman" w:eastAsia="Times New Roman" w:hAnsi="Times New Roman" w:cs="Times New Roman"/>
          <w:b/>
          <w:bCs/>
          <w:sz w:val="27"/>
          <w:szCs w:val="27"/>
        </w:rPr>
        <w:t xml:space="preserve">Decoupling land from improvements: a game to evaluate 100% </w:t>
      </w:r>
      <w:proofErr w:type="gramStart"/>
      <w:r w:rsidRPr="007D2927">
        <w:rPr>
          <w:rFonts w:ascii="Times New Roman" w:eastAsia="Times New Roman" w:hAnsi="Times New Roman" w:cs="Times New Roman"/>
          <w:b/>
          <w:bCs/>
          <w:sz w:val="27"/>
          <w:szCs w:val="27"/>
        </w:rPr>
        <w:t>LVT</w:t>
      </w:r>
      <w:proofErr w:type="gramEnd"/>
    </w:p>
    <w:p w14:paraId="77E10884" w14:textId="77777777" w:rsidR="007D2927" w:rsidRPr="007D2927" w:rsidRDefault="007D2927" w:rsidP="007D2927">
      <w:pPr>
        <w:spacing w:before="100" w:beforeAutospacing="1" w:after="100" w:afterAutospacing="1"/>
        <w:jc w:val="center"/>
        <w:rPr>
          <w:rFonts w:ascii="Times New Roman" w:eastAsia="Times New Roman" w:hAnsi="Times New Roman" w:cs="Times New Roman"/>
        </w:rPr>
      </w:pPr>
      <w:proofErr w:type="spellStart"/>
      <w:r w:rsidRPr="007D2927">
        <w:rPr>
          <w:rFonts w:ascii="Times New Roman" w:eastAsia="Times New Roman" w:hAnsi="Times New Roman" w:cs="Times New Roman"/>
        </w:rPr>
        <w:t>Mihali</w:t>
      </w:r>
      <w:proofErr w:type="spellEnd"/>
      <w:r w:rsidRPr="007D2927">
        <w:rPr>
          <w:rFonts w:ascii="Times New Roman" w:eastAsia="Times New Roman" w:hAnsi="Times New Roman" w:cs="Times New Roman"/>
        </w:rPr>
        <w:t xml:space="preserve"> A. Felipe</w:t>
      </w:r>
    </w:p>
    <w:p w14:paraId="0F1097A9" w14:textId="77777777" w:rsidR="007D2927" w:rsidRPr="007D2927" w:rsidRDefault="007D2927" w:rsidP="007D2927">
      <w:pPr>
        <w:spacing w:before="100" w:beforeAutospacing="1" w:after="100" w:afterAutospacing="1"/>
        <w:jc w:val="center"/>
        <w:outlineLvl w:val="2"/>
        <w:rPr>
          <w:rFonts w:ascii="Times New Roman" w:eastAsia="Times New Roman" w:hAnsi="Times New Roman" w:cs="Times New Roman"/>
          <w:b/>
          <w:bCs/>
          <w:sz w:val="27"/>
          <w:szCs w:val="27"/>
        </w:rPr>
      </w:pPr>
      <w:r w:rsidRPr="007D2927">
        <w:rPr>
          <w:rFonts w:ascii="Times New Roman" w:eastAsia="Times New Roman" w:hAnsi="Times New Roman" w:cs="Times New Roman"/>
          <w:b/>
          <w:bCs/>
          <w:sz w:val="27"/>
          <w:szCs w:val="27"/>
        </w:rPr>
        <w:t>Abstract</w:t>
      </w:r>
    </w:p>
    <w:p w14:paraId="0A96E193"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One of the main criticisms in the implementation of the land value tax (LVT) is in its evaluation. Game rules to arrive at 100%LVT are proposed. The main features of the game are a lock/unlock mechanism, incrementing rent, and a hostile takeover stage. The rules are designed to protect the owner of the improvement from losing the full market value of the improvement.</w:t>
      </w:r>
    </w:p>
    <w:p w14:paraId="3254E067" w14:textId="77777777" w:rsidR="007D2927" w:rsidRPr="007D2927" w:rsidRDefault="007D2927" w:rsidP="007D2927">
      <w:pPr>
        <w:spacing w:before="100" w:beforeAutospacing="1" w:after="100" w:afterAutospacing="1"/>
        <w:outlineLvl w:val="2"/>
        <w:rPr>
          <w:rFonts w:ascii="Times New Roman" w:eastAsia="Times New Roman" w:hAnsi="Times New Roman" w:cs="Times New Roman"/>
          <w:b/>
          <w:bCs/>
          <w:sz w:val="27"/>
          <w:szCs w:val="27"/>
        </w:rPr>
      </w:pPr>
      <w:r w:rsidRPr="007D2927">
        <w:rPr>
          <w:rFonts w:ascii="Times New Roman" w:eastAsia="Times New Roman" w:hAnsi="Times New Roman" w:cs="Times New Roman"/>
          <w:b/>
          <w:bCs/>
          <w:sz w:val="27"/>
          <w:szCs w:val="27"/>
        </w:rPr>
        <w:t>Introduction</w:t>
      </w:r>
    </w:p>
    <w:p w14:paraId="7D319C24"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 xml:space="preserve">The Henry George land value tax [1] has been having a resurgence in popularity recently. This is not a surprising development, particularly due to the debates on capital and housing ensuing from the works of </w:t>
      </w:r>
      <w:proofErr w:type="gramStart"/>
      <w:r w:rsidRPr="007D2927">
        <w:rPr>
          <w:rFonts w:ascii="Times New Roman" w:eastAsia="Times New Roman" w:hAnsi="Times New Roman" w:cs="Times New Roman"/>
        </w:rPr>
        <w:t>Piketty[</w:t>
      </w:r>
      <w:proofErr w:type="gramEnd"/>
      <w:r w:rsidRPr="007D2927">
        <w:rPr>
          <w:rFonts w:ascii="Times New Roman" w:eastAsia="Times New Roman" w:hAnsi="Times New Roman" w:cs="Times New Roman"/>
        </w:rPr>
        <w:t>2] and Rognlie[3]. </w:t>
      </w:r>
    </w:p>
    <w:p w14:paraId="73401147"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The LVT is defined as the market rent of unimproved land. It corresponds to what people would pay if unimproved land was a rental. The LVT therefore is not one value but can be thought of as a contour surface over a given geographic area; the surface will be called LVT-s. Arguably one of the most difficult problems in implementing land value taxation is arriving at the correct surface. Numerous schemes have been proposed from property appraisal, historical data, or a combination of these, to more sophisticated artificial intelligence and machine learning methods applied in tandem with GIS. Of these, property appraisal is still the most accepted and common method, although there is much arbitrariness in the method.</w:t>
      </w:r>
    </w:p>
    <w:p w14:paraId="7BE3C8E6"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The main difficulty in determining the LVT-s is that the value of the land is intimately linked to the value of the improvement, and extracting the unimproved value is therefore not straightforward. The two values need to be decoupled and without the decoupling, owners of the improvements would either lose too much or gain too much value on their improvements. Indeed, Henry George's 19th century solution was to let owners enjoy some of the surplus. However, there are better technological tools available today, and it is worthwhile to propose new methodology to aid these tools in evaluating LVT-s.  </w:t>
      </w:r>
    </w:p>
    <w:p w14:paraId="6C9F2659"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In this proposal, a more direct method is used. The market itself will be utilized to determine both values of unimproved land and improvements, and appraisals are made unnecessary. A dynamic set of data is produced, which when smoothened form the LVT-s. </w:t>
      </w:r>
    </w:p>
    <w:p w14:paraId="308F1BD8" w14:textId="77777777" w:rsidR="007D2927" w:rsidRPr="007D2927" w:rsidRDefault="007D2927" w:rsidP="007D2927">
      <w:pPr>
        <w:spacing w:before="100" w:beforeAutospacing="1" w:after="100" w:afterAutospacing="1"/>
        <w:outlineLvl w:val="2"/>
        <w:rPr>
          <w:rFonts w:ascii="Times New Roman" w:eastAsia="Times New Roman" w:hAnsi="Times New Roman" w:cs="Times New Roman"/>
          <w:b/>
          <w:bCs/>
          <w:sz w:val="27"/>
          <w:szCs w:val="27"/>
        </w:rPr>
      </w:pPr>
      <w:r w:rsidRPr="007D2927">
        <w:rPr>
          <w:rFonts w:ascii="Times New Roman" w:eastAsia="Times New Roman" w:hAnsi="Times New Roman" w:cs="Times New Roman"/>
          <w:b/>
          <w:bCs/>
          <w:sz w:val="27"/>
          <w:szCs w:val="27"/>
        </w:rPr>
        <w:t>The Criteria for Land Value</w:t>
      </w:r>
    </w:p>
    <w:p w14:paraId="7D2BFC84"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 xml:space="preserve">In order to proceed, the LVT-s </w:t>
      </w:r>
      <w:proofErr w:type="gramStart"/>
      <w:r w:rsidRPr="007D2927">
        <w:rPr>
          <w:rFonts w:ascii="Times New Roman" w:eastAsia="Times New Roman" w:hAnsi="Times New Roman" w:cs="Times New Roman"/>
        </w:rPr>
        <w:t>has to</w:t>
      </w:r>
      <w:proofErr w:type="gramEnd"/>
      <w:r w:rsidRPr="007D2927">
        <w:rPr>
          <w:rFonts w:ascii="Times New Roman" w:eastAsia="Times New Roman" w:hAnsi="Times New Roman" w:cs="Times New Roman"/>
        </w:rPr>
        <w:t xml:space="preserve"> be expressed in a more practical way. Because the supply of land is fixed and value only comes from demand, then the LVT-s is the surface made when the rental payments for plots of land are at the maximum without prompting general abandonment. Or more technically, this can be expressed in the following manner. Consider a geographic area (GA) where all plots of land are for rent on a monthly basis with a monthly payment each of </w:t>
      </w: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xml:space="preserve">, where </w:t>
      </w:r>
      <w:proofErr w:type="spellStart"/>
      <w:r w:rsidRPr="007D2927">
        <w:rPr>
          <w:rFonts w:ascii="Times New Roman" w:eastAsia="Times New Roman" w:hAnsi="Times New Roman" w:cs="Times New Roman"/>
        </w:rPr>
        <w:t>ij</w:t>
      </w:r>
      <w:proofErr w:type="spellEnd"/>
      <w:r w:rsidRPr="007D2927">
        <w:rPr>
          <w:rFonts w:ascii="Times New Roman" w:eastAsia="Times New Roman" w:hAnsi="Times New Roman" w:cs="Times New Roman"/>
        </w:rPr>
        <w:t xml:space="preserve"> are indices to specify geographic location and </w:t>
      </w: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xml:space="preserve"> is per square area, </w:t>
      </w:r>
      <w:r w:rsidRPr="007D2927">
        <w:rPr>
          <w:rFonts w:ascii="Times New Roman" w:eastAsia="Times New Roman" w:hAnsi="Times New Roman" w:cs="Times New Roman"/>
        </w:rPr>
        <w:lastRenderedPageBreak/>
        <w:t xml:space="preserve">then the surface formed by </w:t>
      </w: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xml:space="preserve"> would correspond to the LVT-s if the following condition is met: all </w:t>
      </w: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xml:space="preserve"> are at a maximum in the GA without initiating abandonment or the consideration of abandonment in any plot of land. </w:t>
      </w:r>
    </w:p>
    <w:p w14:paraId="1B8345FF"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 xml:space="preserve">Pre-abandonment is therefore the subjective and central </w:t>
      </w:r>
      <w:proofErr w:type="gramStart"/>
      <w:r w:rsidRPr="007D2927">
        <w:rPr>
          <w:rFonts w:ascii="Times New Roman" w:eastAsia="Times New Roman" w:hAnsi="Times New Roman" w:cs="Times New Roman"/>
        </w:rPr>
        <w:t>criteria</w:t>
      </w:r>
      <w:proofErr w:type="gramEnd"/>
      <w:r w:rsidRPr="007D2927">
        <w:rPr>
          <w:rFonts w:ascii="Times New Roman" w:eastAsia="Times New Roman" w:hAnsi="Times New Roman" w:cs="Times New Roman"/>
        </w:rPr>
        <w:t xml:space="preserve"> and the LVT-s is the surface made by the values right at pre-abandonment. Abandonment from the inability to pay rent, as opposed to abandonment from choice or personal necessity, is highly undesirable and has to be avoided; this is because the improvements on the land are </w:t>
      </w:r>
      <w:proofErr w:type="gramStart"/>
      <w:r w:rsidRPr="007D2927">
        <w:rPr>
          <w:rFonts w:ascii="Times New Roman" w:eastAsia="Times New Roman" w:hAnsi="Times New Roman" w:cs="Times New Roman"/>
        </w:rPr>
        <w:t>immovable</w:t>
      </w:r>
      <w:proofErr w:type="gramEnd"/>
      <w:r w:rsidRPr="007D2927">
        <w:rPr>
          <w:rFonts w:ascii="Times New Roman" w:eastAsia="Times New Roman" w:hAnsi="Times New Roman" w:cs="Times New Roman"/>
        </w:rPr>
        <w:t xml:space="preserve"> and abandonment is when the tenant decides to forgo the value of the improvements due to the inability to pay. Looking at it another way, the rental payments should not eat into the value of the improvements and should not disincentivize the creation of improvements. Thus, a method to measure the maximum of </w:t>
      </w: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without triggering abandonment needs to be devised.</w:t>
      </w:r>
    </w:p>
    <w:p w14:paraId="16210CCC" w14:textId="77777777" w:rsidR="007D2927" w:rsidRPr="007D2927" w:rsidRDefault="007D2927" w:rsidP="007D2927">
      <w:pPr>
        <w:spacing w:before="100" w:beforeAutospacing="1" w:after="100" w:afterAutospacing="1"/>
        <w:outlineLvl w:val="2"/>
        <w:rPr>
          <w:rFonts w:ascii="Times New Roman" w:eastAsia="Times New Roman" w:hAnsi="Times New Roman" w:cs="Times New Roman"/>
          <w:b/>
          <w:bCs/>
          <w:sz w:val="27"/>
          <w:szCs w:val="27"/>
        </w:rPr>
      </w:pPr>
      <w:r w:rsidRPr="007D2927">
        <w:rPr>
          <w:rFonts w:ascii="Times New Roman" w:eastAsia="Times New Roman" w:hAnsi="Times New Roman" w:cs="Times New Roman"/>
          <w:b/>
          <w:bCs/>
          <w:sz w:val="27"/>
          <w:szCs w:val="27"/>
        </w:rPr>
        <w:t>The Rules of the Game</w:t>
      </w:r>
    </w:p>
    <w:p w14:paraId="0CF4BAB1"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 xml:space="preserve">All plots of land are rentals and information about them are listed in a </w:t>
      </w:r>
      <w:r w:rsidRPr="007D2927">
        <w:rPr>
          <w:rFonts w:ascii="Times New Roman" w:eastAsia="Times New Roman" w:hAnsi="Times New Roman" w:cs="Times New Roman"/>
          <w:b/>
          <w:bCs/>
        </w:rPr>
        <w:t>rental exchange board</w:t>
      </w:r>
      <w:r w:rsidRPr="007D2927">
        <w:rPr>
          <w:rFonts w:ascii="Times New Roman" w:eastAsia="Times New Roman" w:hAnsi="Times New Roman" w:cs="Times New Roman"/>
        </w:rPr>
        <w:t>. Land rentals are transferable at any time. The rent for rentals may be either pre-populated with zero values or arbitrary values. Collected rental payments are redistributed to everyone equally. </w:t>
      </w:r>
    </w:p>
    <w:p w14:paraId="23AABDD8"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b/>
          <w:bCs/>
        </w:rPr>
        <w:t>Abandoned</w:t>
      </w:r>
      <w:r w:rsidRPr="007D2927">
        <w:rPr>
          <w:rFonts w:ascii="Times New Roman" w:eastAsia="Times New Roman" w:hAnsi="Times New Roman" w:cs="Times New Roman"/>
        </w:rPr>
        <w:t xml:space="preserve"> rentals are those that are </w:t>
      </w:r>
      <w:proofErr w:type="gramStart"/>
      <w:r w:rsidRPr="007D2927">
        <w:rPr>
          <w:rFonts w:ascii="Times New Roman" w:eastAsia="Times New Roman" w:hAnsi="Times New Roman" w:cs="Times New Roman"/>
        </w:rPr>
        <w:t>unoccupied</w:t>
      </w:r>
      <w:proofErr w:type="gramEnd"/>
      <w:r w:rsidRPr="007D2927">
        <w:rPr>
          <w:rFonts w:ascii="Times New Roman" w:eastAsia="Times New Roman" w:hAnsi="Times New Roman" w:cs="Times New Roman"/>
        </w:rPr>
        <w:t xml:space="preserve"> and no payment of rent is being made. Abandoned rentals are subject to bidding.  Abandoned rentals are listed in the exchange board.</w:t>
      </w:r>
    </w:p>
    <w:p w14:paraId="6841BB04"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 xml:space="preserve">Occupied land rentals in the GA are either in the </w:t>
      </w:r>
      <w:r w:rsidRPr="007D2927">
        <w:rPr>
          <w:rFonts w:ascii="Times New Roman" w:eastAsia="Times New Roman" w:hAnsi="Times New Roman" w:cs="Times New Roman"/>
          <w:b/>
          <w:bCs/>
        </w:rPr>
        <w:t>locked</w:t>
      </w:r>
      <w:r w:rsidRPr="007D2927">
        <w:rPr>
          <w:rFonts w:ascii="Times New Roman" w:eastAsia="Times New Roman" w:hAnsi="Times New Roman" w:cs="Times New Roman"/>
        </w:rPr>
        <w:t xml:space="preserve"> or </w:t>
      </w:r>
      <w:r w:rsidRPr="007D2927">
        <w:rPr>
          <w:rFonts w:ascii="Times New Roman" w:eastAsia="Times New Roman" w:hAnsi="Times New Roman" w:cs="Times New Roman"/>
          <w:b/>
          <w:bCs/>
        </w:rPr>
        <w:t>unlocked</w:t>
      </w:r>
      <w:r w:rsidRPr="007D2927">
        <w:rPr>
          <w:rFonts w:ascii="Times New Roman" w:eastAsia="Times New Roman" w:hAnsi="Times New Roman" w:cs="Times New Roman"/>
        </w:rPr>
        <w:t xml:space="preserve"> state as opted by the tenant; the exception are </w:t>
      </w:r>
      <w:r w:rsidRPr="007D2927">
        <w:rPr>
          <w:rFonts w:ascii="Times New Roman" w:eastAsia="Times New Roman" w:hAnsi="Times New Roman" w:cs="Times New Roman"/>
          <w:b/>
          <w:bCs/>
        </w:rPr>
        <w:t>zero-rent</w:t>
      </w:r>
      <w:r w:rsidRPr="007D2927">
        <w:rPr>
          <w:rFonts w:ascii="Times New Roman" w:eastAsia="Times New Roman" w:hAnsi="Times New Roman" w:cs="Times New Roman"/>
        </w:rPr>
        <w:t xml:space="preserve"> rentals which are always unlocked. Tenants can change these states after a period of </w:t>
      </w:r>
      <w:r w:rsidRPr="007D2927">
        <w:rPr>
          <w:rFonts w:ascii="Times New Roman" w:eastAsia="Times New Roman" w:hAnsi="Times New Roman" w:cs="Times New Roman"/>
          <w:i/>
          <w:iCs/>
        </w:rPr>
        <w:t>s</w:t>
      </w:r>
      <w:r w:rsidRPr="007D2927">
        <w:rPr>
          <w:rFonts w:ascii="Times New Roman" w:eastAsia="Times New Roman" w:hAnsi="Times New Roman" w:cs="Times New Roman"/>
        </w:rPr>
        <w:t xml:space="preserve"> number of months from the last switching. A suggested value for </w:t>
      </w:r>
      <w:r w:rsidRPr="007D2927">
        <w:rPr>
          <w:rFonts w:ascii="Times New Roman" w:eastAsia="Times New Roman" w:hAnsi="Times New Roman" w:cs="Times New Roman"/>
          <w:i/>
          <w:iCs/>
        </w:rPr>
        <w:t>s</w:t>
      </w:r>
      <w:r w:rsidRPr="007D2927">
        <w:rPr>
          <w:rFonts w:ascii="Times New Roman" w:eastAsia="Times New Roman" w:hAnsi="Times New Roman" w:cs="Times New Roman"/>
        </w:rPr>
        <w:t xml:space="preserve"> is 3 months. Tenants can assign a minimum rent amount to prevent the rental from having zero rent and unlocking. These states are announced in the exchange board. </w:t>
      </w:r>
    </w:p>
    <w:p w14:paraId="3CB08775"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 xml:space="preserve">In the locked state, the tenant pays </w:t>
      </w: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xml:space="preserve"> monthly, where </w:t>
      </w: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xml:space="preserve"> is per square area. In the unlocked state, the tenant pays </w:t>
      </w:r>
      <w:proofErr w:type="spellStart"/>
      <w:r w:rsidRPr="007D2927">
        <w:rPr>
          <w:rFonts w:ascii="Times New Roman" w:eastAsia="Times New Roman" w:hAnsi="Times New Roman" w:cs="Times New Roman"/>
          <w:i/>
          <w:iCs/>
        </w:rPr>
        <w:t>c</w:t>
      </w:r>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xml:space="preserve">, where </w:t>
      </w:r>
      <w:r w:rsidRPr="007D2927">
        <w:rPr>
          <w:rFonts w:ascii="Times New Roman" w:eastAsia="Times New Roman" w:hAnsi="Times New Roman" w:cs="Times New Roman"/>
          <w:i/>
          <w:iCs/>
        </w:rPr>
        <w:t>c</w:t>
      </w:r>
      <w:r w:rsidRPr="007D2927">
        <w:rPr>
          <w:rFonts w:ascii="Times New Roman" w:eastAsia="Times New Roman" w:hAnsi="Times New Roman" w:cs="Times New Roman"/>
        </w:rPr>
        <w:t xml:space="preserve">&lt;1. A suggested value for </w:t>
      </w:r>
      <w:r w:rsidRPr="007D2927">
        <w:rPr>
          <w:rFonts w:ascii="Times New Roman" w:eastAsia="Times New Roman" w:hAnsi="Times New Roman" w:cs="Times New Roman"/>
          <w:i/>
          <w:iCs/>
        </w:rPr>
        <w:t>c</w:t>
      </w:r>
      <w:r w:rsidRPr="007D2927">
        <w:rPr>
          <w:rFonts w:ascii="Times New Roman" w:eastAsia="Times New Roman" w:hAnsi="Times New Roman" w:cs="Times New Roman"/>
        </w:rPr>
        <w:t xml:space="preserve"> is 0.92. The locked state disallows bidding by others against the rent of a tenant, while the unlocked state allows bidding. Unlocked rentals that do not receive bids for nine consecutive months turn into locked rentals and </w:t>
      </w: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is updated and assigned the value </w:t>
      </w:r>
      <w:proofErr w:type="spellStart"/>
      <w:r w:rsidRPr="007D2927">
        <w:rPr>
          <w:rFonts w:ascii="Times New Roman" w:eastAsia="Times New Roman" w:hAnsi="Times New Roman" w:cs="Times New Roman"/>
          <w:i/>
          <w:iCs/>
        </w:rPr>
        <w:t>c</w:t>
      </w:r>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w:t>
      </w:r>
    </w:p>
    <w:p w14:paraId="5B4968C5"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Tenants do not have to unlock to sell their improvements and transfer the land rental. </w:t>
      </w:r>
    </w:p>
    <w:p w14:paraId="2A454288" w14:textId="72518A47" w:rsidR="007D2927" w:rsidRPr="007D2927" w:rsidRDefault="007D2927" w:rsidP="007D2927">
      <w:pPr>
        <w:rPr>
          <w:rFonts w:ascii="Times New Roman" w:eastAsia="Times New Roman" w:hAnsi="Times New Roman" w:cs="Times New Roman"/>
        </w:rPr>
      </w:pPr>
      <w:r w:rsidRPr="007D2927">
        <w:rPr>
          <w:rFonts w:ascii="Times New Roman" w:eastAsia="Times New Roman" w:hAnsi="Times New Roman" w:cs="Times New Roman"/>
        </w:rPr>
        <w:t xml:space="preserve">A </w:t>
      </w:r>
      <w:r w:rsidRPr="007D2927">
        <w:rPr>
          <w:rFonts w:ascii="Times New Roman" w:eastAsia="Times New Roman" w:hAnsi="Times New Roman" w:cs="Times New Roman"/>
          <w:b/>
          <w:bCs/>
        </w:rPr>
        <w:t>hostile takeover</w:t>
      </w:r>
      <w:r w:rsidRPr="007D2927">
        <w:rPr>
          <w:rFonts w:ascii="Times New Roman" w:eastAsia="Times New Roman" w:hAnsi="Times New Roman" w:cs="Times New Roman"/>
        </w:rPr>
        <w:t xml:space="preserve"> phase is possible from an unlocked rental; a hostile takeover stage is entered if a successful higher bid </w:t>
      </w: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xml:space="preserve">' is made against the </w:t>
      </w: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xml:space="preserve"> of a tenant. Hostile takeovers are announced in the exchange board.</w:t>
      </w:r>
      <w:r>
        <w:rPr>
          <w:rFonts w:ascii="Times New Roman" w:eastAsia="Times New Roman" w:hAnsi="Times New Roman" w:cs="Times New Roman"/>
        </w:rPr>
        <w:t xml:space="preserve"> </w:t>
      </w:r>
      <w:r w:rsidRPr="007D2927">
        <w:rPr>
          <w:rFonts w:ascii="Times New Roman" w:eastAsia="Times New Roman" w:hAnsi="Times New Roman" w:cs="Times New Roman"/>
        </w:rPr>
        <w:t xml:space="preserve">The successful bidder is called a </w:t>
      </w:r>
      <w:r w:rsidRPr="007D2927">
        <w:rPr>
          <w:rFonts w:ascii="Times New Roman" w:eastAsia="Times New Roman" w:hAnsi="Times New Roman" w:cs="Times New Roman"/>
          <w:b/>
          <w:bCs/>
        </w:rPr>
        <w:t>hostile</w:t>
      </w:r>
      <w:r w:rsidRPr="007D2927">
        <w:rPr>
          <w:rFonts w:ascii="Times New Roman" w:eastAsia="Times New Roman" w:hAnsi="Times New Roman" w:cs="Times New Roman"/>
        </w:rPr>
        <w:t xml:space="preserve"> and secures the bid with a deposit of </w:t>
      </w:r>
      <w:proofErr w:type="spellStart"/>
      <w:r w:rsidRPr="007D2927">
        <w:rPr>
          <w:rFonts w:ascii="Times New Roman" w:eastAsia="Times New Roman" w:hAnsi="Times New Roman" w:cs="Times New Roman"/>
          <w:i/>
          <w:iCs/>
        </w:rPr>
        <w:t>f</w:t>
      </w:r>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which will be returned only after a successful transfer of the rental. A suggested value for </w:t>
      </w:r>
      <w:r w:rsidRPr="007D2927">
        <w:rPr>
          <w:rFonts w:ascii="Times New Roman" w:eastAsia="Times New Roman" w:hAnsi="Times New Roman" w:cs="Times New Roman"/>
          <w:i/>
          <w:iCs/>
        </w:rPr>
        <w:t>f</w:t>
      </w:r>
      <w:r w:rsidRPr="007D2927">
        <w:rPr>
          <w:rFonts w:ascii="Times New Roman" w:eastAsia="Times New Roman" w:hAnsi="Times New Roman" w:cs="Times New Roman"/>
        </w:rPr>
        <w:t> is 0.1. The tenant can either </w:t>
      </w:r>
    </w:p>
    <w:p w14:paraId="3E1623A3" w14:textId="77777777" w:rsidR="007D2927" w:rsidRPr="007D2927" w:rsidRDefault="007D2927" w:rsidP="007D2927">
      <w:pPr>
        <w:rPr>
          <w:rFonts w:ascii="Times New Roman" w:eastAsia="Times New Roman" w:hAnsi="Times New Roman" w:cs="Times New Roman"/>
        </w:rPr>
      </w:pPr>
      <w:r w:rsidRPr="007D2927">
        <w:rPr>
          <w:rFonts w:ascii="Times New Roman" w:eastAsia="Times New Roman" w:hAnsi="Times New Roman" w:cs="Times New Roman"/>
        </w:rPr>
        <w:t xml:space="preserve">1. enter a locked state with the lesser of </w:t>
      </w: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xml:space="preserve">' or </w:t>
      </w: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for the rate to end the hostile takeover, or </w:t>
      </w:r>
    </w:p>
    <w:p w14:paraId="726201F3" w14:textId="77777777" w:rsidR="007D2927" w:rsidRPr="007D2927" w:rsidRDefault="007D2927" w:rsidP="007D2927">
      <w:pPr>
        <w:rPr>
          <w:rFonts w:ascii="Times New Roman" w:eastAsia="Times New Roman" w:hAnsi="Times New Roman" w:cs="Times New Roman"/>
        </w:rPr>
      </w:pPr>
      <w:r w:rsidRPr="007D2927">
        <w:rPr>
          <w:rFonts w:ascii="Times New Roman" w:eastAsia="Times New Roman" w:hAnsi="Times New Roman" w:cs="Times New Roman"/>
        </w:rPr>
        <w:t>2. negotiate a settlement for the improvements and transfer the rental within two months. </w:t>
      </w: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xml:space="preserve"> is assigned the new value </w:t>
      </w: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and the rental is locked for three months. </w:t>
      </w:r>
    </w:p>
    <w:p w14:paraId="34F1AA09" w14:textId="77777777" w:rsidR="007D2927" w:rsidRPr="007D2927" w:rsidRDefault="007D2927" w:rsidP="007D2927">
      <w:pPr>
        <w:rPr>
          <w:rFonts w:ascii="Times New Roman" w:eastAsia="Times New Roman" w:hAnsi="Times New Roman" w:cs="Times New Roman"/>
        </w:rPr>
      </w:pPr>
      <w:r w:rsidRPr="007D2927">
        <w:rPr>
          <w:rFonts w:ascii="Times New Roman" w:eastAsia="Times New Roman" w:hAnsi="Times New Roman" w:cs="Times New Roman"/>
        </w:rPr>
        <w:t>Here, </w:t>
      </w:r>
    </w:p>
    <w:p w14:paraId="3614DE55" w14:textId="77777777" w:rsidR="007D2927" w:rsidRPr="007D2927" w:rsidRDefault="007D2927" w:rsidP="007D2927">
      <w:pPr>
        <w:ind w:firstLine="720"/>
        <w:rPr>
          <w:rFonts w:ascii="Times New Roman" w:eastAsia="Times New Roman" w:hAnsi="Times New Roman" w:cs="Times New Roman"/>
        </w:rPr>
      </w:pP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 (1/(n+1)) (∑</w:t>
      </w:r>
      <w:proofErr w:type="spellStart"/>
      <w:proofErr w:type="gram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ij,adj</w:t>
      </w:r>
      <w:proofErr w:type="spellEnd"/>
      <w:proofErr w:type="gramEnd"/>
      <w:r w:rsidRPr="007D2927">
        <w:rPr>
          <w:rFonts w:ascii="Times New Roman" w:eastAsia="Times New Roman" w:hAnsi="Times New Roman" w:cs="Times New Roman"/>
        </w:rPr>
        <w:t xml:space="preserve"> + </w:t>
      </w: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w:t>
      </w:r>
    </w:p>
    <w:p w14:paraId="59A22C28" w14:textId="77777777" w:rsidR="007D2927" w:rsidRPr="007D2927" w:rsidRDefault="007D2927" w:rsidP="007D2927">
      <w:pPr>
        <w:rPr>
          <w:rFonts w:ascii="Times New Roman" w:eastAsia="Times New Roman" w:hAnsi="Times New Roman" w:cs="Times New Roman"/>
        </w:rPr>
      </w:pPr>
      <w:r w:rsidRPr="007D2927">
        <w:rPr>
          <w:rFonts w:ascii="Times New Roman" w:eastAsia="Times New Roman" w:hAnsi="Times New Roman" w:cs="Times New Roman"/>
        </w:rPr>
        <w:lastRenderedPageBreak/>
        <w:t>or if there are no adjacent rentals </w:t>
      </w:r>
    </w:p>
    <w:p w14:paraId="3D84ED19" w14:textId="77777777" w:rsidR="007D2927" w:rsidRPr="007D2927" w:rsidRDefault="007D2927" w:rsidP="007D2927">
      <w:pPr>
        <w:ind w:firstLine="720"/>
        <w:rPr>
          <w:rFonts w:ascii="Times New Roman" w:eastAsia="Times New Roman" w:hAnsi="Times New Roman" w:cs="Times New Roman"/>
        </w:rPr>
      </w:pP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 (1/3) (R</w:t>
      </w:r>
      <w:r w:rsidRPr="007D2927">
        <w:rPr>
          <w:rFonts w:ascii="Times New Roman" w:eastAsia="Times New Roman" w:hAnsi="Times New Roman" w:cs="Times New Roman"/>
          <w:sz w:val="15"/>
          <w:szCs w:val="15"/>
        </w:rPr>
        <w:t>ij,1st</w:t>
      </w:r>
      <w:r w:rsidRPr="007D2927">
        <w:rPr>
          <w:rFonts w:ascii="Times New Roman" w:eastAsia="Times New Roman" w:hAnsi="Times New Roman" w:cs="Times New Roman"/>
        </w:rPr>
        <w:t> + R</w:t>
      </w:r>
      <w:r w:rsidRPr="007D2927">
        <w:rPr>
          <w:rFonts w:ascii="Times New Roman" w:eastAsia="Times New Roman" w:hAnsi="Times New Roman" w:cs="Times New Roman"/>
          <w:sz w:val="15"/>
          <w:szCs w:val="15"/>
        </w:rPr>
        <w:t>ij,2nd </w:t>
      </w:r>
      <w:r w:rsidRPr="007D2927">
        <w:rPr>
          <w:rFonts w:ascii="Times New Roman" w:eastAsia="Times New Roman" w:hAnsi="Times New Roman" w:cs="Times New Roman"/>
        </w:rPr>
        <w:t xml:space="preserve">+ </w:t>
      </w: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w:t>
      </w:r>
    </w:p>
    <w:p w14:paraId="288EEE62" w14:textId="232BE2C4" w:rsidR="007D2927" w:rsidRPr="007D2927" w:rsidRDefault="007D2927" w:rsidP="007D2927">
      <w:pPr>
        <w:rPr>
          <w:rFonts w:ascii="Times New Roman" w:eastAsia="Times New Roman" w:hAnsi="Times New Roman" w:cs="Times New Roman"/>
        </w:rPr>
      </w:pPr>
      <w:r w:rsidRPr="007D2927">
        <w:rPr>
          <w:rFonts w:ascii="Times New Roman" w:eastAsia="Times New Roman" w:hAnsi="Times New Roman" w:cs="Times New Roman"/>
        </w:rPr>
        <w:t xml:space="preserve">where, </w:t>
      </w:r>
      <w:proofErr w:type="spellStart"/>
      <w:proofErr w:type="gram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ij,adj</w:t>
      </w:r>
      <w:proofErr w:type="spellEnd"/>
      <w:proofErr w:type="gramEnd"/>
      <w:r w:rsidRPr="007D2927">
        <w:rPr>
          <w:rFonts w:ascii="Times New Roman" w:eastAsia="Times New Roman" w:hAnsi="Times New Roman" w:cs="Times New Roman"/>
          <w:sz w:val="15"/>
          <w:szCs w:val="15"/>
        </w:rPr>
        <w:t> </w:t>
      </w:r>
      <w:r w:rsidRPr="007D2927">
        <w:rPr>
          <w:rFonts w:ascii="Times New Roman" w:eastAsia="Times New Roman" w:hAnsi="Times New Roman" w:cs="Times New Roman"/>
        </w:rPr>
        <w:t>are the rents of adjacent rentals and R</w:t>
      </w:r>
      <w:r w:rsidRPr="007D2927">
        <w:rPr>
          <w:rFonts w:ascii="Times New Roman" w:eastAsia="Times New Roman" w:hAnsi="Times New Roman" w:cs="Times New Roman"/>
          <w:sz w:val="15"/>
          <w:szCs w:val="15"/>
        </w:rPr>
        <w:t>ij,1st</w:t>
      </w:r>
      <w:r w:rsidRPr="007D2927">
        <w:rPr>
          <w:rFonts w:ascii="Times New Roman" w:eastAsia="Times New Roman" w:hAnsi="Times New Roman" w:cs="Times New Roman"/>
        </w:rPr>
        <w:t> and R</w:t>
      </w:r>
      <w:r w:rsidRPr="007D2927">
        <w:rPr>
          <w:rFonts w:ascii="Times New Roman" w:eastAsia="Times New Roman" w:hAnsi="Times New Roman" w:cs="Times New Roman"/>
          <w:sz w:val="15"/>
          <w:szCs w:val="15"/>
        </w:rPr>
        <w:t>ij,2nd </w:t>
      </w:r>
      <w:r w:rsidRPr="007D2927">
        <w:rPr>
          <w:rFonts w:ascii="Times New Roman" w:eastAsia="Times New Roman" w:hAnsi="Times New Roman" w:cs="Times New Roman"/>
        </w:rPr>
        <w:t>are rents of the first and second nearest rentals, respectively. That is, </w:t>
      </w: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is an average value.</w:t>
      </w:r>
    </w:p>
    <w:p w14:paraId="0E5BFC5F"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D</w:t>
      </w:r>
      <w:r w:rsidRPr="007D2927">
        <w:rPr>
          <w:rFonts w:ascii="Times New Roman" w:eastAsia="Times New Roman" w:hAnsi="Times New Roman" w:cs="Times New Roman"/>
          <w:b/>
          <w:bCs/>
        </w:rPr>
        <w:t>elinquency</w:t>
      </w:r>
      <w:r w:rsidRPr="007D2927">
        <w:rPr>
          <w:rFonts w:ascii="Times New Roman" w:eastAsia="Times New Roman" w:hAnsi="Times New Roman" w:cs="Times New Roman"/>
        </w:rPr>
        <w:t> is when the rental is occupied but tenants are nine months behind in rental payments. This unlocks the rental; rent is multiplied by </w:t>
      </w:r>
      <w:r w:rsidRPr="007D2927">
        <w:rPr>
          <w:rFonts w:ascii="Times New Roman" w:eastAsia="Times New Roman" w:hAnsi="Times New Roman" w:cs="Times New Roman"/>
          <w:i/>
          <w:iCs/>
        </w:rPr>
        <w:t xml:space="preserve">c </w:t>
      </w:r>
      <w:r w:rsidRPr="007D2927">
        <w:rPr>
          <w:rFonts w:ascii="Times New Roman" w:eastAsia="Times New Roman" w:hAnsi="Times New Roman" w:cs="Times New Roman"/>
        </w:rPr>
        <w:t xml:space="preserve">every two consecutive months of no bids. Delinquent tenants are liable for the unpaid rent and </w:t>
      </w:r>
      <w:proofErr w:type="gramStart"/>
      <w:r w:rsidRPr="007D2927">
        <w:rPr>
          <w:rFonts w:ascii="Times New Roman" w:eastAsia="Times New Roman" w:hAnsi="Times New Roman" w:cs="Times New Roman"/>
        </w:rPr>
        <w:t>have to</w:t>
      </w:r>
      <w:proofErr w:type="gramEnd"/>
      <w:r w:rsidRPr="007D2927">
        <w:rPr>
          <w:rFonts w:ascii="Times New Roman" w:eastAsia="Times New Roman" w:hAnsi="Times New Roman" w:cs="Times New Roman"/>
        </w:rPr>
        <w:t xml:space="preserve"> pay the delinquency before they can challenge any hostile takeover.</w:t>
      </w:r>
    </w:p>
    <w:p w14:paraId="79ED8906"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In summary, a rental may be abandoned, locked, unlocked, zero-rent, in hostile takeover, or in delinquency.</w:t>
      </w:r>
    </w:p>
    <w:p w14:paraId="28AE9415"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b/>
          <w:bCs/>
        </w:rPr>
        <w:t>Optimization procedure:</w:t>
      </w:r>
    </w:p>
    <w:p w14:paraId="4C73A87E"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 xml:space="preserve">In the GA, all </w:t>
      </w: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xml:space="preserve"> are </w:t>
      </w:r>
      <w:r w:rsidRPr="007D2927">
        <w:rPr>
          <w:rFonts w:ascii="Times New Roman" w:eastAsia="Times New Roman" w:hAnsi="Times New Roman" w:cs="Times New Roman"/>
          <w:b/>
          <w:bCs/>
        </w:rPr>
        <w:t>increased</w:t>
      </w:r>
      <w:r w:rsidRPr="007D2927">
        <w:rPr>
          <w:rFonts w:ascii="Times New Roman" w:eastAsia="Times New Roman" w:hAnsi="Times New Roman" w:cs="Times New Roman"/>
        </w:rPr>
        <w:t>*, unless any of the following criteria are met:</w:t>
      </w:r>
    </w:p>
    <w:p w14:paraId="0C13D2D4" w14:textId="77777777" w:rsidR="007D2927" w:rsidRPr="007D2927" w:rsidRDefault="007D2927" w:rsidP="007D2927">
      <w:pPr>
        <w:rPr>
          <w:rFonts w:ascii="Times New Roman" w:eastAsia="Times New Roman" w:hAnsi="Times New Roman" w:cs="Times New Roman"/>
        </w:rPr>
      </w:pPr>
      <w:r w:rsidRPr="007D2927">
        <w:rPr>
          <w:rFonts w:ascii="Times New Roman" w:eastAsia="Times New Roman" w:hAnsi="Times New Roman" w:cs="Times New Roman"/>
        </w:rPr>
        <w:t>1. the rental is unlocked or has been unlocked within six months. </w:t>
      </w:r>
      <w:r w:rsidRPr="007D2927">
        <w:rPr>
          <w:rFonts w:ascii="Times New Roman" w:eastAsia="Times New Roman" w:hAnsi="Times New Roman" w:cs="Times New Roman"/>
        </w:rPr>
        <w:br/>
        <w:t>2. an adjacent rental or the next nearest rental has been unlocked within one year. </w:t>
      </w:r>
      <w:r w:rsidRPr="007D2927">
        <w:rPr>
          <w:rFonts w:ascii="Times New Roman" w:eastAsia="Times New Roman" w:hAnsi="Times New Roman" w:cs="Times New Roman"/>
        </w:rPr>
        <w:br/>
        <w:t>3. an adjacent rental or the next nearest rental is abandoned and available.</w:t>
      </w:r>
      <w:r w:rsidRPr="007D2927">
        <w:rPr>
          <w:rFonts w:ascii="Times New Roman" w:eastAsia="Times New Roman" w:hAnsi="Times New Roman" w:cs="Times New Roman"/>
        </w:rPr>
        <w:br/>
        <w:t>4. there was a hostile takeover on the plot within a year. </w:t>
      </w:r>
    </w:p>
    <w:p w14:paraId="6F8BB574"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 a suggested increase is an increment of </w:t>
      </w:r>
      <w:proofErr w:type="spellStart"/>
      <w:r w:rsidRPr="007D2927">
        <w:rPr>
          <w:rFonts w:ascii="Times New Roman" w:eastAsia="Times New Roman" w:hAnsi="Times New Roman" w:cs="Times New Roman"/>
          <w:i/>
          <w:iCs/>
        </w:rPr>
        <w:t>d</w:t>
      </w:r>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xml:space="preserve">''' monthly, where a suggested starting value </w:t>
      </w:r>
      <w:proofErr w:type="spellStart"/>
      <w:r w:rsidRPr="007D2927">
        <w:rPr>
          <w:rFonts w:ascii="Times New Roman" w:eastAsia="Times New Roman" w:hAnsi="Times New Roman" w:cs="Times New Roman"/>
        </w:rPr>
        <w:t>for </w:t>
      </w:r>
      <w:r w:rsidRPr="007D2927">
        <w:rPr>
          <w:rFonts w:ascii="Times New Roman" w:eastAsia="Times New Roman" w:hAnsi="Times New Roman" w:cs="Times New Roman"/>
          <w:i/>
          <w:iCs/>
        </w:rPr>
        <w:t>d</w:t>
      </w:r>
      <w:proofErr w:type="spellEnd"/>
      <w:r w:rsidRPr="007D2927">
        <w:rPr>
          <w:rFonts w:ascii="Times New Roman" w:eastAsia="Times New Roman" w:hAnsi="Times New Roman" w:cs="Times New Roman"/>
        </w:rPr>
        <w:t> is 0.01, and </w:t>
      </w:r>
    </w:p>
    <w:p w14:paraId="5DBD03F2" w14:textId="77777777" w:rsidR="007D2927" w:rsidRPr="007D2927" w:rsidRDefault="007D2927" w:rsidP="007D2927">
      <w:pPr>
        <w:rPr>
          <w:rFonts w:ascii="Times New Roman" w:eastAsia="Times New Roman" w:hAnsi="Times New Roman" w:cs="Times New Roman"/>
        </w:rPr>
      </w:pPr>
      <w:r w:rsidRPr="007D2927">
        <w:rPr>
          <w:rFonts w:ascii="Times New Roman" w:eastAsia="Times New Roman" w:hAnsi="Times New Roman" w:cs="Times New Roman"/>
        </w:rPr>
        <w:t xml:space="preserve">In the GA, </w:t>
      </w: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xml:space="preserve"> are </w:t>
      </w:r>
      <w:r w:rsidRPr="007D2927">
        <w:rPr>
          <w:rFonts w:ascii="Times New Roman" w:eastAsia="Times New Roman" w:hAnsi="Times New Roman" w:cs="Times New Roman"/>
          <w:b/>
          <w:bCs/>
        </w:rPr>
        <w:t>decreased</w:t>
      </w:r>
      <w:r w:rsidRPr="007D2927">
        <w:rPr>
          <w:rFonts w:ascii="Times New Roman" w:eastAsia="Times New Roman" w:hAnsi="Times New Roman" w:cs="Times New Roman"/>
        </w:rPr>
        <w:t>** if:</w:t>
      </w:r>
    </w:p>
    <w:p w14:paraId="374D4ED4" w14:textId="77777777" w:rsidR="007D2927" w:rsidRPr="007D2927" w:rsidRDefault="007D2927" w:rsidP="007D2927">
      <w:pPr>
        <w:rPr>
          <w:rFonts w:ascii="Times New Roman" w:eastAsia="Times New Roman" w:hAnsi="Times New Roman" w:cs="Times New Roman"/>
        </w:rPr>
      </w:pPr>
      <w:r w:rsidRPr="007D2927">
        <w:rPr>
          <w:rFonts w:ascii="Times New Roman" w:eastAsia="Times New Roman" w:hAnsi="Times New Roman" w:cs="Times New Roman"/>
        </w:rPr>
        <w:t>1. an adjacent rental or the next nearest rental is abandoned, or if </w:t>
      </w:r>
    </w:p>
    <w:p w14:paraId="2BD5F4C8" w14:textId="77777777" w:rsidR="007D2927" w:rsidRPr="007D2927" w:rsidRDefault="007D2927" w:rsidP="007D2927">
      <w:pPr>
        <w:spacing w:after="240"/>
        <w:rPr>
          <w:rFonts w:ascii="Times New Roman" w:eastAsia="Times New Roman" w:hAnsi="Times New Roman" w:cs="Times New Roman"/>
        </w:rPr>
      </w:pPr>
      <w:r w:rsidRPr="007D2927">
        <w:rPr>
          <w:rFonts w:ascii="Times New Roman" w:eastAsia="Times New Roman" w:hAnsi="Times New Roman" w:cs="Times New Roman"/>
        </w:rPr>
        <w:t>2. half of the adjacent rentals or the next nearest rental is unlocked for six consecutive months. </w:t>
      </w:r>
    </w:p>
    <w:p w14:paraId="4A1C675C" w14:textId="77777777" w:rsidR="007D2927" w:rsidRPr="007D2927" w:rsidRDefault="007D2927" w:rsidP="007D2927">
      <w:pPr>
        <w:rPr>
          <w:rFonts w:ascii="Times New Roman" w:eastAsia="Times New Roman" w:hAnsi="Times New Roman" w:cs="Times New Roman"/>
        </w:rPr>
      </w:pPr>
      <w:r w:rsidRPr="007D2927">
        <w:rPr>
          <w:rFonts w:ascii="Times New Roman" w:eastAsia="Times New Roman" w:hAnsi="Times New Roman" w:cs="Times New Roman"/>
        </w:rPr>
        <w:t>** a suggested decrease is a decrement of </w:t>
      </w:r>
      <w:proofErr w:type="spellStart"/>
      <w:r w:rsidRPr="007D2927">
        <w:rPr>
          <w:rFonts w:ascii="Times New Roman" w:eastAsia="Times New Roman" w:hAnsi="Times New Roman" w:cs="Times New Roman"/>
          <w:i/>
          <w:iCs/>
        </w:rPr>
        <w:t>e</w:t>
      </w:r>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monthly, where a suggested starting value for </w:t>
      </w:r>
      <w:r w:rsidRPr="007D2927">
        <w:rPr>
          <w:rFonts w:ascii="Times New Roman" w:eastAsia="Times New Roman" w:hAnsi="Times New Roman" w:cs="Times New Roman"/>
          <w:i/>
          <w:iCs/>
        </w:rPr>
        <w:t>e</w:t>
      </w:r>
      <w:r w:rsidRPr="007D2927">
        <w:rPr>
          <w:rFonts w:ascii="Times New Roman" w:eastAsia="Times New Roman" w:hAnsi="Times New Roman" w:cs="Times New Roman"/>
        </w:rPr>
        <w:t> is 0.02.</w:t>
      </w:r>
    </w:p>
    <w:p w14:paraId="3EB611EF"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 xml:space="preserve">The coefficients </w:t>
      </w:r>
      <w:r w:rsidRPr="007D2927">
        <w:rPr>
          <w:rFonts w:ascii="Times New Roman" w:eastAsia="Times New Roman" w:hAnsi="Times New Roman" w:cs="Times New Roman"/>
          <w:i/>
          <w:iCs/>
        </w:rPr>
        <w:t>s</w:t>
      </w:r>
      <w:r w:rsidRPr="007D2927">
        <w:rPr>
          <w:rFonts w:ascii="Times New Roman" w:eastAsia="Times New Roman" w:hAnsi="Times New Roman" w:cs="Times New Roman"/>
        </w:rPr>
        <w:t xml:space="preserve">, </w:t>
      </w:r>
      <w:r w:rsidRPr="007D2927">
        <w:rPr>
          <w:rFonts w:ascii="Times New Roman" w:eastAsia="Times New Roman" w:hAnsi="Times New Roman" w:cs="Times New Roman"/>
          <w:i/>
          <w:iCs/>
        </w:rPr>
        <w:t>c</w:t>
      </w:r>
      <w:r w:rsidRPr="007D2927">
        <w:rPr>
          <w:rFonts w:ascii="Times New Roman" w:eastAsia="Times New Roman" w:hAnsi="Times New Roman" w:cs="Times New Roman"/>
        </w:rPr>
        <w:t xml:space="preserve">, </w:t>
      </w:r>
      <w:r w:rsidRPr="007D2927">
        <w:rPr>
          <w:rFonts w:ascii="Times New Roman" w:eastAsia="Times New Roman" w:hAnsi="Times New Roman" w:cs="Times New Roman"/>
          <w:i/>
          <w:iCs/>
        </w:rPr>
        <w:t>d</w:t>
      </w:r>
      <w:r w:rsidRPr="007D2927">
        <w:rPr>
          <w:rFonts w:ascii="Times New Roman" w:eastAsia="Times New Roman" w:hAnsi="Times New Roman" w:cs="Times New Roman"/>
        </w:rPr>
        <w:t>, </w:t>
      </w:r>
      <w:r w:rsidRPr="007D2927">
        <w:rPr>
          <w:rFonts w:ascii="Times New Roman" w:eastAsia="Times New Roman" w:hAnsi="Times New Roman" w:cs="Times New Roman"/>
          <w:i/>
          <w:iCs/>
        </w:rPr>
        <w:t>e</w:t>
      </w:r>
      <w:r w:rsidRPr="007D2927">
        <w:rPr>
          <w:rFonts w:ascii="Times New Roman" w:eastAsia="Times New Roman" w:hAnsi="Times New Roman" w:cs="Times New Roman"/>
        </w:rPr>
        <w:t xml:space="preserve"> and </w:t>
      </w:r>
      <w:r w:rsidRPr="007D2927">
        <w:rPr>
          <w:rFonts w:ascii="Times New Roman" w:eastAsia="Times New Roman" w:hAnsi="Times New Roman" w:cs="Times New Roman"/>
          <w:i/>
          <w:iCs/>
        </w:rPr>
        <w:t>f</w:t>
      </w:r>
      <w:r w:rsidRPr="007D2927">
        <w:rPr>
          <w:rFonts w:ascii="Times New Roman" w:eastAsia="Times New Roman" w:hAnsi="Times New Roman" w:cs="Times New Roman"/>
        </w:rPr>
        <w:t>, all time periods, and formulae to increase and decrease may be adjusted to produce optimal results. </w:t>
      </w:r>
    </w:p>
    <w:p w14:paraId="69DACBAC" w14:textId="77777777" w:rsidR="007D2927" w:rsidRPr="007D2927" w:rsidRDefault="007D2927" w:rsidP="007D2927">
      <w:pPr>
        <w:rPr>
          <w:rFonts w:ascii="Times New Roman" w:eastAsia="Times New Roman" w:hAnsi="Times New Roman" w:cs="Times New Roman"/>
        </w:rPr>
      </w:pPr>
      <w:r w:rsidRPr="007D2927">
        <w:rPr>
          <w:rFonts w:ascii="Times New Roman" w:eastAsia="Times New Roman" w:hAnsi="Times New Roman" w:cs="Times New Roman"/>
        </w:rPr>
        <w:t>Here, </w:t>
      </w:r>
    </w:p>
    <w:p w14:paraId="09C47B20" w14:textId="77777777" w:rsidR="007D2927" w:rsidRPr="007D2927" w:rsidRDefault="007D2927" w:rsidP="007D2927">
      <w:pPr>
        <w:ind w:firstLine="720"/>
        <w:rPr>
          <w:rFonts w:ascii="Times New Roman" w:eastAsia="Times New Roman" w:hAnsi="Times New Roman" w:cs="Times New Roman"/>
        </w:rPr>
      </w:pP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 (1/(n+1)) (∑</w:t>
      </w:r>
      <w:proofErr w:type="spellStart"/>
      <w:proofErr w:type="gram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ij,adj</w:t>
      </w:r>
      <w:proofErr w:type="spellEnd"/>
      <w:proofErr w:type="gramEnd"/>
      <w:r w:rsidRPr="007D2927">
        <w:rPr>
          <w:rFonts w:ascii="Times New Roman" w:eastAsia="Times New Roman" w:hAnsi="Times New Roman" w:cs="Times New Roman"/>
        </w:rPr>
        <w:t xml:space="preserve"> + </w:t>
      </w: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w:t>
      </w:r>
    </w:p>
    <w:p w14:paraId="51B434D8" w14:textId="77777777" w:rsidR="007D2927" w:rsidRPr="007D2927" w:rsidRDefault="007D2927" w:rsidP="007D2927">
      <w:pPr>
        <w:rPr>
          <w:rFonts w:ascii="Times New Roman" w:eastAsia="Times New Roman" w:hAnsi="Times New Roman" w:cs="Times New Roman"/>
        </w:rPr>
      </w:pPr>
      <w:r w:rsidRPr="007D2927">
        <w:rPr>
          <w:rFonts w:ascii="Times New Roman" w:eastAsia="Times New Roman" w:hAnsi="Times New Roman" w:cs="Times New Roman"/>
        </w:rPr>
        <w:t>or if there are no adjacent rentals </w:t>
      </w:r>
    </w:p>
    <w:p w14:paraId="095C217B" w14:textId="77777777" w:rsidR="007D2927" w:rsidRPr="007D2927" w:rsidRDefault="007D2927" w:rsidP="007D2927">
      <w:pPr>
        <w:ind w:firstLine="720"/>
        <w:rPr>
          <w:rFonts w:ascii="Times New Roman" w:eastAsia="Times New Roman" w:hAnsi="Times New Roman" w:cs="Times New Roman"/>
        </w:rPr>
      </w:pP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 (1/3) (R</w:t>
      </w:r>
      <w:r w:rsidRPr="007D2927">
        <w:rPr>
          <w:rFonts w:ascii="Times New Roman" w:eastAsia="Times New Roman" w:hAnsi="Times New Roman" w:cs="Times New Roman"/>
          <w:sz w:val="15"/>
          <w:szCs w:val="15"/>
        </w:rPr>
        <w:t>ij,1st</w:t>
      </w:r>
      <w:r w:rsidRPr="007D2927">
        <w:rPr>
          <w:rFonts w:ascii="Times New Roman" w:eastAsia="Times New Roman" w:hAnsi="Times New Roman" w:cs="Times New Roman"/>
        </w:rPr>
        <w:t> + R</w:t>
      </w:r>
      <w:r w:rsidRPr="007D2927">
        <w:rPr>
          <w:rFonts w:ascii="Times New Roman" w:eastAsia="Times New Roman" w:hAnsi="Times New Roman" w:cs="Times New Roman"/>
          <w:sz w:val="15"/>
          <w:szCs w:val="15"/>
        </w:rPr>
        <w:t>ij,2nd </w:t>
      </w:r>
      <w:r w:rsidRPr="007D2927">
        <w:rPr>
          <w:rFonts w:ascii="Times New Roman" w:eastAsia="Times New Roman" w:hAnsi="Times New Roman" w:cs="Times New Roman"/>
        </w:rPr>
        <w:t xml:space="preserve">+ </w:t>
      </w: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w:t>
      </w:r>
    </w:p>
    <w:p w14:paraId="2E7D2B73" w14:textId="77777777" w:rsidR="007D2927" w:rsidRPr="007D2927" w:rsidRDefault="007D2927" w:rsidP="007D2927">
      <w:pPr>
        <w:rPr>
          <w:rFonts w:ascii="Times New Roman" w:eastAsia="Times New Roman" w:hAnsi="Times New Roman" w:cs="Times New Roman"/>
        </w:rPr>
      </w:pPr>
      <w:r w:rsidRPr="007D2927">
        <w:rPr>
          <w:rFonts w:ascii="Times New Roman" w:eastAsia="Times New Roman" w:hAnsi="Times New Roman" w:cs="Times New Roman"/>
        </w:rPr>
        <w:t xml:space="preserve">where, </w:t>
      </w:r>
      <w:proofErr w:type="spellStart"/>
      <w:proofErr w:type="gram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ij,adj</w:t>
      </w:r>
      <w:proofErr w:type="spellEnd"/>
      <w:proofErr w:type="gramEnd"/>
      <w:r w:rsidRPr="007D2927">
        <w:rPr>
          <w:rFonts w:ascii="Times New Roman" w:eastAsia="Times New Roman" w:hAnsi="Times New Roman" w:cs="Times New Roman"/>
          <w:sz w:val="15"/>
          <w:szCs w:val="15"/>
        </w:rPr>
        <w:t> </w:t>
      </w:r>
      <w:r w:rsidRPr="007D2927">
        <w:rPr>
          <w:rFonts w:ascii="Times New Roman" w:eastAsia="Times New Roman" w:hAnsi="Times New Roman" w:cs="Times New Roman"/>
        </w:rPr>
        <w:t>are the rents of adjacent rentals and R</w:t>
      </w:r>
      <w:r w:rsidRPr="007D2927">
        <w:rPr>
          <w:rFonts w:ascii="Times New Roman" w:eastAsia="Times New Roman" w:hAnsi="Times New Roman" w:cs="Times New Roman"/>
          <w:sz w:val="15"/>
          <w:szCs w:val="15"/>
        </w:rPr>
        <w:t>ij,1st</w:t>
      </w:r>
      <w:r w:rsidRPr="007D2927">
        <w:rPr>
          <w:rFonts w:ascii="Times New Roman" w:eastAsia="Times New Roman" w:hAnsi="Times New Roman" w:cs="Times New Roman"/>
        </w:rPr>
        <w:t> and R</w:t>
      </w:r>
      <w:r w:rsidRPr="007D2927">
        <w:rPr>
          <w:rFonts w:ascii="Times New Roman" w:eastAsia="Times New Roman" w:hAnsi="Times New Roman" w:cs="Times New Roman"/>
          <w:sz w:val="15"/>
          <w:szCs w:val="15"/>
        </w:rPr>
        <w:t>ij,2nd </w:t>
      </w:r>
      <w:r w:rsidRPr="007D2927">
        <w:rPr>
          <w:rFonts w:ascii="Times New Roman" w:eastAsia="Times New Roman" w:hAnsi="Times New Roman" w:cs="Times New Roman"/>
        </w:rPr>
        <w:t>are rents of the first and second nearest rentals, respectively. That is, </w:t>
      </w:r>
      <w:proofErr w:type="spellStart"/>
      <w:r w:rsidRPr="007D2927">
        <w:rPr>
          <w:rFonts w:ascii="Times New Roman" w:eastAsia="Times New Roman" w:hAnsi="Times New Roman" w:cs="Times New Roman"/>
        </w:rPr>
        <w:t>R</w:t>
      </w:r>
      <w:r w:rsidRPr="007D2927">
        <w:rPr>
          <w:rFonts w:ascii="Times New Roman" w:eastAsia="Times New Roman" w:hAnsi="Times New Roman" w:cs="Times New Roman"/>
          <w:sz w:val="15"/>
          <w:szCs w:val="15"/>
        </w:rPr>
        <w:t>ij</w:t>
      </w:r>
      <w:proofErr w:type="spellEnd"/>
      <w:r w:rsidRPr="007D2927">
        <w:rPr>
          <w:rFonts w:ascii="Times New Roman" w:eastAsia="Times New Roman" w:hAnsi="Times New Roman" w:cs="Times New Roman"/>
        </w:rPr>
        <w:t>''' is an average value.</w:t>
      </w:r>
    </w:p>
    <w:p w14:paraId="12F8A45C" w14:textId="77777777" w:rsidR="007D2927" w:rsidRPr="007D2927" w:rsidRDefault="007D2927" w:rsidP="007D2927">
      <w:pPr>
        <w:spacing w:before="100" w:beforeAutospacing="1" w:after="100" w:afterAutospacing="1"/>
        <w:outlineLvl w:val="2"/>
        <w:rPr>
          <w:rFonts w:ascii="Times New Roman" w:eastAsia="Times New Roman" w:hAnsi="Times New Roman" w:cs="Times New Roman"/>
          <w:b/>
          <w:bCs/>
          <w:sz w:val="27"/>
          <w:szCs w:val="27"/>
        </w:rPr>
      </w:pPr>
      <w:r w:rsidRPr="007D2927">
        <w:rPr>
          <w:rFonts w:ascii="Times New Roman" w:eastAsia="Times New Roman" w:hAnsi="Times New Roman" w:cs="Times New Roman"/>
          <w:b/>
          <w:bCs/>
          <w:sz w:val="27"/>
          <w:szCs w:val="27"/>
        </w:rPr>
        <w:t>Discussion</w:t>
      </w:r>
    </w:p>
    <w:p w14:paraId="67C61F22"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 xml:space="preserve">Rules have been designed so that tenant could sell improvements directly and transfer the rental to </w:t>
      </w:r>
      <w:proofErr w:type="gramStart"/>
      <w:r w:rsidRPr="007D2927">
        <w:rPr>
          <w:rFonts w:ascii="Times New Roman" w:eastAsia="Times New Roman" w:hAnsi="Times New Roman" w:cs="Times New Roman"/>
        </w:rPr>
        <w:t>another, or</w:t>
      </w:r>
      <w:proofErr w:type="gramEnd"/>
      <w:r w:rsidRPr="007D2927">
        <w:rPr>
          <w:rFonts w:ascii="Times New Roman" w:eastAsia="Times New Roman" w:hAnsi="Times New Roman" w:cs="Times New Roman"/>
        </w:rPr>
        <w:t xml:space="preserve"> open the rental up for bids by (1) unlocking, (2) abandoning, or (3) being </w:t>
      </w:r>
      <w:r w:rsidRPr="007D2927">
        <w:rPr>
          <w:rFonts w:ascii="Times New Roman" w:eastAsia="Times New Roman" w:hAnsi="Times New Roman" w:cs="Times New Roman"/>
        </w:rPr>
        <w:lastRenderedPageBreak/>
        <w:t>delinquent on rental payments. The decision to unlock, that is to open the possibility of being bid against, lies primarily with a current tenant. </w:t>
      </w:r>
    </w:p>
    <w:p w14:paraId="36A540A8"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Rents increase through bids and optimization, while they decrease by unlocking, bids, delinquency, and optimization. </w:t>
      </w:r>
    </w:p>
    <w:p w14:paraId="7CAE36AF"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 xml:space="preserve">Locking is advantageous in that others cannot bid and increase your rent. However, rent still increases depending on the </w:t>
      </w:r>
      <w:proofErr w:type="gramStart"/>
      <w:r w:rsidRPr="007D2927">
        <w:rPr>
          <w:rFonts w:ascii="Times New Roman" w:eastAsia="Times New Roman" w:hAnsi="Times New Roman" w:cs="Times New Roman"/>
        </w:rPr>
        <w:t>amount</w:t>
      </w:r>
      <w:proofErr w:type="gramEnd"/>
      <w:r w:rsidRPr="007D2927">
        <w:rPr>
          <w:rFonts w:ascii="Times New Roman" w:eastAsia="Times New Roman" w:hAnsi="Times New Roman" w:cs="Times New Roman"/>
        </w:rPr>
        <w:t xml:space="preserve"> of unlocking events around. </w:t>
      </w:r>
    </w:p>
    <w:p w14:paraId="4274C69E"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Unlocking is used as a proxy for pre-abandonment in determining that 100% LVT has been reached. That is, an unlocking decision is where the tenant deems that the benefit of having a slightly lower payment offsets the cost of a guarantee of tenure. Unlocking is advantageous in that given sufficient time rent decreases. However, rent may still increase through hostile takeover. </w:t>
      </w:r>
    </w:p>
    <w:p w14:paraId="14F47CBC"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Since LVT is not a per plot measurement, the local LVT-s is evaluated by the behavior of the direct vicinity of any given plot for unlocking and abandonment events. Increments and direct bidding allow the game to probe the GA for data to map the LVT-s. The goal is to maximize the rents depending on the local unlocking and abandonment events and using the nearby rents for reference values. </w:t>
      </w:r>
    </w:p>
    <w:p w14:paraId="0261E9E7"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Hostile takeovers allow for bidding while discouraging bad faith actors through the requirement of a deposit. It is also designed to prevent the current tenant from being forced to pay highly anomalous bids by averaging rents in the vicinity. That is, the choice is between the current tenant taking an updated averaged higher rent or the bidder renting at the rent according to the bidder's bid. </w:t>
      </w:r>
    </w:p>
    <w:p w14:paraId="0156FFD7"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Although the increase and decrease rules and formulas need to be tested and optimized to arrive at 100% LVT, it can be shown that a land value rental system is highly feasible. While it is a dynamic system, there is no inherent reason the system cannot be made to reach steady states.</w:t>
      </w:r>
    </w:p>
    <w:p w14:paraId="01A18213" w14:textId="77777777" w:rsidR="007D2927" w:rsidRPr="007D2927" w:rsidRDefault="007D2927" w:rsidP="007D2927">
      <w:pPr>
        <w:spacing w:before="100" w:beforeAutospacing="1" w:after="100" w:afterAutospacing="1"/>
        <w:outlineLvl w:val="2"/>
        <w:rPr>
          <w:rFonts w:ascii="Times New Roman" w:eastAsia="Times New Roman" w:hAnsi="Times New Roman" w:cs="Times New Roman"/>
          <w:b/>
          <w:bCs/>
          <w:sz w:val="27"/>
          <w:szCs w:val="27"/>
        </w:rPr>
      </w:pPr>
      <w:r w:rsidRPr="007D2927">
        <w:rPr>
          <w:rFonts w:ascii="Times New Roman" w:eastAsia="Times New Roman" w:hAnsi="Times New Roman" w:cs="Times New Roman"/>
          <w:b/>
          <w:bCs/>
          <w:sz w:val="27"/>
          <w:szCs w:val="27"/>
        </w:rPr>
        <w:t>References</w:t>
      </w:r>
    </w:p>
    <w:p w14:paraId="2C07C866"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 xml:space="preserve">[1] George, Henry, 1839-1897. </w:t>
      </w:r>
      <w:r w:rsidRPr="007D2927">
        <w:rPr>
          <w:rFonts w:ascii="Times New Roman" w:eastAsia="Times New Roman" w:hAnsi="Times New Roman" w:cs="Times New Roman"/>
          <w:i/>
          <w:iCs/>
        </w:rPr>
        <w:t xml:space="preserve">Progress and Poverty; an Inquiry into the Cause of Industrial Depressions and of Increase of Want with Increase of Wealth: </w:t>
      </w:r>
      <w:proofErr w:type="gramStart"/>
      <w:r w:rsidRPr="007D2927">
        <w:rPr>
          <w:rFonts w:ascii="Times New Roman" w:eastAsia="Times New Roman" w:hAnsi="Times New Roman" w:cs="Times New Roman"/>
          <w:i/>
          <w:iCs/>
        </w:rPr>
        <w:t>the</w:t>
      </w:r>
      <w:proofErr w:type="gramEnd"/>
      <w:r w:rsidRPr="007D2927">
        <w:rPr>
          <w:rFonts w:ascii="Times New Roman" w:eastAsia="Times New Roman" w:hAnsi="Times New Roman" w:cs="Times New Roman"/>
          <w:i/>
          <w:iCs/>
        </w:rPr>
        <w:t xml:space="preserve"> Remedy.</w:t>
      </w:r>
      <w:r w:rsidRPr="007D2927">
        <w:rPr>
          <w:rFonts w:ascii="Times New Roman" w:eastAsia="Times New Roman" w:hAnsi="Times New Roman" w:cs="Times New Roman"/>
        </w:rPr>
        <w:t xml:space="preserve"> New York: AMS Press</w:t>
      </w:r>
    </w:p>
    <w:p w14:paraId="419FABEE" w14:textId="77777777"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 xml:space="preserve">[2] Piketty, Thomas. 2017. </w:t>
      </w:r>
      <w:r w:rsidRPr="007D2927">
        <w:rPr>
          <w:rFonts w:ascii="Times New Roman" w:eastAsia="Times New Roman" w:hAnsi="Times New Roman" w:cs="Times New Roman"/>
          <w:i/>
          <w:iCs/>
        </w:rPr>
        <w:t>Capital in the Twenty-First Century.</w:t>
      </w:r>
      <w:r w:rsidRPr="007D2927">
        <w:rPr>
          <w:rFonts w:ascii="Times New Roman" w:eastAsia="Times New Roman" w:hAnsi="Times New Roman" w:cs="Times New Roman"/>
        </w:rPr>
        <w:t xml:space="preserve"> Translated by Arthur </w:t>
      </w:r>
      <w:proofErr w:type="spellStart"/>
      <w:r w:rsidRPr="007D2927">
        <w:rPr>
          <w:rFonts w:ascii="Times New Roman" w:eastAsia="Times New Roman" w:hAnsi="Times New Roman" w:cs="Times New Roman"/>
        </w:rPr>
        <w:t>Goldhammer</w:t>
      </w:r>
      <w:proofErr w:type="spellEnd"/>
      <w:r w:rsidRPr="007D2927">
        <w:rPr>
          <w:rFonts w:ascii="Times New Roman" w:eastAsia="Times New Roman" w:hAnsi="Times New Roman" w:cs="Times New Roman"/>
        </w:rPr>
        <w:t>. London, England: Belknap Press.</w:t>
      </w:r>
    </w:p>
    <w:p w14:paraId="2BC73454" w14:textId="4891015F" w:rsidR="007D2927" w:rsidRPr="007D2927" w:rsidRDefault="007D2927" w:rsidP="007D2927">
      <w:pPr>
        <w:spacing w:before="100" w:beforeAutospacing="1" w:after="100" w:afterAutospacing="1"/>
        <w:rPr>
          <w:rFonts w:ascii="Times New Roman" w:eastAsia="Times New Roman" w:hAnsi="Times New Roman" w:cs="Times New Roman"/>
        </w:rPr>
      </w:pPr>
      <w:r w:rsidRPr="007D2927">
        <w:rPr>
          <w:rFonts w:ascii="Times New Roman" w:eastAsia="Times New Roman" w:hAnsi="Times New Roman" w:cs="Times New Roman"/>
        </w:rPr>
        <w:t>[3] Rognlie, Matthew. “</w:t>
      </w:r>
      <w:r w:rsidRPr="007D2927">
        <w:rPr>
          <w:rFonts w:ascii="Times New Roman" w:eastAsia="Times New Roman" w:hAnsi="Times New Roman" w:cs="Times New Roman"/>
          <w:i/>
          <w:iCs/>
        </w:rPr>
        <w:t>Deciphering the Fall and Rise in the Net Capital Share: Accumulation or Scarcity?</w:t>
      </w:r>
      <w:r w:rsidRPr="007D2927">
        <w:rPr>
          <w:rFonts w:ascii="Times New Roman" w:eastAsia="Times New Roman" w:hAnsi="Times New Roman" w:cs="Times New Roman"/>
        </w:rPr>
        <w:t>” Brookings Papers on Economic Activity, 2015, 1–54.</w:t>
      </w:r>
    </w:p>
    <w:p w14:paraId="142F3CC1" w14:textId="77777777" w:rsidR="007D2927" w:rsidRPr="007D2927" w:rsidRDefault="007D2927" w:rsidP="007D2927">
      <w:pPr>
        <w:spacing w:before="100" w:beforeAutospacing="1" w:after="100" w:afterAutospacing="1"/>
        <w:outlineLvl w:val="2"/>
        <w:rPr>
          <w:rFonts w:ascii="Times New Roman" w:eastAsia="Times New Roman" w:hAnsi="Times New Roman" w:cs="Times New Roman"/>
          <w:b/>
          <w:bCs/>
          <w:sz w:val="27"/>
          <w:szCs w:val="27"/>
        </w:rPr>
      </w:pPr>
      <w:r w:rsidRPr="007D2927">
        <w:rPr>
          <w:rFonts w:ascii="Georgia" w:eastAsia="Times New Roman" w:hAnsi="Georgia" w:cs="Times New Roman"/>
          <w:b/>
          <w:bCs/>
          <w:spacing w:val="3"/>
          <w:sz w:val="27"/>
          <w:szCs w:val="27"/>
          <w:shd w:val="clear" w:color="auto" w:fill="FFFFFF"/>
        </w:rPr>
        <w:t>License </w:t>
      </w:r>
    </w:p>
    <w:p w14:paraId="002264FB" w14:textId="7DEE7A64" w:rsidR="005D6701" w:rsidRPr="007D2927" w:rsidRDefault="007D2927" w:rsidP="007D2927">
      <w:pPr>
        <w:rPr>
          <w:rFonts w:ascii="Times New Roman" w:eastAsia="Times New Roman" w:hAnsi="Times New Roman" w:cs="Times New Roman"/>
        </w:rPr>
      </w:pPr>
      <w:hyperlink r:id="rId4" w:history="1">
        <w:r w:rsidRPr="007D2927">
          <w:rPr>
            <w:rFonts w:ascii="Georgia" w:eastAsia="Times New Roman" w:hAnsi="Georgia" w:cs="Times New Roman"/>
            <w:color w:val="0000FF"/>
            <w:spacing w:val="3"/>
            <w:sz w:val="27"/>
            <w:szCs w:val="27"/>
            <w:u w:val="single"/>
            <w:shd w:val="clear" w:color="auto" w:fill="FFFFFF"/>
          </w:rPr>
          <w:t>https://creativecommons.org/licenses/by-nc-sa/4.0/legalcode</w:t>
        </w:r>
      </w:hyperlink>
    </w:p>
    <w:sectPr w:rsidR="005D6701" w:rsidRPr="007D29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B51"/>
    <w:rsid w:val="000B44B1"/>
    <w:rsid w:val="001D023A"/>
    <w:rsid w:val="00353E89"/>
    <w:rsid w:val="003E3847"/>
    <w:rsid w:val="00443B51"/>
    <w:rsid w:val="00460C83"/>
    <w:rsid w:val="005D6701"/>
    <w:rsid w:val="006B7138"/>
    <w:rsid w:val="00751EAD"/>
    <w:rsid w:val="007D2927"/>
    <w:rsid w:val="008854AA"/>
    <w:rsid w:val="008A32A3"/>
    <w:rsid w:val="00974F93"/>
    <w:rsid w:val="00A4018D"/>
    <w:rsid w:val="00AA167F"/>
    <w:rsid w:val="00B11B9A"/>
    <w:rsid w:val="00EB4B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FEDCFE4"/>
  <w15:chartTrackingRefBased/>
  <w15:docId w15:val="{073E161C-3BF4-7F46-A831-2F856E974E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443B51"/>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43B51"/>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443B51"/>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7D29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176831">
      <w:bodyDiv w:val="1"/>
      <w:marLeft w:val="0"/>
      <w:marRight w:val="0"/>
      <w:marTop w:val="0"/>
      <w:marBottom w:val="0"/>
      <w:divBdr>
        <w:top w:val="none" w:sz="0" w:space="0" w:color="auto"/>
        <w:left w:val="none" w:sz="0" w:space="0" w:color="auto"/>
        <w:bottom w:val="none" w:sz="0" w:space="0" w:color="auto"/>
        <w:right w:val="none" w:sz="0" w:space="0" w:color="auto"/>
      </w:divBdr>
      <w:divsChild>
        <w:div w:id="69818894">
          <w:marLeft w:val="0"/>
          <w:marRight w:val="0"/>
          <w:marTop w:val="0"/>
          <w:marBottom w:val="0"/>
          <w:divBdr>
            <w:top w:val="none" w:sz="0" w:space="0" w:color="auto"/>
            <w:left w:val="none" w:sz="0" w:space="0" w:color="auto"/>
            <w:bottom w:val="none" w:sz="0" w:space="0" w:color="auto"/>
            <w:right w:val="none" w:sz="0" w:space="0" w:color="auto"/>
          </w:divBdr>
        </w:div>
        <w:div w:id="1586842263">
          <w:marLeft w:val="0"/>
          <w:marRight w:val="0"/>
          <w:marTop w:val="0"/>
          <w:marBottom w:val="0"/>
          <w:divBdr>
            <w:top w:val="none" w:sz="0" w:space="0" w:color="auto"/>
            <w:left w:val="none" w:sz="0" w:space="0" w:color="auto"/>
            <w:bottom w:val="none" w:sz="0" w:space="0" w:color="auto"/>
            <w:right w:val="none" w:sz="0" w:space="0" w:color="auto"/>
          </w:divBdr>
        </w:div>
        <w:div w:id="604579617">
          <w:marLeft w:val="0"/>
          <w:marRight w:val="0"/>
          <w:marTop w:val="0"/>
          <w:marBottom w:val="0"/>
          <w:divBdr>
            <w:top w:val="none" w:sz="0" w:space="0" w:color="auto"/>
            <w:left w:val="none" w:sz="0" w:space="0" w:color="auto"/>
            <w:bottom w:val="none" w:sz="0" w:space="0" w:color="auto"/>
            <w:right w:val="none" w:sz="0" w:space="0" w:color="auto"/>
          </w:divBdr>
        </w:div>
        <w:div w:id="789011184">
          <w:marLeft w:val="0"/>
          <w:marRight w:val="0"/>
          <w:marTop w:val="0"/>
          <w:marBottom w:val="0"/>
          <w:divBdr>
            <w:top w:val="none" w:sz="0" w:space="0" w:color="auto"/>
            <w:left w:val="none" w:sz="0" w:space="0" w:color="auto"/>
            <w:bottom w:val="none" w:sz="0" w:space="0" w:color="auto"/>
            <w:right w:val="none" w:sz="0" w:space="0" w:color="auto"/>
          </w:divBdr>
        </w:div>
        <w:div w:id="1404718767">
          <w:marLeft w:val="0"/>
          <w:marRight w:val="0"/>
          <w:marTop w:val="0"/>
          <w:marBottom w:val="0"/>
          <w:divBdr>
            <w:top w:val="none" w:sz="0" w:space="0" w:color="auto"/>
            <w:left w:val="none" w:sz="0" w:space="0" w:color="auto"/>
            <w:bottom w:val="none" w:sz="0" w:space="0" w:color="auto"/>
            <w:right w:val="none" w:sz="0" w:space="0" w:color="auto"/>
          </w:divBdr>
        </w:div>
        <w:div w:id="804616654">
          <w:marLeft w:val="0"/>
          <w:marRight w:val="0"/>
          <w:marTop w:val="0"/>
          <w:marBottom w:val="0"/>
          <w:divBdr>
            <w:top w:val="none" w:sz="0" w:space="0" w:color="auto"/>
            <w:left w:val="none" w:sz="0" w:space="0" w:color="auto"/>
            <w:bottom w:val="none" w:sz="0" w:space="0" w:color="auto"/>
            <w:right w:val="none" w:sz="0" w:space="0" w:color="auto"/>
          </w:divBdr>
        </w:div>
      </w:divsChild>
    </w:div>
    <w:div w:id="911430053">
      <w:bodyDiv w:val="1"/>
      <w:marLeft w:val="0"/>
      <w:marRight w:val="0"/>
      <w:marTop w:val="0"/>
      <w:marBottom w:val="0"/>
      <w:divBdr>
        <w:top w:val="none" w:sz="0" w:space="0" w:color="auto"/>
        <w:left w:val="none" w:sz="0" w:space="0" w:color="auto"/>
        <w:bottom w:val="none" w:sz="0" w:space="0" w:color="auto"/>
        <w:right w:val="none" w:sz="0" w:space="0" w:color="auto"/>
      </w:divBdr>
      <w:divsChild>
        <w:div w:id="976958395">
          <w:marLeft w:val="0"/>
          <w:marRight w:val="0"/>
          <w:marTop w:val="0"/>
          <w:marBottom w:val="0"/>
          <w:divBdr>
            <w:top w:val="none" w:sz="0" w:space="0" w:color="auto"/>
            <w:left w:val="none" w:sz="0" w:space="0" w:color="auto"/>
            <w:bottom w:val="none" w:sz="0" w:space="0" w:color="auto"/>
            <w:right w:val="none" w:sz="0" w:space="0" w:color="auto"/>
          </w:divBdr>
          <w:divsChild>
            <w:div w:id="1318076343">
              <w:blockQuote w:val="1"/>
              <w:marLeft w:val="600"/>
              <w:marRight w:val="0"/>
              <w:marTop w:val="0"/>
              <w:marBottom w:val="0"/>
              <w:divBdr>
                <w:top w:val="none" w:sz="0" w:space="0" w:color="auto"/>
                <w:left w:val="none" w:sz="0" w:space="0" w:color="auto"/>
                <w:bottom w:val="none" w:sz="0" w:space="0" w:color="auto"/>
                <w:right w:val="none" w:sz="0" w:space="0" w:color="auto"/>
              </w:divBdr>
            </w:div>
            <w:div w:id="1883980840">
              <w:blockQuote w:val="1"/>
              <w:marLeft w:val="600"/>
              <w:marRight w:val="0"/>
              <w:marTop w:val="0"/>
              <w:marBottom w:val="0"/>
              <w:divBdr>
                <w:top w:val="none" w:sz="0" w:space="0" w:color="auto"/>
                <w:left w:val="none" w:sz="0" w:space="0" w:color="auto"/>
                <w:bottom w:val="none" w:sz="0" w:space="0" w:color="auto"/>
                <w:right w:val="none" w:sz="0" w:space="0" w:color="auto"/>
              </w:divBdr>
            </w:div>
            <w:div w:id="1511791830">
              <w:marLeft w:val="0"/>
              <w:marRight w:val="0"/>
              <w:marTop w:val="0"/>
              <w:marBottom w:val="0"/>
              <w:divBdr>
                <w:top w:val="none" w:sz="0" w:space="0" w:color="auto"/>
                <w:left w:val="none" w:sz="0" w:space="0" w:color="auto"/>
                <w:bottom w:val="none" w:sz="0" w:space="0" w:color="auto"/>
                <w:right w:val="none" w:sz="0" w:space="0" w:color="auto"/>
              </w:divBdr>
            </w:div>
            <w:div w:id="1498381861">
              <w:blockQuote w:val="1"/>
              <w:marLeft w:val="600"/>
              <w:marRight w:val="0"/>
              <w:marTop w:val="0"/>
              <w:marBottom w:val="0"/>
              <w:divBdr>
                <w:top w:val="none" w:sz="0" w:space="0" w:color="auto"/>
                <w:left w:val="none" w:sz="0" w:space="0" w:color="auto"/>
                <w:bottom w:val="none" w:sz="0" w:space="0" w:color="auto"/>
                <w:right w:val="none" w:sz="0" w:space="0" w:color="auto"/>
              </w:divBdr>
            </w:div>
            <w:div w:id="1845362934">
              <w:marLeft w:val="0"/>
              <w:marRight w:val="0"/>
              <w:marTop w:val="0"/>
              <w:marBottom w:val="0"/>
              <w:divBdr>
                <w:top w:val="none" w:sz="0" w:space="0" w:color="auto"/>
                <w:left w:val="none" w:sz="0" w:space="0" w:color="auto"/>
                <w:bottom w:val="none" w:sz="0" w:space="0" w:color="auto"/>
                <w:right w:val="none" w:sz="0" w:space="0" w:color="auto"/>
              </w:divBdr>
            </w:div>
            <w:div w:id="1764648179">
              <w:marLeft w:val="0"/>
              <w:marRight w:val="0"/>
              <w:marTop w:val="0"/>
              <w:marBottom w:val="0"/>
              <w:divBdr>
                <w:top w:val="none" w:sz="0" w:space="0" w:color="auto"/>
                <w:left w:val="none" w:sz="0" w:space="0" w:color="auto"/>
                <w:bottom w:val="none" w:sz="0" w:space="0" w:color="auto"/>
                <w:right w:val="none" w:sz="0" w:space="0" w:color="auto"/>
              </w:divBdr>
            </w:div>
            <w:div w:id="1712731257">
              <w:marLeft w:val="0"/>
              <w:marRight w:val="0"/>
              <w:marTop w:val="0"/>
              <w:marBottom w:val="0"/>
              <w:divBdr>
                <w:top w:val="none" w:sz="0" w:space="0" w:color="auto"/>
                <w:left w:val="none" w:sz="0" w:space="0" w:color="auto"/>
                <w:bottom w:val="none" w:sz="0" w:space="0" w:color="auto"/>
                <w:right w:val="none" w:sz="0" w:space="0" w:color="auto"/>
              </w:divBdr>
            </w:div>
            <w:div w:id="414399029">
              <w:blockQuote w:val="1"/>
              <w:marLeft w:val="600"/>
              <w:marRight w:val="0"/>
              <w:marTop w:val="0"/>
              <w:marBottom w:val="0"/>
              <w:divBdr>
                <w:top w:val="none" w:sz="0" w:space="0" w:color="auto"/>
                <w:left w:val="none" w:sz="0" w:space="0" w:color="auto"/>
                <w:bottom w:val="none" w:sz="0" w:space="0" w:color="auto"/>
                <w:right w:val="none" w:sz="0" w:space="0" w:color="auto"/>
              </w:divBdr>
            </w:div>
            <w:div w:id="363141729">
              <w:marLeft w:val="0"/>
              <w:marRight w:val="0"/>
              <w:marTop w:val="0"/>
              <w:marBottom w:val="0"/>
              <w:divBdr>
                <w:top w:val="none" w:sz="0" w:space="0" w:color="auto"/>
                <w:left w:val="none" w:sz="0" w:space="0" w:color="auto"/>
                <w:bottom w:val="none" w:sz="0" w:space="0" w:color="auto"/>
                <w:right w:val="none" w:sz="0" w:space="0" w:color="auto"/>
              </w:divBdr>
            </w:div>
            <w:div w:id="459150060">
              <w:blockQuote w:val="1"/>
              <w:marLeft w:val="600"/>
              <w:marRight w:val="0"/>
              <w:marTop w:val="0"/>
              <w:marBottom w:val="0"/>
              <w:divBdr>
                <w:top w:val="none" w:sz="0" w:space="0" w:color="auto"/>
                <w:left w:val="none" w:sz="0" w:space="0" w:color="auto"/>
                <w:bottom w:val="none" w:sz="0" w:space="0" w:color="auto"/>
                <w:right w:val="none" w:sz="0" w:space="0" w:color="auto"/>
              </w:divBdr>
            </w:div>
            <w:div w:id="1776903585">
              <w:marLeft w:val="0"/>
              <w:marRight w:val="0"/>
              <w:marTop w:val="0"/>
              <w:marBottom w:val="0"/>
              <w:divBdr>
                <w:top w:val="none" w:sz="0" w:space="0" w:color="auto"/>
                <w:left w:val="none" w:sz="0" w:space="0" w:color="auto"/>
                <w:bottom w:val="none" w:sz="0" w:space="0" w:color="auto"/>
                <w:right w:val="none" w:sz="0" w:space="0" w:color="auto"/>
              </w:divBdr>
            </w:div>
            <w:div w:id="1965425395">
              <w:blockQuote w:val="1"/>
              <w:marLeft w:val="600"/>
              <w:marRight w:val="0"/>
              <w:marTop w:val="0"/>
              <w:marBottom w:val="0"/>
              <w:divBdr>
                <w:top w:val="none" w:sz="0" w:space="0" w:color="auto"/>
                <w:left w:val="none" w:sz="0" w:space="0" w:color="auto"/>
                <w:bottom w:val="none" w:sz="0" w:space="0" w:color="auto"/>
                <w:right w:val="none" w:sz="0" w:space="0" w:color="auto"/>
              </w:divBdr>
            </w:div>
            <w:div w:id="1065953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reativecommons.org/licenses/by-nc-sa/4.0/legalco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4</Pages>
  <Words>1590</Words>
  <Characters>9063</Characters>
  <Application>Microsoft Office Word</Application>
  <DocSecurity>0</DocSecurity>
  <Lines>75</Lines>
  <Paragraphs>21</Paragraphs>
  <ScaleCrop>false</ScaleCrop>
  <Company/>
  <LinksUpToDate>false</LinksUpToDate>
  <CharactersWithSpaces>10632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Felipe, Mihali</dc:creator>
  <cp:keywords/>
  <dc:description/>
  <cp:lastModifiedBy>Felipe, Mihali</cp:lastModifiedBy>
  <cp:revision>9</cp:revision>
  <dcterms:created xsi:type="dcterms:W3CDTF">2023-03-26T00:31:00Z</dcterms:created>
  <dcterms:modified xsi:type="dcterms:W3CDTF">2023-03-29T12:56:00Z</dcterms:modified>
</cp:coreProperties>
</file>