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4CA9C" w14:textId="59965B31" w:rsidR="006929DA" w:rsidRPr="006929DA" w:rsidRDefault="006929DA" w:rsidP="006929DA">
      <w:pPr>
        <w:pStyle w:val="Descripcin"/>
        <w:keepNext/>
        <w:spacing w:line="480" w:lineRule="auto"/>
        <w:rPr>
          <w:rFonts w:ascii="Times New Roman" w:hAnsi="Times New Roman" w:cs="Times New Roman"/>
          <w:color w:val="auto"/>
          <w:sz w:val="24"/>
          <w:szCs w:val="24"/>
          <w:lang w:val="es-CO"/>
        </w:rPr>
      </w:pPr>
      <w:r w:rsidRPr="004A1891">
        <w:rPr>
          <w:rFonts w:ascii="Times New Roman" w:hAnsi="Times New Roman" w:cs="Times New Roman"/>
          <w:b/>
          <w:i w:val="0"/>
          <w:color w:val="auto"/>
          <w:sz w:val="24"/>
          <w:szCs w:val="24"/>
          <w:lang w:val="es-CO"/>
        </w:rPr>
        <w:t xml:space="preserve">Tabla </w:t>
      </w:r>
      <w:r w:rsidRPr="004A1891">
        <w:rPr>
          <w:rFonts w:ascii="Times New Roman" w:hAnsi="Times New Roman" w:cs="Times New Roman"/>
          <w:b/>
          <w:i w:val="0"/>
          <w:color w:val="auto"/>
          <w:sz w:val="24"/>
          <w:szCs w:val="24"/>
          <w:lang w:val="es-CO"/>
        </w:rPr>
        <w:fldChar w:fldCharType="begin"/>
      </w:r>
      <w:r w:rsidRPr="004A1891">
        <w:rPr>
          <w:rFonts w:ascii="Times New Roman" w:hAnsi="Times New Roman" w:cs="Times New Roman"/>
          <w:b/>
          <w:i w:val="0"/>
          <w:color w:val="auto"/>
          <w:sz w:val="24"/>
          <w:szCs w:val="24"/>
          <w:lang w:val="es-CO"/>
        </w:rPr>
        <w:instrText xml:space="preserve"> SEQ Tabla \* ARABIC </w:instrText>
      </w:r>
      <w:r w:rsidRPr="004A1891">
        <w:rPr>
          <w:rFonts w:ascii="Times New Roman" w:hAnsi="Times New Roman" w:cs="Times New Roman"/>
          <w:b/>
          <w:i w:val="0"/>
          <w:color w:val="auto"/>
          <w:sz w:val="24"/>
          <w:szCs w:val="24"/>
          <w:lang w:val="es-CO"/>
        </w:rPr>
        <w:fldChar w:fldCharType="separate"/>
      </w:r>
      <w:r w:rsidRPr="004A1891">
        <w:rPr>
          <w:rFonts w:ascii="Times New Roman" w:hAnsi="Times New Roman" w:cs="Times New Roman"/>
          <w:b/>
          <w:i w:val="0"/>
          <w:noProof/>
          <w:color w:val="auto"/>
          <w:sz w:val="24"/>
          <w:szCs w:val="24"/>
          <w:lang w:val="es-CO"/>
        </w:rPr>
        <w:t>1</w:t>
      </w:r>
      <w:r w:rsidRPr="004A1891">
        <w:rPr>
          <w:rFonts w:ascii="Times New Roman" w:hAnsi="Times New Roman" w:cs="Times New Roman"/>
          <w:b/>
          <w:i w:val="0"/>
          <w:color w:val="auto"/>
          <w:sz w:val="24"/>
          <w:szCs w:val="24"/>
          <w:lang w:val="es-CO"/>
        </w:rPr>
        <w:fldChar w:fldCharType="end"/>
      </w:r>
      <w:r w:rsidRPr="004A1891">
        <w:rPr>
          <w:rFonts w:ascii="Times New Roman" w:hAnsi="Times New Roman" w:cs="Times New Roman"/>
          <w:b/>
          <w:i w:val="0"/>
          <w:color w:val="auto"/>
          <w:sz w:val="24"/>
          <w:szCs w:val="24"/>
          <w:lang w:val="es-CO"/>
        </w:rPr>
        <w:t>.</w:t>
      </w:r>
      <w:r>
        <w:rPr>
          <w:rFonts w:ascii="Times New Roman" w:hAnsi="Times New Roman" w:cs="Times New Roman"/>
          <w:b/>
          <w:i w:val="0"/>
          <w:color w:val="auto"/>
          <w:sz w:val="24"/>
          <w:szCs w:val="24"/>
          <w:lang w:val="es-CO"/>
        </w:rPr>
        <w:t xml:space="preserve"> </w:t>
      </w:r>
      <w:r w:rsidRPr="004A1891">
        <w:rPr>
          <w:rFonts w:ascii="Times New Roman" w:hAnsi="Times New Roman" w:cs="Times New Roman"/>
          <w:color w:val="auto"/>
          <w:sz w:val="24"/>
          <w:szCs w:val="24"/>
          <w:lang w:val="es-CO"/>
        </w:rPr>
        <w:t>Síntesis de las características y resultados de las publicaciones incluidas en la revisión</w:t>
      </w:r>
    </w:p>
    <w:tbl>
      <w:tblPr>
        <w:tblStyle w:val="Tablanormal2"/>
        <w:tblW w:w="10915" w:type="dxa"/>
        <w:tblInd w:w="-709" w:type="dxa"/>
        <w:tblLook w:val="04A0" w:firstRow="1" w:lastRow="0" w:firstColumn="1" w:lastColumn="0" w:noHBand="0" w:noVBand="1"/>
      </w:tblPr>
      <w:tblGrid>
        <w:gridCol w:w="2410"/>
        <w:gridCol w:w="2835"/>
        <w:gridCol w:w="2476"/>
        <w:gridCol w:w="3194"/>
      </w:tblGrid>
      <w:tr w:rsidR="006929DA" w:rsidRPr="004A1891" w14:paraId="1DB78656" w14:textId="77777777" w:rsidTr="00B950A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vAlign w:val="center"/>
          </w:tcPr>
          <w:p w14:paraId="3EF87962" w14:textId="77777777" w:rsidR="006929DA" w:rsidRPr="004A1891" w:rsidRDefault="006929DA" w:rsidP="00B950A1">
            <w:pPr>
              <w:jc w:val="center"/>
              <w:rPr>
                <w:rFonts w:ascii="Times New Roman" w:hAnsi="Times New Roman" w:cs="Times New Roman"/>
                <w:sz w:val="24"/>
                <w:szCs w:val="24"/>
                <w:lang w:val="es-CO"/>
              </w:rPr>
            </w:pPr>
            <w:r w:rsidRPr="004A1891">
              <w:rPr>
                <w:rFonts w:ascii="Times New Roman" w:hAnsi="Times New Roman" w:cs="Times New Roman"/>
                <w:sz w:val="24"/>
                <w:szCs w:val="24"/>
                <w:lang w:val="es-CO"/>
              </w:rPr>
              <w:t>Autor</w:t>
            </w:r>
          </w:p>
        </w:tc>
        <w:tc>
          <w:tcPr>
            <w:tcW w:w="2835" w:type="dxa"/>
            <w:shd w:val="clear" w:color="auto" w:fill="auto"/>
            <w:vAlign w:val="center"/>
          </w:tcPr>
          <w:p w14:paraId="5D557C6B" w14:textId="77777777" w:rsidR="006929DA" w:rsidRPr="004A1891" w:rsidRDefault="006929DA" w:rsidP="00B950A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Muestra</w:t>
            </w:r>
          </w:p>
        </w:tc>
        <w:tc>
          <w:tcPr>
            <w:tcW w:w="2476" w:type="dxa"/>
            <w:shd w:val="clear" w:color="auto" w:fill="auto"/>
            <w:vAlign w:val="center"/>
          </w:tcPr>
          <w:p w14:paraId="3392EA37" w14:textId="77777777" w:rsidR="006929DA" w:rsidRPr="004A1891" w:rsidRDefault="006929DA" w:rsidP="00B950A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Metodología</w:t>
            </w:r>
          </w:p>
        </w:tc>
        <w:tc>
          <w:tcPr>
            <w:tcW w:w="3194" w:type="dxa"/>
            <w:shd w:val="clear" w:color="auto" w:fill="auto"/>
            <w:vAlign w:val="center"/>
          </w:tcPr>
          <w:p w14:paraId="2630158D" w14:textId="77777777" w:rsidR="006929DA" w:rsidRPr="004A1891" w:rsidRDefault="006929DA" w:rsidP="00B950A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Resultados</w:t>
            </w:r>
          </w:p>
        </w:tc>
      </w:tr>
      <w:tr w:rsidR="006929DA" w:rsidRPr="00ED2D2F" w14:paraId="7D8B6112" w14:textId="77777777" w:rsidTr="00B950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24A948FE"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author":[{"dropping-particle":"","family":"Barceló","given":"Ernesto","non-dropping-particle":"","parse-names":false,"suffix":""},{"dropping-particle":"","family":"Lewis","given":"Soraya","non-dropping-particle":"","parse-names":false,"suffix":""},{"dropping-particle":"","family":"Moreno","given":"Mayilín","non-dropping-particle":"","parse-names":false,"suffix":""}],"container-title":"Psicología desde el Caribe","id":"ITEM-1","issue":"18","issued":{"date-parts":[["2006"]]},"page":"109-138","title":"Funciones ejecutivas en estudiantes universitarios que presentan bajo y alto rendimiento académico","type":"article-journal"},"uris":["http://www.mendeley.com/documents/?uuid=bc210c40-e92f-3936-b3bb-2da18db53e52"]}],"mendeley":{"formattedCitation":"(Barceló et al., 2006)","manualFormatting":"Barceló et al. (2006)","plainTextFormattedCitation":"(Barceló et al., 2006)","previouslyFormattedCitation":"(Barceló et al., 2006)"},"properties":{"noteIndex":0},"schema":"https://github.com/citation-style-language/schema/raw/master/csl-citation.json"}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Barceló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(2006)</w:t>
            </w:r>
            <w:r w:rsidRPr="004A1891">
              <w:rPr>
                <w:rFonts w:ascii="Times New Roman" w:hAnsi="Times New Roman" w:cs="Times New Roman"/>
                <w:sz w:val="24"/>
                <w:szCs w:val="24"/>
                <w:lang w:val="es-CO"/>
              </w:rPr>
              <w:fldChar w:fldCharType="end"/>
            </w:r>
          </w:p>
        </w:tc>
        <w:tc>
          <w:tcPr>
            <w:tcW w:w="2835" w:type="dxa"/>
            <w:shd w:val="clear" w:color="auto" w:fill="auto"/>
          </w:tcPr>
          <w:p w14:paraId="0D61F126"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36 estudiantes universitarios: 18 de ellos con bajo rendimiento académico</w:t>
            </w:r>
          </w:p>
          <w:p w14:paraId="016CED1D"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y 18 con alto rendimiento académico.</w:t>
            </w:r>
          </w:p>
        </w:tc>
        <w:tc>
          <w:tcPr>
            <w:tcW w:w="2476" w:type="dxa"/>
            <w:shd w:val="clear" w:color="auto" w:fill="auto"/>
          </w:tcPr>
          <w:p w14:paraId="4AD12EC0"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Evaluación de FE:</w:t>
            </w:r>
          </w:p>
          <w:p w14:paraId="55FB64F3"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285CA47B"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En una primera sesión, una entrevista semiestructurada y la aplicación de los dos </w:t>
            </w:r>
            <w:proofErr w:type="gramStart"/>
            <w:r w:rsidRPr="004A1891">
              <w:rPr>
                <w:rFonts w:ascii="Times New Roman" w:hAnsi="Times New Roman" w:cs="Times New Roman"/>
                <w:sz w:val="24"/>
                <w:szCs w:val="24"/>
                <w:lang w:val="es-CO"/>
              </w:rPr>
              <w:t>primeros test</w:t>
            </w:r>
            <w:proofErr w:type="gramEnd"/>
            <w:r w:rsidRPr="004A1891">
              <w:rPr>
                <w:rFonts w:ascii="Times New Roman" w:hAnsi="Times New Roman" w:cs="Times New Roman"/>
                <w:sz w:val="24"/>
                <w:szCs w:val="24"/>
                <w:lang w:val="es-CO"/>
              </w:rPr>
              <w:t xml:space="preserve">: el de fluidez verbal y el </w:t>
            </w:r>
            <w:proofErr w:type="spellStart"/>
            <w:r w:rsidRPr="004A1891">
              <w:rPr>
                <w:rFonts w:ascii="Times New Roman" w:hAnsi="Times New Roman" w:cs="Times New Roman"/>
                <w:sz w:val="24"/>
                <w:szCs w:val="24"/>
                <w:lang w:val="es-CO"/>
              </w:rPr>
              <w:t>Winsconsin</w:t>
            </w:r>
            <w:proofErr w:type="spellEnd"/>
            <w:r w:rsidRPr="004A1891">
              <w:rPr>
                <w:rFonts w:ascii="Times New Roman" w:hAnsi="Times New Roman" w:cs="Times New Roman"/>
                <w:sz w:val="24"/>
                <w:szCs w:val="24"/>
                <w:lang w:val="es-CO"/>
              </w:rPr>
              <w:t>.</w:t>
            </w:r>
          </w:p>
          <w:p w14:paraId="051ED33C"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0A9A6264"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En una segunda sesión, se aplicó el </w:t>
            </w:r>
            <w:proofErr w:type="spellStart"/>
            <w:r w:rsidRPr="004A1891">
              <w:rPr>
                <w:rFonts w:ascii="Times New Roman" w:hAnsi="Times New Roman" w:cs="Times New Roman"/>
                <w:sz w:val="24"/>
                <w:szCs w:val="24"/>
                <w:lang w:val="es-CO"/>
              </w:rPr>
              <w:t>Stroop</w:t>
            </w:r>
            <w:proofErr w:type="spellEnd"/>
            <w:r w:rsidRPr="004A1891">
              <w:rPr>
                <w:rFonts w:ascii="Times New Roman" w:hAnsi="Times New Roman" w:cs="Times New Roman"/>
                <w:sz w:val="24"/>
                <w:szCs w:val="24"/>
                <w:lang w:val="es-CO"/>
              </w:rPr>
              <w:t xml:space="preserve"> y el k-bit. El objetivo de la entrevista era indagar de manera general aspectos de su vida familiar, académica, médica y personal.</w:t>
            </w:r>
          </w:p>
        </w:tc>
        <w:tc>
          <w:tcPr>
            <w:tcW w:w="3194" w:type="dxa"/>
            <w:shd w:val="clear" w:color="auto" w:fill="auto"/>
          </w:tcPr>
          <w:p w14:paraId="5FBD55A4"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El rendimiento académico no está directamente relacionado con déficits a nivel de las habilidades ejecutivas, pero sí podría estarlo a nivel del lenguaje y de los antecedentes familiares, psicológicos y académicos en estos estudiantes.</w:t>
            </w:r>
          </w:p>
        </w:tc>
      </w:tr>
      <w:tr w:rsidR="006929DA" w:rsidRPr="00ED2D2F" w14:paraId="61614E72" w14:textId="77777777" w:rsidTr="00B950A1">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6717F057"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{"citationItems":[{"id":"ITEM-1","itemData":{"DOI":"10.1016/J.LINDIF.2014.07.001","ISSN":"1041-6080","abstract":"Concepts related to self-regulation have emerged repeatedly in research on college academic achievement. We hypothesized that self-reported executive functioning (EF) deficits would predict academic performance and investigated whether grade goals could account for this relationship. In Study 1 we obtained data on the Barkley Deficits in Executive Functioning Scale (BDEFS) and self-reported GPA from co-educational university students (N. = 250). In Study 2, we collected BDEFS and GPA goals from students at a women's college (N. = 229) and obtained grades from the registrar. EF deficits predicted GPA concurrently and prospectively even when controlling for prior grades. Self-motivation problems were most consistently related to grades and mediation analysis revealed a significant indirect effect via lower grade goals. However, goals did not fully account for this relationship. While our results suggest potential value for goal-setting interventions, additional measures to improve self-regulation are likely needed to help struggling students with self-motivation problems. © 2014 Elsevier Inc.","author":[{"dropping-particle":"","family":"Knouse","given":"Laura E.","non-dropping-particle":"","parse-names":false,"suffix":""},{"dropping-particle":"","family":"Feldman","given":"Greg","non-dropping-particle":"","parse-names":false,"suffix":""},{"dropping-particle":"","family":"Blevins","given":"Emily J.","non-dropping-particle":"","parse-names":false,"suffix":""}],"container-title":"Learning and Individual Differences","id":"ITEM-1","issued":{"date-parts":[["2014","12","1"]]},"page":"19-26","publisher":"JAI","title":"Executive functioning difficulties as predictors of academic performance: Examining the role of grade goals","type":"article-journal","volume":"36"},"uris":["http://www.mendeley.com/documents/?uuid=067b9d71-36d6-3822-901f-7f2c9dec0419"]}],"mendeley":{"formattedCitation":"(Knouse et al., 2014)","manualFormatting":"Knouse et al. (2014)","plainTextFormattedCitation":"(Knouse et al., 2014)","previouslyFormattedCitation":"(Knouse et al., 2014)"},"properties":{"noteIndex":0},"schema":"https://github.com/citation-style-language/schema/raw/master/csl-citation.json"}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Knouse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(2014)</w:t>
            </w:r>
            <w:r w:rsidRPr="004A1891">
              <w:rPr>
                <w:rFonts w:ascii="Times New Roman" w:hAnsi="Times New Roman" w:cs="Times New Roman"/>
                <w:sz w:val="24"/>
                <w:szCs w:val="24"/>
                <w:lang w:val="es-CO"/>
              </w:rPr>
              <w:fldChar w:fldCharType="end"/>
            </w:r>
          </w:p>
        </w:tc>
        <w:tc>
          <w:tcPr>
            <w:tcW w:w="2835" w:type="dxa"/>
            <w:shd w:val="clear" w:color="auto" w:fill="auto"/>
          </w:tcPr>
          <w:p w14:paraId="1C6C1CBD"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Estudio 1: 314 estudiantes universitarios (31,3% Hombres y 68,7% Mujeres). </w:t>
            </w:r>
          </w:p>
          <w:p w14:paraId="7A973E0C"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173445D4"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Estudio 2: 229 participantes (100% Mujeres).</w:t>
            </w:r>
          </w:p>
        </w:tc>
        <w:tc>
          <w:tcPr>
            <w:tcW w:w="2476" w:type="dxa"/>
            <w:shd w:val="clear" w:color="auto" w:fill="auto"/>
          </w:tcPr>
          <w:p w14:paraId="4B67860B"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Estudio 1: Implementación de la Escala de Déficits en el Funcionamiento Ejecutivo de Barkley (BDEFS) y el Promedio de Calificaciones </w:t>
            </w:r>
            <w:proofErr w:type="spellStart"/>
            <w:r w:rsidRPr="004A1891">
              <w:rPr>
                <w:rFonts w:ascii="Times New Roman" w:hAnsi="Times New Roman" w:cs="Times New Roman"/>
                <w:sz w:val="24"/>
                <w:szCs w:val="24"/>
                <w:lang w:val="es-CO"/>
              </w:rPr>
              <w:t>Autoinformado</w:t>
            </w:r>
            <w:proofErr w:type="spellEnd"/>
            <w:r w:rsidRPr="004A1891">
              <w:rPr>
                <w:rFonts w:ascii="Times New Roman" w:hAnsi="Times New Roman" w:cs="Times New Roman"/>
                <w:sz w:val="24"/>
                <w:szCs w:val="24"/>
                <w:lang w:val="es-CO"/>
              </w:rPr>
              <w:t xml:space="preserve"> (GPA) de estudiantes universitarios mixtos.</w:t>
            </w:r>
          </w:p>
          <w:p w14:paraId="5D8E3E65"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34FC7FD6"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Estudio 2: Recolección de metas BDEFS y GPA de estudiantes.</w:t>
            </w:r>
          </w:p>
        </w:tc>
        <w:tc>
          <w:tcPr>
            <w:tcW w:w="3194" w:type="dxa"/>
            <w:shd w:val="clear" w:color="auto" w:fill="auto"/>
          </w:tcPr>
          <w:p w14:paraId="55C0F1BC"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Déficits en EF predijeron el GPA concurrente. </w:t>
            </w:r>
          </w:p>
          <w:p w14:paraId="66068D97"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2472C0F5"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Los problemas de automotivación se relacionaron con las calificaciones y el análisis de mediación reveló un efecto indirecto significativo a través de metas de calificación más bajas.</w:t>
            </w:r>
          </w:p>
        </w:tc>
      </w:tr>
      <w:tr w:rsidR="006929DA" w:rsidRPr="00ED2D2F" w14:paraId="35864A97" w14:textId="77777777" w:rsidTr="00B950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6D0B4447" w14:textId="77777777" w:rsidR="006929DA" w:rsidRPr="004A1891" w:rsidRDefault="006929DA" w:rsidP="00B950A1">
            <w:pPr>
              <w:ind w:left="720" w:hanging="720"/>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{"citationItems":[{"id":"ITEM-1","itemData":{"DOI":"10.3389/FPSYG.2015.01131/BIBTEX","ISSN":"16641078","abstract":"Recent studies in late adolescents (age 17+) show that brain development may proceed till around the 25th year of age. This implies that study performance in higher education could be dependent upon the stage of brain maturation and neuropsychological development. Individual differences in development of neuropsychological skills may thus have a substantial influence on the outcome of the educational process. This hypothesis was evaluated in a large survey of 1760 first-year students at a University of Applied Sciences, of which 1332 are included in the current analyses. This was because of their fit within the age range we pre-set (17–20 years' old at start of studies). Student characteristics and three behavioral ratings of executive functioning (EF) were evaluated with regard to their influence on academic performance. Self-report measures were used: self-reported attention, planning, and self-control and self-monitoring. Results showed that students with better self-reported EF at the start of the first year of their studies obtained more study credits at the end of that year than students with a lower EF self-rating. The correlation between self-control and self-monitoring on the one hand, and study progress on the other, appeared to differ for male and female students and to be influenced by the level of prior education. The results of this large-scale study could have practical relevance. The profound individual differences between students may at least partly be a consequence of their stage of development as an adolescent. Students who show lower levels of attention control, planning, and self-control/self-monitoring can be expected to have a problem in study planning and study progress monitoring and hence study progress. The findings imply that interventions directed at the training of these (executive) functions should be developed and used in higher education in order to improve academic achievement, learning attitude, and motivation.","author":[{"dropping-particle":"","family":"Baars","given":"Maria","non-dropping-particle":"","parse-names":false,"suffix":""},{"dropping-particle":"","family":"Nije","given":"Marije","non-dropping-particle":"","parse-names":false,"suffix":""},{"dropping-particle":"","family":"Tonnaer","given":"Geertje","non-dropping-particle":"","parse-names":false,"suffix":""},{"dropping-particle":"","family":"Jolles","given":"Jelle","non-dropping-particle":"","parse-names":false,"suffix":""}],"container-title":"Frontiers in Psychology","id":"ITEM-1","issue":"1131","issued":{"date-parts":[["2015","8","5"]]},"page":"1-7","publisher":"Frontiers Media S.A.","title":"Self-report measures of executive functioning are a determinant of academic performance in first-year students at a university of applied sciences","type":"article-journal","volume":"6"},"uris":["http://www.mendeley.com/documents/?uuid=b6eabcc0-dcb7-35c4-9b4b-9d33b0a9b12c"]}],"mendeley":{"formattedCitation":"(Baars et al., 2015)","manualFormatting":"Baars et al. (2015)","plainTextFormattedCitation":"(Baars et al., 2015)","previouslyFormattedCitation":"(Baars et al., 2015)"},"properties":{"noteIndex":0},"schema":"https://github.com/citation-style-language/schema/raw/master/csl-citation.json"}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Baars </w:t>
            </w:r>
            <w:r w:rsidRPr="004A1891">
              <w:rPr>
                <w:rFonts w:ascii="Times New Roman" w:hAnsi="Times New Roman" w:cs="Times New Roman"/>
                <w:b w:val="0"/>
                <w:i/>
                <w:noProof/>
                <w:sz w:val="24"/>
                <w:szCs w:val="24"/>
                <w:lang w:val="es-CO"/>
              </w:rPr>
              <w:t xml:space="preserve">et al. </w:t>
            </w:r>
            <w:r w:rsidRPr="004A1891">
              <w:rPr>
                <w:rFonts w:ascii="Times New Roman" w:hAnsi="Times New Roman" w:cs="Times New Roman"/>
                <w:b w:val="0"/>
                <w:noProof/>
                <w:sz w:val="24"/>
                <w:szCs w:val="24"/>
                <w:lang w:val="es-CO"/>
              </w:rPr>
              <w:t>(2015)</w:t>
            </w:r>
            <w:r w:rsidRPr="004A1891">
              <w:rPr>
                <w:rFonts w:ascii="Times New Roman" w:hAnsi="Times New Roman" w:cs="Times New Roman"/>
                <w:sz w:val="24"/>
                <w:szCs w:val="24"/>
                <w:lang w:val="es-CO"/>
              </w:rPr>
              <w:fldChar w:fldCharType="end"/>
            </w:r>
          </w:p>
        </w:tc>
        <w:tc>
          <w:tcPr>
            <w:tcW w:w="2835" w:type="dxa"/>
            <w:shd w:val="clear" w:color="auto" w:fill="auto"/>
          </w:tcPr>
          <w:p w14:paraId="644741F7"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1320 estudiantes incluidos en los análisis actuales debido a su ajuste dentro del rango de edad que preestablecieron (17–20 años al inicio de los estudios).</w:t>
            </w:r>
          </w:p>
        </w:tc>
        <w:tc>
          <w:tcPr>
            <w:tcW w:w="2476" w:type="dxa"/>
            <w:shd w:val="clear" w:color="auto" w:fill="auto"/>
          </w:tcPr>
          <w:p w14:paraId="1CBA8968"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Se evaluaron las características de los estudiantes y tres calificaciones conductuales del funcionamiento ejecutivo (FE) con respecto a su influencia </w:t>
            </w:r>
            <w:r w:rsidRPr="004A1891">
              <w:rPr>
                <w:rFonts w:ascii="Times New Roman" w:hAnsi="Times New Roman" w:cs="Times New Roman"/>
                <w:sz w:val="24"/>
                <w:szCs w:val="24"/>
                <w:lang w:val="es-CO"/>
              </w:rPr>
              <w:lastRenderedPageBreak/>
              <w:t xml:space="preserve">en el rendimiento académico. Se utilizaron medidas de autoinforme: atención </w:t>
            </w:r>
            <w:proofErr w:type="spellStart"/>
            <w:r w:rsidRPr="004A1891">
              <w:rPr>
                <w:rFonts w:ascii="Times New Roman" w:hAnsi="Times New Roman" w:cs="Times New Roman"/>
                <w:sz w:val="24"/>
                <w:szCs w:val="24"/>
                <w:lang w:val="es-CO"/>
              </w:rPr>
              <w:t>autoinformada</w:t>
            </w:r>
            <w:proofErr w:type="spellEnd"/>
            <w:r w:rsidRPr="004A1891">
              <w:rPr>
                <w:rFonts w:ascii="Times New Roman" w:hAnsi="Times New Roman" w:cs="Times New Roman"/>
                <w:sz w:val="24"/>
                <w:szCs w:val="24"/>
                <w:lang w:val="es-CO"/>
              </w:rPr>
              <w:t>, planificación y autocontrol y</w:t>
            </w:r>
          </w:p>
          <w:p w14:paraId="3B362B1B"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roofErr w:type="spellStart"/>
            <w:r w:rsidRPr="004A1891">
              <w:rPr>
                <w:rFonts w:ascii="Times New Roman" w:hAnsi="Times New Roman" w:cs="Times New Roman"/>
                <w:sz w:val="24"/>
                <w:szCs w:val="24"/>
                <w:lang w:val="es-CO"/>
              </w:rPr>
              <w:t>autoseguimiento</w:t>
            </w:r>
            <w:proofErr w:type="spellEnd"/>
            <w:r w:rsidRPr="004A1891">
              <w:rPr>
                <w:rFonts w:ascii="Times New Roman" w:hAnsi="Times New Roman" w:cs="Times New Roman"/>
                <w:sz w:val="24"/>
                <w:szCs w:val="24"/>
                <w:lang w:val="es-CO"/>
              </w:rPr>
              <w:t>.</w:t>
            </w:r>
          </w:p>
        </w:tc>
        <w:tc>
          <w:tcPr>
            <w:tcW w:w="3194" w:type="dxa"/>
            <w:shd w:val="clear" w:color="auto" w:fill="auto"/>
          </w:tcPr>
          <w:p w14:paraId="282079DC"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lastRenderedPageBreak/>
              <w:t xml:space="preserve">Estudiantes con un mejor FE </w:t>
            </w:r>
            <w:proofErr w:type="spellStart"/>
            <w:r w:rsidRPr="004A1891">
              <w:rPr>
                <w:rFonts w:ascii="Times New Roman" w:hAnsi="Times New Roman" w:cs="Times New Roman"/>
                <w:sz w:val="24"/>
                <w:szCs w:val="24"/>
                <w:lang w:val="es-CO"/>
              </w:rPr>
              <w:t>autoinformado</w:t>
            </w:r>
            <w:proofErr w:type="spellEnd"/>
            <w:r w:rsidRPr="004A1891">
              <w:rPr>
                <w:rFonts w:ascii="Times New Roman" w:hAnsi="Times New Roman" w:cs="Times New Roman"/>
                <w:sz w:val="24"/>
                <w:szCs w:val="24"/>
                <w:lang w:val="es-CO"/>
              </w:rPr>
              <w:t xml:space="preserve"> al comienzo del primer año de sus estudios obtuvieron más créditos de estudio al final de ese año que los estudiantes con una autoevaluación de FE más baja.</w:t>
            </w:r>
          </w:p>
          <w:p w14:paraId="00EFB89B"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0789B0F5"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La correlación entre el autocontrol y la </w:t>
            </w:r>
            <w:proofErr w:type="spellStart"/>
            <w:proofErr w:type="gramStart"/>
            <w:r w:rsidRPr="004A1891">
              <w:rPr>
                <w:rFonts w:ascii="Times New Roman" w:hAnsi="Times New Roman" w:cs="Times New Roman"/>
                <w:sz w:val="24"/>
                <w:szCs w:val="24"/>
                <w:lang w:val="es-CO"/>
              </w:rPr>
              <w:t>auto-supervisión</w:t>
            </w:r>
            <w:proofErr w:type="spellEnd"/>
            <w:proofErr w:type="gramEnd"/>
            <w:r w:rsidRPr="004A1891">
              <w:rPr>
                <w:rFonts w:ascii="Times New Roman" w:hAnsi="Times New Roman" w:cs="Times New Roman"/>
                <w:sz w:val="24"/>
                <w:szCs w:val="24"/>
                <w:lang w:val="es-CO"/>
              </w:rPr>
              <w:t>, por un lado, y el progreso en el estudio por el otro, parecía diferir para los</w:t>
            </w:r>
          </w:p>
          <w:p w14:paraId="485665A5"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estudiantes masculinos y femeninos y estar influenciada por el nivel de educación anterior.</w:t>
            </w:r>
          </w:p>
        </w:tc>
      </w:tr>
      <w:tr w:rsidR="006929DA" w:rsidRPr="00ED2D2F" w14:paraId="7715C4E2" w14:textId="77777777" w:rsidTr="00B950A1">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7BE84457"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lastRenderedPageBreak/>
              <w:fldChar w:fldCharType="begin" w:fldLock="1"/>
            </w:r>
            <w:r w:rsidRPr="004A1891">
              <w:rPr>
                <w:rFonts w:ascii="Times New Roman" w:hAnsi="Times New Roman" w:cs="Times New Roman"/>
                <w:sz w:val="24"/>
                <w:szCs w:val="24"/>
                <w:lang w:val="es-CO"/>
              </w:rPr>
              <w:instrText>ADDIN CSL_CITATION {"citationItems":[{"id":"ITEM-1","itemData":{"DOI":"10.1016/J.TINE.2016.07.002","ISSN":"2211-9493","abstract":"It is hypothesized that performance on frontal-lobe neuropsychological tests and intelligence tests may independently contribute to variation in academic achievement in higher education. We examined the ability of an IQ test (the WAIS-IV) to predict grade point averages (GPA) in a sample of 64 undergraduate students. We also included a battery of five neuropsychological assessments of frontal-lobe functions, all known to be unrelated to general intelligence and linked to right-prefrontal function. Regression analysis with stepwise entry of variables revealed separate contributions to the variation in GPA scores explained by general intelligence and two different measures of response inhibition (Stop-signal and Hayling). The addition of the inhibition measures more than doubled the amount of variance in GPA explained by general intelligence alone, from adjusted R2=.115 to adjusted R2=.239, suggesting an important role of right prefrontal-mediated response inhibition in high-level academic achievement. This contrasts with the mainly left-hemisphere contribution from general intelligence.","author":[{"dropping-particle":"","family":"Pluck","given":"Graham","non-dropping-particle":"","parse-names":false,"suffix":""},{"dropping-particle":"","family":"Ruales","given":"Carlos B.","non-dropping-particle":"","parse-names":false,"suffix":""},{"dropping-particle":"","family":"Paucar","given":"Edgar J.","non-dropping-particle":"","parse-names":false,"suffix":""},{"dropping-particle":"","family":"Andrade","given":"M. Victoria","non-dropping-particle":"","parse-names":false,"suffix":""},{"dropping-particle":"","family":"Trueba","given":"Ana F.","non-dropping-particle":"","parse-names":false,"suffix":""}],"container-title":"Trends in Neuroscience and Education","id":"ITEM-1","issue":"4","issued":{"date-parts":[["2016","12","1"]]},"page":"178-185","publisher":"Urban &amp; Fischer","title":"Separate contributions of general intelligence and right prefrontal neurocognitive functions to academic achievement at university level","type":"article-journal","volume":"5"},"uris":["http://www.mendeley.com/documents/?uuid=8652ab07-9375-37d5-81ef-d60940e3e544"]}],"mendeley":{"formattedCitation":"(Pluck et al., 2016)","manualFormatting":"Pluck et al. (2016)","plainTextFormattedCitation":"(Pluck et al., 2016)","previouslyFormattedCitation":"(Pluck et al., 2016)"},"properties":{"noteIndex":0},"schema":"https://github.com/citation-style-language/schema/raw/master/csl-citation.json"}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Pluck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(2016)</w:t>
            </w:r>
            <w:r w:rsidRPr="004A1891">
              <w:rPr>
                <w:rFonts w:ascii="Times New Roman" w:hAnsi="Times New Roman" w:cs="Times New Roman"/>
                <w:sz w:val="24"/>
                <w:szCs w:val="24"/>
                <w:lang w:val="es-CO"/>
              </w:rPr>
              <w:fldChar w:fldCharType="end"/>
            </w:r>
          </w:p>
        </w:tc>
        <w:tc>
          <w:tcPr>
            <w:tcW w:w="2835" w:type="dxa"/>
            <w:shd w:val="clear" w:color="auto" w:fill="auto"/>
          </w:tcPr>
          <w:p w14:paraId="1892B45F"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64 estudiantes universitarios (73,4% Mujeres). </w:t>
            </w:r>
          </w:p>
          <w:p w14:paraId="4F1E503E"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58F9290C"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Edad media de 19,8.</w:t>
            </w:r>
          </w:p>
        </w:tc>
        <w:tc>
          <w:tcPr>
            <w:tcW w:w="2476" w:type="dxa"/>
            <w:shd w:val="clear" w:color="auto" w:fill="auto"/>
          </w:tcPr>
          <w:p w14:paraId="69A898FC"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Se utilizó una prueba de coeficiente intelectual (WAIS-IV) para predecir los promedios de calificaciones (GPA) y una batería de cinco evaluaciones neuropsicológicas de las funciones del lóbulo frontal: </w:t>
            </w:r>
          </w:p>
          <w:p w14:paraId="0401DD68"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56979ACC"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Tarea de Hotel</w:t>
            </w:r>
          </w:p>
          <w:p w14:paraId="111A70E9"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Prueba de proverbio</w:t>
            </w:r>
          </w:p>
          <w:p w14:paraId="3E6A443B"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Prueba de Paso Falso</w:t>
            </w:r>
          </w:p>
          <w:p w14:paraId="0DC85E02"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 Prueba de </w:t>
            </w:r>
            <w:proofErr w:type="spellStart"/>
            <w:r w:rsidRPr="004A1891">
              <w:rPr>
                <w:rFonts w:ascii="Times New Roman" w:hAnsi="Times New Roman" w:cs="Times New Roman"/>
                <w:sz w:val="24"/>
                <w:szCs w:val="24"/>
                <w:lang w:val="es-CO"/>
              </w:rPr>
              <w:t>Hayling</w:t>
            </w:r>
            <w:proofErr w:type="spellEnd"/>
          </w:p>
          <w:p w14:paraId="5ACB2CA5"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Tarea de señal de alto.</w:t>
            </w:r>
          </w:p>
        </w:tc>
        <w:tc>
          <w:tcPr>
            <w:tcW w:w="3194" w:type="dxa"/>
            <w:shd w:val="clear" w:color="auto" w:fill="auto"/>
          </w:tcPr>
          <w:p w14:paraId="3F7C9F71"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Se revelaron contribuciones separadas a la variación en las puntuaciones de GPA explicadas por la inteligencia general y dos medidas diferentes de inhibición de respuesta (Stop-</w:t>
            </w:r>
            <w:proofErr w:type="spellStart"/>
            <w:r w:rsidRPr="004A1891">
              <w:rPr>
                <w:rFonts w:ascii="Times New Roman" w:hAnsi="Times New Roman" w:cs="Times New Roman"/>
                <w:sz w:val="24"/>
                <w:szCs w:val="24"/>
                <w:lang w:val="es-CO"/>
              </w:rPr>
              <w:t>Signal</w:t>
            </w:r>
            <w:proofErr w:type="spellEnd"/>
            <w:r w:rsidRPr="004A1891">
              <w:rPr>
                <w:rFonts w:ascii="Times New Roman" w:hAnsi="Times New Roman" w:cs="Times New Roman"/>
                <w:sz w:val="24"/>
                <w:szCs w:val="24"/>
                <w:lang w:val="es-CO"/>
              </w:rPr>
              <w:t xml:space="preserve"> -señal de alto- y </w:t>
            </w:r>
            <w:proofErr w:type="spellStart"/>
            <w:r w:rsidRPr="004A1891">
              <w:rPr>
                <w:rFonts w:ascii="Times New Roman" w:hAnsi="Times New Roman" w:cs="Times New Roman"/>
                <w:sz w:val="24"/>
                <w:szCs w:val="24"/>
                <w:lang w:val="es-CO"/>
              </w:rPr>
              <w:t>Hayling</w:t>
            </w:r>
            <w:proofErr w:type="spellEnd"/>
            <w:r w:rsidRPr="004A1891">
              <w:rPr>
                <w:rFonts w:ascii="Times New Roman" w:hAnsi="Times New Roman" w:cs="Times New Roman"/>
                <w:sz w:val="24"/>
                <w:szCs w:val="24"/>
                <w:lang w:val="es-CO"/>
              </w:rPr>
              <w:t>).</w:t>
            </w:r>
          </w:p>
          <w:p w14:paraId="2AFD824D"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5A7C8C0D"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Se sugiere un papel importante de la inhibición de la respuesta mediada por el prefrontal derecho en el rendimiento académico de alto nivel, en contraste con la contribución principalmente del hemisferio izquierdo de la inteligencia general.</w:t>
            </w:r>
          </w:p>
        </w:tc>
      </w:tr>
      <w:tr w:rsidR="006929DA" w:rsidRPr="00ED2D2F" w14:paraId="258F8080" w14:textId="77777777" w:rsidTr="00B950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192EFD1A"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{"citationItems":[{"id":"ITEM-1","itemData":{"DOI":"10.1016/J.PAID.2016.01.029","ISSN":"0191-8869","abstract":"Achieving a university degree is a demanding long-term goal, and students often show varying levels of academic achievement despite similar intellectual abilities. In order to help students, researchers thereby need to understand the origins of these individual differences. However, it remains unclear whether self-control is important for students' academic achievement beyond their general cognitive ability. To answer this question, N = 150 German university students completed a measure of general cognitive ability as well as a German translation of the Brief Self-Control Scale. Grade point average (GPA) served as an objective indicator of academic achievement, complemented by personal ratings as a measure of subjective academic achievement (SAA). Both cognitive ability and self-control explained substantial amounts of variance in GPA; however, only self-control accounted for variance in SAA. The study's key finding was that self-control indeed contributed to explaining GPA and SAA, even when cognitive ability was controlled for. On the basis of these results, we argue that self-control holds important explanatory value for both objective and subjective academic achievement, and we discuss the results' practical relevance with regard to student success at university.","author":[{"dropping-particle":"","family":"Stadler","given":"Matthias","non-dropping-particle":"","parse-names":false,"suffix":""},{"dropping-particle":"","family":"Aust","given":"Miriam","non-dropping-particle":"","parse-names":false,"suffix":""},{"dropping-particle":"","family":"Becker","given":"Nicolas","non-dropping-particle":"","parse-names":false,"suffix":""},{"dropping-particle":"","family":"Niepel","given":"Christoph","non-dropping-particle":"","parse-names":false,"suffix":""},{"dropping-particle":"","family":"Greiff","given":"Samuel","non-dropping-particle":"","parse-names":false,"suffix":""}],"container-title":"Personality and Individual Differences","id":"ITEM-1","issued":{"date-parts":[["2016","5","1"]]},"page":"168-172","publisher":"Pergamon","title":"Choosing between what you want now and what you want most: Self-control explains academic achievement beyond cognitive ability","type":"article-journal","volume":"94"},"uris":["http://www.mendeley.com/documents/?uuid=4d60d44f-8e3c-3114-b6e7-54497ac0f352"]}],"mendeley":{"formattedCitation":"(Stadler et al., 2016)","manualFormatting":"Stadler et al. (2016)","plainTextFormattedCitation":"(Stadler et al., 2016)","previouslyFormattedCitation":"(Stadler et al., 2016)"},"properties":{"noteIndex":0},"schema":"https://github.com/citation-style-language/schema/raw/master/csl-citation.json"}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Stadler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(2016)</w:t>
            </w:r>
            <w:r w:rsidRPr="004A1891">
              <w:rPr>
                <w:rFonts w:ascii="Times New Roman" w:hAnsi="Times New Roman" w:cs="Times New Roman"/>
                <w:sz w:val="24"/>
                <w:szCs w:val="24"/>
                <w:lang w:val="es-CO"/>
              </w:rPr>
              <w:fldChar w:fldCharType="end"/>
            </w:r>
          </w:p>
        </w:tc>
        <w:tc>
          <w:tcPr>
            <w:tcW w:w="2835" w:type="dxa"/>
            <w:shd w:val="clear" w:color="auto" w:fill="auto"/>
          </w:tcPr>
          <w:p w14:paraId="3AB0909C"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150 estudiantes matriculados en cuarto en una universidad alemana de tamaño mediano (biología 30,7%, ciencias del deporte 25,1% y psicología 44,2%).</w:t>
            </w:r>
          </w:p>
          <w:p w14:paraId="22A8730F"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3352DDBE"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62,2% Mujeres y Edad media de 22,53.</w:t>
            </w:r>
          </w:p>
        </w:tc>
        <w:tc>
          <w:tcPr>
            <w:tcW w:w="2476" w:type="dxa"/>
            <w:shd w:val="clear" w:color="auto" w:fill="auto"/>
          </w:tcPr>
          <w:p w14:paraId="0D118CF5"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Evaluación de la capacidad cognitiva general, utilizando la versión computarizada del “</w:t>
            </w:r>
            <w:proofErr w:type="spellStart"/>
            <w:r w:rsidRPr="004A1891">
              <w:rPr>
                <w:rFonts w:ascii="Times New Roman" w:hAnsi="Times New Roman" w:cs="Times New Roman"/>
                <w:sz w:val="24"/>
                <w:szCs w:val="24"/>
                <w:lang w:val="es-CO"/>
              </w:rPr>
              <w:t>Intelligenz</w:t>
            </w:r>
            <w:proofErr w:type="spellEnd"/>
            <w:r w:rsidRPr="004A1891">
              <w:rPr>
                <w:rFonts w:ascii="Times New Roman" w:hAnsi="Times New Roman" w:cs="Times New Roman"/>
                <w:sz w:val="24"/>
                <w:szCs w:val="24"/>
                <w:lang w:val="es-CO"/>
              </w:rPr>
              <w:t>-</w:t>
            </w:r>
            <w:proofErr w:type="spellStart"/>
            <w:r w:rsidRPr="004A1891">
              <w:rPr>
                <w:rFonts w:ascii="Times New Roman" w:hAnsi="Times New Roman" w:cs="Times New Roman"/>
                <w:sz w:val="24"/>
                <w:szCs w:val="24"/>
                <w:lang w:val="es-CO"/>
              </w:rPr>
              <w:t>Struktur</w:t>
            </w:r>
            <w:proofErr w:type="spellEnd"/>
            <w:r w:rsidRPr="004A1891">
              <w:rPr>
                <w:rFonts w:ascii="Times New Roman" w:hAnsi="Times New Roman" w:cs="Times New Roman"/>
                <w:sz w:val="24"/>
                <w:szCs w:val="24"/>
                <w:lang w:val="es-CO"/>
              </w:rPr>
              <w:t>-Test Screening” (IST-Screening).</w:t>
            </w:r>
          </w:p>
          <w:p w14:paraId="755938B1"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7AE0C626"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Evaluación del autocontrol empleando la versión adaptada de la Escala corta de Autocontrol. </w:t>
            </w:r>
          </w:p>
          <w:p w14:paraId="1C1E96B8"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5C88CE82"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Promedio de calificaciones (GPA) </w:t>
            </w:r>
            <w:r w:rsidRPr="004A1891">
              <w:rPr>
                <w:rFonts w:ascii="Times New Roman" w:hAnsi="Times New Roman" w:cs="Times New Roman"/>
                <w:sz w:val="24"/>
                <w:szCs w:val="24"/>
                <w:lang w:val="es-CO"/>
              </w:rPr>
              <w:lastRenderedPageBreak/>
              <w:t>actual de los estudiantes en la universidad, obtenido a través de la secretaría de la universidad como un indicador del logro académico objetivo.</w:t>
            </w:r>
          </w:p>
          <w:p w14:paraId="07673DE0"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1EBD7C64"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Escala para medir el Logro Académico Subjetivo (SAA), tomada de </w:t>
            </w: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{"citationItems":[{"id":"ITEM-1","itemData":{"DOI":"10.1080/07294360.2015.1087387","ISSN":"14698366","abstract":"Successful completion of a university degree is a complex matter. Based on considerations regarding the demands of acquiring a university degree, the aim of this paper was to investigate the utilit...","author":[{"dropping-particle":"","family":"Stadler","given":"Matthias","non-dropping-particle":"","parse-names":false,"suffix":""},{"dropping-particle":"","family":"Becker","given":"Nicolas","non-dropping-particle":"","parse-names":false,"suffix":""},{"dropping-particle":"","family":"Greiff","given":"Samuel","non-dropping-particle":"","parse-names":false,"suffix":""},{"dropping-particle":"","family":"Spinath","given":"Frank M.","non-dropping-particle":"","parse-names":false,"suffix":""}],"container-title":"Higher Education Research &amp; Development","id":"ITEM-1","issue":"2","issued":{"date-parts":[["2015","3","3"]]},"page":"365-379","publisher":"Routledge","title":"The complex route to success: complex problem-solving skills in the prediction of university success","type":"article-journal","volume":"35"},"uris":["http://www.mendeley.com/documents/?uuid=b41c2b39-9e27-37a2-93b6-1938a650d356"]}],"mendeley":{"formattedCitation":"(Stadler et al., 2015)","manualFormatting":"Stadler et al. (2015)","plainTextFormattedCitation":"(Stadler et al., 2015)","previouslyFormattedCitation":"(Stadler et al., 2015)"},"properties":{"noteIndex":0},"schema":"https://github.com/citation-style-language/schema/raw/master/csl-citation.json"}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noProof/>
                <w:sz w:val="24"/>
                <w:szCs w:val="24"/>
                <w:lang w:val="es-CO"/>
              </w:rPr>
              <w:t xml:space="preserve">Stadler </w:t>
            </w:r>
            <w:r w:rsidRPr="004A1891">
              <w:rPr>
                <w:rFonts w:ascii="Times New Roman" w:hAnsi="Times New Roman" w:cs="Times New Roman"/>
                <w:i/>
                <w:noProof/>
                <w:sz w:val="24"/>
                <w:szCs w:val="24"/>
                <w:lang w:val="es-CO"/>
              </w:rPr>
              <w:t>et al.</w:t>
            </w:r>
            <w:r w:rsidRPr="004A1891">
              <w:rPr>
                <w:rFonts w:ascii="Times New Roman" w:hAnsi="Times New Roman" w:cs="Times New Roman"/>
                <w:noProof/>
                <w:sz w:val="24"/>
                <w:szCs w:val="24"/>
                <w:lang w:val="es-CO"/>
              </w:rPr>
              <w:t xml:space="preserve"> (2015)</w:t>
            </w:r>
            <w:r w:rsidRPr="004A1891">
              <w:rPr>
                <w:rFonts w:ascii="Times New Roman" w:hAnsi="Times New Roman" w:cs="Times New Roman"/>
                <w:sz w:val="24"/>
                <w:szCs w:val="24"/>
                <w:lang w:val="es-CO"/>
              </w:rPr>
              <w:fldChar w:fldCharType="end"/>
            </w:r>
          </w:p>
        </w:tc>
        <w:tc>
          <w:tcPr>
            <w:tcW w:w="3194" w:type="dxa"/>
            <w:shd w:val="clear" w:color="auto" w:fill="auto"/>
          </w:tcPr>
          <w:p w14:paraId="6659BCC7"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lastRenderedPageBreak/>
              <w:t>La capacidad cognitiva predijo significativamente el GPA, pero la capacidad cognitiva general no tuvo ninguna variación en SAA.</w:t>
            </w:r>
          </w:p>
          <w:p w14:paraId="1BABFDD4"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30357832"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El autocontrol explicó el 4.1% de la varianza en GPA. El autocontrol también fue un predictor significativo de SAA.</w:t>
            </w:r>
          </w:p>
          <w:p w14:paraId="0E50E943"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511173AC"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La capacidad cognitiva general y el autocontrol explican la varianza en GPA. El autocontrol explicó la variación más allá de la </w:t>
            </w:r>
            <w:r w:rsidRPr="004A1891">
              <w:rPr>
                <w:rFonts w:ascii="Times New Roman" w:hAnsi="Times New Roman" w:cs="Times New Roman"/>
                <w:sz w:val="24"/>
                <w:szCs w:val="24"/>
                <w:lang w:val="es-CO"/>
              </w:rPr>
              <w:lastRenderedPageBreak/>
              <w:t>capacidad cognitiva general en SAA.</w:t>
            </w:r>
          </w:p>
        </w:tc>
      </w:tr>
      <w:tr w:rsidR="006929DA" w:rsidRPr="00ED2D2F" w14:paraId="4725B8FE" w14:textId="77777777" w:rsidTr="00B950A1">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0D418160"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{"citationItems":[{"id":"ITEM-1","itemData":{"DOI":"10.3389/FPSYG.2017.01091","ISSN":"16641078","abstract":"College students who report a history of childhood maltreatment may be at risk for poor outcomes. In the current study, we conducted an exploratory analysis to examine potential models that statistically mediate associations between aspects of maltreatment and aspects of academic outcome, with a particular focus on executive functions (EF). Consistent with contemporary EF research, we distinguished between relatively \"cool\" EF tasks (i.e., performed in a context relatively free of emotional or motivational valence) and \"hot\" EF tasks that emphasize performance under more emotionally arousing conditions. Sixty-one male and female college undergraduates self-reported childhood maltreatment history (emotional abuse and neglect, physical abuse and neglect, and sexual abuse) on the Childhood Trauma Questionnaire (CTQ), and were given two EF measures: (1) Go-No-Go (GNG) test that included a Color Condition (cool); Neutral Face Condition (warm); and Emotion Face condition (hot), and (2) Iowa Gambling Task (IGT), a measure of risky decision making that reflects hot EF. Academic outcomes were: (1) grade point average (GPA: first-semester, cumulative, and semester concurrent with testing), and (2) Student Adaptation to College Questionnaire (SACQ). Correlational patterns suggested two EF scores as potential mediators: GNG reaction time (RT) in the Neutral Face condition, and IGT Block 2 adaptive responding. Indirect effects analyses indicated that IGT Block 2 adaptive responding has an indirect effect on the relationship between CTQ Total score and 1st semester GPA, and between CTQ Emotional Abuse and concurrent GPA. Regarding college adaptation, we identified a consistent indirect effect of GNG Neutral Face RT on the relationship between CTQ Emotional Neglect and SACQ total, academic, social, and personal-emotional adaption scores. Our results demonstrate that higher scores on a child maltreatment history self-report negatively predict college academic outcomes as assessed by GPA and by self-reported adaptation. Further, relatively \"hot\" EF task performance on the IGT and GNG tasks serves as a link between child maltreatment experiences and college achievement and adaptation, suggesting that hot EF skills may be a fruitful direction for future intervention efforts to improve academic outcomes for this population.","author":[{"dropping-particle":"","family":"Welsh","given":"Marilyn C.","non-dropping-particle":"","parse-names":false,"suffix":""},{"dropping-particle":"","family":"Peterson","given":"Eric","non-dropping-particle":"","parse-names":false,"suffix":""},{"dropping-particle":"","family":"Jameson","given":"Molly M.","non-dropping-particle":"","parse-names":false,"suffix":""}],"container-title":"Frontiers in Psychology","id":"ITEM-1","issue":"JUL","issued":{"date-parts":[["2017","7","5"]]},"publisher":"Frontiers Media S.A.","title":"History of childhood maltreatment and college academic outcomes: Indirect effects of hot execution function","type":"article-journal","volume":"8"},"uris":["http://www.mendeley.com/documents/?uuid=8977575b-3f47-3e76-b928-e5777bcdcda5"]}],"mendeley":{"formattedCitation":"(Welsh et al., 2017)","manualFormatting":"Welsh et al. (2017)","plainTextFormattedCitation":"(Welsh et al., 2017)","previouslyFormattedCitation":"(Welsh et al., 2017)"},"properties":{"noteIndex":0},"schema":"https://github.com/citation-style-language/schema/raw/master/csl-citation.json"}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Welsh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(2017)</w:t>
            </w:r>
            <w:r w:rsidRPr="004A1891">
              <w:rPr>
                <w:rFonts w:ascii="Times New Roman" w:hAnsi="Times New Roman" w:cs="Times New Roman"/>
                <w:sz w:val="24"/>
                <w:szCs w:val="24"/>
                <w:lang w:val="es-CO"/>
              </w:rPr>
              <w:fldChar w:fldCharType="end"/>
            </w:r>
          </w:p>
        </w:tc>
        <w:tc>
          <w:tcPr>
            <w:tcW w:w="2835" w:type="dxa"/>
            <w:shd w:val="clear" w:color="auto" w:fill="auto"/>
          </w:tcPr>
          <w:p w14:paraId="250CEF4E"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64 estudiantes universitarios (17 Hombres y 47 Mujeres) que </w:t>
            </w:r>
            <w:proofErr w:type="spellStart"/>
            <w:r w:rsidRPr="004A1891">
              <w:rPr>
                <w:rFonts w:ascii="Times New Roman" w:hAnsi="Times New Roman" w:cs="Times New Roman"/>
                <w:sz w:val="24"/>
                <w:szCs w:val="24"/>
                <w:lang w:val="es-CO"/>
              </w:rPr>
              <w:t>autoinformaron</w:t>
            </w:r>
            <w:proofErr w:type="spellEnd"/>
          </w:p>
          <w:p w14:paraId="7C455C59"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antecedentes de maltrato infantil en el Cuestionario de Trauma Infantil (CTQ).</w:t>
            </w:r>
          </w:p>
        </w:tc>
        <w:tc>
          <w:tcPr>
            <w:tcW w:w="2476" w:type="dxa"/>
            <w:shd w:val="clear" w:color="auto" w:fill="auto"/>
          </w:tcPr>
          <w:p w14:paraId="0BF4BA72"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Fueron empleadas:</w:t>
            </w:r>
          </w:p>
          <w:p w14:paraId="46A1617C"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3825A31F"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La Lista de verificación de Trauma Infantil (CTQ). </w:t>
            </w:r>
          </w:p>
          <w:p w14:paraId="16EFA445"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027DB3E7"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El </w:t>
            </w:r>
            <w:proofErr w:type="spellStart"/>
            <w:r w:rsidRPr="004A1891">
              <w:rPr>
                <w:rFonts w:ascii="Times New Roman" w:hAnsi="Times New Roman" w:cs="Times New Roman"/>
                <w:sz w:val="24"/>
                <w:szCs w:val="24"/>
                <w:lang w:val="es-CO"/>
              </w:rPr>
              <w:t>Go</w:t>
            </w:r>
            <w:proofErr w:type="spellEnd"/>
            <w:r w:rsidRPr="004A1891">
              <w:rPr>
                <w:rFonts w:ascii="Times New Roman" w:hAnsi="Times New Roman" w:cs="Times New Roman"/>
                <w:sz w:val="24"/>
                <w:szCs w:val="24"/>
                <w:lang w:val="es-CO"/>
              </w:rPr>
              <w:t>-No-</w:t>
            </w:r>
            <w:proofErr w:type="spellStart"/>
            <w:r w:rsidRPr="004A1891">
              <w:rPr>
                <w:rFonts w:ascii="Times New Roman" w:hAnsi="Times New Roman" w:cs="Times New Roman"/>
                <w:sz w:val="24"/>
                <w:szCs w:val="24"/>
                <w:lang w:val="es-CO"/>
              </w:rPr>
              <w:t>Go</w:t>
            </w:r>
            <w:proofErr w:type="spellEnd"/>
            <w:r w:rsidRPr="004A1891">
              <w:rPr>
                <w:rFonts w:ascii="Times New Roman" w:hAnsi="Times New Roman" w:cs="Times New Roman"/>
                <w:sz w:val="24"/>
                <w:szCs w:val="24"/>
                <w:lang w:val="es-CO"/>
              </w:rPr>
              <w:t xml:space="preserve"> (GNV) para evaluar el control de conflictos y la inhibición. </w:t>
            </w:r>
          </w:p>
          <w:p w14:paraId="2B6B4750"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4D9B89DA"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La Tarea de juego de Iowa (IGT) para examinar la toma de decisiones arriesgadas y el aprendizaje.</w:t>
            </w:r>
          </w:p>
          <w:p w14:paraId="63044D1B"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370EE7A4"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El Cuestionario de Adaptación del Estudiante a la Universidad (SACQ).</w:t>
            </w:r>
          </w:p>
          <w:p w14:paraId="51D94875"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17BD8E18"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El Promedio de Calificaciones (GPA).</w:t>
            </w:r>
          </w:p>
        </w:tc>
        <w:tc>
          <w:tcPr>
            <w:tcW w:w="3194" w:type="dxa"/>
            <w:shd w:val="clear" w:color="auto" w:fill="auto"/>
          </w:tcPr>
          <w:p w14:paraId="5E00DD2C"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Puntuaciones más altas en un autoinforme de antecedentes de maltrato infantil predicen negativamente los resultados académicos universitarios.</w:t>
            </w:r>
          </w:p>
          <w:p w14:paraId="6231D280"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2C655975"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El desempeño de tareas de FE relativamente “calientes” en las tareas IGT y GNG sirve como vínculo entre las experiencias de maltrato infantil y el rendimiento y la adaptación de los universitarios.</w:t>
            </w:r>
          </w:p>
        </w:tc>
      </w:tr>
      <w:tr w:rsidR="006929DA" w:rsidRPr="00ED2D2F" w14:paraId="320DB24C" w14:textId="77777777" w:rsidTr="00B950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0D36B9CD"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{"citationItems":[{"id":"ITEM-1","itemData":{"DOI":"10.1016/J.ADDBEH.2016.08.023","ISSN":"1873-6327","PMID":"27567397","abstract":"The nonmedical use of prescription stimulants (NMUPS) is a prevalent issue among college students. The primary reason college students report NMUPS is for academic enhancement i.e., to perform better on schoolwork/tests and focus better in class. Executive functioning (EF), which includes abilities that allow for planning, cognitive flexibility, self-regulation, and goal-directed behavior, are potential mechanisms underlying academic performance. Preliminary research has revealed that college students with EF deficits are more likely to have educational difficulties and take part in risky behavior. Based on the literature, it is possible that students with EF deficits are engaging in NMUPS to help them overcome these deficits to succeed academically. Therefore, the purpose of the present study was to examine the relationship between NMUPS and EF among a sample of college students. The sample included 308 students from six public universities located in various regions of the United States. Measures used in this study were the SSQ, BDEFS and GPA. Results revealed 18.8% of the general sample reported NMUPS. Participants with clinically significant EF deficits reported significantly higher rates of NMUPS, compared to those without deficits in EF. NMUPS, however, did not moderate the relationship between EF and GPA. The present findings have implications for identifying sub-populations of college students who might be at risk for engaging in NMUPS and to improve prevention and intervention strategies aimed at reducing NMUPS. Limitations and suggestions for future research are discussed.","author":[{"dropping-particle":"","family":"Munro","given":"Bailey A.","non-dropping-particle":"","parse-names":false,"suffix":""},{"dropping-particle":"","family":"Weyandt","given":"Lisa L.","non-dropping-particle":"","parse-names":false,"suffix":""},{"dropping-particle":"","family":"Marraccini","given":"Marisa E.","non-dropping-particle":"","parse-names":false,"suffix":""},{"dropping-particle":"","family":"Oster","given":"Danielle R.","non-dropping-particle":"","parse-names":false,"suffix":""}],"container-title":"Addictive behaviors","id":"ITEM-1","issued":{"date-parts":[["2017","2","1"]]},"page":"250-257","publisher":"Addict Behav","title":"The relationship between nonmedical use of prescription stimulants, executive functioning and academic outcomes","type":"article-journal","volume":"65"},"uris":["http://www.mendeley.com/documents/?uuid=8eeb73d4-86aa-3e57-8f52-5a09457ad29b"]}],"mendeley":{"formattedCitation":"(Munro et al., 2017)","manualFormatting":"Munro et al. (2017)","plainTextFormattedCitation":"(Munro et al., 2017)","previouslyFormattedCitation":"(Munro et al., 2017)"},"properties":{"noteIndex":0},"schema":"https://github.com/citation-style-language/schema/raw/master/csl-citation.json"}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Munro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(2017)</w:t>
            </w:r>
            <w:r w:rsidRPr="004A1891">
              <w:rPr>
                <w:rFonts w:ascii="Times New Roman" w:hAnsi="Times New Roman" w:cs="Times New Roman"/>
                <w:sz w:val="24"/>
                <w:szCs w:val="24"/>
                <w:lang w:val="es-CO"/>
              </w:rPr>
              <w:fldChar w:fldCharType="end"/>
            </w:r>
          </w:p>
        </w:tc>
        <w:tc>
          <w:tcPr>
            <w:tcW w:w="2835" w:type="dxa"/>
            <w:shd w:val="clear" w:color="auto" w:fill="auto"/>
          </w:tcPr>
          <w:p w14:paraId="07829291"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308 estudiantes de seis universidades públicas ubicadas en varias regiones de los Estados Unidos.</w:t>
            </w:r>
          </w:p>
        </w:tc>
        <w:tc>
          <w:tcPr>
            <w:tcW w:w="2476" w:type="dxa"/>
            <w:shd w:val="clear" w:color="auto" w:fill="auto"/>
          </w:tcPr>
          <w:p w14:paraId="373D74C8"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Medidas utilizadas en el estudio: </w:t>
            </w:r>
          </w:p>
          <w:p w14:paraId="4BB5E7A9"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1C85116B"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Cuestionario de Encuesta sobre Estimulantes (SSQ).</w:t>
            </w:r>
          </w:p>
          <w:p w14:paraId="37F9F33D"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0AF53BF0"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lastRenderedPageBreak/>
              <w:t xml:space="preserve">Escala de Deficiencias en el Funcionamiento Ejecutivo de Barkley (BDEFS). </w:t>
            </w:r>
          </w:p>
          <w:p w14:paraId="7D091251"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6010AD1A"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Promedio de Calificaciones (GPA).</w:t>
            </w:r>
          </w:p>
        </w:tc>
        <w:tc>
          <w:tcPr>
            <w:tcW w:w="3194" w:type="dxa"/>
            <w:shd w:val="clear" w:color="auto" w:fill="auto"/>
          </w:tcPr>
          <w:p w14:paraId="7ACDAC10" w14:textId="77777777" w:rsidR="006929DA" w:rsidRPr="004A1891" w:rsidRDefault="006929DA" w:rsidP="00B950A1">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lastRenderedPageBreak/>
              <w:t xml:space="preserve">Los participantes con déficits de FE clínicamente significativos informaron tasas considerablemente más altas de NMUPS (Uso No Médico de Estimulantes Recetados) en </w:t>
            </w:r>
            <w:r w:rsidRPr="004A1891">
              <w:rPr>
                <w:rFonts w:ascii="Times New Roman" w:hAnsi="Times New Roman" w:cs="Times New Roman"/>
                <w:sz w:val="24"/>
                <w:szCs w:val="24"/>
                <w:lang w:val="es-CO"/>
              </w:rPr>
              <w:lastRenderedPageBreak/>
              <w:t>comparación con aquellos sin déficit en FE.</w:t>
            </w:r>
          </w:p>
          <w:p w14:paraId="3F4ED80D" w14:textId="77777777" w:rsidR="006929DA" w:rsidRPr="004A1891" w:rsidRDefault="006929DA" w:rsidP="00B950A1">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4EC33679" w14:textId="77777777" w:rsidR="006929DA" w:rsidRPr="004A1891" w:rsidRDefault="006929DA" w:rsidP="00B950A1">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Los participantes con dificultades en FE informaron GPA significativamente más bajos que aquellos con FE sin alteraciones, pero no se evidencia que NMUPS modere esta relación.</w:t>
            </w:r>
          </w:p>
        </w:tc>
      </w:tr>
      <w:tr w:rsidR="006929DA" w:rsidRPr="00ED2D2F" w14:paraId="34B154D1" w14:textId="77777777" w:rsidTr="00B950A1">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527DEE7E"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lastRenderedPageBreak/>
              <w:fldChar w:fldCharType="begin" w:fldLock="1"/>
            </w:r>
            <w:r w:rsidRPr="004A1891">
              <w:rPr>
                <w:rFonts w:ascii="Times New Roman" w:hAnsi="Times New Roman" w:cs="Times New Roman"/>
                <w:sz w:val="24"/>
                <w:szCs w:val="24"/>
                <w:lang w:val="es-CO"/>
              </w:rPr>
              <w:instrText>ADDIN CSL_CITATION {"citationItems":[{"id":"ITEM-1","itemData":{"abstract":"Funciones ejecutivas, cronotipo y rendimiento académico en estudiantes universitarios Autor para la correspondencia. ejimenez@uclv.cu RESUMEN La investigación tuvo como objetivo determinar la relación entre funciones ejecutivas, cronotipo y rendimiento académico en 176 estudiantes de Ciencias Técnicas y Ciencias Sociales y Humanísticas de la Universidad Central «Marta Abreu» de Las Villas. Se empleó un enfoque cuantitativo, con un estudio ex post-facto retrospectivo. Los instrumentos fueron: The Bivalent Shape Test, Test de Cartas de Wisconsin, Cubos de Corsi, pruebas de fluidez verbal y el Cuestionario de Cronotipo de Múnich. Los estudiantes de Ciencias Técnicas alcanzaron un mejor funcionamiento de la memoria de trabajo y los de Ciencias Sociales y Humanísticas de la fluidez fonológica. Estudiantes de alto rendimiento mostraron habilidades en la fluidez verbal; los de bajo rendimiento mostraron","author":[{"dropping-particle":"","family":"Jiménez","given":"Elizabeth","non-dropping-particle":"","parse-names":false,"suffix":""},{"dropping-particle":"","family":"Broche","given":"Yunier","non-dropping-particle":"","parse-names":false,"suffix":""},{"dropping-particle":"","family":"Hernández","given":"Amarys","non-dropping-particle":"","parse-names":false,"suffix":""},{"dropping-particle":"","family":"Díaz","given":"Dayana","non-dropping-particle":"","parse-names":false,"suffix":""}],"container-title":"Revista Cubana de Educación Superior","id":"ITEM-1","issue":"2","issued":{"date-parts":[["2019"]]},"title":"Funciones ejecutivas, cronotipo y rendimiento académico en estudiantes universitarios","type":"article-journal","volume":"38"},"uris":["http://www.mendeley.com/documents/?uuid=64b0eb80-7836-361d-886e-9a1160cd95e0"]}],"mendeley":{"formattedCitation":"(Jiménez et al., 2019)","manualFormatting":"Jiménez et al. (2019)","plainTextFormattedCitation":"(Jiménez et al., 2019)","previouslyFormattedCitation":"(Jiménez et al., 2019)"},"properties":{"noteIndex":0},"schema":"https://github.com/citation-style-language/schema/raw/master/csl-citation.json"}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Jiménez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(2019)</w:t>
            </w:r>
            <w:r w:rsidRPr="004A1891">
              <w:rPr>
                <w:rFonts w:ascii="Times New Roman" w:hAnsi="Times New Roman" w:cs="Times New Roman"/>
                <w:sz w:val="24"/>
                <w:szCs w:val="24"/>
                <w:lang w:val="es-CO"/>
              </w:rPr>
              <w:fldChar w:fldCharType="end"/>
            </w:r>
          </w:p>
        </w:tc>
        <w:tc>
          <w:tcPr>
            <w:tcW w:w="2835" w:type="dxa"/>
            <w:shd w:val="clear" w:color="auto" w:fill="auto"/>
          </w:tcPr>
          <w:p w14:paraId="44332C4B"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176 estudiantes universitarios.</w:t>
            </w:r>
          </w:p>
        </w:tc>
        <w:tc>
          <w:tcPr>
            <w:tcW w:w="2476" w:type="dxa"/>
            <w:shd w:val="clear" w:color="auto" w:fill="auto"/>
          </w:tcPr>
          <w:p w14:paraId="7A370EE3"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Los instrumentos fueron:</w:t>
            </w:r>
          </w:p>
          <w:p w14:paraId="2D430BE8"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002C9D6D"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roofErr w:type="spellStart"/>
            <w:r w:rsidRPr="004A1891">
              <w:rPr>
                <w:rFonts w:ascii="Times New Roman" w:hAnsi="Times New Roman" w:cs="Times New Roman"/>
                <w:sz w:val="24"/>
                <w:szCs w:val="24"/>
                <w:lang w:val="es-CO"/>
              </w:rPr>
              <w:t>The</w:t>
            </w:r>
            <w:proofErr w:type="spellEnd"/>
            <w:r w:rsidRPr="004A1891">
              <w:rPr>
                <w:rFonts w:ascii="Times New Roman" w:hAnsi="Times New Roman" w:cs="Times New Roman"/>
                <w:sz w:val="24"/>
                <w:szCs w:val="24"/>
                <w:lang w:val="es-CO"/>
              </w:rPr>
              <w:t xml:space="preserve"> </w:t>
            </w:r>
            <w:proofErr w:type="spellStart"/>
            <w:r w:rsidRPr="004A1891">
              <w:rPr>
                <w:rFonts w:ascii="Times New Roman" w:hAnsi="Times New Roman" w:cs="Times New Roman"/>
                <w:sz w:val="24"/>
                <w:szCs w:val="24"/>
                <w:lang w:val="es-CO"/>
              </w:rPr>
              <w:t>Bivalent</w:t>
            </w:r>
            <w:proofErr w:type="spellEnd"/>
            <w:r w:rsidRPr="004A1891">
              <w:rPr>
                <w:rFonts w:ascii="Times New Roman" w:hAnsi="Times New Roman" w:cs="Times New Roman"/>
                <w:sz w:val="24"/>
                <w:szCs w:val="24"/>
                <w:lang w:val="es-CO"/>
              </w:rPr>
              <w:t xml:space="preserve"> </w:t>
            </w:r>
            <w:proofErr w:type="spellStart"/>
            <w:r w:rsidRPr="004A1891">
              <w:rPr>
                <w:rFonts w:ascii="Times New Roman" w:hAnsi="Times New Roman" w:cs="Times New Roman"/>
                <w:sz w:val="24"/>
                <w:szCs w:val="24"/>
                <w:lang w:val="es-CO"/>
              </w:rPr>
              <w:t>Shape</w:t>
            </w:r>
            <w:proofErr w:type="spellEnd"/>
            <w:r w:rsidRPr="004A1891">
              <w:rPr>
                <w:rFonts w:ascii="Times New Roman" w:hAnsi="Times New Roman" w:cs="Times New Roman"/>
                <w:sz w:val="24"/>
                <w:szCs w:val="24"/>
                <w:lang w:val="es-CO"/>
              </w:rPr>
              <w:t xml:space="preserve"> Test.</w:t>
            </w:r>
          </w:p>
          <w:p w14:paraId="4A9FFF6A"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771674C6"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Test de Cartas de Wisconsin.</w:t>
            </w:r>
          </w:p>
          <w:p w14:paraId="338AD467"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700352A6"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Cubos de Corsi.</w:t>
            </w:r>
          </w:p>
          <w:p w14:paraId="4A86A556"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2A81B7F9"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Pruebas de fluidez verbal.</w:t>
            </w:r>
          </w:p>
          <w:p w14:paraId="4D7B9C3B"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1A2555EF"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Cuestionario de Cronotipo de Múnich.</w:t>
            </w:r>
          </w:p>
        </w:tc>
        <w:tc>
          <w:tcPr>
            <w:tcW w:w="3194" w:type="dxa"/>
            <w:shd w:val="clear" w:color="auto" w:fill="auto"/>
          </w:tcPr>
          <w:p w14:paraId="255E64C7"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Los estudiantes de Ciencias Técnicas alcanzaron un mejor funcionamiento de la memoria de trabajo y los de Ciencias Sociales y Humanísticas de la fluidez fonológica. </w:t>
            </w:r>
          </w:p>
          <w:p w14:paraId="314CED8D"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6F420A18"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Estudiantes de alto rendimiento mostraron habilidades en la fluidez verbal; los de bajo rendimiento mostraron dificultades en la flexibilidad mental.</w:t>
            </w:r>
          </w:p>
          <w:p w14:paraId="538A2CAF"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76E11A0D"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El FE y el cronotipo inciden en el rendimiento académico de estudiantes universitarios.</w:t>
            </w:r>
          </w:p>
        </w:tc>
      </w:tr>
      <w:tr w:rsidR="006929DA" w:rsidRPr="00ED2D2F" w14:paraId="14269279" w14:textId="77777777" w:rsidTr="00B950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120FA594"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{"citationItems":[{"id":"ITEM-1","itemData":{"DOI":"10.1177/1087054715612258","ISSN":"1557-1246","PMID":"26537893","abstract":"Objective: Adjusting well academically and socially has been associated with enhanced academic performance and student retention. The purpose of this study was to examine subthreshold levels of ADHD symptoms such as inattention, hyperactivity, and executive functioning as potential predictors of academic and social adjustment in a healthy sample of university students. Method: Participants were 135 undergraduate university students who completed self-report questionnaires. Results: Hierarchical regression analyses revealed that metacognition (an aspect of executive function), gender, and age were significant predictors of academic adjustment beyond hyperactivity, inattention, and depression. Depression was the only significant predictor of social adjustment. Conclusion: The BASC–College form may identify depression symptoms predictive of social adjustment, but symptoms of inattention or hyperactivity are not sufficiently sensitive to predict academic adjustment. Measures of executive function that include metacognition such as the BRIEF-A may be most promising in identifying skills predictive of academic adjustment.","author":[{"dropping-particle":"","family":"Sheehan","given":"Whitley A.","non-dropping-particle":"","parse-names":false,"suffix":""},{"dropping-particle":"","family":"Iarocci","given":"Grace","non-dropping-particle":"","parse-names":false,"suffix":""}],"container-title":"Journal of attention disorders","id":"ITEM-1","issue":"14","issued":{"date-parts":[["2019","12","1"]]},"page":"1792-1800","publisher":"J Atten Disord","title":"Executive Functioning Predicts Academic But Not Social Adjustment to University","type":"article-journal","volume":"23"},"uris":["http://www.mendeley.com/documents/?uuid=3ed05cbb-9813-31b7-9b89-824d17ba62a3"]}],"mendeley":{"formattedCitation":"(Sheehan &amp; Iarocci, 2019)","manualFormatting":"Sheehan y Iarocci (2019)","plainTextFormattedCitation":"(Sheehan &amp; Iarocci, 2019)","previouslyFormattedCitation":"(Sheehan &amp; Iarocci, 2019)"},"properties":{"noteIndex":0},"schema":"https://github.com/citation-style-language/schema/raw/master/csl-citation.json"}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Sheehan y Iarocci (2019)</w:t>
            </w:r>
            <w:r w:rsidRPr="004A1891">
              <w:rPr>
                <w:rFonts w:ascii="Times New Roman" w:hAnsi="Times New Roman" w:cs="Times New Roman"/>
                <w:sz w:val="24"/>
                <w:szCs w:val="24"/>
                <w:lang w:val="es-CO"/>
              </w:rPr>
              <w:fldChar w:fldCharType="end"/>
            </w:r>
          </w:p>
        </w:tc>
        <w:tc>
          <w:tcPr>
            <w:tcW w:w="2835" w:type="dxa"/>
            <w:shd w:val="clear" w:color="auto" w:fill="auto"/>
          </w:tcPr>
          <w:p w14:paraId="7D4FD576"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135 estudiantes universitarios (93 Mujeres y 42 Hombres) entre 17 y 25 </w:t>
            </w:r>
            <w:proofErr w:type="gramStart"/>
            <w:r w:rsidRPr="004A1891">
              <w:rPr>
                <w:rFonts w:ascii="Times New Roman" w:hAnsi="Times New Roman" w:cs="Times New Roman"/>
                <w:sz w:val="24"/>
                <w:szCs w:val="24"/>
                <w:lang w:val="es-CO"/>
              </w:rPr>
              <w:t>años de edad</w:t>
            </w:r>
            <w:proofErr w:type="gramEnd"/>
            <w:r w:rsidRPr="004A1891">
              <w:rPr>
                <w:rFonts w:ascii="Times New Roman" w:hAnsi="Times New Roman" w:cs="Times New Roman"/>
                <w:sz w:val="24"/>
                <w:szCs w:val="24"/>
                <w:lang w:val="es-CO"/>
              </w:rPr>
              <w:t>.</w:t>
            </w:r>
          </w:p>
        </w:tc>
        <w:tc>
          <w:tcPr>
            <w:tcW w:w="2476" w:type="dxa"/>
            <w:shd w:val="clear" w:color="auto" w:fill="auto"/>
          </w:tcPr>
          <w:p w14:paraId="7ABD00A2"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Se midió el ajuste académico y el ajuste social mediante el </w:t>
            </w:r>
            <w:proofErr w:type="spellStart"/>
            <w:r w:rsidRPr="004A1891">
              <w:rPr>
                <w:rFonts w:ascii="Times New Roman" w:hAnsi="Times New Roman" w:cs="Times New Roman"/>
                <w:sz w:val="24"/>
                <w:szCs w:val="24"/>
                <w:lang w:val="es-CO"/>
              </w:rPr>
              <w:t>Student</w:t>
            </w:r>
            <w:proofErr w:type="spellEnd"/>
            <w:r w:rsidRPr="004A1891">
              <w:rPr>
                <w:rFonts w:ascii="Times New Roman" w:hAnsi="Times New Roman" w:cs="Times New Roman"/>
                <w:sz w:val="24"/>
                <w:szCs w:val="24"/>
                <w:lang w:val="es-CO"/>
              </w:rPr>
              <w:t xml:space="preserve"> </w:t>
            </w:r>
            <w:proofErr w:type="spellStart"/>
            <w:r w:rsidRPr="004A1891">
              <w:rPr>
                <w:rFonts w:ascii="Times New Roman" w:hAnsi="Times New Roman" w:cs="Times New Roman"/>
                <w:sz w:val="24"/>
                <w:szCs w:val="24"/>
                <w:lang w:val="es-CO"/>
              </w:rPr>
              <w:t>Adaptation</w:t>
            </w:r>
            <w:proofErr w:type="spellEnd"/>
            <w:r w:rsidRPr="004A1891">
              <w:rPr>
                <w:rFonts w:ascii="Times New Roman" w:hAnsi="Times New Roman" w:cs="Times New Roman"/>
                <w:sz w:val="24"/>
                <w:szCs w:val="24"/>
                <w:lang w:val="es-CO"/>
              </w:rPr>
              <w:t xml:space="preserve"> </w:t>
            </w:r>
            <w:proofErr w:type="spellStart"/>
            <w:r w:rsidRPr="004A1891">
              <w:rPr>
                <w:rFonts w:ascii="Times New Roman" w:hAnsi="Times New Roman" w:cs="Times New Roman"/>
                <w:sz w:val="24"/>
                <w:szCs w:val="24"/>
                <w:lang w:val="es-CO"/>
              </w:rPr>
              <w:t>to</w:t>
            </w:r>
            <w:proofErr w:type="spellEnd"/>
            <w:r w:rsidRPr="004A1891">
              <w:rPr>
                <w:rFonts w:ascii="Times New Roman" w:hAnsi="Times New Roman" w:cs="Times New Roman"/>
                <w:sz w:val="24"/>
                <w:szCs w:val="24"/>
                <w:lang w:val="es-CO"/>
              </w:rPr>
              <w:t xml:space="preserve"> </w:t>
            </w:r>
            <w:proofErr w:type="spellStart"/>
            <w:r w:rsidRPr="004A1891">
              <w:rPr>
                <w:rFonts w:ascii="Times New Roman" w:hAnsi="Times New Roman" w:cs="Times New Roman"/>
                <w:sz w:val="24"/>
                <w:szCs w:val="24"/>
                <w:lang w:val="es-CO"/>
              </w:rPr>
              <w:t>College</w:t>
            </w:r>
            <w:proofErr w:type="spellEnd"/>
            <w:r w:rsidRPr="004A1891">
              <w:rPr>
                <w:rFonts w:ascii="Times New Roman" w:hAnsi="Times New Roman" w:cs="Times New Roman"/>
                <w:sz w:val="24"/>
                <w:szCs w:val="24"/>
                <w:lang w:val="es-CO"/>
              </w:rPr>
              <w:t xml:space="preserve"> </w:t>
            </w:r>
            <w:proofErr w:type="spellStart"/>
            <w:r w:rsidRPr="004A1891">
              <w:rPr>
                <w:rFonts w:ascii="Times New Roman" w:hAnsi="Times New Roman" w:cs="Times New Roman"/>
                <w:sz w:val="24"/>
                <w:szCs w:val="24"/>
                <w:lang w:val="es-CO"/>
              </w:rPr>
              <w:t>Questionnaire</w:t>
            </w:r>
            <w:proofErr w:type="spellEnd"/>
            <w:r w:rsidRPr="004A1891">
              <w:rPr>
                <w:rFonts w:ascii="Times New Roman" w:hAnsi="Times New Roman" w:cs="Times New Roman"/>
                <w:sz w:val="24"/>
                <w:szCs w:val="24"/>
                <w:lang w:val="es-CO"/>
              </w:rPr>
              <w:t xml:space="preserve"> (SACQ).</w:t>
            </w:r>
          </w:p>
          <w:p w14:paraId="3FCE2EED"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63EB1F79"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El cuestionario de autoinforme BRIEF-A se utilizó para medir las FE y la metacognición.</w:t>
            </w:r>
          </w:p>
          <w:p w14:paraId="4E235BF1"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3D8B1779"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El BASC-2 se usó para medir el comportamiento.</w:t>
            </w:r>
          </w:p>
        </w:tc>
        <w:tc>
          <w:tcPr>
            <w:tcW w:w="3194" w:type="dxa"/>
            <w:shd w:val="clear" w:color="auto" w:fill="auto"/>
          </w:tcPr>
          <w:p w14:paraId="1C105E84" w14:textId="77777777" w:rsidR="006929DA" w:rsidRPr="004A1891" w:rsidRDefault="006929DA" w:rsidP="00B950A1">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La metacognición (aspecto de FE), el género y la edad fueron predictores significativos del ajuste académico más allá de la hiperactividad, la falta de atención y la depresión.</w:t>
            </w:r>
          </w:p>
          <w:p w14:paraId="3B06B476" w14:textId="77777777" w:rsidR="006929DA" w:rsidRPr="004A1891" w:rsidRDefault="006929DA" w:rsidP="00B950A1">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0B45E9CA" w14:textId="77777777" w:rsidR="006929DA" w:rsidRPr="004A1891" w:rsidRDefault="006929DA" w:rsidP="00B950A1">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La depresión fue el único predictor significativo del ajuste social.</w:t>
            </w:r>
          </w:p>
        </w:tc>
      </w:tr>
      <w:tr w:rsidR="006929DA" w:rsidRPr="00ED2D2F" w14:paraId="048917E3" w14:textId="77777777" w:rsidTr="00B950A1">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26CDE641"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lastRenderedPageBreak/>
              <w:fldChar w:fldCharType="begin" w:fldLock="1"/>
            </w:r>
            <w:r w:rsidRPr="004A1891">
              <w:rPr>
                <w:rFonts w:ascii="Times New Roman" w:hAnsi="Times New Roman" w:cs="Times New Roman"/>
                <w:sz w:val="24"/>
                <w:szCs w:val="24"/>
                <w:lang w:val="es-CO"/>
              </w:rPr>
              <w:instrText>ADDIN CSL_CITATION {"citationItems":[{"id":"ITEM-1","itemData":{"DOI":"10.1108/JARHE-10-2018-0221","ISSN":"17581184","abstract":"Purpose: The purpose of this paper is fourfold: first, to analyse the relationship between executive functions and academic performance; second, to identify the level of prediction executive functions have on academic performance; third, to determine the correlation between executive functions and academic performance; and fourth, to compare executive functions based on the level of academic performance. Design/methodology/approach: The sample composed of 175 university students aged between 18 and 36 years (M=21.49, SD=3.22). The EFECO scale, the average student grade and a scale based on the diagnostic criteria for ADHD were used as measurement instruments. Findings: Difficulties in executive functions: Difficulties in working memory (r=−0.30, p=&lt;0.01) and difficulties in conscious supervision of behaviour (r=−0.29, p</w:instrText>
            </w:r>
            <w:r w:rsidRPr="004A1891">
              <w:rPr>
                <w:rFonts w:ascii="Cambria Math" w:hAnsi="Cambria Math" w:cs="Cambria Math"/>
                <w:sz w:val="24"/>
                <w:szCs w:val="24"/>
                <w:lang w:val="es-CO"/>
              </w:rPr>
              <w:instrText>⩽</w:instrText>
            </w:r>
            <w:r w:rsidRPr="004A1891">
              <w:rPr>
                <w:rFonts w:ascii="Times New Roman" w:hAnsi="Times New Roman" w:cs="Times New Roman"/>
                <w:sz w:val="24"/>
                <w:szCs w:val="24"/>
                <w:lang w:val="es-CO"/>
              </w:rPr>
              <w:instrText>0.01) have an inversely proportional relationship to academic performance (the greater the deficit of executive functions, the lower the academic performance). The regression analysis showed that executive functions explain 31 per cent of the variance of academic performance (χ2(25)=43.81, p &lt;0.001). The study found that there is a relationship between all the executive functions and students’ behaviour in a medium to large magnitude. Research limitations/implications: A limitation of this study was the size of the sample as it is not representative of the country. Nevertheless, the correlation among the variables studied here has the necessary magnitude for the proposed correlations to be found. Nonetheless, it is necessary that we perform a study with a larger number of participants in order to achieve adequate extrapolation of the results. Practical implications: Data found in this study suggest that low academic performance of university students is related to a lower functionality of their executive functions. Originality/value: The originality of the research lies in relating specific concepts of neuropsychology to explain the academic performance of university students. The research findings allow us to project new studies to improve the executive functions for the benefit of the university student.","author":[{"dropping-particle":"","family":"Ramos-Galarza","given":"Carlos","non-dropping-particle":"","parse-names":false,"suffix":""},{"dropping-particle":"","family":"Acosta-Rodas","given":"Pamela","non-dropping-particle":"","parse-names":false,"suffix":""},{"dropping-particle":"","family":"Bolaños-Pasquel","given":"Mónica","non-dropping-particle":"","parse-names":false,"suffix":""},{"dropping-particle":"","family":"Lepe-Martínez","given":"Nancy","non-dropping-particle":"","parse-names":false,"suffix":""}],"container-title":"Journal of Applied Research in Higher Education","id":"ITEM-1","issue":"3","issued":{"date-parts":[["2020","6","13"]]},"page":"444-455","publisher":"Emerald Group Holdings Ltd.","title":"The role of executive functions in academic performance and behaviour of university students","type":"article-journal","volume":"12"},"uris":["http://www.mendeley.com/documents/?uuid=75ef2c85-a81f-3e47-b189-3fbe22f4edc1"]}],"mendeley":{"formattedCitation":"(Ramos-Galarza et al., 2020)","manualFormatting":"Ramos-Galarza et al. (2020)","plainTextFormattedCitation":"(Ramos-Galarza et al., 2020)","previouslyFormattedCitation":"(Ramos-Galarza et al., 2020)"},"properties":{"noteIndex":0},"schema":"https://github.com/citation-style-language/schema/raw/master/csl-citation.json"}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Ramos-Galarza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(2020)</w:t>
            </w:r>
            <w:r w:rsidRPr="004A1891">
              <w:rPr>
                <w:rFonts w:ascii="Times New Roman" w:hAnsi="Times New Roman" w:cs="Times New Roman"/>
                <w:sz w:val="24"/>
                <w:szCs w:val="24"/>
                <w:lang w:val="es-CO"/>
              </w:rPr>
              <w:fldChar w:fldCharType="end"/>
            </w:r>
          </w:p>
        </w:tc>
        <w:tc>
          <w:tcPr>
            <w:tcW w:w="2835" w:type="dxa"/>
            <w:shd w:val="clear" w:color="auto" w:fill="auto"/>
          </w:tcPr>
          <w:p w14:paraId="44070B3A"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175 estudiantes universitarios entre 18 y 36 </w:t>
            </w:r>
            <w:proofErr w:type="gramStart"/>
            <w:r w:rsidRPr="004A1891">
              <w:rPr>
                <w:rFonts w:ascii="Times New Roman" w:hAnsi="Times New Roman" w:cs="Times New Roman"/>
                <w:sz w:val="24"/>
                <w:szCs w:val="24"/>
                <w:lang w:val="es-CO"/>
              </w:rPr>
              <w:t>años de edad</w:t>
            </w:r>
            <w:proofErr w:type="gramEnd"/>
            <w:r w:rsidRPr="004A1891">
              <w:rPr>
                <w:rFonts w:ascii="Times New Roman" w:hAnsi="Times New Roman" w:cs="Times New Roman"/>
                <w:sz w:val="24"/>
                <w:szCs w:val="24"/>
                <w:lang w:val="es-CO"/>
              </w:rPr>
              <w:t>.</w:t>
            </w:r>
          </w:p>
        </w:tc>
        <w:tc>
          <w:tcPr>
            <w:tcW w:w="2476" w:type="dxa"/>
            <w:shd w:val="clear" w:color="auto" w:fill="auto"/>
          </w:tcPr>
          <w:p w14:paraId="5D469213"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Aplicación de la escala EFECO para evaluar las ocho FE, la nota media del alumno y una escala basada en los criterios diagnósticos del TDAH.</w:t>
            </w:r>
          </w:p>
        </w:tc>
        <w:tc>
          <w:tcPr>
            <w:tcW w:w="3194" w:type="dxa"/>
            <w:shd w:val="clear" w:color="auto" w:fill="auto"/>
          </w:tcPr>
          <w:p w14:paraId="775ED338"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A mayor déficit de funciones ejecutivas, menor rendimiento académico.</w:t>
            </w:r>
          </w:p>
          <w:p w14:paraId="0BD9EFE7"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42D51B67"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El análisis de regresión mostró que las funciones ejecutivas explican el 31% de la varianza del rendimiento académico.</w:t>
            </w:r>
          </w:p>
        </w:tc>
      </w:tr>
      <w:tr w:rsidR="006929DA" w:rsidRPr="00ED2D2F" w14:paraId="3079D5E0" w14:textId="77777777" w:rsidTr="00B950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1A660E4C"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{"citationItems":[{"id":"ITEM-1","itemData":{"DOI":"10.1590/1413-82712020250202","ISSN":"1413-8271","abstract":"Abstract This study aimed to identify cognitive (reasoning and executive functions) and resilient behavioral variables of (im)migrant university students which are related to different aspects on their adaptation to academic experiences. It is a descriptive exploratory cross-sectional study. The sample consisted of 64 undergraduate and graduate students from three universities of Porto Alegre, with average age 23.75 years old (DP = 2.9), from other Brazilian state or other country. The results pointed that significant predictors of all five academic experiences’ dimensions were resilience’s aspects and none cognitive. Among these resilience’s aspects, it was highlighted Structured style, which predicted three different dimensions. Those findings show the relevant role of resilience in adaptive process faced by this population and, consequently, in their academic success.","author":[{"dropping-particle":"","family":"Souza Gaião e Albuquerque","given":"Emily","non-dropping-particle":"","parse-names":false,"suffix":""},{"dropping-particle":"","family":"Haas Bueno","given":"José Maurício","non-dropping-particle":"","parse-names":false,"suffix":""}],"container-title":"Psico-USF","id":"ITEM-1","issue":"2","issued":{"date-parts":[["2020","8","3"]]},"page":"223-234","publisher":"Universidade de São Francisco, Programa de Pós-Graduação Stricto Sensu em Psicologia","title":"The Effect of Resilience and Cognition on (Im)Migrant Students’ Academic Adaptation","type":"article-journal","volume":"25"},"uris":["http://www.mendeley.com/documents/?uuid=929ff669-2868-36fe-a851-182f0019a985"]}],"mendeley":{"formattedCitation":"(Souza Gaião e Albuquerque &amp; Haas Bueno, 2020)","manualFormatting":"Souza Gaião e Albuquerque y Haas Bueno (2020)","plainTextFormattedCitation":"(Souza Gaião e Albuquerque &amp; Haas Bueno, 2020)","previouslyFormattedCitation":"(Souza Gaião e Albuquerque &amp; Haas Bueno, 2020)"},"properties":{"noteIndex":0},"schema":"https://github.com/citation-style-language/schema/raw/master/csl-citation.json"}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Souza Gaião e Albuquerque y Haas Bueno (2020)</w:t>
            </w:r>
            <w:r w:rsidRPr="004A1891">
              <w:rPr>
                <w:rFonts w:ascii="Times New Roman" w:hAnsi="Times New Roman" w:cs="Times New Roman"/>
                <w:sz w:val="24"/>
                <w:szCs w:val="24"/>
                <w:lang w:val="es-CO"/>
              </w:rPr>
              <w:fldChar w:fldCharType="end"/>
            </w:r>
          </w:p>
        </w:tc>
        <w:tc>
          <w:tcPr>
            <w:tcW w:w="2835" w:type="dxa"/>
            <w:shd w:val="clear" w:color="auto" w:fill="auto"/>
          </w:tcPr>
          <w:p w14:paraId="583F413D"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64 estudiantes universitarios de pregrado y posgrado de tres. Edad media de 23,75 años.</w:t>
            </w:r>
          </w:p>
        </w:tc>
        <w:tc>
          <w:tcPr>
            <w:tcW w:w="2476" w:type="dxa"/>
            <w:shd w:val="clear" w:color="auto" w:fill="auto"/>
          </w:tcPr>
          <w:p w14:paraId="0DB6B3E1"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Cinco instrumentos:</w:t>
            </w:r>
          </w:p>
          <w:p w14:paraId="351F75BD"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12F49394"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Cuestionario sociodemográfico.</w:t>
            </w:r>
          </w:p>
          <w:p w14:paraId="4BCE45EB"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435D2834"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Prueba de Razonamiento</w:t>
            </w:r>
          </w:p>
          <w:p w14:paraId="67DC38F1"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Abstracto de la Batería de Pruebas de Razonamiento (BPR-5). </w:t>
            </w:r>
          </w:p>
          <w:p w14:paraId="06815E87"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2C1426E1"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Prueba de clasificación de tarjetas de</w:t>
            </w:r>
          </w:p>
          <w:p w14:paraId="1C24444E"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Wisconsin – WCST. </w:t>
            </w:r>
          </w:p>
          <w:p w14:paraId="365D3183"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30414BE0"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Escala de Resiliencia para Adultos – RSA.</w:t>
            </w:r>
          </w:p>
          <w:p w14:paraId="5408AFAF"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6C48A836" w14:textId="77777777" w:rsidR="006929DA" w:rsidRPr="004A1891" w:rsidRDefault="006929DA" w:rsidP="00B950A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Cuestionario de Experiencias Académicas, versión corta (QVA-r).</w:t>
            </w:r>
          </w:p>
        </w:tc>
        <w:tc>
          <w:tcPr>
            <w:tcW w:w="3194" w:type="dxa"/>
            <w:shd w:val="clear" w:color="auto" w:fill="auto"/>
          </w:tcPr>
          <w:p w14:paraId="3A69FF14" w14:textId="77777777" w:rsidR="006929DA" w:rsidRPr="004A1891" w:rsidRDefault="006929DA" w:rsidP="00B950A1">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Los predictores significativos de las cinco dimensiones de experiencias académicas no contemplaron ninguno de orden cognitivo. </w:t>
            </w:r>
          </w:p>
          <w:p w14:paraId="0F6B65A1" w14:textId="77777777" w:rsidR="006929DA" w:rsidRPr="004A1891" w:rsidRDefault="006929DA" w:rsidP="00B950A1">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26269048" w14:textId="77777777" w:rsidR="006929DA" w:rsidRPr="004A1891" w:rsidRDefault="006929DA" w:rsidP="00B950A1">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De los aspectos de la resiliencia, el “estilo estructurado” se destacó por haber sido el predictor de tres criterios distintos.</w:t>
            </w:r>
          </w:p>
        </w:tc>
      </w:tr>
      <w:tr w:rsidR="006929DA" w:rsidRPr="00ED2D2F" w14:paraId="5C65C120" w14:textId="77777777" w:rsidTr="00B950A1">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4D0EC34C"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{"citationItems":[{"id":"ITEM-1","itemData":{"DOI":"10.1007/S10803-019-04267-8","ISSN":"1573-3432","PMID":"31939082","abstract":"Many students with autism spectrum disorders (ASDs) attending higher education drop out prematurely. The predictive value of self-reported daily executive functioning (EF) and (cognitive) performance-based EF (mental flexibility and working memory) for academic progress was evaluated in 54 young adults with ASD (Mage = 22.5, SD = 2.4, 72% male). Regression analyses showed that autism symptom severity explained 12% of variance in academic progress, which was raised to 36% by adding self-reported daily EF, and to 25% by adding performance-based EF. It is suggested that EF is a candidate marker for academic progress in higher education students with ASD and a candidate target for early intervention.","author":[{"dropping-particle":"","family":"Dijkhuis","given":"Renée","non-dropping-particle":"","parse-names":false,"suffix":""},{"dropping-particle":"","family":"Sonneville","given":"Leo","non-dropping-particle":"de","parse-names":false,"suffix":""},{"dropping-particle":"","family":"Ziermans","given":"Tim","non-dropping-particle":"","parse-names":false,"suffix":""},{"dropping-particle":"","family":"Staal","given":"Wouter","non-dropping-particle":"","parse-names":false,"suffix":""},{"dropping-particle":"","family":"Swaab","given":"Hanna","non-dropping-particle":"","parse-names":false,"suffix":""}],"container-title":"Journal of autism and developmental disorders","id":"ITEM-1","issue":"4","issued":{"date-parts":[["2020","4","1"]]},"page":"1353-1363","publisher":"J Autism Dev Disord","title":"Autism Symptoms, Executive Functioning and Academic Progress in Higher Education Students","type":"article-journal","volume":"50"},"uris":["http://www.mendeley.com/documents/?uuid=14f18986-edb3-39b2-9f13-6dab1f35404f"]}],"mendeley":{"formattedCitation":"(Dijkhuis et al., 2020)","manualFormatting":"Dijkhuis et al. (2020)","plainTextFormattedCitation":"(Dijkhuis et al., 2020)","previouslyFormattedCitation":"(Dijkhuis et al., 2020)"},"properties":{"noteIndex":0},"schema":"https://github.com/citation-style-language/schema/raw/master/csl-citation.json"}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Dijkhuis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(2020)</w:t>
            </w:r>
            <w:r w:rsidRPr="004A1891">
              <w:rPr>
                <w:rFonts w:ascii="Times New Roman" w:hAnsi="Times New Roman" w:cs="Times New Roman"/>
                <w:sz w:val="24"/>
                <w:szCs w:val="24"/>
                <w:lang w:val="es-CO"/>
              </w:rPr>
              <w:fldChar w:fldCharType="end"/>
            </w:r>
          </w:p>
        </w:tc>
        <w:tc>
          <w:tcPr>
            <w:tcW w:w="2835" w:type="dxa"/>
            <w:shd w:val="clear" w:color="auto" w:fill="auto"/>
          </w:tcPr>
          <w:p w14:paraId="4A671B0B"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54 estudiantes con TEA (Trastorno Espectro Autista) (72% Hombres).</w:t>
            </w:r>
          </w:p>
        </w:tc>
        <w:tc>
          <w:tcPr>
            <w:tcW w:w="2476" w:type="dxa"/>
            <w:shd w:val="clear" w:color="auto" w:fill="auto"/>
          </w:tcPr>
          <w:p w14:paraId="70854611" w14:textId="77777777" w:rsidR="006929DA" w:rsidRPr="004A1891" w:rsidRDefault="006929DA" w:rsidP="00B950A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Evaluación del valor predictivo del funcionamiento ejecutivo (FE) diario </w:t>
            </w:r>
            <w:proofErr w:type="spellStart"/>
            <w:r w:rsidRPr="004A1891">
              <w:rPr>
                <w:rFonts w:ascii="Times New Roman" w:hAnsi="Times New Roman" w:cs="Times New Roman"/>
                <w:sz w:val="24"/>
                <w:szCs w:val="24"/>
                <w:lang w:val="es-CO"/>
              </w:rPr>
              <w:t>autoinformado</w:t>
            </w:r>
            <w:proofErr w:type="spellEnd"/>
            <w:r w:rsidRPr="004A1891">
              <w:rPr>
                <w:rFonts w:ascii="Times New Roman" w:hAnsi="Times New Roman" w:cs="Times New Roman"/>
                <w:sz w:val="24"/>
                <w:szCs w:val="24"/>
                <w:lang w:val="es-CO"/>
              </w:rPr>
              <w:t xml:space="preserve"> y la FE basada en el desempeño (cognitivo, flexibilidad mental y memoria de trabajo) para el progreso académico.</w:t>
            </w:r>
          </w:p>
        </w:tc>
        <w:tc>
          <w:tcPr>
            <w:tcW w:w="3194" w:type="dxa"/>
            <w:shd w:val="clear" w:color="auto" w:fill="auto"/>
          </w:tcPr>
          <w:p w14:paraId="43DDE88C"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La gravedad de los síntomas del autismo explica el 12% de la variación en el progreso académico, que se elevó al 36% al agregar la FE diaria </w:t>
            </w:r>
            <w:proofErr w:type="spellStart"/>
            <w:r w:rsidRPr="004A1891">
              <w:rPr>
                <w:rFonts w:ascii="Times New Roman" w:hAnsi="Times New Roman" w:cs="Times New Roman"/>
                <w:sz w:val="24"/>
                <w:szCs w:val="24"/>
                <w:lang w:val="es-CO"/>
              </w:rPr>
              <w:t>autoinformada</w:t>
            </w:r>
            <w:proofErr w:type="spellEnd"/>
            <w:r w:rsidRPr="004A1891">
              <w:rPr>
                <w:rFonts w:ascii="Times New Roman" w:hAnsi="Times New Roman" w:cs="Times New Roman"/>
                <w:sz w:val="24"/>
                <w:szCs w:val="24"/>
                <w:lang w:val="es-CO"/>
              </w:rPr>
              <w:t xml:space="preserve"> y al 25 % al agregar la FE basada en el rendimiento.</w:t>
            </w:r>
          </w:p>
          <w:p w14:paraId="332F0BC4"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2EE32DEE" w14:textId="77777777" w:rsidR="006929DA" w:rsidRPr="004A1891" w:rsidRDefault="006929DA" w:rsidP="00B950A1">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Las FE son un marcador para el progreso académico en estudiantes de educación superior con TEA.</w:t>
            </w:r>
          </w:p>
        </w:tc>
      </w:tr>
      <w:tr w:rsidR="006929DA" w:rsidRPr="00ED2D2F" w14:paraId="3D7BC885" w14:textId="77777777" w:rsidTr="00B950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46AED545"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lastRenderedPageBreak/>
              <w:fldChar w:fldCharType="begin" w:fldLock="1"/>
            </w:r>
            <w:r w:rsidRPr="004A1891">
              <w:rPr>
                <w:rFonts w:ascii="Times New Roman" w:hAnsi="Times New Roman" w:cs="Times New Roman"/>
                <w:sz w:val="24"/>
                <w:szCs w:val="24"/>
                <w:lang w:val="es-CO"/>
              </w:rPr>
              <w:instrText>ADDIN CSL_CITATION {"citationItems":[{"id":"ITEM-1","itemData":{"DOI":"10.1016/J.TINE.2019.100124","ISSN":"2211-9493","PMID":"32085910","abstract":"Background: People vary between each other on several neurobehavioral traits, which may have implications for understanding academic achievement. Methods: University-level Psychology or Engineering students were assessed for neurobehavioral traits, intelligence, and current psychological distress. Scores were compared with their grade point average (GPA) data. Results: Factors associated with higher GPA differed markedly between groups. For Engineers, intelligence, but not neurobehavioral traits or psychological distress, was a strong correlate of grades. For Psychologists, grades were not correlated with intelligence but they were with the neurobehavioral traits of executive dysfunction, disinhibition, apathy, and positive schizotypy. However, only the latter two were associated independently of psychological distress. Additionally, higher mixed-handedness was associated with higher GPA in the combined sample. Conclusions: Neurological factors (i.e., neurobehavioral traits and intelligence), are differentially associated with university-level grades, depending on the major studied. However, mixed-handedness may prove to be a better general predictor of academic performance across disciplines.","author":[{"dropping-particle":"","family":"Pluck","given":"Graham","non-dropping-particle":"","parse-names":false,"suffix":""},{"dropping-particle":"","family":"Bravo Mancero","given":"Patricia","non-dropping-particle":"","parse-names":false,"suffix":""},{"dropping-particle":"","family":"Ortíz Encalada","given":"Paola Alexandra","non-dropping-particle":"","parse-names":false,"suffix":""},{"dropping-particle":"","family":"Urquizo Alcívar","given":"Angélica María","non-dropping-particle":"","parse-names":false,"suffix":""},{"dropping-particle":"","family":"Maldonado Gavilanez","given":"Claudio E.","non-dropping-particle":"","parse-names":false,"suffix":""},{"dropping-particle":"","family":"Chacon","given":"Paola","non-dropping-particle":"","parse-names":false,"suffix":""}],"container-title":"Trends in Neuroscience and Education","id":"ITEM-1","issued":{"date-parts":[["2020","3","1"]]},"page":"100124","publisher":"Urban &amp; Fischer","title":"Differential associations of neurobehavioral traits and cognitive ability to academic achievement in higher education","type":"article-journal","volume":"18"},"uris":["http://www.mendeley.com/documents/?uuid=f4fa7015-34a1-3853-bbf5-b351c5dc27c3"]}],"mendeley":{"formattedCitation":"(Pluck et al., 2020)","manualFormatting":"Pluck et al. (2020)","plainTextFormattedCitation":"(Pluck et al., 2020)","previouslyFormattedCitation":"(Pluck et al., 2020)"},"properties":{"noteIndex":0},"schema":"https://github.com/citation-style-language/schema/raw/master/csl-citation.json"}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Pluck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(2020)</w:t>
            </w:r>
            <w:r w:rsidRPr="004A1891">
              <w:rPr>
                <w:rFonts w:ascii="Times New Roman" w:hAnsi="Times New Roman" w:cs="Times New Roman"/>
                <w:sz w:val="24"/>
                <w:szCs w:val="24"/>
                <w:lang w:val="es-CO"/>
              </w:rPr>
              <w:fldChar w:fldCharType="end"/>
            </w:r>
          </w:p>
        </w:tc>
        <w:tc>
          <w:tcPr>
            <w:tcW w:w="2835" w:type="dxa"/>
            <w:shd w:val="clear" w:color="auto" w:fill="auto"/>
          </w:tcPr>
          <w:p w14:paraId="3C38A071"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66 estudiantes de Psicología e Ingeniería divididos en 3 grupos: uno de 19 personas, otro de 26 personas y el último de 21 personas (entre 20 y 30 </w:t>
            </w:r>
            <w:proofErr w:type="gramStart"/>
            <w:r w:rsidRPr="004A1891">
              <w:rPr>
                <w:rFonts w:ascii="Times New Roman" w:hAnsi="Times New Roman" w:cs="Times New Roman"/>
                <w:sz w:val="24"/>
                <w:szCs w:val="24"/>
                <w:lang w:val="es-CO"/>
              </w:rPr>
              <w:t>años de edad</w:t>
            </w:r>
            <w:proofErr w:type="gramEnd"/>
            <w:r w:rsidRPr="004A1891">
              <w:rPr>
                <w:rFonts w:ascii="Times New Roman" w:hAnsi="Times New Roman" w:cs="Times New Roman"/>
                <w:sz w:val="24"/>
                <w:szCs w:val="24"/>
                <w:lang w:val="es-CO"/>
              </w:rPr>
              <w:t>).</w:t>
            </w:r>
          </w:p>
        </w:tc>
        <w:tc>
          <w:tcPr>
            <w:tcW w:w="2476" w:type="dxa"/>
            <w:shd w:val="clear" w:color="auto" w:fill="auto"/>
          </w:tcPr>
          <w:p w14:paraId="636FE9DD"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4"/>
                <w:szCs w:val="24"/>
                <w:lang w:val="es-CO"/>
              </w:rPr>
            </w:pPr>
            <w:r w:rsidRPr="004A1891">
              <w:rPr>
                <w:rFonts w:ascii="Times New Roman" w:hAnsi="Times New Roman" w:cs="Times New Roman"/>
                <w:color w:val="231F20"/>
                <w:sz w:val="24"/>
                <w:szCs w:val="24"/>
                <w:lang w:val="es-CO"/>
              </w:rPr>
              <w:t>Se evaluaron los rasgos neuroconductuales, la inteligencia y el malestar psicológico actual de estudiantes universitarios de Psicología o Ingeniería.</w:t>
            </w:r>
          </w:p>
          <w:p w14:paraId="576BA2D1"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4"/>
                <w:szCs w:val="24"/>
                <w:lang w:val="es-CO"/>
              </w:rPr>
            </w:pPr>
          </w:p>
          <w:p w14:paraId="57521C78"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4"/>
                <w:szCs w:val="24"/>
                <w:lang w:val="es-CO"/>
              </w:rPr>
            </w:pPr>
            <w:r w:rsidRPr="004A1891">
              <w:rPr>
                <w:rFonts w:ascii="Times New Roman" w:hAnsi="Times New Roman" w:cs="Times New Roman"/>
                <w:color w:val="231F20"/>
                <w:sz w:val="24"/>
                <w:szCs w:val="24"/>
                <w:lang w:val="es-CO"/>
              </w:rPr>
              <w:t>Las puntuaciones se compararon con los datos de su promedio de calificaciones (GPA).</w:t>
            </w:r>
          </w:p>
        </w:tc>
        <w:tc>
          <w:tcPr>
            <w:tcW w:w="3194" w:type="dxa"/>
            <w:shd w:val="clear" w:color="auto" w:fill="auto"/>
          </w:tcPr>
          <w:p w14:paraId="041AFAB1"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Los factores asociados con un GPA más alto fueron distintos entre los grupos. Ingenieros: la inteligencia, pero no los rasgos neuroconductuales o la angustia psicológica, era un fuerte correlato de las calificaciones.</w:t>
            </w:r>
          </w:p>
          <w:p w14:paraId="1A101CA3"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772765DD"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Psicólogos: las notas no estaban correlacionadas con la inteligencia, pero sí con los rasgos neuroconductuales de disfunción ejecutiva, desinhibición, apatía y esquizotipia positiva (solo los dos últimos se asociaron independientemente del malestar psicológico).</w:t>
            </w:r>
          </w:p>
        </w:tc>
      </w:tr>
      <w:tr w:rsidR="006929DA" w:rsidRPr="00ED2D2F" w14:paraId="6DC3C050" w14:textId="77777777" w:rsidTr="00B950A1">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50C86C42"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author":[{"dropping-particle":"","family":"Gutiérrez-Ruiz","given":"Karol","non-dropping-particle":"","parse-names":false,"suffix":""},{"dropping-particle":"","family":"Paternina","given":"Joel","non-dropping-particle":"","parse-names":false,"suffix":""},{"dropping-particle":"","family":"Zakzuk","given":"Sharick","non-dropping-particle":"","parse-names":false,"suffix":""},{"dropping-particle":"","family":"Mendez","given":"Sandra","non-dropping-particle":"","parse-names":false,"suffix":""},{"dropping-particle":"","family":"Castillo","given":"Angie","non-dropping-particle":"","parse-names":false,"suffix":""},{"dropping-particle":"","family":"Payares","given":"Laura","non-dropping-particle":"","parse-names":false,"suffix":""},{"dropping-particle":"","family":"Peñate","given":"Andrea","non-dropping-particle":"","parse-names":false,"suffix":""}],"container-title":"Psychology, Society &amp; Education","id":"ITEM-1","issue":"3","issued":{"date-parts":[["2020"]]},"page":"161-174","title":"Las funciones ejecutivas como predictoras del rendimiento académico de estudiantes universitarios","type":"article-journal","volume":"12"},"uris":["http://www.mendeley.com/documents/?uuid=24442b3e-c4c8-389c-88a1-fed556335a50"]}],"mendeley":{"formattedCitation":"(Gutiérrez-Ruiz et al., 2020)","manualFormatting":"Gutiérrez-Ruiz et al. (2020)","plainTextFormattedCitation":"(Gutiérrez-Ruiz et al., 2020)","previouslyFormattedCitation":"(Gutiérrez-Ruiz et al., 2020)"},"properties":{"noteIndex":0},"schema":"https://github.com/citation-style-language/schema/raw/master/csl-citation.json"}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 xml:space="preserve">Gutiérrez-Ruiz </w:t>
            </w:r>
            <w:r w:rsidRPr="004A1891">
              <w:rPr>
                <w:rFonts w:ascii="Times New Roman" w:hAnsi="Times New Roman" w:cs="Times New Roman"/>
                <w:b w:val="0"/>
                <w:i/>
                <w:noProof/>
                <w:sz w:val="24"/>
                <w:szCs w:val="24"/>
                <w:lang w:val="es-CO"/>
              </w:rPr>
              <w:t>et al.</w:t>
            </w:r>
            <w:r w:rsidRPr="004A1891">
              <w:rPr>
                <w:rFonts w:ascii="Times New Roman" w:hAnsi="Times New Roman" w:cs="Times New Roman"/>
                <w:b w:val="0"/>
                <w:noProof/>
                <w:sz w:val="24"/>
                <w:szCs w:val="24"/>
                <w:lang w:val="es-CO"/>
              </w:rPr>
              <w:t xml:space="preserve"> (2020)</w:t>
            </w:r>
            <w:r w:rsidRPr="004A1891">
              <w:rPr>
                <w:rFonts w:ascii="Times New Roman" w:hAnsi="Times New Roman" w:cs="Times New Roman"/>
                <w:sz w:val="24"/>
                <w:szCs w:val="24"/>
                <w:lang w:val="es-CO"/>
              </w:rPr>
              <w:fldChar w:fldCharType="end"/>
            </w:r>
          </w:p>
        </w:tc>
        <w:tc>
          <w:tcPr>
            <w:tcW w:w="2835" w:type="dxa"/>
            <w:shd w:val="clear" w:color="auto" w:fill="auto"/>
          </w:tcPr>
          <w:p w14:paraId="33EE06EE"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104 estudiantes universitarios (72 Hombres y 32 Mujeres).</w:t>
            </w:r>
          </w:p>
        </w:tc>
        <w:tc>
          <w:tcPr>
            <w:tcW w:w="2476" w:type="dxa"/>
            <w:shd w:val="clear" w:color="auto" w:fill="auto"/>
          </w:tcPr>
          <w:p w14:paraId="4D8CA1F7"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4"/>
                <w:szCs w:val="24"/>
                <w:lang w:val="es-CO"/>
              </w:rPr>
            </w:pPr>
            <w:r w:rsidRPr="004A1891">
              <w:rPr>
                <w:rFonts w:ascii="Times New Roman" w:hAnsi="Times New Roman" w:cs="Times New Roman"/>
                <w:color w:val="231F20"/>
                <w:sz w:val="24"/>
                <w:szCs w:val="24"/>
                <w:lang w:val="es-CO"/>
              </w:rPr>
              <w:t xml:space="preserve">Test de clasificación de tarjetas de </w:t>
            </w:r>
            <w:proofErr w:type="spellStart"/>
            <w:r w:rsidRPr="004A1891">
              <w:rPr>
                <w:rFonts w:ascii="Times New Roman" w:hAnsi="Times New Roman" w:cs="Times New Roman"/>
                <w:color w:val="231F20"/>
                <w:sz w:val="24"/>
                <w:szCs w:val="24"/>
                <w:lang w:val="es-CO"/>
              </w:rPr>
              <w:t>Wisconsisn</w:t>
            </w:r>
            <w:proofErr w:type="spellEnd"/>
            <w:r w:rsidRPr="004A1891">
              <w:rPr>
                <w:rFonts w:ascii="Times New Roman" w:hAnsi="Times New Roman" w:cs="Times New Roman"/>
                <w:color w:val="231F20"/>
                <w:sz w:val="24"/>
                <w:szCs w:val="24"/>
                <w:lang w:val="es-CO"/>
              </w:rPr>
              <w:t xml:space="preserve"> modificado (M-WCST).</w:t>
            </w:r>
          </w:p>
          <w:p w14:paraId="272E61D7"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4"/>
                <w:szCs w:val="24"/>
                <w:lang w:val="es-CO"/>
              </w:rPr>
            </w:pPr>
          </w:p>
          <w:p w14:paraId="396C382B"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4"/>
                <w:szCs w:val="24"/>
                <w:lang w:val="es-CO"/>
              </w:rPr>
            </w:pPr>
            <w:r w:rsidRPr="004A1891">
              <w:rPr>
                <w:rFonts w:ascii="Times New Roman" w:hAnsi="Times New Roman" w:cs="Times New Roman"/>
                <w:color w:val="231F20"/>
                <w:sz w:val="24"/>
                <w:szCs w:val="24"/>
                <w:lang w:val="es-CO"/>
              </w:rPr>
              <w:t xml:space="preserve">Test de Colores y Palabras </w:t>
            </w:r>
            <w:proofErr w:type="spellStart"/>
            <w:r w:rsidRPr="004A1891">
              <w:rPr>
                <w:rFonts w:ascii="Times New Roman" w:hAnsi="Times New Roman" w:cs="Times New Roman"/>
                <w:color w:val="231F20"/>
                <w:sz w:val="24"/>
                <w:szCs w:val="24"/>
                <w:lang w:val="es-CO"/>
              </w:rPr>
              <w:t>Stroop</w:t>
            </w:r>
            <w:proofErr w:type="spellEnd"/>
            <w:r w:rsidRPr="004A1891">
              <w:rPr>
                <w:rFonts w:ascii="Times New Roman" w:hAnsi="Times New Roman" w:cs="Times New Roman"/>
                <w:color w:val="231F20"/>
                <w:sz w:val="24"/>
                <w:szCs w:val="24"/>
                <w:lang w:val="es-CO"/>
              </w:rPr>
              <w:t>.</w:t>
            </w:r>
          </w:p>
          <w:p w14:paraId="07B392E8"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4"/>
                <w:szCs w:val="24"/>
                <w:lang w:val="es-CO"/>
              </w:rPr>
            </w:pPr>
          </w:p>
          <w:p w14:paraId="0F177420"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4"/>
                <w:szCs w:val="24"/>
                <w:lang w:val="es-CO"/>
              </w:rPr>
            </w:pPr>
            <w:r w:rsidRPr="004A1891">
              <w:rPr>
                <w:rFonts w:ascii="Times New Roman" w:hAnsi="Times New Roman" w:cs="Times New Roman"/>
                <w:color w:val="231F20"/>
                <w:sz w:val="24"/>
                <w:szCs w:val="24"/>
                <w:lang w:val="es-CO"/>
              </w:rPr>
              <w:t>Índice de Memoria de trabajo de la Escala de inteligencia para adultos de Wechsler WAIS-III.</w:t>
            </w:r>
          </w:p>
          <w:p w14:paraId="11CE98B0"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4"/>
                <w:szCs w:val="24"/>
                <w:lang w:val="es-CO"/>
              </w:rPr>
            </w:pPr>
          </w:p>
          <w:p w14:paraId="3DC46018"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231F20"/>
                <w:sz w:val="24"/>
                <w:szCs w:val="24"/>
                <w:lang w:val="es-CO"/>
              </w:rPr>
            </w:pPr>
            <w:r w:rsidRPr="004A1891">
              <w:rPr>
                <w:rFonts w:ascii="Times New Roman" w:hAnsi="Times New Roman" w:cs="Times New Roman"/>
                <w:color w:val="231F20"/>
                <w:sz w:val="24"/>
                <w:szCs w:val="24"/>
                <w:lang w:val="es-CO"/>
              </w:rPr>
              <w:t xml:space="preserve">Se registró su promedio acumulado de calificaciones del último periodo académico cursado. Se realizó un análisis de regresión jerárquica múltiple para evaluar si las FE contribuyen significativamente al logro académico general, y se comparó </w:t>
            </w:r>
            <w:r w:rsidRPr="004A1891">
              <w:rPr>
                <w:rFonts w:ascii="Times New Roman" w:hAnsi="Times New Roman" w:cs="Times New Roman"/>
                <w:color w:val="231F20"/>
                <w:sz w:val="24"/>
                <w:szCs w:val="24"/>
                <w:lang w:val="es-CO"/>
              </w:rPr>
              <w:lastRenderedPageBreak/>
              <w:t>el desempeño en tareas de FE entre estudiantes con rendimiento académico bajo y promedio.</w:t>
            </w:r>
          </w:p>
        </w:tc>
        <w:tc>
          <w:tcPr>
            <w:tcW w:w="3194" w:type="dxa"/>
            <w:shd w:val="clear" w:color="auto" w:fill="auto"/>
          </w:tcPr>
          <w:p w14:paraId="31A74F7D"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lastRenderedPageBreak/>
              <w:t>La memoria de trabajo verbal, la flexibilidad cognitiva y la capacidad de abstracción y formación de conceptos predicen el rendimiento académico general de los estudiantes universitarios.</w:t>
            </w:r>
          </w:p>
          <w:p w14:paraId="7AA12EEC"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p w14:paraId="1491FCA3"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Se encontró diferencia estadísticamente significativa con un tamaño del efecto mediano entre el grupo con rendimiento académico bajo y promedio en la tarea de memoria de trabajo verbal Aritmética.</w:t>
            </w:r>
          </w:p>
          <w:p w14:paraId="3F95B814" w14:textId="77777777" w:rsidR="006929DA" w:rsidRPr="004A1891" w:rsidRDefault="006929DA" w:rsidP="00B950A1">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s-CO"/>
              </w:rPr>
            </w:pPr>
          </w:p>
        </w:tc>
      </w:tr>
      <w:tr w:rsidR="006929DA" w:rsidRPr="00ED2D2F" w14:paraId="58C98538" w14:textId="77777777" w:rsidTr="00B950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14:paraId="09B5B03B" w14:textId="77777777" w:rsidR="006929DA" w:rsidRPr="004A1891" w:rsidRDefault="006929DA" w:rsidP="00B950A1">
            <w:pPr>
              <w:rPr>
                <w:rFonts w:ascii="Times New Roman" w:hAnsi="Times New Roman" w:cs="Times New Roman"/>
                <w:sz w:val="24"/>
                <w:szCs w:val="24"/>
                <w:lang w:val="es-CO"/>
              </w:rPr>
            </w:pPr>
            <w:r w:rsidRPr="004A1891">
              <w:rPr>
                <w:rFonts w:ascii="Times New Roman" w:hAnsi="Times New Roman" w:cs="Times New Roman"/>
                <w:sz w:val="24"/>
                <w:szCs w:val="24"/>
                <w:lang w:val="es-CO"/>
              </w:rPr>
              <w:fldChar w:fldCharType="begin" w:fldLock="1"/>
            </w:r>
            <w:r w:rsidRPr="004A1891">
              <w:rPr>
                <w:rFonts w:ascii="Times New Roman" w:hAnsi="Times New Roman" w:cs="Times New Roman"/>
                <w:sz w:val="24"/>
                <w:szCs w:val="24"/>
                <w:lang w:val="es-CO"/>
              </w:rPr>
              <w:instrText>ADDIN CSL_CITATION {"citationItems":[{"id":"ITEM-1","itemData":{"DOI":"10.30827/PROFESORADO.V25I3.9546","ISSN":"19896395","abstract":"Creativity should be one of the skills to develop in College, because it promotes the employability of college students. In recent years, it has been confirmed that the relevance of executive function in the creative process. The goal of this research is to analyze the relationship between creativity, cognitive flexibility, verbal fluency and academic performance among college students. The sample consisted of 105 participants from the first year of the degree in Psychology of the Francisco de Vitoria University, 84 women and 21 men, with an average age of 19.05 (SD= 1.81). Different tests were applied, PIC-A test, to assess creativity, the CAMBIOS test to determine cognitive flexibility, and a word generation task to assess verbal fluency, and the average grade of the first semester of the course was considered as a measure of academic performance. Correlated and regression analysis confirms the existence of a significant positive relationship between graphic creativity and cognitive flexibility, as well as between narrative creativity and phonological fluency. No significant relationships were found in relation to academic performance. Consequently, the results obtained allow the design of programs that drive a paradigm shift in the university area by optimizing creative capabilities.","author":[{"dropping-particle":"","family":"Bernabeu-Brotons","given":"Elena","non-dropping-particle":"","parse-names":false,"suffix":""},{"dropping-particle":"","family":"de-la-Peña","given":"Cristina","non-dropping-particle":"","parse-names":false,"suffix":""}],"container-title":"Profesorado","id":"ITEM-1","issue":"3","issued":{"date-parts":[["2021","11","24"]]},"page":"313-330","publisher":"Grupo de Investigacion FORCE","title":"Creativity in higher education: An exploratory study with executive functions and academic achievement","type":"article-journal","volume":"25"},"uris":["http://www.mendeley.com/documents/?uuid=8cb562b4-a1e3-35b0-8137-c214b9205030"]}],"mendeley":{"formattedCitation":"(Bernabeu-Brotons &amp; de-la-Peña, 2021)","manualFormatting":"Bernabeu-Brotons y de-la-Peña (2021)","plainTextFormattedCitation":"(Bernabeu-Brotons &amp; de-la-Peña, 2021)","previouslyFormattedCitation":"(Bernabeu-Brotons &amp; de-la-Peña, 2021)"},"properties":{"noteIndex":0},"schema":"https://github.com/citation-style-language/schema/raw/master/csl-citation.json"}</w:instrText>
            </w:r>
            <w:r w:rsidRPr="004A1891">
              <w:rPr>
                <w:rFonts w:ascii="Times New Roman" w:hAnsi="Times New Roman" w:cs="Times New Roman"/>
                <w:sz w:val="24"/>
                <w:szCs w:val="24"/>
                <w:lang w:val="es-CO"/>
              </w:rPr>
              <w:fldChar w:fldCharType="separate"/>
            </w:r>
            <w:r w:rsidRPr="004A1891">
              <w:rPr>
                <w:rFonts w:ascii="Times New Roman" w:hAnsi="Times New Roman" w:cs="Times New Roman"/>
                <w:b w:val="0"/>
                <w:noProof/>
                <w:sz w:val="24"/>
                <w:szCs w:val="24"/>
                <w:lang w:val="es-CO"/>
              </w:rPr>
              <w:t>Bernabeu-Brotons y de-la-Peña (2021)</w:t>
            </w:r>
            <w:r w:rsidRPr="004A1891">
              <w:rPr>
                <w:rFonts w:ascii="Times New Roman" w:hAnsi="Times New Roman" w:cs="Times New Roman"/>
                <w:sz w:val="24"/>
                <w:szCs w:val="24"/>
                <w:lang w:val="es-CO"/>
              </w:rPr>
              <w:fldChar w:fldCharType="end"/>
            </w:r>
          </w:p>
        </w:tc>
        <w:tc>
          <w:tcPr>
            <w:tcW w:w="2835" w:type="dxa"/>
            <w:shd w:val="clear" w:color="auto" w:fill="auto"/>
          </w:tcPr>
          <w:p w14:paraId="1A3681F5"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105 estudiantes universitarios (84 Mujeres y 21 Hombres). Edad media de 19.05 años.</w:t>
            </w:r>
          </w:p>
        </w:tc>
        <w:tc>
          <w:tcPr>
            <w:tcW w:w="2476" w:type="dxa"/>
            <w:shd w:val="clear" w:color="auto" w:fill="auto"/>
          </w:tcPr>
          <w:p w14:paraId="38244229"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4"/>
                <w:szCs w:val="24"/>
                <w:lang w:val="es-CO"/>
              </w:rPr>
            </w:pPr>
            <w:r w:rsidRPr="004A1891">
              <w:rPr>
                <w:rFonts w:ascii="Times New Roman" w:hAnsi="Times New Roman" w:cs="Times New Roman"/>
                <w:color w:val="231F20"/>
                <w:sz w:val="24"/>
                <w:szCs w:val="24"/>
                <w:lang w:val="es-CO"/>
              </w:rPr>
              <w:t>Aplicación del PIC-A para valorar creatividad.</w:t>
            </w:r>
          </w:p>
          <w:p w14:paraId="620AF489"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4"/>
                <w:szCs w:val="24"/>
                <w:lang w:val="es-CO"/>
              </w:rPr>
            </w:pPr>
          </w:p>
          <w:p w14:paraId="59541D36"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4"/>
                <w:szCs w:val="24"/>
                <w:lang w:val="es-CO"/>
              </w:rPr>
            </w:pPr>
            <w:r w:rsidRPr="004A1891">
              <w:rPr>
                <w:rFonts w:ascii="Times New Roman" w:hAnsi="Times New Roman" w:cs="Times New Roman"/>
                <w:color w:val="231F20"/>
                <w:sz w:val="24"/>
                <w:szCs w:val="24"/>
                <w:lang w:val="es-CO"/>
              </w:rPr>
              <w:t>El CAMBIOS para evaluar flexibilidad cognitiva.</w:t>
            </w:r>
          </w:p>
          <w:p w14:paraId="0AF17A9C"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4"/>
                <w:szCs w:val="24"/>
                <w:lang w:val="es-CO"/>
              </w:rPr>
            </w:pPr>
          </w:p>
          <w:p w14:paraId="6CF96BEA"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4"/>
                <w:szCs w:val="24"/>
                <w:lang w:val="es-CO"/>
              </w:rPr>
            </w:pPr>
            <w:r w:rsidRPr="004A1891">
              <w:rPr>
                <w:rFonts w:ascii="Times New Roman" w:hAnsi="Times New Roman" w:cs="Times New Roman"/>
                <w:color w:val="231F20"/>
                <w:sz w:val="24"/>
                <w:szCs w:val="24"/>
                <w:lang w:val="es-CO"/>
              </w:rPr>
              <w:t xml:space="preserve">Prueba de generación de palabras para medir fluidez verbal. </w:t>
            </w:r>
          </w:p>
          <w:p w14:paraId="37ADE785"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4"/>
                <w:szCs w:val="24"/>
                <w:lang w:val="es-CO"/>
              </w:rPr>
            </w:pPr>
          </w:p>
          <w:p w14:paraId="2597A85E"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231F20"/>
                <w:sz w:val="24"/>
                <w:szCs w:val="24"/>
                <w:lang w:val="es-CO"/>
              </w:rPr>
            </w:pPr>
            <w:r w:rsidRPr="004A1891">
              <w:rPr>
                <w:rFonts w:ascii="Times New Roman" w:hAnsi="Times New Roman" w:cs="Times New Roman"/>
                <w:color w:val="231F20"/>
                <w:sz w:val="24"/>
                <w:szCs w:val="24"/>
                <w:lang w:val="es-CO"/>
              </w:rPr>
              <w:t>Se consideró la nota media del primer cuatrimestre como medida del rendimiento académico.</w:t>
            </w:r>
          </w:p>
        </w:tc>
        <w:tc>
          <w:tcPr>
            <w:tcW w:w="3194" w:type="dxa"/>
            <w:shd w:val="clear" w:color="auto" w:fill="auto"/>
          </w:tcPr>
          <w:p w14:paraId="4622E9D3"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Relación significativa positiva entre creatividad gráfica y flexibilidad cognitiva, y entre creatividad narrativa y general y la fluidez verbal fonológica.</w:t>
            </w:r>
          </w:p>
          <w:p w14:paraId="44712F06"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p>
          <w:p w14:paraId="4525DE2F" w14:textId="77777777" w:rsidR="006929DA" w:rsidRPr="004A1891" w:rsidRDefault="006929DA" w:rsidP="00B950A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s-CO"/>
              </w:rPr>
            </w:pPr>
            <w:r w:rsidRPr="004A1891">
              <w:rPr>
                <w:rFonts w:ascii="Times New Roman" w:hAnsi="Times New Roman" w:cs="Times New Roman"/>
                <w:sz w:val="24"/>
                <w:szCs w:val="24"/>
                <w:lang w:val="es-CO"/>
              </w:rPr>
              <w:t xml:space="preserve">No se hallaron relaciones significativas </w:t>
            </w:r>
            <w:proofErr w:type="gramStart"/>
            <w:r w:rsidRPr="004A1891">
              <w:rPr>
                <w:rFonts w:ascii="Times New Roman" w:hAnsi="Times New Roman" w:cs="Times New Roman"/>
                <w:sz w:val="24"/>
                <w:szCs w:val="24"/>
                <w:lang w:val="es-CO"/>
              </w:rPr>
              <w:t>en relación al</w:t>
            </w:r>
            <w:proofErr w:type="gramEnd"/>
            <w:r w:rsidRPr="004A1891">
              <w:rPr>
                <w:rFonts w:ascii="Times New Roman" w:hAnsi="Times New Roman" w:cs="Times New Roman"/>
                <w:sz w:val="24"/>
                <w:szCs w:val="24"/>
                <w:lang w:val="es-CO"/>
              </w:rPr>
              <w:t xml:space="preserve"> rendimiento académico.</w:t>
            </w:r>
          </w:p>
        </w:tc>
      </w:tr>
    </w:tbl>
    <w:p w14:paraId="3FE9540F" w14:textId="78354A87" w:rsidR="00206151" w:rsidRDefault="00206151">
      <w:pPr>
        <w:rPr>
          <w:lang w:val="es-ES"/>
        </w:rPr>
      </w:pPr>
    </w:p>
    <w:p w14:paraId="6E693069" w14:textId="77777777" w:rsidR="006929DA" w:rsidRPr="004A1891" w:rsidRDefault="006929DA" w:rsidP="006929DA">
      <w:pPr>
        <w:pStyle w:val="Descripcin"/>
        <w:spacing w:line="480" w:lineRule="auto"/>
        <w:rPr>
          <w:rFonts w:ascii="Times New Roman" w:hAnsi="Times New Roman" w:cs="Times New Roman"/>
          <w:i w:val="0"/>
          <w:color w:val="auto"/>
          <w:sz w:val="24"/>
          <w:szCs w:val="24"/>
          <w:lang w:val="es-CO"/>
        </w:rPr>
      </w:pPr>
      <w:r w:rsidRPr="004A1891">
        <w:rPr>
          <w:rFonts w:ascii="Times New Roman" w:hAnsi="Times New Roman" w:cs="Times New Roman"/>
          <w:i w:val="0"/>
          <w:color w:val="auto"/>
          <w:sz w:val="24"/>
          <w:szCs w:val="24"/>
          <w:lang w:val="es-CO"/>
        </w:rPr>
        <w:t>Nota: Esta tabla muestra las características de los autores, la muestra, la metodología y los resultados de los estudios contenidos en la revisión final. Elaboración propia.</w:t>
      </w:r>
    </w:p>
    <w:p w14:paraId="2F79142E" w14:textId="5307FB5B" w:rsidR="006929DA" w:rsidRDefault="006929DA">
      <w:pPr>
        <w:rPr>
          <w:lang w:val="es-ES"/>
        </w:rPr>
      </w:pPr>
    </w:p>
    <w:p w14:paraId="7442B94F" w14:textId="3ECBF114" w:rsidR="006929DA" w:rsidRDefault="006929DA">
      <w:pPr>
        <w:rPr>
          <w:lang w:val="es-ES"/>
        </w:rPr>
      </w:pPr>
    </w:p>
    <w:p w14:paraId="30EC5CF7" w14:textId="77777777" w:rsidR="006929DA" w:rsidRPr="006929DA" w:rsidRDefault="006929DA">
      <w:pPr>
        <w:rPr>
          <w:lang w:val="es-ES"/>
        </w:rPr>
      </w:pPr>
    </w:p>
    <w:sectPr w:rsidR="006929DA" w:rsidRPr="006929D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9DA"/>
    <w:rsid w:val="00206151"/>
    <w:rsid w:val="006929DA"/>
    <w:rsid w:val="00D033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8478A"/>
  <w15:chartTrackingRefBased/>
  <w15:docId w15:val="{6D044592-154F-4DED-B3B1-92CE0FB42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9D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normal2">
    <w:name w:val="Plain Table 2"/>
    <w:basedOn w:val="Tablanormal"/>
    <w:uiPriority w:val="42"/>
    <w:rsid w:val="006929D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Descripcin">
    <w:name w:val="caption"/>
    <w:basedOn w:val="Normal"/>
    <w:next w:val="Normal"/>
    <w:uiPriority w:val="35"/>
    <w:unhideWhenUsed/>
    <w:qFormat/>
    <w:rsid w:val="006929DA"/>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7902</Words>
  <Characters>43461</Characters>
  <Application>Microsoft Office Word</Application>
  <DocSecurity>0</DocSecurity>
  <Lines>362</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Marín</dc:creator>
  <cp:keywords/>
  <dc:description/>
  <cp:lastModifiedBy>Alejandro Marín</cp:lastModifiedBy>
  <cp:revision>1</cp:revision>
  <dcterms:created xsi:type="dcterms:W3CDTF">2022-05-18T13:11:00Z</dcterms:created>
  <dcterms:modified xsi:type="dcterms:W3CDTF">2022-05-18T14:28:00Z</dcterms:modified>
</cp:coreProperties>
</file>