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76" w:lineRule="auto"/>
        <w:rPr>
          <w:sz w:val="40"/>
          <w:szCs w:val="40"/>
        </w:rPr>
      </w:pPr>
      <w:bookmarkStart w:colFirst="0" w:colLast="0" w:name="_fty4punhwlly" w:id="0"/>
      <w:bookmarkEnd w:id="0"/>
      <w:r w:rsidDel="00000000" w:rsidR="00000000" w:rsidRPr="00000000">
        <w:rPr>
          <w:sz w:val="40"/>
          <w:szCs w:val="40"/>
          <w:rtl w:val="0"/>
        </w:rPr>
        <w:t xml:space="preserve">Funding Open Infrastructure as a Public Utility: A Preliminary Investigation into Water Utility Funding</w:t>
      </w:r>
    </w:p>
    <w:p w:rsidR="00000000" w:rsidDel="00000000" w:rsidP="00000000" w:rsidRDefault="00000000" w:rsidRPr="00000000" w14:paraId="00000002">
      <w:pPr>
        <w:pStyle w:val="Heading1"/>
        <w:rPr>
          <w:b w:val="1"/>
          <w:sz w:val="28"/>
          <w:szCs w:val="28"/>
        </w:rPr>
      </w:pPr>
      <w:bookmarkStart w:colFirst="0" w:colLast="0" w:name="_6rk8e3gu55c6" w:id="1"/>
      <w:bookmarkEnd w:id="1"/>
      <w:r w:rsidDel="00000000" w:rsidR="00000000" w:rsidRPr="00000000">
        <w:rPr>
          <w:rtl w:val="0"/>
        </w:rPr>
        <w:t xml:space="preserve">Authors</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Asura Enkhbayar, Invest in Open Infrastructure, </w:t>
      </w:r>
      <w:hyperlink r:id="rId7">
        <w:r w:rsidDel="00000000" w:rsidR="00000000" w:rsidRPr="00000000">
          <w:rPr>
            <w:color w:val="1155cc"/>
            <w:u w:val="single"/>
            <w:rtl w:val="0"/>
          </w:rPr>
          <w:t xml:space="preserve">0000-0002-3934-026X</w:t>
        </w:r>
      </w:hyperlink>
      <w:r w:rsidDel="00000000" w:rsidR="00000000" w:rsidRPr="00000000">
        <w:rPr>
          <w:rtl w:val="0"/>
        </w:rPr>
        <w:br w:type="textWrapping"/>
        <w:t xml:space="preserve">Richard Dunks, Invest in Open Infrastructure, </w:t>
      </w:r>
      <w:hyperlink r:id="rId8">
        <w:r w:rsidDel="00000000" w:rsidR="00000000" w:rsidRPr="00000000">
          <w:rPr>
            <w:color w:val="1155cc"/>
            <w:u w:val="single"/>
            <w:rtl w:val="0"/>
          </w:rPr>
          <w:t xml:space="preserve">0000-0001-6999-7935</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4">
      <w:pPr>
        <w:pStyle w:val="Heading1"/>
        <w:spacing w:line="276" w:lineRule="auto"/>
        <w:rPr/>
      </w:pPr>
      <w:bookmarkStart w:colFirst="0" w:colLast="0" w:name="_k3bzkzthtmf3" w:id="2"/>
      <w:bookmarkEnd w:id="2"/>
      <w:r w:rsidDel="00000000" w:rsidR="00000000" w:rsidRPr="00000000">
        <w:rPr>
          <w:rtl w:val="0"/>
        </w:rPr>
        <w:t xml:space="preserve">Introduction</w:t>
      </w:r>
    </w:p>
    <w:p w:rsidR="00000000" w:rsidDel="00000000" w:rsidP="00000000" w:rsidRDefault="00000000" w:rsidRPr="00000000" w14:paraId="00000005">
      <w:pPr>
        <w:rPr/>
      </w:pPr>
      <w:r w:rsidDel="00000000" w:rsidR="00000000" w:rsidRPr="00000000">
        <w:rPr>
          <w:rtl w:val="0"/>
        </w:rPr>
        <w:t xml:space="preserve">In working to understand how a stable and reliable model for funding open infrastructure in research and scholarly communication could be architected, IOI explored the idea of knowledge as a public good, similar to water, electricity, and natural gas. On a philosophical level, research is, at its essence, a social activity whereby knowledge claims are produced and evaluated by a community of inquirers. As a social activity, the quality of what it produces is increased by the diversity and breadth of the community that produces it.  To participate, each individual inquirer engaged in this pursuit requires equal access to the knowledge claims and the evidence from which they emerge in order for the process to be valid and reliable, as well as maximally productive (Miedema, 2022).</w:t>
      </w:r>
    </w:p>
    <w:p w:rsidR="00000000" w:rsidDel="00000000" w:rsidP="00000000" w:rsidRDefault="00000000" w:rsidRPr="00000000" w14:paraId="00000006">
      <w:pPr>
        <w:rPr/>
      </w:pPr>
      <w:r w:rsidDel="00000000" w:rsidR="00000000" w:rsidRPr="00000000">
        <w:rPr>
          <w:rtl w:val="0"/>
        </w:rPr>
        <w:t xml:space="preserve">On a more practical level, much of the funding for basic research comes from taxpayers. According to the National Science Board (2020), 42% of basic research funding in the US came from the US federal government. Whether or not the average person is part of the community of inquirers, they have invested, by virtue of their tax dollars, in the production of knowledge and have a claim to accessing what has been produced at their expense. For populations often cut off from access to important, life-saving medical knowledge, whether it be marginalized populations in low and middle-income countries or patients asked to advocate for their own care without sufficient access to relevant information, this discussion takes on a moral and ethical dimension with dire consequences (Grouse, 2014). As with water, individuals should not be denied based solely on their inability to pay for the research products manifesting from the pursuit of knowledge. </w:t>
      </w:r>
    </w:p>
    <w:p w:rsidR="00000000" w:rsidDel="00000000" w:rsidP="00000000" w:rsidRDefault="00000000" w:rsidRPr="00000000" w14:paraId="00000007">
      <w:pPr>
        <w:rPr/>
      </w:pPr>
      <w:r w:rsidDel="00000000" w:rsidR="00000000" w:rsidRPr="00000000">
        <w:rPr>
          <w:rtl w:val="0"/>
        </w:rPr>
        <w:t xml:space="preserve">The following investigation is based on this </w:t>
      </w:r>
      <w:r w:rsidDel="00000000" w:rsidR="00000000" w:rsidRPr="00000000">
        <w:rPr>
          <w:rtl w:val="0"/>
        </w:rPr>
        <w:t xml:space="preserve">understanding of knowledge as a public good, like water, electricity, and natural gas, to understand how a vital public good can best be funded for reliable, robust, and sustainable supply in the long term.</w:t>
      </w:r>
      <w:r w:rsidDel="00000000" w:rsidR="00000000" w:rsidRPr="00000000">
        <w:rPr>
          <w:rtl w:val="0"/>
        </w:rPr>
        <w:t xml:space="preserve"> Drawing on some of the preeminent literature and guidance on the topic from widely respected organizations (the OECD, WHO, and IRC), we attempt below to highlight some key lessons for funding a robust infrastructure of open services. </w:t>
      </w:r>
      <w:r w:rsidDel="00000000" w:rsidR="00000000" w:rsidRPr="00000000">
        <w:rPr>
          <w:rtl w:val="0"/>
        </w:rPr>
      </w:r>
    </w:p>
    <w:p w:rsidR="00000000" w:rsidDel="00000000" w:rsidP="00000000" w:rsidRDefault="00000000" w:rsidRPr="00000000" w14:paraId="00000008">
      <w:pPr>
        <w:pStyle w:val="Heading1"/>
        <w:rPr/>
      </w:pPr>
      <w:bookmarkStart w:colFirst="0" w:colLast="0" w:name="_k3j0ezxttxdr" w:id="3"/>
      <w:bookmarkEnd w:id="3"/>
      <w:r w:rsidDel="00000000" w:rsidR="00000000" w:rsidRPr="00000000">
        <w:rPr>
          <w:rtl w:val="0"/>
        </w:rPr>
        <w:t xml:space="preserve">Background</w:t>
      </w:r>
    </w:p>
    <w:p w:rsidR="00000000" w:rsidDel="00000000" w:rsidP="00000000" w:rsidRDefault="00000000" w:rsidRPr="00000000" w14:paraId="00000009">
      <w:pPr>
        <w:rPr/>
      </w:pPr>
      <w:r w:rsidDel="00000000" w:rsidR="00000000" w:rsidRPr="00000000">
        <w:rPr>
          <w:rtl w:val="0"/>
        </w:rPr>
        <w:t xml:space="preserve">As part of our effort to understand the hidden costs of providing open infrastructure services, we interviewed nine open infrastructure service providers in early 2022 about their service, including the management, operational, and financial challenges they faced, as well as other key topics of concern. While not a fully representative sample of open infrastructure providers globally, this group included independent nonprofit organizations and initiatives affiliated with academic and research institutions in North America, Europe, and South America. The services they provided included content hosting, publishing, and persistent identifier creation supporting activities throughout the research lifecycle. Almost without exception, each </w:t>
      </w:r>
      <w:r w:rsidDel="00000000" w:rsidR="00000000" w:rsidRPr="00000000">
        <w:rPr>
          <w:rtl w:val="0"/>
        </w:rPr>
        <w:t xml:space="preserve">highlighted the need to address the issue of stable funding as a key concern in providing infrastructure services (Enkhbayar &amp; Dunks, 2021).</w:t>
      </w:r>
      <w:r w:rsidDel="00000000" w:rsidR="00000000" w:rsidRPr="00000000">
        <w:rPr>
          <w:rtl w:val="0"/>
        </w:rPr>
        <w:t xml:space="preserve"> </w:t>
      </w:r>
    </w:p>
    <w:p w:rsidR="00000000" w:rsidDel="00000000" w:rsidP="00000000" w:rsidRDefault="00000000" w:rsidRPr="00000000" w14:paraId="0000000A">
      <w:pPr>
        <w:rPr/>
      </w:pPr>
      <w:r w:rsidDel="00000000" w:rsidR="00000000" w:rsidRPr="00000000">
        <w:rPr>
          <w:rtl w:val="0"/>
        </w:rPr>
        <w:t xml:space="preserve">Through this research, we learned that while providers have developed successful strategies for funding their work, each encountered difficulties and was searching for more stable and reliable sources of revenue to cover their operations in ways that met their particular needs, both in terms of their means of service delivery and the external environment in which they operated. This lack of funding for covering operational costs in particular threatens the ability of providers to make these services available and the long-term sustainability of the providers themselves (Enkhbayar &amp; Jack, 2021). </w:t>
      </w:r>
    </w:p>
    <w:p w:rsidR="00000000" w:rsidDel="00000000" w:rsidP="00000000" w:rsidRDefault="00000000" w:rsidRPr="00000000" w14:paraId="0000000B">
      <w:pPr>
        <w:rPr/>
      </w:pPr>
      <w:r w:rsidDel="00000000" w:rsidR="00000000" w:rsidRPr="00000000">
        <w:rPr>
          <w:rtl w:val="0"/>
        </w:rPr>
        <w:t xml:space="preserve">This led to our investigation of relevant case studies in public financing of essential infrastructure. Water is an essential resource necessary for all life on Earth to flourish. As such, it is often described as a social good meeting a basic human need and existing as a human right, but it also exists as an economic good, being an input to various production processes and virtually every type of agricultural activity (Brikke &amp; Rojas, 2001). Additionally, the transmission, treatment, and distribution of water require investment in infrastructure to facilitate these activities, while the operation and maintenance of this infrastructure incur costs that must be covered in order for water to flow to those who need it (McNeill, 1998). Balancing the social and economic aspects of water has led to work developing a sustainable cost recovery approach that ensures communities are able to access water in a way that is sensitive to local needs and interests while still ensuring the costs for water supply are adequately funded so the infrastructure is robust, reliable, and sustainable (Brikke &amp; Rojas, 2001).</w:t>
      </w:r>
    </w:p>
    <w:p w:rsidR="00000000" w:rsidDel="00000000" w:rsidP="00000000" w:rsidRDefault="00000000" w:rsidRPr="00000000" w14:paraId="0000000C">
      <w:pPr>
        <w:rPr/>
      </w:pPr>
      <w:r w:rsidDel="00000000" w:rsidR="00000000" w:rsidRPr="00000000">
        <w:rPr>
          <w:rtl w:val="0"/>
        </w:rPr>
        <w:t xml:space="preserve">The models presented below cover the key components of a sustainable cost recovery approach to water delivery relevant for an understanding of how sustainable cost recovery might be accomplished with open research infrastructure. While water is a tangible, physical product that can be described in measurable quantities with a clear impact and utility, knowledge is much harder to describe, quantify, and measure. The comparison will therefore not be exact nor the lessons directly applicable. Our hope is this is a helpful starting point for conversations about sustainable financing that will ensure the survival of open infrastructure providers for many decades to come and the ability of open infrastructure services to become the default in research. </w:t>
      </w:r>
      <w:r w:rsidDel="00000000" w:rsidR="00000000" w:rsidRPr="00000000">
        <w:rPr>
          <w:rtl w:val="0"/>
        </w:rPr>
      </w:r>
    </w:p>
    <w:p w:rsidR="00000000" w:rsidDel="00000000" w:rsidP="00000000" w:rsidRDefault="00000000" w:rsidRPr="00000000" w14:paraId="0000000D">
      <w:pPr>
        <w:pStyle w:val="Heading1"/>
        <w:rPr/>
      </w:pPr>
      <w:bookmarkStart w:colFirst="0" w:colLast="0" w:name="_ltxcfuelcnxz" w:id="4"/>
      <w:bookmarkEnd w:id="4"/>
      <w:r w:rsidDel="00000000" w:rsidR="00000000" w:rsidRPr="00000000">
        <w:rPr>
          <w:rtl w:val="0"/>
        </w:rPr>
        <w:t xml:space="preserve">Who’s Working on This</w:t>
      </w:r>
    </w:p>
    <w:p w:rsidR="00000000" w:rsidDel="00000000" w:rsidP="00000000" w:rsidRDefault="00000000" w:rsidRPr="00000000" w14:paraId="0000000E">
      <w:pPr>
        <w:rPr/>
      </w:pPr>
      <w:r w:rsidDel="00000000" w:rsidR="00000000" w:rsidRPr="00000000">
        <w:rPr>
          <w:rtl w:val="0"/>
        </w:rPr>
        <w:t xml:space="preserve">The </w:t>
      </w:r>
      <w:hyperlink r:id="rId9">
        <w:r w:rsidDel="00000000" w:rsidR="00000000" w:rsidRPr="00000000">
          <w:rPr>
            <w:color w:val="1155cc"/>
            <w:u w:val="single"/>
            <w:rtl w:val="0"/>
          </w:rPr>
          <w:t xml:space="preserve">Organisation for Economic Co-operation and Development</w:t>
        </w:r>
      </w:hyperlink>
      <w:r w:rsidDel="00000000" w:rsidR="00000000" w:rsidRPr="00000000">
        <w:rPr>
          <w:rtl w:val="0"/>
        </w:rPr>
        <w:t xml:space="preserve"> (OECD) is an intergovernmental economic organization with 38 member countries founded in 1961. While the overarching mission is to stimulate economic progress and trade, 15 directorates address and investigate specific areas of focus. The Environment Directorate's work on biodiversity, water, and natural resources management focuses on policy analysis to help ensure more environmentally effective, cost-efficient, and equitable outcomes. Their research on financing sustainable water, sanitation, and hygiene (</w:t>
      </w:r>
      <w:r w:rsidDel="00000000" w:rsidR="00000000" w:rsidRPr="00000000">
        <w:rPr>
          <w:rtl w:val="0"/>
        </w:rPr>
        <w:t xml:space="preserve">WASH) </w:t>
      </w:r>
      <w:r w:rsidDel="00000000" w:rsidR="00000000" w:rsidRPr="00000000">
        <w:rPr>
          <w:rtl w:val="0"/>
        </w:rPr>
        <w:t xml:space="preserve">systems is particularly valuable for its insights into the importance and impact of international coordination of policies and values framework. In recent years, the OECD has been studying the value of combining both commercial and public funds to create sustainable water sanitation and </w:t>
      </w:r>
      <w:r w:rsidDel="00000000" w:rsidR="00000000" w:rsidRPr="00000000">
        <w:rPr>
          <w:rtl w:val="0"/>
        </w:rPr>
        <w:t xml:space="preserve">supply</w:t>
      </w:r>
      <w:r w:rsidDel="00000000" w:rsidR="00000000" w:rsidRPr="00000000">
        <w:rPr>
          <w:rtl w:val="0"/>
        </w:rPr>
        <w:t xml:space="preserve">, particularly in middle and higher-income countries.</w:t>
      </w:r>
    </w:p>
    <w:p w:rsidR="00000000" w:rsidDel="00000000" w:rsidP="00000000" w:rsidRDefault="00000000" w:rsidRPr="00000000" w14:paraId="0000000F">
      <w:pPr>
        <w:rPr/>
      </w:pPr>
      <w:r w:rsidDel="00000000" w:rsidR="00000000" w:rsidRPr="00000000">
        <w:rPr>
          <w:rtl w:val="0"/>
        </w:rPr>
        <w:t xml:space="preserve">The </w:t>
      </w:r>
      <w:hyperlink r:id="rId10">
        <w:r w:rsidDel="00000000" w:rsidR="00000000" w:rsidRPr="00000000">
          <w:rPr>
            <w:color w:val="1155cc"/>
            <w:u w:val="single"/>
            <w:rtl w:val="0"/>
          </w:rPr>
          <w:t xml:space="preserve">World Health Organization</w:t>
        </w:r>
      </w:hyperlink>
      <w:r w:rsidDel="00000000" w:rsidR="00000000" w:rsidRPr="00000000">
        <w:rPr>
          <w:rtl w:val="0"/>
        </w:rPr>
        <w:t xml:space="preserve"> (WHO) is a specialized agency of the UN focused on global public health. As a critical component to human health and well-being, the WHO takes a particular interest in improving water, sanitation, and hygiene as both a direct and indirect way of addressing a host of public health issues, and has since its inception in 1948. The WHO developed the Tracking Financing to WASH or TrackFin methodology for this work (WHO, </w:t>
      </w:r>
      <w:r w:rsidDel="00000000" w:rsidR="00000000" w:rsidRPr="00000000">
        <w:rPr>
          <w:rtl w:val="0"/>
        </w:rPr>
        <w:t xml:space="preserve">2018</w:t>
      </w:r>
      <w:r w:rsidDel="00000000" w:rsidR="00000000" w:rsidRPr="00000000">
        <w:rPr>
          <w:rtl w:val="0"/>
        </w:rPr>
        <w:t xml:space="preserve">).</w:t>
      </w:r>
    </w:p>
    <w:p w:rsidR="00000000" w:rsidDel="00000000" w:rsidP="00000000" w:rsidRDefault="00000000" w:rsidRPr="00000000" w14:paraId="00000010">
      <w:pPr>
        <w:rPr/>
      </w:pPr>
      <w:r w:rsidDel="00000000" w:rsidR="00000000" w:rsidRPr="00000000">
        <w:rPr>
          <w:rtl w:val="0"/>
        </w:rPr>
        <w:t xml:space="preserve">The </w:t>
      </w:r>
      <w:hyperlink r:id="rId11">
        <w:r w:rsidDel="00000000" w:rsidR="00000000" w:rsidRPr="00000000">
          <w:rPr>
            <w:color w:val="1155cc"/>
            <w:u w:val="single"/>
            <w:rtl w:val="0"/>
          </w:rPr>
          <w:t xml:space="preserve">IRC</w:t>
        </w:r>
      </w:hyperlink>
      <w:r w:rsidDel="00000000" w:rsidR="00000000" w:rsidRPr="00000000">
        <w:rPr>
          <w:rtl w:val="0"/>
        </w:rPr>
        <w:t xml:space="preserve"> is an international non-profit organization founded in 1968 that works on long-term solutions for global WASH services. Initially founded as the International Reference Center (IRC) on Community Water Supply under an agreement between the WHO and the government of the Netherlands, IRC gained importance during the UN’s International Drinking Water Decade (1981-1990). Ever since, as a ‘think and do tank’, IRC has been offering consulting and advisory services as well as researching and developing resilient WASH systems in the world. Among its long history of contributions, their work on developing financial models for sustainable rural WASH services funded by the Bill &amp; Melinda Gates Foundation stands out. The work in this report heavily draws from the tools and methods developed during that project.</w:t>
      </w:r>
    </w:p>
    <w:p w:rsidR="00000000" w:rsidDel="00000000" w:rsidP="00000000" w:rsidRDefault="00000000" w:rsidRPr="00000000" w14:paraId="00000011">
      <w:pPr>
        <w:pStyle w:val="Heading1"/>
        <w:rPr/>
      </w:pPr>
      <w:bookmarkStart w:colFirst="0" w:colLast="0" w:name="_4fv8nxpi4b2e" w:id="5"/>
      <w:bookmarkEnd w:id="5"/>
      <w:r w:rsidDel="00000000" w:rsidR="00000000" w:rsidRPr="00000000">
        <w:rPr>
          <w:rtl w:val="0"/>
        </w:rPr>
        <w:t xml:space="preserve">Important Lessons from the Research</w:t>
      </w:r>
    </w:p>
    <w:p w:rsidR="00000000" w:rsidDel="00000000" w:rsidP="00000000" w:rsidRDefault="00000000" w:rsidRPr="00000000" w14:paraId="00000012">
      <w:pPr>
        <w:pStyle w:val="Heading2"/>
        <w:rPr/>
      </w:pPr>
      <w:bookmarkStart w:colFirst="0" w:colLast="0" w:name="_oqyoox7wratf" w:id="6"/>
      <w:bookmarkEnd w:id="6"/>
      <w:r w:rsidDel="00000000" w:rsidR="00000000" w:rsidRPr="00000000">
        <w:rPr>
          <w:rtl w:val="0"/>
        </w:rPr>
        <w:t xml:space="preserve">Strategic Financial Planning</w:t>
      </w:r>
    </w:p>
    <w:p w:rsidR="00000000" w:rsidDel="00000000" w:rsidP="00000000" w:rsidRDefault="00000000" w:rsidRPr="00000000" w14:paraId="00000013">
      <w:pPr>
        <w:rPr/>
      </w:pPr>
      <w:r w:rsidDel="00000000" w:rsidR="00000000" w:rsidRPr="00000000">
        <w:rPr>
          <w:rtl w:val="0"/>
        </w:rPr>
        <w:t xml:space="preserve">Recognizing the importance of a sound financial basis for providing water supply and sanitation, the OECD advocates for strategic financial planning (SFP) at the national and international levels as a “high-level multi-stakeholder policy dialogue process” for meeting the United Nations Sustainable Development Goals (SDG) based on an analysis of what infrastructure is needed for sustainable WASH services and how it can be afforded. As a methodology, SFP builds on a variety of tools to describe and understand financial flows, including the 3Ts taxonomy of funding sources outlined below, as well as concrete guidelines for policy makers to evaluate and adjust public policy, including governance as a necessary precondition for sustainable financing</w:t>
      </w:r>
      <w:r w:rsidDel="00000000" w:rsidR="00000000" w:rsidRPr="00000000">
        <w:rPr>
          <w:vertAlign w:val="superscript"/>
        </w:rPr>
        <w:footnoteReference w:customMarkFollows="0" w:id="0"/>
      </w:r>
      <w:r w:rsidDel="00000000" w:rsidR="00000000" w:rsidRPr="00000000">
        <w:rPr>
          <w:rtl w:val="0"/>
        </w:rPr>
        <w:t xml:space="preserve"> and managing costs as a means to realize the maximum potential from the available funding sources outlined in the report </w:t>
      </w:r>
      <w:r w:rsidDel="00000000" w:rsidR="00000000" w:rsidRPr="00000000">
        <w:rPr>
          <w:rtl w:val="0"/>
        </w:rPr>
        <w:t xml:space="preserve">(OECD 2009b). A similar process of strategic financial planning that discusses the types of funding with a common taxonomy would be highly valuable for open infrastructure services.</w:t>
      </w:r>
      <w:r w:rsidDel="00000000" w:rsidR="00000000" w:rsidRPr="00000000">
        <w:rPr>
          <w:rtl w:val="0"/>
        </w:rPr>
      </w:r>
    </w:p>
    <w:p w:rsidR="00000000" w:rsidDel="00000000" w:rsidP="00000000" w:rsidRDefault="00000000" w:rsidRPr="00000000" w14:paraId="00000014">
      <w:pPr>
        <w:pStyle w:val="Heading2"/>
        <w:rPr>
          <w:sz w:val="26"/>
          <w:szCs w:val="26"/>
        </w:rPr>
      </w:pPr>
      <w:bookmarkStart w:colFirst="0" w:colLast="0" w:name="_lc43ohngmk92" w:id="7"/>
      <w:bookmarkEnd w:id="7"/>
      <w:r w:rsidDel="00000000" w:rsidR="00000000" w:rsidRPr="00000000">
        <w:rPr>
          <w:rtl w:val="0"/>
        </w:rPr>
        <w:t xml:space="preserve">Funding Sources: </w:t>
      </w:r>
      <w:r w:rsidDel="00000000" w:rsidR="00000000" w:rsidRPr="00000000">
        <w:rPr>
          <w:rtl w:val="0"/>
        </w:rPr>
        <w:t xml:space="preserve">The 3Ts: Tariffs, Taxes, and Transfers</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As previously mentioned, t</w:t>
      </w:r>
      <w:r w:rsidDel="00000000" w:rsidR="00000000" w:rsidRPr="00000000">
        <w:rPr>
          <w:rtl w:val="0"/>
        </w:rPr>
        <w:t xml:space="preserve">he OECD identified three “ultimate” sources of financial resources available to fund the needs of WASH services: tariffs, taxes, and transfers (3Ts). These three sources are the means by which the costs of running water infrastructure service is shared between users, the public, and private funders.</w:t>
      </w:r>
    </w:p>
    <w:p w:rsidR="00000000" w:rsidDel="00000000" w:rsidP="00000000" w:rsidRDefault="00000000" w:rsidRPr="00000000" w14:paraId="00000016">
      <w:pPr>
        <w:numPr>
          <w:ilvl w:val="0"/>
          <w:numId w:val="5"/>
        </w:numPr>
        <w:ind w:left="720" w:hanging="360"/>
        <w:rPr>
          <w:u w:val="none"/>
        </w:rPr>
      </w:pPr>
      <w:r w:rsidDel="00000000" w:rsidR="00000000" w:rsidRPr="00000000">
        <w:rPr>
          <w:b w:val="1"/>
          <w:rtl w:val="0"/>
        </w:rPr>
        <w:t xml:space="preserve">Tariffs</w:t>
      </w:r>
      <w:r w:rsidDel="00000000" w:rsidR="00000000" w:rsidRPr="00000000">
        <w:rPr>
          <w:rtl w:val="0"/>
        </w:rPr>
        <w:t xml:space="preserve"> are financial contributions from the users of a service. In the case of WASH services, tariffs play a central role as they make up the biggest part of revenue across the globe that funds water supply and sanitation. With the provision of a public good such as water, affordability constraints and questions of social justice take on a central role in tariff setting and pricing mechanism. Therefore, governance structures and the values and principles of policy makers are essential to ensure equitable and just tariff-setting strategies that take into account not just the economic but the social costs involved in providing clean water and sanitation </w:t>
      </w:r>
      <w:r w:rsidDel="00000000" w:rsidR="00000000" w:rsidRPr="00000000">
        <w:rPr>
          <w:rtl w:val="0"/>
        </w:rPr>
        <w:t xml:space="preserve">(OECD, 2009a, p. 79)</w:t>
      </w:r>
      <w:r w:rsidDel="00000000" w:rsidR="00000000" w:rsidRPr="00000000">
        <w:rPr>
          <w:rtl w:val="0"/>
        </w:rPr>
        <w:t xml:space="preserve">. Tariff structures not only differ between countries but also between densely populated cities and rural regions. For instance, Libey et al. </w:t>
      </w:r>
      <w:r w:rsidDel="00000000" w:rsidR="00000000" w:rsidRPr="00000000">
        <w:rPr>
          <w:rtl w:val="0"/>
        </w:rPr>
        <w:t xml:space="preserve">(2020) </w:t>
      </w:r>
      <w:r w:rsidDel="00000000" w:rsidR="00000000" w:rsidRPr="00000000">
        <w:rPr>
          <w:rtl w:val="0"/>
        </w:rPr>
        <w:t xml:space="preserve">propose that tariffs should be further disaggregated by user types differentiating between individual users and institutional customers. While in open infrastructure services there is a concern about the exclusion of users based on an inability to pay for services, cost recovery through some form of fees for usage will ensure the provision of these services is sustainable and the organizations providing them are financially solvent. Setting these tariffs in a way that provides the service to the maximum number of people possible will be key in addressing this concern.</w:t>
      </w:r>
    </w:p>
    <w:p w:rsidR="00000000" w:rsidDel="00000000" w:rsidP="00000000" w:rsidRDefault="00000000" w:rsidRPr="00000000" w14:paraId="00000017">
      <w:pPr>
        <w:numPr>
          <w:ilvl w:val="0"/>
          <w:numId w:val="5"/>
        </w:numPr>
        <w:ind w:left="720" w:hanging="360"/>
      </w:pPr>
      <w:r w:rsidDel="00000000" w:rsidR="00000000" w:rsidRPr="00000000">
        <w:rPr>
          <w:b w:val="1"/>
          <w:rtl w:val="0"/>
        </w:rPr>
        <w:t xml:space="preserve">Taxes</w:t>
      </w:r>
      <w:r w:rsidDel="00000000" w:rsidR="00000000" w:rsidRPr="00000000">
        <w:rPr>
          <w:rtl w:val="0"/>
        </w:rPr>
        <w:t xml:space="preserve"> are contributions to the costs of a service through fees collected at different levels of organization (local, regional, national, or even international) independent of the direct usage. Typically, these domestic taxes would be collected at the national level and funneled into the sector through subsidies, capital investments, or operations or other “hidden” forms such as tax rebates or subsidized services such as electricity to the water infrastructure providers. Instituting a similar “tax”, whether through a formal taxing authority or levy on institutions could serve the same function in supporting open infrastructure services with a reliable source of funding.</w:t>
      </w:r>
    </w:p>
    <w:p w:rsidR="00000000" w:rsidDel="00000000" w:rsidP="00000000" w:rsidRDefault="00000000" w:rsidRPr="00000000" w14:paraId="00000018">
      <w:pPr>
        <w:numPr>
          <w:ilvl w:val="0"/>
          <w:numId w:val="5"/>
        </w:numPr>
        <w:ind w:left="720" w:hanging="360"/>
      </w:pPr>
      <w:r w:rsidDel="00000000" w:rsidR="00000000" w:rsidRPr="00000000">
        <w:rPr>
          <w:b w:val="1"/>
          <w:rtl w:val="0"/>
        </w:rPr>
        <w:t xml:space="preserve">Transfers</w:t>
      </w:r>
      <w:r w:rsidDel="00000000" w:rsidR="00000000" w:rsidRPr="00000000">
        <w:rPr>
          <w:rtl w:val="0"/>
        </w:rPr>
        <w:t xml:space="preserve"> </w:t>
      </w:r>
      <w:r w:rsidDel="00000000" w:rsidR="00000000" w:rsidRPr="00000000">
        <w:rPr>
          <w:rtl w:val="0"/>
        </w:rPr>
        <w:t xml:space="preserve">refer to financial support from </w:t>
      </w:r>
      <w:r w:rsidDel="00000000" w:rsidR="00000000" w:rsidRPr="00000000">
        <w:rPr>
          <w:rtl w:val="0"/>
        </w:rPr>
        <w:t xml:space="preserve">charitable foundations (e.g., NGOs, philanthropies</w:t>
      </w:r>
      <w:r w:rsidDel="00000000" w:rsidR="00000000" w:rsidRPr="00000000">
        <w:rPr>
          <w:rtl w:val="0"/>
        </w:rPr>
        <w:t xml:space="preserve">, or decentralized cooperation among local governments) and international donors (apart from any fees they may pay as users of these services. Very often these transfers come in the form of grants, guarantees, or concessionary loans </w:t>
      </w:r>
      <w:r w:rsidDel="00000000" w:rsidR="00000000" w:rsidRPr="00000000">
        <w:rPr>
          <w:rtl w:val="0"/>
        </w:rPr>
        <w:t xml:space="preserve">(WHO, 2017)</w:t>
      </w:r>
      <w:r w:rsidDel="00000000" w:rsidR="00000000" w:rsidRPr="00000000">
        <w:rPr>
          <w:rtl w:val="0"/>
        </w:rPr>
        <w:t xml:space="preserve">. For the financing of WASH systems, </w:t>
      </w:r>
      <w:r w:rsidDel="00000000" w:rsidR="00000000" w:rsidRPr="00000000">
        <w:rPr>
          <w:rtl w:val="0"/>
        </w:rPr>
        <w:t xml:space="preserve">Official Development Assistance (ODA)</w:t>
      </w:r>
      <w:r w:rsidDel="00000000" w:rsidR="00000000" w:rsidRPr="00000000">
        <w:rPr>
          <w:rtl w:val="0"/>
        </w:rPr>
        <w:t xml:space="preserve"> makes up a large proportion of these transfers and also has an important role for policy makers in the sector. In the case of water utilities, this is coming from international charitable organizations committed to supporting water infrastructure. In the open research infrastructure space, these are philanthropies and other charitable organizations supporting the provision of open infrastructure services.</w:t>
      </w:r>
    </w:p>
    <w:p w:rsidR="00000000" w:rsidDel="00000000" w:rsidP="00000000" w:rsidRDefault="00000000" w:rsidRPr="00000000" w14:paraId="00000019">
      <w:pPr>
        <w:rPr/>
      </w:pPr>
      <w:r w:rsidDel="00000000" w:rsidR="00000000" w:rsidRPr="00000000">
        <w:rPr>
          <w:rtl w:val="0"/>
        </w:rPr>
        <w:t xml:space="preserve">As the largest source of revenue to finance water supply and sanitation, tariffs play a central role in the financing of WASH services across the globe, particularly </w:t>
      </w:r>
      <w:r w:rsidDel="00000000" w:rsidR="00000000" w:rsidRPr="00000000">
        <w:rPr>
          <w:rtl w:val="0"/>
        </w:rPr>
        <w:t xml:space="preserve">operating</w:t>
      </w:r>
      <w:r w:rsidDel="00000000" w:rsidR="00000000" w:rsidRPr="00000000">
        <w:rPr>
          <w:rtl w:val="0"/>
        </w:rPr>
        <w:t xml:space="preserve"> costs. This makes addressing social justice issues around affordability and accessibility challenging, particularly in light of the UN global development goals for water and sanitation </w:t>
      </w:r>
      <w:r w:rsidDel="00000000" w:rsidR="00000000" w:rsidRPr="00000000">
        <w:rPr>
          <w:rtl w:val="0"/>
        </w:rPr>
        <w:t xml:space="preserve">(OECD, 2009a)</w:t>
      </w:r>
      <w:r w:rsidDel="00000000" w:rsidR="00000000" w:rsidRPr="00000000">
        <w:rPr>
          <w:rtl w:val="0"/>
        </w:rPr>
        <w:t xml:space="preserve">. Accordingly, a considerable amount of research has been done on various tariff structures </w:t>
      </w:r>
      <w:r w:rsidDel="00000000" w:rsidR="00000000" w:rsidRPr="00000000">
        <w:rPr>
          <w:rtl w:val="0"/>
        </w:rPr>
        <w:t xml:space="preserve">(OECD, 2009a)</w:t>
      </w:r>
      <w:r w:rsidDel="00000000" w:rsidR="00000000" w:rsidRPr="00000000">
        <w:rPr>
          <w:rtl w:val="0"/>
        </w:rPr>
        <w:t xml:space="preserve">, appropriate strategies to price setting </w:t>
      </w:r>
      <w:r w:rsidDel="00000000" w:rsidR="00000000" w:rsidRPr="00000000">
        <w:rPr>
          <w:rtl w:val="0"/>
        </w:rPr>
        <w:t xml:space="preserve">(Brikke &amp; Rojas, 2001)</w:t>
      </w:r>
      <w:r w:rsidDel="00000000" w:rsidR="00000000" w:rsidRPr="00000000">
        <w:rPr>
          <w:rtl w:val="0"/>
        </w:rPr>
        <w:t xml:space="preserve">, and ways of subsidizing tariffs through taxes or transfers </w:t>
      </w:r>
      <w:r w:rsidDel="00000000" w:rsidR="00000000" w:rsidRPr="00000000">
        <w:rPr>
          <w:rtl w:val="0"/>
        </w:rPr>
        <w:t xml:space="preserve">(OECD, 2019)</w:t>
      </w:r>
      <w:r w:rsidDel="00000000" w:rsidR="00000000" w:rsidRPr="00000000">
        <w:rPr>
          <w:rtl w:val="0"/>
        </w:rPr>
        <w:t xml:space="preserve">. Such detailed models are beyond the scope of this work but point to the great deal of work that’s been done to maintain equity in the process of covering the costs of providing a vital public good. These could be important reference models to address the concerns about limiting access, particularly for historically marginalized populations when open infrastructure services explore user fees.  </w:t>
      </w:r>
    </w:p>
    <w:p w:rsidR="00000000" w:rsidDel="00000000" w:rsidP="00000000" w:rsidRDefault="00000000" w:rsidRPr="00000000" w14:paraId="0000001A">
      <w:pPr>
        <w:rPr/>
      </w:pPr>
      <w:r w:rsidDel="00000000" w:rsidR="00000000" w:rsidRPr="00000000">
        <w:rPr>
          <w:rtl w:val="0"/>
        </w:rPr>
        <w:t xml:space="preserve">While tariffs are important to the operation of sustainable WASH systems, the OECD provides deeper analyses of how taxes and transfers can support strategic financial planning, including important infrastructure investment in WASH systems to further their development. Taxes can be efficiently deployed to promote the consumption o</w:t>
      </w:r>
      <w:r w:rsidDel="00000000" w:rsidR="00000000" w:rsidRPr="00000000">
        <w:rPr>
          <w:rtl w:val="0"/>
        </w:rPr>
        <w:t xml:space="preserve">f common goods</w:t>
      </w:r>
      <w:r w:rsidDel="00000000" w:rsidR="00000000" w:rsidRPr="00000000">
        <w:rPr>
          <w:rtl w:val="0"/>
        </w:rPr>
        <w:t xml:space="preserve">, such as water and sanitation, as well as allow tariffs to rise gradually in the face of steep cost increases or permanently provide services below cost to deserving consumer groups </w:t>
      </w:r>
      <w:r w:rsidDel="00000000" w:rsidR="00000000" w:rsidRPr="00000000">
        <w:rPr>
          <w:rtl w:val="0"/>
        </w:rPr>
        <w:t xml:space="preserve">(OECD, 2009b, p. 41), thus increasing access to those unable to pay the full cost of the water they consume</w:t>
      </w:r>
      <w:r w:rsidDel="00000000" w:rsidR="00000000" w:rsidRPr="00000000">
        <w:rPr>
          <w:rtl w:val="0"/>
        </w:rPr>
        <w:t xml:space="preserve">. </w:t>
      </w:r>
    </w:p>
    <w:p w:rsidR="00000000" w:rsidDel="00000000" w:rsidP="00000000" w:rsidRDefault="00000000" w:rsidRPr="00000000" w14:paraId="0000001B">
      <w:pPr>
        <w:rPr>
          <w:rFonts w:ascii="Work Sans" w:cs="Work Sans" w:eastAsia="Work Sans" w:hAnsi="Work Sans"/>
        </w:rPr>
      </w:pPr>
      <w:r w:rsidDel="00000000" w:rsidR="00000000" w:rsidRPr="00000000">
        <w:rPr>
          <w:rtl w:val="0"/>
        </w:rPr>
        <w:t xml:space="preserve">The OECD also suggests that transfers might be especially effective at addressing and overcoming bottlenecks in the sector by supporting financial planning processes such as capacity building, advocacy, and coordination. Similar to taxes, transfers can also be used to ensure access to services by those with less financial means through tailored, targeted grant-delivery systems. Lastly, transfers can be specifically used to create sustainable funding sources by supporting the development and use of risk-management mechanisms that could help attract private funding </w:t>
      </w:r>
      <w:r w:rsidDel="00000000" w:rsidR="00000000" w:rsidRPr="00000000">
        <w:rPr>
          <w:rtl w:val="0"/>
        </w:rPr>
        <w:t xml:space="preserve">(OECD, 2009b, p. 45)</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C">
      <w:pPr>
        <w:rPr>
          <w:rFonts w:ascii="Work Sans" w:cs="Work Sans" w:eastAsia="Work Sans" w:hAnsi="Work Sans"/>
        </w:rPr>
      </w:pPr>
      <w:r w:rsidDel="00000000" w:rsidR="00000000" w:rsidRPr="00000000">
        <w:rPr>
          <w:rtl w:val="0"/>
        </w:rPr>
        <w:t xml:space="preserve">Since their introduction by the OECD, 3Ts have become a common tool of researchers, analysts, and service providers alike in the water sector </w:t>
      </w:r>
      <w:r w:rsidDel="00000000" w:rsidR="00000000" w:rsidRPr="00000000">
        <w:rPr>
          <w:rtl w:val="0"/>
        </w:rPr>
        <w:t xml:space="preserve">(WHO, 2017)</w:t>
      </w:r>
      <w:r w:rsidDel="00000000" w:rsidR="00000000" w:rsidRPr="00000000">
        <w:rPr>
          <w:rtl w:val="0"/>
        </w:rPr>
        <w:t xml:space="preserve">. Equipped with these tools of understanding the various means by which water infrastructure is financed, policymakers, funders, and service providers alike attempt to find the right mix of tariffs, taxes, and transfers for sustainable WASH services in various communities around the globe. However, various concerns have also been raised about the limitations of the methodology. </w:t>
      </w:r>
      <w:r w:rsidDel="00000000" w:rsidR="00000000" w:rsidRPr="00000000">
        <w:rPr>
          <w:rtl w:val="0"/>
        </w:rPr>
        <w:t xml:space="preserve">For instance, the choice of the three words themselves has been scrutinized for a host of reasons, such as the implied narrow understanding of tariffs due to its use in common language or the different use of transfers in India or Latin American countries. Additionally, the 3Ts framework tends to neglect those users who self-supply by making “household investments” in order to provide for their needs, though most organizations have adapted to including household self supply in the category of tariffs </w:t>
      </w:r>
      <w:r w:rsidDel="00000000" w:rsidR="00000000" w:rsidRPr="00000000">
        <w:rPr>
          <w:rtl w:val="0"/>
        </w:rPr>
        <w:t xml:space="preserve">(Danert &amp; Hutton, 2020; WHO, 2017; Fonseca et al., 2020)</w:t>
      </w:r>
      <w:r w:rsidDel="00000000" w:rsidR="00000000" w:rsidRPr="00000000">
        <w:rPr>
          <w:rFonts w:ascii="Work Sans" w:cs="Work Sans" w:eastAsia="Work Sans" w:hAnsi="Work Sans"/>
          <w:rtl w:val="0"/>
        </w:rPr>
        <w:t xml:space="preserve">.</w:t>
      </w:r>
      <w:r w:rsidDel="00000000" w:rsidR="00000000" w:rsidRPr="00000000">
        <w:rPr>
          <w:rtl w:val="0"/>
        </w:rPr>
      </w:r>
    </w:p>
    <w:p w:rsidR="00000000" w:rsidDel="00000000" w:rsidP="00000000" w:rsidRDefault="00000000" w:rsidRPr="00000000" w14:paraId="0000001D">
      <w:pPr>
        <w:pStyle w:val="Heading2"/>
        <w:rPr/>
      </w:pPr>
      <w:bookmarkStart w:colFirst="0" w:colLast="0" w:name="_w9wgy125j8m9" w:id="8"/>
      <w:bookmarkEnd w:id="8"/>
      <w:r w:rsidDel="00000000" w:rsidR="00000000" w:rsidRPr="00000000">
        <w:rPr>
          <w:rtl w:val="0"/>
        </w:rPr>
        <w:t xml:space="preserve">Funding Sources: </w:t>
      </w:r>
      <w:r w:rsidDel="00000000" w:rsidR="00000000" w:rsidRPr="00000000">
        <w:rPr>
          <w:rtl w:val="0"/>
        </w:rPr>
        <w:t xml:space="preserve">Trackfin</w:t>
      </w:r>
    </w:p>
    <w:p w:rsidR="00000000" w:rsidDel="00000000" w:rsidP="00000000" w:rsidRDefault="00000000" w:rsidRPr="00000000" w14:paraId="0000001E">
      <w:pPr>
        <w:rPr/>
      </w:pPr>
      <w:r w:rsidDel="00000000" w:rsidR="00000000" w:rsidRPr="00000000">
        <w:rPr>
          <w:rtl w:val="0"/>
        </w:rPr>
        <w:t xml:space="preserve">To address the shortcomings in having available financial information from the WASH sector that captures all sources of funds, the WHO, as part of the UN-Water Global Analysis and Assessment of Sanitation and Drinking-Water (UN-GLAAS) project, developed a methodology for identifying and tracking financing for water supply and sanitation as part of the Tracking Financing to WASH or TrackFin Initiative </w:t>
      </w:r>
      <w:hyperlink r:id="rId12">
        <w:r w:rsidDel="00000000" w:rsidR="00000000" w:rsidRPr="00000000">
          <w:rPr>
            <w:rtl w:val="0"/>
          </w:rPr>
          <w:t xml:space="preserve">(WHO, 2017)</w:t>
        </w:r>
      </w:hyperlink>
      <w:r w:rsidDel="00000000" w:rsidR="00000000" w:rsidRPr="00000000">
        <w:rPr>
          <w:rtl w:val="0"/>
        </w:rPr>
        <w:t xml:space="preserve">. As part of this initiative, the following financing types are described:</w:t>
      </w:r>
    </w:p>
    <w:p w:rsidR="00000000" w:rsidDel="00000000" w:rsidP="00000000" w:rsidRDefault="00000000" w:rsidRPr="00000000" w14:paraId="0000001F">
      <w:pPr>
        <w:numPr>
          <w:ilvl w:val="0"/>
          <w:numId w:val="3"/>
        </w:numPr>
        <w:spacing w:after="0" w:afterAutospacing="0"/>
        <w:ind w:left="720" w:hanging="360"/>
        <w:rPr>
          <w:u w:val="none"/>
        </w:rPr>
      </w:pPr>
      <w:r w:rsidDel="00000000" w:rsidR="00000000" w:rsidRPr="00000000">
        <w:rPr>
          <w:rtl w:val="0"/>
        </w:rPr>
        <w:t xml:space="preserve">Tariffs (user fees for services provided)</w:t>
      </w:r>
    </w:p>
    <w:p w:rsidR="00000000" w:rsidDel="00000000" w:rsidP="00000000" w:rsidRDefault="00000000" w:rsidRPr="00000000" w14:paraId="00000020">
      <w:pPr>
        <w:numPr>
          <w:ilvl w:val="0"/>
          <w:numId w:val="3"/>
        </w:numPr>
        <w:spacing w:after="0" w:afterAutospacing="0" w:before="0" w:beforeAutospacing="0"/>
        <w:ind w:left="720" w:hanging="360"/>
        <w:rPr>
          <w:u w:val="none"/>
        </w:rPr>
      </w:pPr>
      <w:r w:rsidDel="00000000" w:rsidR="00000000" w:rsidRPr="00000000">
        <w:rPr>
          <w:rtl w:val="0"/>
        </w:rPr>
        <w:t xml:space="preserve">Users’ expenditure on self-supply</w:t>
      </w:r>
    </w:p>
    <w:p w:rsidR="00000000" w:rsidDel="00000000" w:rsidP="00000000" w:rsidRDefault="00000000" w:rsidRPr="00000000" w14:paraId="00000021">
      <w:pPr>
        <w:numPr>
          <w:ilvl w:val="0"/>
          <w:numId w:val="3"/>
        </w:numPr>
        <w:spacing w:after="0" w:afterAutospacing="0" w:before="0" w:beforeAutospacing="0"/>
        <w:ind w:left="720" w:hanging="360"/>
        <w:rPr>
          <w:u w:val="none"/>
        </w:rPr>
      </w:pPr>
      <w:r w:rsidDel="00000000" w:rsidR="00000000" w:rsidRPr="00000000">
        <w:rPr>
          <w:rtl w:val="0"/>
        </w:rPr>
        <w:t xml:space="preserve">Domestic public transfers (central or local government subsidies from taxes and other government revenue, usually provided in the form of grants)</w:t>
      </w:r>
    </w:p>
    <w:p w:rsidR="00000000" w:rsidDel="00000000" w:rsidP="00000000" w:rsidRDefault="00000000" w:rsidRPr="00000000" w14:paraId="00000022">
      <w:pPr>
        <w:numPr>
          <w:ilvl w:val="0"/>
          <w:numId w:val="3"/>
        </w:numPr>
        <w:spacing w:after="0" w:afterAutospacing="0" w:before="0" w:beforeAutospacing="0"/>
        <w:ind w:left="720" w:hanging="360"/>
        <w:rPr>
          <w:u w:val="none"/>
        </w:rPr>
      </w:pPr>
      <w:r w:rsidDel="00000000" w:rsidR="00000000" w:rsidRPr="00000000">
        <w:rPr>
          <w:rtl w:val="0"/>
        </w:rPr>
        <w:t xml:space="preserve">International public transfers (grants and voluntary donations originating from foreign governments</w:t>
      </w:r>
      <w:r w:rsidDel="00000000" w:rsidR="00000000" w:rsidRPr="00000000">
        <w:rPr>
          <w:rtl w:val="0"/>
        </w:rPr>
        <w:t xml:space="preserve"> </w:t>
      </w:r>
      <w:r w:rsidDel="00000000" w:rsidR="00000000" w:rsidRPr="00000000">
        <w:rPr>
          <w:rtl w:val="0"/>
        </w:rPr>
        <w:t xml:space="preserve">and other public sector entities outside the country, as well as multilateral agencies)</w:t>
      </w:r>
    </w:p>
    <w:p w:rsidR="00000000" w:rsidDel="00000000" w:rsidP="00000000" w:rsidRDefault="00000000" w:rsidRPr="00000000" w14:paraId="00000023">
      <w:pPr>
        <w:numPr>
          <w:ilvl w:val="0"/>
          <w:numId w:val="3"/>
        </w:numPr>
        <w:spacing w:after="0" w:afterAutospacing="0" w:before="0" w:beforeAutospacing="0"/>
        <w:ind w:left="720" w:hanging="360"/>
        <w:rPr>
          <w:u w:val="none"/>
        </w:rPr>
      </w:pPr>
      <w:r w:rsidDel="00000000" w:rsidR="00000000" w:rsidRPr="00000000">
        <w:rPr>
          <w:rtl w:val="0"/>
        </w:rPr>
        <w:t xml:space="preserve">Voluntary contributions (donations and grants from both international and national non-governmental organizations, charities</w:t>
      </w:r>
      <w:r w:rsidDel="00000000" w:rsidR="00000000" w:rsidRPr="00000000">
        <w:rPr>
          <w:rtl w:val="0"/>
        </w:rPr>
        <w:t xml:space="preserve">, civil society organizations, and individuals</w:t>
      </w:r>
      <w:r w:rsidDel="00000000" w:rsidR="00000000" w:rsidRPr="00000000">
        <w:rPr>
          <w:rtl w:val="0"/>
        </w:rPr>
        <w:t xml:space="preserve">)</w:t>
      </w:r>
    </w:p>
    <w:p w:rsidR="00000000" w:rsidDel="00000000" w:rsidP="00000000" w:rsidRDefault="00000000" w:rsidRPr="00000000" w14:paraId="00000024">
      <w:pPr>
        <w:numPr>
          <w:ilvl w:val="0"/>
          <w:numId w:val="3"/>
        </w:numPr>
        <w:spacing w:before="0" w:beforeAutospacing="0"/>
        <w:ind w:left="720" w:hanging="360"/>
        <w:rPr>
          <w:u w:val="none"/>
        </w:rPr>
      </w:pPr>
      <w:r w:rsidDel="00000000" w:rsidR="00000000" w:rsidRPr="00000000">
        <w:rPr>
          <w:rtl w:val="0"/>
        </w:rPr>
        <w:t xml:space="preserve">Repayable financing (all sources of financing requiring some form of repayment, including government-financed loans, guarantees, bonds, and other financial instruments)</w:t>
      </w:r>
    </w:p>
    <w:p w:rsidR="00000000" w:rsidDel="00000000" w:rsidP="00000000" w:rsidRDefault="00000000" w:rsidRPr="00000000" w14:paraId="00000025">
      <w:pPr>
        <w:rPr/>
      </w:pPr>
      <w:r w:rsidDel="00000000" w:rsidR="00000000" w:rsidRPr="00000000">
        <w:rPr>
          <w:rtl w:val="0"/>
        </w:rPr>
        <w:t xml:space="preserve">This more nuanced system is helpful for better understanding the various financial flows that support the operation of WASH infrastructure beyond the simple 3Ts breakdown. </w:t>
      </w:r>
      <w:r w:rsidDel="00000000" w:rsidR="00000000" w:rsidRPr="00000000">
        <w:rPr>
          <w:rtl w:val="0"/>
        </w:rPr>
      </w:r>
    </w:p>
    <w:p w:rsidR="00000000" w:rsidDel="00000000" w:rsidP="00000000" w:rsidRDefault="00000000" w:rsidRPr="00000000" w14:paraId="00000026">
      <w:pPr>
        <w:pStyle w:val="Heading2"/>
        <w:rPr/>
      </w:pPr>
      <w:bookmarkStart w:colFirst="0" w:colLast="0" w:name="_ftju85gnt34e" w:id="9"/>
      <w:bookmarkEnd w:id="9"/>
      <w:r w:rsidDel="00000000" w:rsidR="00000000" w:rsidRPr="00000000">
        <w:rPr>
          <w:rtl w:val="0"/>
        </w:rPr>
        <w:t xml:space="preserve">Cost Accounting: </w:t>
      </w:r>
      <w:r w:rsidDel="00000000" w:rsidR="00000000" w:rsidRPr="00000000">
        <w:rPr>
          <w:rtl w:val="0"/>
        </w:rPr>
        <w:t xml:space="preserve">Life-Cycle Cost Approach</w:t>
      </w:r>
    </w:p>
    <w:p w:rsidR="00000000" w:rsidDel="00000000" w:rsidP="00000000" w:rsidRDefault="00000000" w:rsidRPr="00000000" w14:paraId="00000027">
      <w:pPr>
        <w:rPr/>
      </w:pPr>
      <w:r w:rsidDel="00000000" w:rsidR="00000000" w:rsidRPr="00000000">
        <w:rPr>
          <w:rtl w:val="0"/>
        </w:rPr>
        <w:t xml:space="preserve">Building on their decades-long experience in water sanitation and supply, the IRC conducted a series of country studies to evaluate approaches to</w:t>
      </w:r>
      <w:r w:rsidDel="00000000" w:rsidR="00000000" w:rsidRPr="00000000">
        <w:rPr>
          <w:rtl w:val="0"/>
        </w:rPr>
        <w:t xml:space="preserve"> </w:t>
      </w:r>
      <w:r w:rsidDel="00000000" w:rsidR="00000000" w:rsidRPr="00000000">
        <w:rPr>
          <w:rtl w:val="0"/>
        </w:rPr>
        <w:t xml:space="preserve">cost recovery for  water sanitation and supply systems in rural regions. From this work, they developed a categorization of costs for designing, building, and maintaining WASH infrastructure (Fonseca et al., 2011). This list is as follows:</w:t>
      </w:r>
    </w:p>
    <w:p w:rsidR="00000000" w:rsidDel="00000000" w:rsidP="00000000" w:rsidRDefault="00000000" w:rsidRPr="00000000" w14:paraId="00000028">
      <w:pPr>
        <w:numPr>
          <w:ilvl w:val="0"/>
          <w:numId w:val="6"/>
        </w:numPr>
        <w:spacing w:after="0" w:afterAutospacing="0"/>
        <w:ind w:left="720" w:hanging="360"/>
        <w:rPr>
          <w:u w:val="none"/>
        </w:rPr>
      </w:pPr>
      <w:r w:rsidDel="00000000" w:rsidR="00000000" w:rsidRPr="00000000">
        <w:rPr>
          <w:i w:val="1"/>
          <w:rtl w:val="0"/>
        </w:rPr>
        <w:t xml:space="preserve">Capital expenditure (CapEx)</w:t>
      </w:r>
      <w:r w:rsidDel="00000000" w:rsidR="00000000" w:rsidRPr="00000000">
        <w:rPr>
          <w:rtl w:val="0"/>
        </w:rPr>
        <w:t xml:space="preserve"> – investments to construct or purchase fixed assets. These also include one-off software costs such as training and </w:t>
      </w:r>
      <w:r w:rsidDel="00000000" w:rsidR="00000000" w:rsidRPr="00000000">
        <w:rPr>
          <w:rtl w:val="0"/>
        </w:rPr>
        <w:t xml:space="preserve">information</w:t>
      </w:r>
      <w:r w:rsidDel="00000000" w:rsidR="00000000" w:rsidRPr="00000000">
        <w:rPr>
          <w:rtl w:val="0"/>
        </w:rPr>
        <w:t xml:space="preserve"> campaigns.</w:t>
      </w:r>
    </w:p>
    <w:p w:rsidR="00000000" w:rsidDel="00000000" w:rsidP="00000000" w:rsidRDefault="00000000" w:rsidRPr="00000000" w14:paraId="00000029">
      <w:pPr>
        <w:numPr>
          <w:ilvl w:val="0"/>
          <w:numId w:val="6"/>
        </w:numPr>
        <w:spacing w:after="0" w:afterAutospacing="0" w:before="0" w:beforeAutospacing="0"/>
        <w:ind w:left="720" w:hanging="360"/>
        <w:rPr>
          <w:u w:val="none"/>
        </w:rPr>
      </w:pPr>
      <w:r w:rsidDel="00000000" w:rsidR="00000000" w:rsidRPr="00000000">
        <w:rPr>
          <w:i w:val="1"/>
          <w:rtl w:val="0"/>
        </w:rPr>
        <w:t xml:space="preserve">Operating and minor maintenance expenditure (OpEx)</w:t>
      </w:r>
      <w:r w:rsidDel="00000000" w:rsidR="00000000" w:rsidRPr="00000000">
        <w:rPr>
          <w:rtl w:val="0"/>
        </w:rPr>
        <w:t xml:space="preserve"> - regular and ongoing expenses to cover ongoing operations, as well as recurring maintenance to keep systems operational.</w:t>
      </w:r>
    </w:p>
    <w:p w:rsidR="00000000" w:rsidDel="00000000" w:rsidP="00000000" w:rsidRDefault="00000000" w:rsidRPr="00000000" w14:paraId="0000002A">
      <w:pPr>
        <w:numPr>
          <w:ilvl w:val="0"/>
          <w:numId w:val="6"/>
        </w:numPr>
        <w:spacing w:after="0" w:afterAutospacing="0" w:before="0" w:beforeAutospacing="0"/>
        <w:ind w:left="720" w:hanging="360"/>
        <w:rPr>
          <w:u w:val="none"/>
        </w:rPr>
      </w:pPr>
      <w:r w:rsidDel="00000000" w:rsidR="00000000" w:rsidRPr="00000000">
        <w:rPr>
          <w:i w:val="1"/>
          <w:rtl w:val="0"/>
        </w:rPr>
        <w:t xml:space="preserve">Capital maintenance expenditure (CapManEx)</w:t>
      </w:r>
      <w:r w:rsidDel="00000000" w:rsidR="00000000" w:rsidRPr="00000000">
        <w:rPr>
          <w:rtl w:val="0"/>
        </w:rPr>
        <w:t xml:space="preserve"> - maintenance expenditures beyond minor recurring expenses on asset renewal, replacement, or rehabilitation.</w:t>
      </w:r>
    </w:p>
    <w:p w:rsidR="00000000" w:rsidDel="00000000" w:rsidP="00000000" w:rsidRDefault="00000000" w:rsidRPr="00000000" w14:paraId="0000002B">
      <w:pPr>
        <w:numPr>
          <w:ilvl w:val="0"/>
          <w:numId w:val="6"/>
        </w:numPr>
        <w:spacing w:after="0" w:afterAutospacing="0" w:before="0" w:beforeAutospacing="0"/>
        <w:ind w:left="720" w:hanging="360"/>
        <w:rPr>
          <w:u w:val="none"/>
        </w:rPr>
      </w:pPr>
      <w:r w:rsidDel="00000000" w:rsidR="00000000" w:rsidRPr="00000000">
        <w:rPr>
          <w:i w:val="1"/>
          <w:rtl w:val="0"/>
        </w:rPr>
        <w:t xml:space="preserve">Cost of capital (CoC)</w:t>
      </w:r>
      <w:r w:rsidDel="00000000" w:rsidR="00000000" w:rsidRPr="00000000">
        <w:rPr>
          <w:rtl w:val="0"/>
        </w:rPr>
        <w:t xml:space="preserve"> - financing costs associated with capital expenditures</w:t>
      </w:r>
    </w:p>
    <w:p w:rsidR="00000000" w:rsidDel="00000000" w:rsidP="00000000" w:rsidRDefault="00000000" w:rsidRPr="00000000" w14:paraId="0000002C">
      <w:pPr>
        <w:numPr>
          <w:ilvl w:val="0"/>
          <w:numId w:val="6"/>
        </w:numPr>
        <w:spacing w:after="0" w:afterAutospacing="0" w:before="0" w:beforeAutospacing="0"/>
        <w:ind w:left="720" w:hanging="360"/>
        <w:rPr>
          <w:i w:val="1"/>
        </w:rPr>
      </w:pPr>
      <w:r w:rsidDel="00000000" w:rsidR="00000000" w:rsidRPr="00000000">
        <w:rPr>
          <w:i w:val="1"/>
          <w:rtl w:val="0"/>
        </w:rPr>
        <w:t xml:space="preserve">Expenditure on direct support (ExpDS) - </w:t>
      </w:r>
      <w:r w:rsidDel="00000000" w:rsidR="00000000" w:rsidRPr="00000000">
        <w:rPr>
          <w:rtl w:val="0"/>
        </w:rPr>
        <w:t xml:space="preserve">the costs of the people that are needed to ensure services are delivered, those that supervise service providers</w:t>
      </w:r>
    </w:p>
    <w:p w:rsidR="00000000" w:rsidDel="00000000" w:rsidP="00000000" w:rsidRDefault="00000000" w:rsidRPr="00000000" w14:paraId="0000002D">
      <w:pPr>
        <w:numPr>
          <w:ilvl w:val="0"/>
          <w:numId w:val="6"/>
        </w:numPr>
        <w:spacing w:before="0" w:beforeAutospacing="0"/>
        <w:ind w:left="720" w:hanging="360"/>
        <w:rPr>
          <w:i w:val="1"/>
        </w:rPr>
      </w:pPr>
      <w:r w:rsidDel="00000000" w:rsidR="00000000" w:rsidRPr="00000000">
        <w:rPr>
          <w:i w:val="1"/>
          <w:rtl w:val="0"/>
        </w:rPr>
        <w:t xml:space="preserve">Expenditure on indirect support (ExpIDS) - </w:t>
      </w:r>
      <w:r w:rsidDel="00000000" w:rsidR="00000000" w:rsidRPr="00000000">
        <w:rPr>
          <w:rtl w:val="0"/>
        </w:rPr>
        <w:t xml:space="preserve">the costs of the people at the national level that do the regulation and planning of the sector </w:t>
      </w:r>
    </w:p>
    <w:p w:rsidR="00000000" w:rsidDel="00000000" w:rsidP="00000000" w:rsidRDefault="00000000" w:rsidRPr="00000000" w14:paraId="0000002E">
      <w:pPr>
        <w:rPr/>
      </w:pPr>
      <w:r w:rsidDel="00000000" w:rsidR="00000000" w:rsidRPr="00000000">
        <w:rPr>
          <w:rtl w:val="0"/>
        </w:rPr>
        <w:t xml:space="preserve">The life cycle cost approach distinguishes between investment costs and recurring costs that relate to the initiation phase and ongoing phase of service delivery </w:t>
      </w:r>
      <w:r w:rsidDel="00000000" w:rsidR="00000000" w:rsidRPr="00000000">
        <w:rPr>
          <w:rtl w:val="0"/>
        </w:rPr>
        <w:t xml:space="preserve">(Abrams et al., 1998)</w:t>
      </w:r>
      <w:r w:rsidDel="00000000" w:rsidR="00000000" w:rsidRPr="00000000">
        <w:rPr>
          <w:rtl w:val="0"/>
        </w:rPr>
        <w:t xml:space="preserve">. Furthermore, the approach shifts attention to often underestimated and neglected costs such as expenditures for larger investments for maintenance of capital or expenditures for direct and indirect support structures to better understand recurring costs for the operation and maintenance of infrastructure. Each of these is discussed in more detail below.</w:t>
      </w:r>
    </w:p>
    <w:p w:rsidR="00000000" w:rsidDel="00000000" w:rsidP="00000000" w:rsidRDefault="00000000" w:rsidRPr="00000000" w14:paraId="0000002F">
      <w:pPr>
        <w:pStyle w:val="Heading3"/>
        <w:rPr/>
      </w:pPr>
      <w:bookmarkStart w:colFirst="0" w:colLast="0" w:name="_f5tavfivp6uk" w:id="10"/>
      <w:bookmarkEnd w:id="10"/>
      <w:r w:rsidDel="00000000" w:rsidR="00000000" w:rsidRPr="00000000">
        <w:rPr>
          <w:rtl w:val="0"/>
        </w:rPr>
        <w:t xml:space="preserve">Investment costs</w:t>
      </w:r>
    </w:p>
    <w:p w:rsidR="00000000" w:rsidDel="00000000" w:rsidP="00000000" w:rsidRDefault="00000000" w:rsidRPr="00000000" w14:paraId="00000030">
      <w:pPr>
        <w:rPr/>
      </w:pPr>
      <w:r w:rsidDel="00000000" w:rsidR="00000000" w:rsidRPr="00000000">
        <w:rPr>
          <w:rtl w:val="0"/>
        </w:rPr>
        <w:t xml:space="preserve">This “lumpy” category of costs is essential to getting the service built and operational, ensuring it provides sufficient capacity, and is able to meet demand now and into the future. In the case of water infrastructure, this is the pumping, purification, piping, and storage equipment for collecting, cleaning, and supplying water to users. In research infrastructure, this is servers and tools that provide the service. As with water sanitation, these are limited in their capacity and must be upgraded over time to ensure they meet current and future needs.</w:t>
      </w:r>
    </w:p>
    <w:p w:rsidR="00000000" w:rsidDel="00000000" w:rsidP="00000000" w:rsidRDefault="00000000" w:rsidRPr="00000000" w14:paraId="00000031">
      <w:pPr>
        <w:numPr>
          <w:ilvl w:val="0"/>
          <w:numId w:val="1"/>
        </w:numPr>
        <w:ind w:left="720" w:hanging="360"/>
        <w:rPr>
          <w:u w:val="none"/>
        </w:rPr>
      </w:pPr>
      <w:r w:rsidDel="00000000" w:rsidR="00000000" w:rsidRPr="00000000">
        <w:rPr>
          <w:i w:val="1"/>
          <w:rtl w:val="0"/>
        </w:rPr>
        <w:t xml:space="preserve">Capital expenditure (CapEx)</w:t>
      </w:r>
      <w:r w:rsidDel="00000000" w:rsidR="00000000" w:rsidRPr="00000000">
        <w:rPr>
          <w:rtl w:val="0"/>
        </w:rPr>
        <w:t xml:space="preserve"> is the capital invested in purchasing or developing fixed assets required to establish a new service including costs such as </w:t>
      </w:r>
      <w:r w:rsidDel="00000000" w:rsidR="00000000" w:rsidRPr="00000000">
        <w:rPr>
          <w:rtl w:val="0"/>
        </w:rPr>
        <w:t xml:space="preserve">the acquisition of technology and tools, initial development of software</w:t>
      </w:r>
      <w:r w:rsidDel="00000000" w:rsidR="00000000" w:rsidRPr="00000000">
        <w:rPr>
          <w:rtl w:val="0"/>
        </w:rPr>
        <w:t xml:space="preserve">, but also necessary one-off studies or associated training and consultation. Investments of this kind are large and typically “lumpy” in their nature in contrast to other regular ongoing costs that tend to be more stable and consistent over time. CapEx is distinguished from other larger investments in the improvement of the quality or quantity of service delivery, expanding capacity, and improving the ability of the organization to deliver the service.</w:t>
      </w:r>
    </w:p>
    <w:p w:rsidR="00000000" w:rsidDel="00000000" w:rsidP="00000000" w:rsidRDefault="00000000" w:rsidRPr="00000000" w14:paraId="00000032">
      <w:pPr>
        <w:pStyle w:val="Heading3"/>
        <w:rPr/>
      </w:pPr>
      <w:bookmarkStart w:colFirst="0" w:colLast="0" w:name="_tvv8r4kwg122" w:id="11"/>
      <w:bookmarkEnd w:id="11"/>
      <w:r w:rsidDel="00000000" w:rsidR="00000000" w:rsidRPr="00000000">
        <w:rPr>
          <w:rtl w:val="0"/>
        </w:rPr>
        <w:t xml:space="preserve">Recurring costs</w:t>
      </w:r>
    </w:p>
    <w:p w:rsidR="00000000" w:rsidDel="00000000" w:rsidP="00000000" w:rsidRDefault="00000000" w:rsidRPr="00000000" w14:paraId="00000033">
      <w:pPr>
        <w:rPr/>
      </w:pPr>
      <w:r w:rsidDel="00000000" w:rsidR="00000000" w:rsidRPr="00000000">
        <w:rPr>
          <w:rtl w:val="0"/>
        </w:rPr>
        <w:t xml:space="preserve">The second larger group of costs are the recurring costs of an ongoing service which can be further disaggregated into specific cost categories.</w:t>
      </w:r>
    </w:p>
    <w:p w:rsidR="00000000" w:rsidDel="00000000" w:rsidP="00000000" w:rsidRDefault="00000000" w:rsidRPr="00000000" w14:paraId="00000034">
      <w:pPr>
        <w:numPr>
          <w:ilvl w:val="0"/>
          <w:numId w:val="2"/>
        </w:numPr>
        <w:spacing w:after="0" w:afterAutospacing="0"/>
        <w:ind w:left="720" w:hanging="360"/>
        <w:rPr>
          <w:u w:val="none"/>
        </w:rPr>
      </w:pPr>
      <w:r w:rsidDel="00000000" w:rsidR="00000000" w:rsidRPr="00000000">
        <w:rPr>
          <w:i w:val="1"/>
          <w:rtl w:val="0"/>
        </w:rPr>
        <w:t xml:space="preserve">Operational and minor maintenance expenditure (OpEx)</w:t>
      </w:r>
      <w:r w:rsidDel="00000000" w:rsidR="00000000" w:rsidRPr="00000000">
        <w:rPr>
          <w:rtl w:val="0"/>
        </w:rPr>
        <w:t xml:space="preserve"> are routine costs required to keep a service running. Operating costs include all recurrent expenditures that are required to provide the service including wages, bills, service fees, or any other regular purchase. Maintenance costs include the routine expenditures required to keep the underlying systems running with expected performance such as minor fixes, updates, or technical maintenance of infrastructure. OpEx are therefore regular smaller costs that maintain the service delivery level. </w:t>
      </w:r>
    </w:p>
    <w:p w:rsidR="00000000" w:rsidDel="00000000" w:rsidP="00000000" w:rsidRDefault="00000000" w:rsidRPr="00000000" w14:paraId="00000035">
      <w:pPr>
        <w:numPr>
          <w:ilvl w:val="0"/>
          <w:numId w:val="2"/>
        </w:numPr>
        <w:spacing w:after="0" w:afterAutospacing="0" w:before="0" w:beforeAutospacing="0"/>
        <w:ind w:left="720" w:hanging="360"/>
        <w:rPr>
          <w:u w:val="none"/>
        </w:rPr>
      </w:pPr>
      <w:r w:rsidDel="00000000" w:rsidR="00000000" w:rsidRPr="00000000">
        <w:rPr>
          <w:i w:val="1"/>
          <w:rtl w:val="0"/>
        </w:rPr>
        <w:t xml:space="preserve">Capital Maintenance Expenditure (CapManEx)</w:t>
      </w:r>
      <w:r w:rsidDel="00000000" w:rsidR="00000000" w:rsidRPr="00000000">
        <w:rPr>
          <w:rtl w:val="0"/>
        </w:rPr>
        <w:t xml:space="preserve"> are occasional expenses required to keep service delivery at the designed level beyond the routine maintenance and repair costs. These larger expenditures usually are required to avoid system failure or to ensure future operability. CapManEx are therefore less frequent and more expensive than OpEx but do not change the service delivery level as CapEx do. </w:t>
      </w:r>
    </w:p>
    <w:p w:rsidR="00000000" w:rsidDel="00000000" w:rsidP="00000000" w:rsidRDefault="00000000" w:rsidRPr="00000000" w14:paraId="00000036">
      <w:pPr>
        <w:numPr>
          <w:ilvl w:val="0"/>
          <w:numId w:val="2"/>
        </w:numPr>
        <w:spacing w:after="0" w:afterAutospacing="0" w:before="0" w:beforeAutospacing="0"/>
        <w:ind w:left="720" w:hanging="360"/>
        <w:rPr>
          <w:u w:val="none"/>
        </w:rPr>
      </w:pPr>
      <w:r w:rsidDel="00000000" w:rsidR="00000000" w:rsidRPr="00000000">
        <w:rPr>
          <w:i w:val="1"/>
          <w:rtl w:val="0"/>
        </w:rPr>
        <w:t xml:space="preserve">Cost of Capital (CoC)</w:t>
      </w:r>
      <w:r w:rsidDel="00000000" w:rsidR="00000000" w:rsidRPr="00000000">
        <w:rPr>
          <w:rtl w:val="0"/>
        </w:rPr>
        <w:t xml:space="preserve"> is the cost of financing a service; i.e. the cost of accessing the funds needed to create and provide the service. This includes capital repayments and the cost of capital such as interest and fees on loans.</w:t>
      </w:r>
    </w:p>
    <w:p w:rsidR="00000000" w:rsidDel="00000000" w:rsidP="00000000" w:rsidRDefault="00000000" w:rsidRPr="00000000" w14:paraId="00000037">
      <w:pPr>
        <w:numPr>
          <w:ilvl w:val="0"/>
          <w:numId w:val="2"/>
        </w:numPr>
        <w:spacing w:after="0" w:afterAutospacing="0" w:before="0" w:beforeAutospacing="0"/>
        <w:ind w:left="720" w:hanging="360"/>
        <w:rPr>
          <w:u w:val="none"/>
        </w:rPr>
      </w:pPr>
      <w:r w:rsidDel="00000000" w:rsidR="00000000" w:rsidRPr="00000000">
        <w:rPr>
          <w:i w:val="1"/>
          <w:rtl w:val="0"/>
        </w:rPr>
        <w:t xml:space="preserve">Expenditures for direct support (ExpDS)</w:t>
      </w:r>
      <w:r w:rsidDel="00000000" w:rsidR="00000000" w:rsidRPr="00000000">
        <w:rPr>
          <w:rtl w:val="0"/>
        </w:rPr>
        <w:t xml:space="preserve"> include the cost of support activities directed to local-level stakeholders (the definition of local-level depends on the specific service), users, and user groups. IRC provides the example of user satisfaction surveys or handling complaints as costs that are often included as overhead in OpEx.</w:t>
      </w:r>
    </w:p>
    <w:p w:rsidR="00000000" w:rsidDel="00000000" w:rsidP="00000000" w:rsidRDefault="00000000" w:rsidRPr="00000000" w14:paraId="00000038">
      <w:pPr>
        <w:numPr>
          <w:ilvl w:val="0"/>
          <w:numId w:val="2"/>
        </w:numPr>
        <w:spacing w:before="0" w:beforeAutospacing="0"/>
        <w:ind w:left="720" w:hanging="360"/>
        <w:rPr>
          <w:u w:val="none"/>
        </w:rPr>
      </w:pPr>
      <w:r w:rsidDel="00000000" w:rsidR="00000000" w:rsidRPr="00000000">
        <w:rPr>
          <w:i w:val="1"/>
          <w:rtl w:val="0"/>
        </w:rPr>
        <w:t xml:space="preserve">Expenditures for indirect support (ExpIDS)</w:t>
      </w:r>
      <w:r w:rsidDel="00000000" w:rsidR="00000000" w:rsidRPr="00000000">
        <w:rPr>
          <w:rtl w:val="0"/>
        </w:rPr>
        <w:t xml:space="preserve"> include the activities at the macro-level such as capacity building, policy, planning, and monitoring contributing to the larger sector while not targeting individual programmes or projects. These may include government-level development and regulatory frameworks, institutional arrangements, or capacity building for professionals and technicians in the sector.</w:t>
      </w:r>
    </w:p>
    <w:p w:rsidR="00000000" w:rsidDel="00000000" w:rsidP="00000000" w:rsidRDefault="00000000" w:rsidRPr="00000000" w14:paraId="00000039">
      <w:pPr>
        <w:rPr/>
      </w:pPr>
      <w:r w:rsidDel="00000000" w:rsidR="00000000" w:rsidRPr="00000000">
        <w:rPr>
          <w:rtl w:val="0"/>
        </w:rPr>
        <w:t xml:space="preserve">The WHO borrows the life-cycle cost approach of the IRC in the TrackFin Initiative, modifying it into 6 categories of costs associated with water supply and sanitation </w:t>
      </w:r>
      <w:hyperlink r:id="rId13">
        <w:r w:rsidDel="00000000" w:rsidR="00000000" w:rsidRPr="00000000">
          <w:rPr>
            <w:u w:val="none"/>
            <w:rtl w:val="0"/>
          </w:rPr>
          <w:t xml:space="preserve">(WHO, 2017)</w:t>
        </w:r>
      </w:hyperlink>
      <w:r w:rsidDel="00000000" w:rsidR="00000000" w:rsidRPr="00000000">
        <w:rPr>
          <w:rtl w:val="0"/>
        </w:rPr>
        <w:t xml:space="preserve">. These include:</w:t>
      </w:r>
    </w:p>
    <w:p w:rsidR="00000000" w:rsidDel="00000000" w:rsidP="00000000" w:rsidRDefault="00000000" w:rsidRPr="00000000" w14:paraId="0000003A">
      <w:pPr>
        <w:numPr>
          <w:ilvl w:val="0"/>
          <w:numId w:val="4"/>
        </w:numPr>
        <w:spacing w:after="0" w:afterAutospacing="0"/>
        <w:ind w:left="720" w:hanging="360"/>
      </w:pPr>
      <w:r w:rsidDel="00000000" w:rsidR="00000000" w:rsidRPr="00000000">
        <w:rPr>
          <w:rtl w:val="0"/>
        </w:rPr>
        <w:t xml:space="preserve">Investment costs (including hardware and associated support)</w:t>
      </w:r>
    </w:p>
    <w:p w:rsidR="00000000" w:rsidDel="00000000" w:rsidP="00000000" w:rsidRDefault="00000000" w:rsidRPr="00000000" w14:paraId="0000003B">
      <w:pPr>
        <w:numPr>
          <w:ilvl w:val="0"/>
          <w:numId w:val="4"/>
        </w:numPr>
        <w:spacing w:after="0" w:afterAutospacing="0" w:before="0" w:beforeAutospacing="0"/>
        <w:ind w:left="720" w:hanging="360"/>
      </w:pPr>
      <w:r w:rsidDel="00000000" w:rsidR="00000000" w:rsidRPr="00000000">
        <w:rPr>
          <w:rtl w:val="0"/>
        </w:rPr>
        <w:t xml:space="preserve">Operating and maintenance costs</w:t>
      </w:r>
    </w:p>
    <w:p w:rsidR="00000000" w:rsidDel="00000000" w:rsidP="00000000" w:rsidRDefault="00000000" w:rsidRPr="00000000" w14:paraId="0000003C">
      <w:pPr>
        <w:numPr>
          <w:ilvl w:val="0"/>
          <w:numId w:val="4"/>
        </w:numPr>
        <w:spacing w:after="0" w:afterAutospacing="0" w:before="0" w:beforeAutospacing="0"/>
        <w:ind w:left="720" w:hanging="360"/>
      </w:pPr>
      <w:r w:rsidDel="00000000" w:rsidR="00000000" w:rsidRPr="00000000">
        <w:rPr>
          <w:rtl w:val="0"/>
        </w:rPr>
        <w:t xml:space="preserve">Large capital maintenance costs</w:t>
      </w:r>
    </w:p>
    <w:p w:rsidR="00000000" w:rsidDel="00000000" w:rsidP="00000000" w:rsidRDefault="00000000" w:rsidRPr="00000000" w14:paraId="0000003D">
      <w:pPr>
        <w:numPr>
          <w:ilvl w:val="0"/>
          <w:numId w:val="4"/>
        </w:numPr>
        <w:spacing w:after="0" w:afterAutospacing="0" w:before="0" w:beforeAutospacing="0"/>
        <w:ind w:left="720" w:hanging="360"/>
      </w:pPr>
      <w:r w:rsidDel="00000000" w:rsidR="00000000" w:rsidRPr="00000000">
        <w:rPr>
          <w:rtl w:val="0"/>
        </w:rPr>
        <w:t xml:space="preserve">Financial costs </w:t>
      </w:r>
    </w:p>
    <w:p w:rsidR="00000000" w:rsidDel="00000000" w:rsidP="00000000" w:rsidRDefault="00000000" w:rsidRPr="00000000" w14:paraId="0000003E">
      <w:pPr>
        <w:numPr>
          <w:ilvl w:val="0"/>
          <w:numId w:val="4"/>
        </w:numPr>
        <w:spacing w:after="0" w:afterAutospacing="0" w:before="0" w:beforeAutospacing="0"/>
        <w:ind w:left="720" w:hanging="360"/>
      </w:pPr>
      <w:r w:rsidDel="00000000" w:rsidR="00000000" w:rsidRPr="00000000">
        <w:rPr>
          <w:rtl w:val="0"/>
        </w:rPr>
        <w:t xml:space="preserve">Support costs (also referred to as software costs)</w:t>
      </w:r>
    </w:p>
    <w:p w:rsidR="00000000" w:rsidDel="00000000" w:rsidP="00000000" w:rsidRDefault="00000000" w:rsidRPr="00000000" w14:paraId="0000003F">
      <w:pPr>
        <w:numPr>
          <w:ilvl w:val="0"/>
          <w:numId w:val="4"/>
        </w:numPr>
        <w:spacing w:before="0" w:beforeAutospacing="0"/>
        <w:ind w:left="720" w:hanging="360"/>
      </w:pPr>
      <w:r w:rsidDel="00000000" w:rsidR="00000000" w:rsidRPr="00000000">
        <w:rPr>
          <w:rtl w:val="0"/>
        </w:rPr>
        <w:t xml:space="preserve">Taxes</w:t>
      </w:r>
    </w:p>
    <w:p w:rsidR="00000000" w:rsidDel="00000000" w:rsidP="00000000" w:rsidRDefault="00000000" w:rsidRPr="00000000" w14:paraId="00000040">
      <w:pPr>
        <w:rPr/>
      </w:pPr>
      <w:r w:rsidDel="00000000" w:rsidR="00000000" w:rsidRPr="00000000">
        <w:rPr>
          <w:rtl w:val="0"/>
        </w:rPr>
        <w:t xml:space="preserve">In both the IRC and WHO’s formulation, the purpose of this work is to support sustainable cost recovery with a more nuanced understanding of the involved costs and recovery mechanisms. For instance, they distinguish between four different strategies to recover certain types of costs at different paces: (1) Immediate full cost recovery, (2) progressive full cost recovery, (3) recovery of recurrent costs only, and (4) the recovery of recurrent costs only with an initial use of subsidies </w:t>
      </w:r>
      <w:r w:rsidDel="00000000" w:rsidR="00000000" w:rsidRPr="00000000">
        <w:rPr>
          <w:rtl w:val="0"/>
        </w:rPr>
        <w:t xml:space="preserve">(Brikke &amp; Rojas, 2001)</w:t>
      </w:r>
      <w:r w:rsidDel="00000000" w:rsidR="00000000" w:rsidRPr="00000000">
        <w:rPr>
          <w:rtl w:val="0"/>
        </w:rPr>
        <w:t xml:space="preserve">. </w:t>
      </w:r>
    </w:p>
    <w:p w:rsidR="00000000" w:rsidDel="00000000" w:rsidP="00000000" w:rsidRDefault="00000000" w:rsidRPr="00000000" w14:paraId="00000041">
      <w:pPr>
        <w:rPr/>
      </w:pPr>
      <w:r w:rsidDel="00000000" w:rsidR="00000000" w:rsidRPr="00000000">
        <w:rPr>
          <w:rtl w:val="0"/>
        </w:rPr>
        <w:t xml:space="preserve">Most importantly, however, the above-mentioned strategies and scenarios describe pathways towards (or even versions of) financial sustainability depending on the delivered service and local context. In other words, financial sustainability becomes a conversation about the clarity and depth of the understanding of the financial planning involved in a service, rather than a set of particular organizational structures. As Cardone &amp; Fonseca (2003) state on behalf of the IRC:</w:t>
      </w:r>
    </w:p>
    <w:p w:rsidR="00000000" w:rsidDel="00000000" w:rsidP="00000000" w:rsidRDefault="00000000" w:rsidRPr="00000000" w14:paraId="00000042">
      <w:pPr>
        <w:ind w:left="720" w:right="720" w:firstLine="0"/>
        <w:rPr>
          <w:rFonts w:ascii="Work Sans" w:cs="Work Sans" w:eastAsia="Work Sans" w:hAnsi="Work Sans"/>
        </w:rPr>
      </w:pPr>
      <w:r w:rsidDel="00000000" w:rsidR="00000000" w:rsidRPr="00000000">
        <w:rPr>
          <w:i w:val="1"/>
          <w:rtl w:val="0"/>
        </w:rPr>
        <w:t xml:space="preserve">The crucial point is that unless all of the costs related to providing and maintaining a service (technical, human resource, institutional) are identified, organized, and covered in a coherent manner with sources of funds, a system cannot be considered to be sustainable.</w:t>
      </w:r>
      <w:r w:rsidDel="00000000" w:rsidR="00000000" w:rsidRPr="00000000">
        <w:rPr>
          <w:rtl w:val="0"/>
        </w:rPr>
        <w:t xml:space="preserve"> </w:t>
      </w:r>
      <w:r w:rsidDel="00000000" w:rsidR="00000000" w:rsidRPr="00000000">
        <w:rPr>
          <w:rtl w:val="0"/>
        </w:rPr>
        <w:t xml:space="preserve">(p. 17)</w:t>
      </w:r>
      <w:r w:rsidDel="00000000" w:rsidR="00000000" w:rsidRPr="00000000">
        <w:rPr>
          <w:rtl w:val="0"/>
        </w:rPr>
      </w:r>
    </w:p>
    <w:p w:rsidR="00000000" w:rsidDel="00000000" w:rsidP="00000000" w:rsidRDefault="00000000" w:rsidRPr="00000000" w14:paraId="00000043">
      <w:pPr>
        <w:pStyle w:val="Heading2"/>
        <w:rPr/>
      </w:pPr>
      <w:bookmarkStart w:colFirst="0" w:colLast="0" w:name="_wanek53ebelv" w:id="12"/>
      <w:bookmarkEnd w:id="12"/>
      <w:r w:rsidDel="00000000" w:rsidR="00000000" w:rsidRPr="00000000">
        <w:rPr>
          <w:rtl w:val="0"/>
        </w:rPr>
        <w:t xml:space="preserve">Aligning Funding with Costs</w:t>
      </w:r>
    </w:p>
    <w:p w:rsidR="00000000" w:rsidDel="00000000" w:rsidP="00000000" w:rsidRDefault="00000000" w:rsidRPr="00000000" w14:paraId="00000044">
      <w:pPr>
        <w:ind w:left="0" w:firstLine="0"/>
        <w:rPr/>
      </w:pPr>
      <w:r w:rsidDel="00000000" w:rsidR="00000000" w:rsidRPr="00000000">
        <w:rPr>
          <w:rtl w:val="0"/>
        </w:rPr>
        <w:t xml:space="preserve">As Cardone and Fonseca (2003) writing on behalf of the IRC make clear, the point of discerning funding sources and cost types is to match the funding source with the type of cost. </w:t>
      </w:r>
      <w:r w:rsidDel="00000000" w:rsidR="00000000" w:rsidRPr="00000000">
        <w:rPr>
          <w:rtl w:val="0"/>
        </w:rPr>
        <w:t xml:space="preserve">Given that tariffs (user fees) generally flow into an organization on a regular basis, these are ideal for covering some or all of the recurring expenses, such as OpEx, CapManEx, and CoC. These also scale with the service as more demand for a service typically means there is an increase in tariffs to support that growth. Having 100 more users sign up for a service means there is ideally 100 times the user fee available to fund the increased load on the service. This assumes the service is able to accommodate user growth. At certain points, the infrastructure won’t scale with each new user and investments need to be made in order to increase capacity beyond a certain threshold. By contrast, the erratic and unpredictable nature of transfers (voluntary contributions) makes them more suited to covering CapEx rather than OpEx. </w:t>
      </w:r>
      <w:r w:rsidDel="00000000" w:rsidR="00000000" w:rsidRPr="00000000">
        <w:rPr>
          <w:rtl w:val="0"/>
        </w:rPr>
      </w:r>
    </w:p>
    <w:p w:rsidR="00000000" w:rsidDel="00000000" w:rsidP="00000000" w:rsidRDefault="00000000" w:rsidRPr="00000000" w14:paraId="00000045">
      <w:pPr>
        <w:ind w:left="0" w:firstLine="0"/>
        <w:rPr/>
      </w:pPr>
      <w:r w:rsidDel="00000000" w:rsidR="00000000" w:rsidRPr="00000000">
        <w:rPr>
          <w:rtl w:val="0"/>
        </w:rPr>
        <w:t xml:space="preserve">This is true for grant funding, where a favorable funding decision can’t be guaranteed (i.e. they may decide not to fund the service) and the funding is disbursed on the funder's own timeline, irrespective of the needs of the service. CapEx can be delayed if there are some complications in receiving a grant or a fundraising effort fails to meet a target amount but OpEx can rarely be deferred without doing long-term damage to the organization’s ability to deliver services and should therefore be covered by more reliable and consistent sources of funding to ensure the organization is meeting its financial obligation</w:t>
      </w:r>
      <w:r w:rsidDel="00000000" w:rsidR="00000000" w:rsidRPr="00000000">
        <w:rPr>
          <w:rtl w:val="0"/>
        </w:rPr>
        <w:t xml:space="preserve">s</w:t>
      </w:r>
      <w:r w:rsidDel="00000000" w:rsidR="00000000" w:rsidRPr="00000000">
        <w:rPr>
          <w:rtl w:val="0"/>
        </w:rPr>
        <w:t xml:space="preserve">. </w:t>
      </w:r>
      <w:r w:rsidDel="00000000" w:rsidR="00000000" w:rsidRPr="00000000">
        <w:rPr>
          <w:rtl w:val="0"/>
        </w:rPr>
        <w:t xml:space="preserve">In the example of user growth above, knowing the service is nearing its capacity limit before the service starts to slow down but still has sufficient capacity for the current growth rate means that an additional server or load balancer to increase capacity to accommodate another 5000 users can wait 6 months before being purchased. This can accommodate delays in final approval or disbursement of funds, but funding meant to pay current salaries or web hosting fees usually can’t be put off for any meaningful amount of time and could result in service shut-off.  </w:t>
      </w:r>
    </w:p>
    <w:p w:rsidR="00000000" w:rsidDel="00000000" w:rsidP="00000000" w:rsidRDefault="00000000" w:rsidRPr="00000000" w14:paraId="00000046">
      <w:pPr>
        <w:ind w:left="0" w:firstLine="0"/>
        <w:rPr/>
      </w:pPr>
      <w:r w:rsidDel="00000000" w:rsidR="00000000" w:rsidRPr="00000000">
        <w:rPr>
          <w:rtl w:val="0"/>
        </w:rPr>
        <w:t xml:space="preserve">This isn’t to say tariffs can’t be used to cover a portion of investment expenses or transfers can’t be used for covering some portion of the recurring expenses, but it’s in the long-term interests of the organization not to rely on these sources for these types of expenses. </w:t>
      </w:r>
      <w:r w:rsidDel="00000000" w:rsidR="00000000" w:rsidRPr="00000000">
        <w:rPr>
          <w:rtl w:val="0"/>
        </w:rPr>
      </w:r>
    </w:p>
    <w:p w:rsidR="00000000" w:rsidDel="00000000" w:rsidP="00000000" w:rsidRDefault="00000000" w:rsidRPr="00000000" w14:paraId="00000047">
      <w:pPr>
        <w:pStyle w:val="Heading1"/>
        <w:rPr/>
      </w:pPr>
      <w:bookmarkStart w:colFirst="0" w:colLast="0" w:name="_xw3orlba99kh" w:id="13"/>
      <w:bookmarkEnd w:id="13"/>
      <w:r w:rsidDel="00000000" w:rsidR="00000000" w:rsidRPr="00000000">
        <w:rPr>
          <w:rtl w:val="0"/>
        </w:rPr>
        <w:t xml:space="preserve">Conclusion</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The discussion above is intended to help add additional nuance to the conversation about how to fund open infrastructure services. As is clear from the literature reviewed above, there has been no one “right way” to fund water </w:t>
      </w:r>
      <w:r w:rsidDel="00000000" w:rsidR="00000000" w:rsidRPr="00000000">
        <w:rPr>
          <w:rtl w:val="0"/>
        </w:rPr>
        <w:t xml:space="preserve">infrastructure</w:t>
      </w:r>
      <w:r w:rsidDel="00000000" w:rsidR="00000000" w:rsidRPr="00000000">
        <w:rPr>
          <w:rtl w:val="0"/>
        </w:rPr>
        <w:t xml:space="preserve"> and each provider has had to find the approach that best meets their funding needs in their own local funding contexts, but the constituent parts are all the same: user fees, taxes, and contributions. Each of these has a particular place in funding water infrastructure as they do for funding research infrastructure. The key task for building a sustainable funding model, both in water infrastructure and open research infrastructure, is to match the funding source to the type of costs it best covers. There are many models around the world for how an infrastructure service could be funded, whether in high- or low-income countries, and every income level in between. This leads a path to a future where the infrastructure service is well funded now and into the foreseeable future. </w:t>
      </w:r>
    </w:p>
    <w:p w:rsidR="00000000" w:rsidDel="00000000" w:rsidP="00000000" w:rsidRDefault="00000000" w:rsidRPr="00000000" w14:paraId="00000049">
      <w:pPr>
        <w:rPr/>
      </w:pPr>
      <w:r w:rsidDel="00000000" w:rsidR="00000000" w:rsidRPr="00000000">
        <w:rPr>
          <w:rtl w:val="0"/>
        </w:rPr>
        <w:t xml:space="preserve">While some of the ideas presented above have direct applicability to open infrastructure financing, such as the categories of funding and costs, there are likely areas where the parallels break down. </w:t>
      </w:r>
      <w:r w:rsidDel="00000000" w:rsidR="00000000" w:rsidRPr="00000000">
        <w:rPr>
          <w:rtl w:val="0"/>
        </w:rPr>
        <w:t xml:space="preserve">Water is a tangible, ubiquitous commodity conducted through physical infrastructure that every human being, animal, and industry requires for survival and success. Water can be easily measured in basic discrete units that can be easily distributed through a system of purpose-built components that are well understood and highly developed over the roughly 3000 years human beings have been building the means to move water from one place to another. </w:t>
      </w:r>
    </w:p>
    <w:p w:rsidR="00000000" w:rsidDel="00000000" w:rsidP="00000000" w:rsidRDefault="00000000" w:rsidRPr="00000000" w14:paraId="0000004A">
      <w:pPr>
        <w:rPr/>
      </w:pPr>
      <w:r w:rsidDel="00000000" w:rsidR="00000000" w:rsidRPr="00000000">
        <w:rPr>
          <w:rtl w:val="0"/>
        </w:rPr>
        <w:t xml:space="preserve">At first glance, knowledge and particularly the digital tools we now use to manage and distribute it doesn’t have these same advantages, making the awareness building and consciousness raising around the issues of stable, secure, and reliable financing a more challenging exercise than that of water infrastructure. Nevertheless, human beings have been discovering and sharing those discoveries (including how to transport water) throughout human civilization and the opportunity with the emerging forms of digital knowledge infrastructure services is to improve access such that a truly global audience can be engaged in the research process. The opportunity at this moment cannot be forgotten nor the consequences if knowledge continues to be shared unevenly, favoring the privileged and well-resourced to the detriment of all others. </w:t>
      </w: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This exercise of discerning funding and costs is an important one as infrastructure services move beyond the model of short-duration projects to being full-fledged services scientists, researchers, librarians, and other stakeholders can have confidence will be able to provide reliable, robust, and valuable services now and for the foreseeable future. It is only on this foundation of sustainable financing that we can build an infrastructure of open services that can become the default in research. </w:t>
      </w:r>
    </w:p>
    <w:p w:rsidR="00000000" w:rsidDel="00000000" w:rsidP="00000000" w:rsidRDefault="00000000" w:rsidRPr="00000000" w14:paraId="0000004C">
      <w:pPr>
        <w:pStyle w:val="Heading1"/>
        <w:rPr/>
      </w:pPr>
      <w:bookmarkStart w:colFirst="0" w:colLast="0" w:name="_fo6h6i3gzpd2" w:id="14"/>
      <w:bookmarkEnd w:id="14"/>
      <w:r w:rsidDel="00000000" w:rsidR="00000000" w:rsidRPr="00000000">
        <w:rPr>
          <w:rtl w:val="0"/>
        </w:rPr>
        <w:t xml:space="preserve">Acknowledgement</w:t>
      </w:r>
    </w:p>
    <w:p w:rsidR="00000000" w:rsidDel="00000000" w:rsidP="00000000" w:rsidRDefault="00000000" w:rsidRPr="00000000" w14:paraId="0000004D">
      <w:pPr>
        <w:rPr/>
      </w:pPr>
      <w:r w:rsidDel="00000000" w:rsidR="00000000" w:rsidRPr="00000000">
        <w:rPr>
          <w:rtl w:val="0"/>
        </w:rPr>
        <w:t xml:space="preserve">We would like to thank Catarina Fonseca, ChiaKo Hung, and Katharina Meyer for their early and extremely valuable feedback on this work.</w:t>
      </w:r>
    </w:p>
    <w:p w:rsidR="00000000" w:rsidDel="00000000" w:rsidP="00000000" w:rsidRDefault="00000000" w:rsidRPr="00000000" w14:paraId="0000004E">
      <w:pPr>
        <w:rPr/>
      </w:pPr>
      <w:r w:rsidDel="00000000" w:rsidR="00000000" w:rsidRPr="00000000">
        <w:rPr>
          <w:rtl w:val="0"/>
        </w:rPr>
        <w:t xml:space="preserve">This work was funded by Arcadia, a charitable fund of Lisbet Rausing and Peter Baldwin. Additional information about how our work is funded can be found here: </w:t>
      </w:r>
      <w:hyperlink r:id="rId14">
        <w:r w:rsidDel="00000000" w:rsidR="00000000" w:rsidRPr="00000000">
          <w:rPr>
            <w:color w:val="1155cc"/>
            <w:u w:val="single"/>
            <w:rtl w:val="0"/>
          </w:rPr>
          <w:t xml:space="preserve">https://investinopen.org/about/how-were-funded/</w:t>
        </w:r>
      </w:hyperlink>
      <w:r w:rsidDel="00000000" w:rsidR="00000000" w:rsidRPr="00000000">
        <w:rPr>
          <w:rtl w:val="0"/>
        </w:rPr>
      </w:r>
    </w:p>
    <w:p w:rsidR="00000000" w:rsidDel="00000000" w:rsidP="00000000" w:rsidRDefault="00000000" w:rsidRPr="00000000" w14:paraId="0000004F">
      <w:pPr>
        <w:pStyle w:val="Heading1"/>
        <w:rPr>
          <w:rFonts w:ascii="Work Sans" w:cs="Work Sans" w:eastAsia="Work Sans" w:hAnsi="Work Sans"/>
        </w:rPr>
      </w:pPr>
      <w:bookmarkStart w:colFirst="0" w:colLast="0" w:name="_93j3qw543vd" w:id="15"/>
      <w:bookmarkEnd w:id="15"/>
      <w:r w:rsidDel="00000000" w:rsidR="00000000" w:rsidRPr="00000000">
        <w:br w:type="page"/>
      </w:r>
      <w:r w:rsidDel="00000000" w:rsidR="00000000" w:rsidRPr="00000000">
        <w:rPr>
          <w:rtl w:val="0"/>
        </w:rPr>
      </w:r>
    </w:p>
    <w:p w:rsidR="00000000" w:rsidDel="00000000" w:rsidP="00000000" w:rsidRDefault="00000000" w:rsidRPr="00000000" w14:paraId="00000050">
      <w:pPr>
        <w:pStyle w:val="Heading1"/>
        <w:rPr/>
      </w:pPr>
      <w:bookmarkStart w:colFirst="0" w:colLast="0" w:name="_jvjlzbbxpdvo" w:id="16"/>
      <w:bookmarkEnd w:id="16"/>
      <w:r w:rsidDel="00000000" w:rsidR="00000000" w:rsidRPr="00000000">
        <w:rPr>
          <w:rtl w:val="0"/>
        </w:rPr>
        <w:t xml:space="preserve">List of acronyms and abbreviations</w:t>
      </w:r>
    </w:p>
    <w:p w:rsidR="00000000" w:rsidDel="00000000" w:rsidP="00000000" w:rsidRDefault="00000000" w:rsidRPr="00000000" w14:paraId="00000051">
      <w:pPr>
        <w:rPr/>
      </w:pPr>
      <w:r w:rsidDel="00000000" w:rsidR="00000000" w:rsidRPr="00000000">
        <w:rPr>
          <w:rtl w:val="0"/>
        </w:rPr>
        <w:t xml:space="preserve">3Ts - Tariffs, taxes, transfers</w:t>
      </w:r>
    </w:p>
    <w:p w:rsidR="00000000" w:rsidDel="00000000" w:rsidP="00000000" w:rsidRDefault="00000000" w:rsidRPr="00000000" w14:paraId="00000052">
      <w:pPr>
        <w:rPr/>
      </w:pPr>
      <w:r w:rsidDel="00000000" w:rsidR="00000000" w:rsidRPr="00000000">
        <w:rPr>
          <w:rtl w:val="0"/>
        </w:rPr>
        <w:t xml:space="preserve">CapEx - Capital expenditure</w:t>
      </w:r>
    </w:p>
    <w:p w:rsidR="00000000" w:rsidDel="00000000" w:rsidP="00000000" w:rsidRDefault="00000000" w:rsidRPr="00000000" w14:paraId="00000053">
      <w:pPr>
        <w:rPr/>
      </w:pPr>
      <w:r w:rsidDel="00000000" w:rsidR="00000000" w:rsidRPr="00000000">
        <w:rPr>
          <w:rtl w:val="0"/>
        </w:rPr>
        <w:t xml:space="preserve">CapManEx - Capital Maintenance Expenditure</w:t>
      </w:r>
    </w:p>
    <w:p w:rsidR="00000000" w:rsidDel="00000000" w:rsidP="00000000" w:rsidRDefault="00000000" w:rsidRPr="00000000" w14:paraId="00000054">
      <w:pPr>
        <w:rPr/>
      </w:pPr>
      <w:r w:rsidDel="00000000" w:rsidR="00000000" w:rsidRPr="00000000">
        <w:rPr>
          <w:rtl w:val="0"/>
        </w:rPr>
        <w:t xml:space="preserve">CoC - Cost of Capital</w:t>
      </w:r>
    </w:p>
    <w:p w:rsidR="00000000" w:rsidDel="00000000" w:rsidP="00000000" w:rsidRDefault="00000000" w:rsidRPr="00000000" w14:paraId="00000055">
      <w:pPr>
        <w:rPr/>
      </w:pPr>
      <w:r w:rsidDel="00000000" w:rsidR="00000000" w:rsidRPr="00000000">
        <w:rPr>
          <w:rtl w:val="0"/>
        </w:rPr>
        <w:t xml:space="preserve">COIs - Catalog of Open Infrastructure services</w:t>
      </w:r>
    </w:p>
    <w:p w:rsidR="00000000" w:rsidDel="00000000" w:rsidP="00000000" w:rsidRDefault="00000000" w:rsidRPr="00000000" w14:paraId="00000056">
      <w:pPr>
        <w:rPr/>
      </w:pPr>
      <w:r w:rsidDel="00000000" w:rsidR="00000000" w:rsidRPr="00000000">
        <w:rPr>
          <w:rtl w:val="0"/>
        </w:rPr>
        <w:t xml:space="preserve">ODA - Official Development Assistance</w:t>
      </w:r>
    </w:p>
    <w:p w:rsidR="00000000" w:rsidDel="00000000" w:rsidP="00000000" w:rsidRDefault="00000000" w:rsidRPr="00000000" w14:paraId="00000057">
      <w:pPr>
        <w:rPr/>
      </w:pPr>
      <w:r w:rsidDel="00000000" w:rsidR="00000000" w:rsidRPr="00000000">
        <w:rPr>
          <w:rtl w:val="0"/>
        </w:rPr>
        <w:t xml:space="preserve">OECD - Organisation for Economic Co-operation and Development</w:t>
      </w:r>
    </w:p>
    <w:p w:rsidR="00000000" w:rsidDel="00000000" w:rsidP="00000000" w:rsidRDefault="00000000" w:rsidRPr="00000000" w14:paraId="00000058">
      <w:pPr>
        <w:rPr/>
      </w:pPr>
      <w:r w:rsidDel="00000000" w:rsidR="00000000" w:rsidRPr="00000000">
        <w:rPr>
          <w:rtl w:val="0"/>
        </w:rPr>
        <w:t xml:space="preserve">OpEx - Operational and minor maintenance expenditure</w:t>
      </w:r>
    </w:p>
    <w:p w:rsidR="00000000" w:rsidDel="00000000" w:rsidP="00000000" w:rsidRDefault="00000000" w:rsidRPr="00000000" w14:paraId="00000059">
      <w:pPr>
        <w:rPr/>
      </w:pPr>
      <w:r w:rsidDel="00000000" w:rsidR="00000000" w:rsidRPr="00000000">
        <w:rPr>
          <w:rtl w:val="0"/>
        </w:rPr>
        <w:t xml:space="preserve">SDG - Sustainable Development Goals</w:t>
      </w:r>
    </w:p>
    <w:p w:rsidR="00000000" w:rsidDel="00000000" w:rsidP="00000000" w:rsidRDefault="00000000" w:rsidRPr="00000000" w14:paraId="0000005A">
      <w:pPr>
        <w:rPr/>
      </w:pPr>
      <w:r w:rsidDel="00000000" w:rsidR="00000000" w:rsidRPr="00000000">
        <w:rPr>
          <w:rtl w:val="0"/>
        </w:rPr>
        <w:t xml:space="preserve">SDM - Service Delivery Model</w:t>
      </w:r>
    </w:p>
    <w:p w:rsidR="00000000" w:rsidDel="00000000" w:rsidP="00000000" w:rsidRDefault="00000000" w:rsidRPr="00000000" w14:paraId="0000005B">
      <w:pPr>
        <w:rPr/>
      </w:pPr>
      <w:r w:rsidDel="00000000" w:rsidR="00000000" w:rsidRPr="00000000">
        <w:rPr>
          <w:rtl w:val="0"/>
        </w:rPr>
        <w:t xml:space="preserve">SFP - Strategic Financial Planning</w:t>
      </w:r>
    </w:p>
    <w:p w:rsidR="00000000" w:rsidDel="00000000" w:rsidP="00000000" w:rsidRDefault="00000000" w:rsidRPr="00000000" w14:paraId="0000005C">
      <w:pPr>
        <w:rPr/>
      </w:pPr>
      <w:r w:rsidDel="00000000" w:rsidR="00000000" w:rsidRPr="00000000">
        <w:rPr>
          <w:rtl w:val="0"/>
        </w:rPr>
        <w:t xml:space="preserve">SR - Scholarship and Research</w:t>
      </w:r>
    </w:p>
    <w:p w:rsidR="00000000" w:rsidDel="00000000" w:rsidP="00000000" w:rsidRDefault="00000000" w:rsidRPr="00000000" w14:paraId="0000005D">
      <w:pPr>
        <w:rPr/>
      </w:pPr>
      <w:r w:rsidDel="00000000" w:rsidR="00000000" w:rsidRPr="00000000">
        <w:rPr>
          <w:rtl w:val="0"/>
        </w:rPr>
        <w:t xml:space="preserve">WASH - Water, Sanitation, and Hygiene</w:t>
      </w:r>
    </w:p>
    <w:p w:rsidR="00000000" w:rsidDel="00000000" w:rsidP="00000000" w:rsidRDefault="00000000" w:rsidRPr="00000000" w14:paraId="0000005E">
      <w:pPr>
        <w:rPr/>
      </w:pPr>
      <w:r w:rsidDel="00000000" w:rsidR="00000000" w:rsidRPr="00000000">
        <w:rPr>
          <w:rtl w:val="0"/>
        </w:rPr>
        <w:t xml:space="preserve">WHO - World Health Organization</w:t>
      </w:r>
    </w:p>
    <w:p w:rsidR="00000000" w:rsidDel="00000000" w:rsidP="00000000" w:rsidRDefault="00000000" w:rsidRPr="00000000" w14:paraId="0000005F">
      <w:pPr>
        <w:rPr/>
      </w:pPr>
      <w:r w:rsidDel="00000000" w:rsidR="00000000" w:rsidRPr="00000000">
        <w:rPr>
          <w:rtl w:val="0"/>
        </w:rPr>
        <w:t xml:space="preserve">WSS - Water Sanitation and Supply</w:t>
      </w:r>
    </w:p>
    <w:p w:rsidR="00000000" w:rsidDel="00000000" w:rsidP="00000000" w:rsidRDefault="00000000" w:rsidRPr="00000000" w14:paraId="00000060">
      <w:pPr>
        <w:rPr/>
      </w:pPr>
      <w:r w:rsidDel="00000000" w:rsidR="00000000" w:rsidRPr="00000000">
        <w:br w:type="page"/>
      </w:r>
      <w:r w:rsidDel="00000000" w:rsidR="00000000" w:rsidRPr="00000000">
        <w:rPr>
          <w:rtl w:val="0"/>
        </w:rPr>
      </w:r>
    </w:p>
    <w:p w:rsidR="00000000" w:rsidDel="00000000" w:rsidP="00000000" w:rsidRDefault="00000000" w:rsidRPr="00000000" w14:paraId="00000061">
      <w:pPr>
        <w:pStyle w:val="Heading1"/>
        <w:rPr/>
      </w:pPr>
      <w:bookmarkStart w:colFirst="0" w:colLast="0" w:name="_sf9em4qm68gm" w:id="17"/>
      <w:bookmarkEnd w:id="17"/>
      <w:r w:rsidDel="00000000" w:rsidR="00000000" w:rsidRPr="00000000">
        <w:rPr>
          <w:rtl w:val="0"/>
        </w:rPr>
        <w:t xml:space="preserve">References</w:t>
      </w:r>
      <w:r w:rsidDel="00000000" w:rsidR="00000000" w:rsidRPr="00000000">
        <w:rPr>
          <w:rtl w:val="0"/>
        </w:rPr>
      </w:r>
    </w:p>
    <w:p w:rsidR="00000000" w:rsidDel="00000000" w:rsidP="00000000" w:rsidRDefault="00000000" w:rsidRPr="00000000" w14:paraId="00000062">
      <w:pPr>
        <w:widowControl w:val="0"/>
        <w:spacing w:after="240" w:before="240" w:lineRule="auto"/>
        <w:ind w:left="720"/>
        <w:rPr/>
      </w:pPr>
      <w:r w:rsidDel="00000000" w:rsidR="00000000" w:rsidRPr="00000000">
        <w:rPr>
          <w:rtl w:val="0"/>
        </w:rPr>
        <w:t xml:space="preserve">Abrams, L., Palmer, I., &amp; Hart, T. (1998). Sustainability Management Guidelines (p. 22). Department of Water Affairs and Forestry, South Africa. </w:t>
      </w:r>
      <w:hyperlink r:id="rId15">
        <w:r w:rsidDel="00000000" w:rsidR="00000000" w:rsidRPr="00000000">
          <w:rPr>
            <w:color w:val="1155cc"/>
            <w:u w:val="single"/>
            <w:rtl w:val="0"/>
          </w:rPr>
          <w:t xml:space="preserve">https://waterfund.go.ke/watersource/Downloads/003.%20Sustainability%20_Management_Guidelines.pdf</w:t>
        </w:r>
      </w:hyperlink>
      <w:r w:rsidDel="00000000" w:rsidR="00000000" w:rsidRPr="00000000">
        <w:rPr>
          <w:rtl w:val="0"/>
        </w:rPr>
        <w:t xml:space="preserve"> </w:t>
      </w:r>
    </w:p>
    <w:p w:rsidR="00000000" w:rsidDel="00000000" w:rsidP="00000000" w:rsidRDefault="00000000" w:rsidRPr="00000000" w14:paraId="00000063">
      <w:pPr>
        <w:widowControl w:val="0"/>
        <w:spacing w:after="240" w:before="240" w:lineRule="auto"/>
        <w:ind w:left="720"/>
        <w:rPr/>
      </w:pPr>
      <w:r w:rsidDel="00000000" w:rsidR="00000000" w:rsidRPr="00000000">
        <w:rPr>
          <w:rtl w:val="0"/>
        </w:rPr>
        <w:t xml:space="preserve">Brikke, F., &amp; Rojas, J. (2001). Key factors for sustainable cost recovery in the context of community-managed water supply: Vol. no. 32-E (pp. vi, 71 p. : 7 boxes, 2 fig., 15 tabs.). IRC. </w:t>
      </w:r>
      <w:hyperlink r:id="rId16">
        <w:r w:rsidDel="00000000" w:rsidR="00000000" w:rsidRPr="00000000">
          <w:rPr>
            <w:color w:val="1155cc"/>
            <w:u w:val="single"/>
            <w:rtl w:val="0"/>
          </w:rPr>
          <w:t xml:space="preserve">https://www.ircwash.org/sites/default/files/Brikke-2001-Key.pdf</w:t>
        </w:r>
      </w:hyperlink>
      <w:r w:rsidDel="00000000" w:rsidR="00000000" w:rsidRPr="00000000">
        <w:rPr>
          <w:rtl w:val="0"/>
        </w:rPr>
        <w:t xml:space="preserve"> </w:t>
      </w:r>
    </w:p>
    <w:p w:rsidR="00000000" w:rsidDel="00000000" w:rsidP="00000000" w:rsidRDefault="00000000" w:rsidRPr="00000000" w14:paraId="00000064">
      <w:pPr>
        <w:widowControl w:val="0"/>
        <w:spacing w:after="240" w:before="240" w:lineRule="auto"/>
        <w:ind w:left="720"/>
        <w:rPr/>
      </w:pPr>
      <w:r w:rsidDel="00000000" w:rsidR="00000000" w:rsidRPr="00000000">
        <w:rPr>
          <w:rtl w:val="0"/>
        </w:rPr>
        <w:t xml:space="preserve">Cardone, R., &amp; Fonseca, C. (2003). Financing and Cost Recovery. IRC. </w:t>
      </w:r>
      <w:hyperlink r:id="rId17">
        <w:r w:rsidDel="00000000" w:rsidR="00000000" w:rsidRPr="00000000">
          <w:rPr>
            <w:color w:val="1155cc"/>
            <w:u w:val="single"/>
            <w:rtl w:val="0"/>
          </w:rPr>
          <w:t xml:space="preserve">https://www.ircwash.org/resources/financing-and-cost-recovery</w:t>
        </w:r>
      </w:hyperlink>
      <w:r w:rsidDel="00000000" w:rsidR="00000000" w:rsidRPr="00000000">
        <w:rPr>
          <w:rtl w:val="0"/>
        </w:rPr>
        <w:t xml:space="preserve"> </w:t>
      </w:r>
    </w:p>
    <w:p w:rsidR="00000000" w:rsidDel="00000000" w:rsidP="00000000" w:rsidRDefault="00000000" w:rsidRPr="00000000" w14:paraId="00000065">
      <w:pPr>
        <w:widowControl w:val="0"/>
        <w:spacing w:after="240" w:before="240" w:lineRule="auto"/>
        <w:ind w:left="720"/>
        <w:rPr/>
      </w:pPr>
      <w:r w:rsidDel="00000000" w:rsidR="00000000" w:rsidRPr="00000000">
        <w:rPr>
          <w:rtl w:val="0"/>
        </w:rPr>
        <w:t xml:space="preserve">Danert, K., &amp; Hutton, G. (2020). Shining the spotlight on household investments for water, sanitation and hygiene (WASH): Let us talk about HI and the three ‘T’s. Journal of Water, Sanitation and Hygiene for Development, 10(1), 1–4. </w:t>
      </w:r>
      <w:hyperlink r:id="rId18">
        <w:r w:rsidDel="00000000" w:rsidR="00000000" w:rsidRPr="00000000">
          <w:rPr>
            <w:color w:val="1155cc"/>
            <w:u w:val="single"/>
            <w:rtl w:val="0"/>
          </w:rPr>
          <w:t xml:space="preserve">https://doi.org/10.2166/washdev.2020.139</w:t>
        </w:r>
      </w:hyperlink>
      <w:r w:rsidDel="00000000" w:rsidR="00000000" w:rsidRPr="00000000">
        <w:rPr>
          <w:rtl w:val="0"/>
        </w:rPr>
        <w:t xml:space="preserve"> </w:t>
      </w:r>
    </w:p>
    <w:p w:rsidR="00000000" w:rsidDel="00000000" w:rsidP="00000000" w:rsidRDefault="00000000" w:rsidRPr="00000000" w14:paraId="00000066">
      <w:pPr>
        <w:widowControl w:val="0"/>
        <w:spacing w:after="240" w:before="240" w:lineRule="auto"/>
        <w:ind w:left="720"/>
        <w:rPr/>
      </w:pPr>
      <w:r w:rsidDel="00000000" w:rsidR="00000000" w:rsidRPr="00000000">
        <w:rPr>
          <w:rtl w:val="0"/>
        </w:rPr>
        <w:t xml:space="preserve">Enkhbayar, A., &amp; Dunks, R. (2021). Hidden Cost Research Materials [Data set]. </w:t>
      </w:r>
      <w:hyperlink r:id="rId19">
        <w:r w:rsidDel="00000000" w:rsidR="00000000" w:rsidRPr="00000000">
          <w:rPr>
            <w:color w:val="1155cc"/>
            <w:u w:val="single"/>
            <w:rtl w:val="0"/>
          </w:rPr>
          <w:t xml:space="preserve">https://github.com/investinopen/hidden_costs_materials</w:t>
        </w:r>
      </w:hyperlink>
      <w:r w:rsidDel="00000000" w:rsidR="00000000" w:rsidRPr="00000000">
        <w:rPr>
          <w:rtl w:val="0"/>
        </w:rPr>
        <w:t xml:space="preserve"> </w:t>
      </w:r>
    </w:p>
    <w:p w:rsidR="00000000" w:rsidDel="00000000" w:rsidP="00000000" w:rsidRDefault="00000000" w:rsidRPr="00000000" w14:paraId="00000067">
      <w:pPr>
        <w:widowControl w:val="0"/>
        <w:spacing w:after="240" w:before="240" w:lineRule="auto"/>
        <w:ind w:left="720"/>
        <w:rPr/>
      </w:pPr>
      <w:r w:rsidDel="00000000" w:rsidR="00000000" w:rsidRPr="00000000">
        <w:rPr>
          <w:rtl w:val="0"/>
        </w:rPr>
        <w:t xml:space="preserve">Enkhbayar, A., &amp; Jack, M. (2021). The Costs of Open Infrastructure: Conversations with Providers, Funders, and Institutions. Invest in Open Infrastructure. https://investinopen.org/blog/the-costs-of-open-infrastructure-conversations-with-providers-funders-and-institutions/</w:t>
      </w:r>
    </w:p>
    <w:p w:rsidR="00000000" w:rsidDel="00000000" w:rsidP="00000000" w:rsidRDefault="00000000" w:rsidRPr="00000000" w14:paraId="00000068">
      <w:pPr>
        <w:widowControl w:val="0"/>
        <w:spacing w:after="240" w:before="240" w:lineRule="auto"/>
        <w:ind w:left="720"/>
        <w:rPr/>
      </w:pPr>
      <w:r w:rsidDel="00000000" w:rsidR="00000000" w:rsidRPr="00000000">
        <w:rPr>
          <w:rtl w:val="0"/>
        </w:rPr>
        <w:t xml:space="preserve">Fonseca, C., Franceys, R., Batchelor, C., Mclntyre, P., Klutse, A., Komives, K., Moriarty, P. B., Naafs, A., Nyarko, K., Pezon, C., Potter, A., Reddy, R., &amp; Snehalatha, M. (2011). Life-cycle costs approach: Costing sustainable services. IRC. </w:t>
      </w:r>
      <w:hyperlink r:id="rId20">
        <w:r w:rsidDel="00000000" w:rsidR="00000000" w:rsidRPr="00000000">
          <w:rPr>
            <w:color w:val="1155cc"/>
            <w:u w:val="single"/>
            <w:rtl w:val="0"/>
          </w:rPr>
          <w:t xml:space="preserve">https://www.ircwash.org/sites/default/files/briefing_note_1a_-_life-cycle_cost_approach.pdf</w:t>
        </w:r>
      </w:hyperlink>
      <w:r w:rsidDel="00000000" w:rsidR="00000000" w:rsidRPr="00000000">
        <w:rPr>
          <w:rtl w:val="0"/>
        </w:rPr>
        <w:t xml:space="preserve"> </w:t>
      </w:r>
    </w:p>
    <w:p w:rsidR="00000000" w:rsidDel="00000000" w:rsidP="00000000" w:rsidRDefault="00000000" w:rsidRPr="00000000" w14:paraId="00000069">
      <w:pPr>
        <w:widowControl w:val="0"/>
        <w:spacing w:after="240" w:before="240" w:lineRule="auto"/>
        <w:ind w:left="720"/>
        <w:rPr/>
      </w:pPr>
      <w:r w:rsidDel="00000000" w:rsidR="00000000" w:rsidRPr="00000000">
        <w:rPr>
          <w:rtl w:val="0"/>
        </w:rPr>
        <w:t xml:space="preserve">Fonseca, C., Kingdom, B., Delmon, V.  &amp; Pories, L. (2020). Water &amp; Sanitation: How to Make Public Investment Work: A Handbook for Finance Ministers. Sanitation and Water for All. </w:t>
      </w:r>
      <w:hyperlink r:id="rId21">
        <w:r w:rsidDel="00000000" w:rsidR="00000000" w:rsidRPr="00000000">
          <w:rPr>
            <w:color w:val="1155cc"/>
            <w:u w:val="single"/>
            <w:rtl w:val="0"/>
          </w:rPr>
          <w:t xml:space="preserve">https://www.sanitationandwaterforall.org/sites/default/files/2020-12/Financial%20Handbook_EN.pdf</w:t>
        </w:r>
      </w:hyperlink>
      <w:r w:rsidDel="00000000" w:rsidR="00000000" w:rsidRPr="00000000">
        <w:rPr>
          <w:rtl w:val="0"/>
        </w:rPr>
        <w:t xml:space="preserve"> </w:t>
      </w:r>
    </w:p>
    <w:p w:rsidR="00000000" w:rsidDel="00000000" w:rsidP="00000000" w:rsidRDefault="00000000" w:rsidRPr="00000000" w14:paraId="0000006A">
      <w:pPr>
        <w:widowControl w:val="0"/>
        <w:spacing w:after="240" w:before="240" w:lineRule="auto"/>
        <w:ind w:left="720"/>
        <w:rPr/>
      </w:pPr>
      <w:r w:rsidDel="00000000" w:rsidR="00000000" w:rsidRPr="00000000">
        <w:rPr>
          <w:rtl w:val="0"/>
        </w:rPr>
        <w:t xml:space="preserve">Grouse L. (2014). Open access medical publications. Journal of thoracic disease, 6(6), E133–E136. </w:t>
      </w:r>
      <w:hyperlink r:id="rId22">
        <w:r w:rsidDel="00000000" w:rsidR="00000000" w:rsidRPr="00000000">
          <w:rPr>
            <w:color w:val="1155cc"/>
            <w:u w:val="single"/>
            <w:rtl w:val="0"/>
          </w:rPr>
          <w:t xml:space="preserve">https://doi.org/10.3978/j.issn.2072-1439.2014.03.21</w:t>
        </w:r>
      </w:hyperlink>
      <w:r w:rsidDel="00000000" w:rsidR="00000000" w:rsidRPr="00000000">
        <w:rPr>
          <w:rtl w:val="0"/>
        </w:rPr>
        <w:t xml:space="preserve"> </w:t>
      </w:r>
    </w:p>
    <w:p w:rsidR="00000000" w:rsidDel="00000000" w:rsidP="00000000" w:rsidRDefault="00000000" w:rsidRPr="00000000" w14:paraId="0000006B">
      <w:pPr>
        <w:widowControl w:val="0"/>
        <w:spacing w:after="240" w:before="240" w:lineRule="auto"/>
        <w:ind w:left="720"/>
        <w:rPr/>
      </w:pPr>
      <w:r w:rsidDel="00000000" w:rsidR="00000000" w:rsidRPr="00000000">
        <w:rPr>
          <w:rtl w:val="0"/>
        </w:rPr>
        <w:t xml:space="preserve">Libey, A., Adank, M., &amp; Thomas, E. (2020). Who pays for water? Comparing life cycle costs of water services among several low, medium and high-income utilities. World Development, 136, 105155. </w:t>
      </w:r>
      <w:hyperlink r:id="rId23">
        <w:r w:rsidDel="00000000" w:rsidR="00000000" w:rsidRPr="00000000">
          <w:rPr>
            <w:color w:val="1155cc"/>
            <w:u w:val="single"/>
            <w:rtl w:val="0"/>
          </w:rPr>
          <w:t xml:space="preserve">https://doi.org/10.1016/j.worlddev.2020.105155</w:t>
        </w:r>
      </w:hyperlink>
      <w:r w:rsidDel="00000000" w:rsidR="00000000" w:rsidRPr="00000000">
        <w:rPr>
          <w:rtl w:val="0"/>
        </w:rPr>
        <w:t xml:space="preserve"> </w:t>
      </w:r>
    </w:p>
    <w:p w:rsidR="00000000" w:rsidDel="00000000" w:rsidP="00000000" w:rsidRDefault="00000000" w:rsidRPr="00000000" w14:paraId="0000006C">
      <w:pPr>
        <w:widowControl w:val="0"/>
        <w:spacing w:after="240" w:before="240" w:lineRule="auto"/>
        <w:ind w:left="720"/>
        <w:rPr/>
      </w:pPr>
      <w:r w:rsidDel="00000000" w:rsidR="00000000" w:rsidRPr="00000000">
        <w:rPr>
          <w:rtl w:val="0"/>
        </w:rPr>
        <w:t xml:space="preserve">McNeill, D. (1998), Water as an economic good. Natural Resources Forum, 22: 253-261. </w:t>
      </w:r>
      <w:hyperlink r:id="rId24">
        <w:r w:rsidDel="00000000" w:rsidR="00000000" w:rsidRPr="00000000">
          <w:rPr>
            <w:color w:val="1155cc"/>
            <w:u w:val="single"/>
            <w:rtl w:val="0"/>
          </w:rPr>
          <w:t xml:space="preserve">https://doi.org/10.1111/j.1477-8947.1998.tb00735.x</w:t>
        </w:r>
      </w:hyperlink>
      <w:r w:rsidDel="00000000" w:rsidR="00000000" w:rsidRPr="00000000">
        <w:rPr>
          <w:rtl w:val="0"/>
        </w:rPr>
        <w:t xml:space="preserve"> </w:t>
      </w:r>
    </w:p>
    <w:p w:rsidR="00000000" w:rsidDel="00000000" w:rsidP="00000000" w:rsidRDefault="00000000" w:rsidRPr="00000000" w14:paraId="0000006D">
      <w:pPr>
        <w:widowControl w:val="0"/>
        <w:spacing w:after="240" w:before="240" w:lineRule="auto"/>
        <w:ind w:left="720"/>
        <w:rPr/>
      </w:pPr>
      <w:r w:rsidDel="00000000" w:rsidR="00000000" w:rsidRPr="00000000">
        <w:rPr>
          <w:rtl w:val="0"/>
        </w:rPr>
        <w:t xml:space="preserve">Miedema, F. (2022). Open Science: the Very Idea. </w:t>
      </w:r>
      <w:hyperlink r:id="rId25">
        <w:r w:rsidDel="00000000" w:rsidR="00000000" w:rsidRPr="00000000">
          <w:rPr>
            <w:color w:val="1155cc"/>
            <w:u w:val="single"/>
            <w:rtl w:val="0"/>
          </w:rPr>
          <w:t xml:space="preserve">https://library.oapen.org/handle/20.500.12657/51498</w:t>
        </w:r>
      </w:hyperlink>
      <w:r w:rsidDel="00000000" w:rsidR="00000000" w:rsidRPr="00000000">
        <w:rPr>
          <w:rtl w:val="0"/>
        </w:rPr>
        <w:t xml:space="preserve"> </w:t>
      </w:r>
    </w:p>
    <w:p w:rsidR="00000000" w:rsidDel="00000000" w:rsidP="00000000" w:rsidRDefault="00000000" w:rsidRPr="00000000" w14:paraId="0000006E">
      <w:pPr>
        <w:widowControl w:val="0"/>
        <w:spacing w:after="240" w:before="240" w:lineRule="auto"/>
        <w:ind w:left="720"/>
        <w:rPr/>
      </w:pPr>
      <w:r w:rsidDel="00000000" w:rsidR="00000000" w:rsidRPr="00000000">
        <w:rPr>
          <w:rtl w:val="0"/>
        </w:rPr>
        <w:t xml:space="preserve">National Science Board. (2020). Science and Engineering Indicators 2020: The State of U.S. Science and Engineering. NSB-2020-1. </w:t>
      </w:r>
      <w:hyperlink r:id="rId26">
        <w:r w:rsidDel="00000000" w:rsidR="00000000" w:rsidRPr="00000000">
          <w:rPr>
            <w:color w:val="1155cc"/>
            <w:u w:val="single"/>
            <w:rtl w:val="0"/>
          </w:rPr>
          <w:t xml:space="preserve">https://ncses.nsf.gov/pubs/nsb20201/</w:t>
        </w:r>
      </w:hyperlink>
      <w:r w:rsidDel="00000000" w:rsidR="00000000" w:rsidRPr="00000000">
        <w:rPr>
          <w:rtl w:val="0"/>
        </w:rPr>
      </w:r>
    </w:p>
    <w:p w:rsidR="00000000" w:rsidDel="00000000" w:rsidP="00000000" w:rsidRDefault="00000000" w:rsidRPr="00000000" w14:paraId="0000006F">
      <w:pPr>
        <w:widowControl w:val="0"/>
        <w:spacing w:after="240" w:before="240" w:lineRule="auto"/>
        <w:ind w:left="720"/>
        <w:rPr/>
      </w:pPr>
      <w:r w:rsidDel="00000000" w:rsidR="00000000" w:rsidRPr="00000000">
        <w:rPr>
          <w:rtl w:val="0"/>
        </w:rPr>
        <w:t xml:space="preserve">OECD. (2009a). Managing Water for All: An OECD Perspective on Pricing and Financing - OECD. OECD. https://www.oecd.org/greengrowth/sustainable-agriculture/44476961.pdf</w:t>
      </w:r>
    </w:p>
    <w:p w:rsidR="00000000" w:rsidDel="00000000" w:rsidP="00000000" w:rsidRDefault="00000000" w:rsidRPr="00000000" w14:paraId="00000070">
      <w:pPr>
        <w:widowControl w:val="0"/>
        <w:spacing w:after="240" w:before="240" w:lineRule="auto"/>
        <w:ind w:left="720"/>
        <w:rPr/>
      </w:pPr>
      <w:r w:rsidDel="00000000" w:rsidR="00000000" w:rsidRPr="00000000">
        <w:rPr>
          <w:rtl w:val="0"/>
        </w:rPr>
        <w:t xml:space="preserve">OECD. (2009b). Strategic Financial Planning for Water Supply and Sanitation. OECD. https://www.oecd.org/environment/resources/43949580.pdf</w:t>
      </w:r>
    </w:p>
    <w:p w:rsidR="00000000" w:rsidDel="00000000" w:rsidP="00000000" w:rsidRDefault="00000000" w:rsidRPr="00000000" w14:paraId="00000071">
      <w:pPr>
        <w:widowControl w:val="0"/>
        <w:spacing w:after="240" w:before="240" w:lineRule="auto"/>
        <w:ind w:left="720"/>
        <w:rPr/>
      </w:pPr>
      <w:r w:rsidDel="00000000" w:rsidR="00000000" w:rsidRPr="00000000">
        <w:rPr>
          <w:rtl w:val="0"/>
        </w:rPr>
        <w:t xml:space="preserve">OECD. (2019). Making Blended Finance Work for SDG 6: Unlocking Commercial Finance for Water and Sanitation. OECD. https://doi.org/10.1787/5efc8950-en</w:t>
      </w:r>
    </w:p>
    <w:p w:rsidR="00000000" w:rsidDel="00000000" w:rsidP="00000000" w:rsidRDefault="00000000" w:rsidRPr="00000000" w14:paraId="00000072">
      <w:pPr>
        <w:widowControl w:val="0"/>
        <w:spacing w:after="240" w:before="240" w:lineRule="auto"/>
        <w:ind w:left="720"/>
        <w:rPr>
          <w:color w:val="6aa84f"/>
        </w:rPr>
      </w:pPr>
      <w:r w:rsidDel="00000000" w:rsidR="00000000" w:rsidRPr="00000000">
        <w:rPr>
          <w:rtl w:val="0"/>
        </w:rPr>
        <w:t xml:space="preserve">WHO. (2017). UN-Water GLAAS Trackfin Initiative: Tracking financing to sanitation, hygiene and drinking-water at national level. </w:t>
      </w:r>
      <w:hyperlink r:id="rId27">
        <w:r w:rsidDel="00000000" w:rsidR="00000000" w:rsidRPr="00000000">
          <w:rPr>
            <w:color w:val="1155cc"/>
            <w:u w:val="single"/>
            <w:rtl w:val="0"/>
          </w:rPr>
          <w:t xml:space="preserve">https://apo.who.int/publications/i/item/9789241513562</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WHO</w:t>
      </w:r>
      <w:r w:rsidDel="00000000" w:rsidR="00000000" w:rsidRPr="00000000">
        <w:rPr>
          <w:rtl w:val="0"/>
        </w:rPr>
        <w:t xml:space="preserve">. (2018). </w:t>
      </w:r>
      <w:r w:rsidDel="00000000" w:rsidR="00000000" w:rsidRPr="00000000">
        <w:rPr>
          <w:i w:val="1"/>
          <w:rtl w:val="0"/>
        </w:rPr>
        <w:t xml:space="preserve">WHO WASH strategy 2018-2025</w:t>
      </w:r>
      <w:r w:rsidDel="00000000" w:rsidR="00000000" w:rsidRPr="00000000">
        <w:rPr>
          <w:rtl w:val="0"/>
        </w:rPr>
        <w:t xml:space="preserve">. Retrieved September 5, 2022, from</w:t>
      </w:r>
      <w:r w:rsidDel="00000000" w:rsidR="00000000" w:rsidRPr="00000000">
        <w:rPr>
          <w:rtl w:val="0"/>
        </w:rPr>
        <w:t xml:space="preserve"> </w:t>
        <w:br w:type="textWrapping"/>
        <w:t xml:space="preserve">            </w:t>
      </w:r>
      <w:hyperlink r:id="rId28">
        <w:r w:rsidDel="00000000" w:rsidR="00000000" w:rsidRPr="00000000">
          <w:rPr>
            <w:color w:val="1155cc"/>
            <w:u w:val="single"/>
            <w:rtl w:val="0"/>
          </w:rPr>
          <w:t xml:space="preserve">https://www.who.int/publications-detail-redirect/WHO-CED-PHE-WSH-18.03</w:t>
        </w:r>
      </w:hyperlink>
      <w:r w:rsidDel="00000000" w:rsidR="00000000" w:rsidRPr="00000000">
        <w:rPr>
          <w:rtl w:val="0"/>
        </w:rPr>
        <w:t xml:space="preserve"> </w:t>
      </w:r>
    </w:p>
    <w:p w:rsidR="00000000" w:rsidDel="00000000" w:rsidP="00000000" w:rsidRDefault="00000000" w:rsidRPr="00000000" w14:paraId="00000074">
      <w:pPr>
        <w:ind w:left="0" w:firstLine="0"/>
        <w:rPr/>
      </w:pPr>
      <w:r w:rsidDel="00000000" w:rsidR="00000000" w:rsidRPr="00000000">
        <w:rPr>
          <w:rtl w:val="0"/>
        </w:rPr>
        <w:t xml:space="preserve">Yin, Y., Dong, Y., Wang, K., Wang, D., &amp; Jones, B. F. (2022). Public use and public </w:t>
        <w:br w:type="textWrapping"/>
        <w:tab/>
        <w:t xml:space="preserve">funding of science. Nature human behaviour, 6(10), 1344-1350. </w:t>
        <w:br w:type="textWrapping"/>
        <w:tab/>
      </w:r>
      <w:hyperlink r:id="rId29">
        <w:r w:rsidDel="00000000" w:rsidR="00000000" w:rsidRPr="00000000">
          <w:rPr>
            <w:color w:val="1155cc"/>
            <w:u w:val="single"/>
            <w:rtl w:val="0"/>
          </w:rPr>
          <w:t xml:space="preserve">https://doi.org/10.1038/s41562-022-01397-5</w:t>
        </w:r>
      </w:hyperlink>
      <w:r w:rsidDel="00000000" w:rsidR="00000000" w:rsidRPr="00000000">
        <w:rPr>
          <w:rtl w:val="0"/>
        </w:rPr>
        <w:t xml:space="preserve">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sectPr>
      <w:headerReference r:id="rId30" w:type="default"/>
      <w:headerReference r:id="rId31" w:type="first"/>
      <w:footerReference r:id="rId32" w:type="default"/>
      <w:footerReference r:id="rId33"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Work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jc w:val="right"/>
      <w:rPr>
        <w:rFonts w:ascii="Work Sans" w:cs="Work Sans" w:eastAsia="Work Sans" w:hAnsi="Work Sans"/>
        <w:color w:val="999999"/>
        <w:sz w:val="20"/>
        <w:szCs w:val="20"/>
      </w:rPr>
    </w:pPr>
    <w:r w:rsidDel="00000000" w:rsidR="00000000" w:rsidRPr="00000000">
      <w:rPr>
        <w:rFonts w:ascii="Work Sans" w:cs="Work Sans" w:eastAsia="Work Sans" w:hAnsi="Work Sans"/>
        <w:color w:val="999999"/>
        <w:sz w:val="20"/>
        <w:szCs w:val="20"/>
        <w:rtl w:val="0"/>
      </w:rPr>
      <w:t xml:space="preserve">Page </w:t>
    </w:r>
    <w:r w:rsidDel="00000000" w:rsidR="00000000" w:rsidRPr="00000000">
      <w:rPr>
        <w:rFonts w:ascii="Work Sans" w:cs="Work Sans" w:eastAsia="Work Sans" w:hAnsi="Work Sans"/>
        <w:color w:val="999999"/>
        <w:sz w:val="20"/>
        <w:szCs w:val="20"/>
      </w:rPr>
      <w:fldChar w:fldCharType="begin"/>
      <w:instrText xml:space="preserve">PAGE</w:instrText>
      <w:fldChar w:fldCharType="separate"/>
      <w:fldChar w:fldCharType="end"/>
    </w:r>
    <w:r w:rsidDel="00000000" w:rsidR="00000000" w:rsidRPr="00000000">
      <w:rPr>
        <w:rFonts w:ascii="Work Sans" w:cs="Work Sans" w:eastAsia="Work Sans" w:hAnsi="Work Sans"/>
        <w:color w:val="999999"/>
        <w:sz w:val="20"/>
        <w:szCs w:val="20"/>
        <w:rtl w:val="0"/>
      </w:rPr>
      <w:t xml:space="preserve"> of </w:t>
    </w:r>
    <w:r w:rsidDel="00000000" w:rsidR="00000000" w:rsidRPr="00000000">
      <w:rPr>
        <w:rFonts w:ascii="Work Sans" w:cs="Work Sans" w:eastAsia="Work Sans" w:hAnsi="Work Sans"/>
        <w:color w:val="999999"/>
        <w:sz w:val="20"/>
        <w:szCs w:val="20"/>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A">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For more on IOI’s work on community-led governance in scholarly communication, see Moore, Samuel A. (2022). Community Governance In Scholarly Communication (Version 3). Zenodo. </w:t>
      </w:r>
      <w:hyperlink r:id="rId1">
        <w:r w:rsidDel="00000000" w:rsidR="00000000" w:rsidRPr="00000000">
          <w:rPr>
            <w:color w:val="1155cc"/>
            <w:sz w:val="20"/>
            <w:szCs w:val="20"/>
            <w:u w:val="single"/>
            <w:rtl w:val="0"/>
          </w:rPr>
          <w:t xml:space="preserve">https://doi.org/10.5281/zenodo.7035560</w:t>
        </w:r>
      </w:hyperlink>
      <w:r w:rsidDel="00000000" w:rsidR="00000000" w:rsidRPr="00000000">
        <w:rPr>
          <w:sz w:val="20"/>
          <w:szCs w:val="20"/>
          <w:rtl w:val="0"/>
        </w:rPr>
        <w:t xml:space="preserve"> and Cline, Ravin, Hernandez Ortiz, Tania, &amp; Dunks, Richard. (2022). Governance in Nonprofit Organizations: A Literature Review (2.2). Zenodo. </w:t>
      </w:r>
      <w:hyperlink r:id="rId2">
        <w:r w:rsidDel="00000000" w:rsidR="00000000" w:rsidRPr="00000000">
          <w:rPr>
            <w:color w:val="1155cc"/>
            <w:sz w:val="20"/>
            <w:szCs w:val="20"/>
            <w:u w:val="single"/>
            <w:rtl w:val="0"/>
          </w:rPr>
          <w:t xml:space="preserve">https://doi.org/10.5281/zenodo.7025611</w:t>
        </w:r>
      </w:hyperlink>
      <w:r w:rsidDel="00000000" w:rsidR="00000000" w:rsidRPr="00000000">
        <w:rPr>
          <w:sz w:val="20"/>
          <w:szCs w:val="20"/>
          <w:rtl w:val="0"/>
        </w:rPr>
        <w:t xml:space="preserve">. </w:t>
      </w:r>
      <w:r w:rsidDel="00000000" w:rsidR="00000000" w:rsidRPr="00000000">
        <w:rPr>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widowControl w:val="0"/>
      <w:spacing w:after="0" w:before="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spacing w:after="160" w:before="0" w:line="259" w:lineRule="auto"/>
      <w:rPr>
        <w:rFonts w:ascii="Calibri" w:cs="Calibri" w:eastAsia="Calibri" w:hAnsi="Calibri"/>
        <w:color w:val="0000ff"/>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Merriweather" w:cs="Merriweather" w:eastAsia="Merriweather" w:hAnsi="Merriweather"/>
        <w:sz w:val="22"/>
        <w:szCs w:val="22"/>
        <w:lang w:val="en"/>
      </w:rPr>
    </w:rPrDefault>
    <w:pPrDefault>
      <w:pPr>
        <w:spacing w:after="240" w:before="24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28"/>
      <w:szCs w:val="28"/>
    </w:rPr>
  </w:style>
  <w:style w:type="paragraph" w:styleId="Heading2">
    <w:name w:val="heading 2"/>
    <w:basedOn w:val="Normal"/>
    <w:next w:val="Normal"/>
    <w:pPr>
      <w:keepNext w:val="1"/>
      <w:keepLines w:val="1"/>
      <w:spacing w:after="120" w:before="360" w:lineRule="auto"/>
    </w:pPr>
    <w:rPr>
      <w:sz w:val="26"/>
      <w:szCs w:val="26"/>
    </w:rPr>
  </w:style>
  <w:style w:type="paragraph" w:styleId="Heading3">
    <w:name w:val="heading 3"/>
    <w:basedOn w:val="Normal"/>
    <w:next w:val="Normal"/>
    <w:pPr>
      <w:keepNext w:val="1"/>
      <w:keepLines w:val="1"/>
      <w:spacing w:after="80" w:before="320" w:lineRule="auto"/>
    </w:pPr>
    <w:rPr>
      <w:b w:val="1"/>
      <w:color w:val="434343"/>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ircwash.org/sites/default/files/briefing_note_1a_-_life-cycle_cost_approach.pdf" TargetMode="External"/><Relationship Id="rId22" Type="http://schemas.openxmlformats.org/officeDocument/2006/relationships/hyperlink" Target="https://doi.org/10.3978/j.issn.2072-1439.2014.03.21" TargetMode="External"/><Relationship Id="rId21" Type="http://schemas.openxmlformats.org/officeDocument/2006/relationships/hyperlink" Target="https://www.sanitationandwaterforall.org/sites/default/files/2020-12/Financial%20Handbook_EN.pdf" TargetMode="External"/><Relationship Id="rId24" Type="http://schemas.openxmlformats.org/officeDocument/2006/relationships/hyperlink" Target="https://doi.org/10.1111/j.1477-8947.1998.tb00735.x" TargetMode="External"/><Relationship Id="rId23" Type="http://schemas.openxmlformats.org/officeDocument/2006/relationships/hyperlink" Target="https://doi.org/10.1016/j.worlddev.2020.10515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oecd.org/" TargetMode="External"/><Relationship Id="rId26" Type="http://schemas.openxmlformats.org/officeDocument/2006/relationships/hyperlink" Target="https://ncses.nsf.gov/pubs/nsb20201/" TargetMode="External"/><Relationship Id="rId25" Type="http://schemas.openxmlformats.org/officeDocument/2006/relationships/hyperlink" Target="https://library.oapen.org/handle/20.500.12657/51498" TargetMode="External"/><Relationship Id="rId28" Type="http://schemas.openxmlformats.org/officeDocument/2006/relationships/hyperlink" Target="https://www.who.int/publications-detail-redirect/WHO-CED-PHE-WSH-18.03" TargetMode="External"/><Relationship Id="rId27" Type="http://schemas.openxmlformats.org/officeDocument/2006/relationships/hyperlink" Target="https://apo.who.int/publications/i/item/9789241513562"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doi.org/10.1038/s41562-022-01397-5" TargetMode="External"/><Relationship Id="rId7" Type="http://schemas.openxmlformats.org/officeDocument/2006/relationships/hyperlink" Target="https://orcid.org/0000-0002-3934-026X" TargetMode="External"/><Relationship Id="rId8" Type="http://schemas.openxmlformats.org/officeDocument/2006/relationships/hyperlink" Target="https://orcid.org/0000-0001-6999-7935" TargetMode="External"/><Relationship Id="rId31" Type="http://schemas.openxmlformats.org/officeDocument/2006/relationships/header" Target="header2.xml"/><Relationship Id="rId30" Type="http://schemas.openxmlformats.org/officeDocument/2006/relationships/header" Target="header1.xml"/><Relationship Id="rId11" Type="http://schemas.openxmlformats.org/officeDocument/2006/relationships/hyperlink" Target="https://www.ircwash.org/" TargetMode="External"/><Relationship Id="rId33" Type="http://schemas.openxmlformats.org/officeDocument/2006/relationships/footer" Target="footer1.xml"/><Relationship Id="rId10" Type="http://schemas.openxmlformats.org/officeDocument/2006/relationships/hyperlink" Target="https://www.who.int/" TargetMode="External"/><Relationship Id="rId32" Type="http://schemas.openxmlformats.org/officeDocument/2006/relationships/footer" Target="footer2.xml"/><Relationship Id="rId13" Type="http://schemas.openxmlformats.org/officeDocument/2006/relationships/hyperlink" Target="https://www.zotero.org/google-docs/?broken=A8VzvT" TargetMode="External"/><Relationship Id="rId12" Type="http://schemas.openxmlformats.org/officeDocument/2006/relationships/hyperlink" Target="https://www.zotero.org/google-docs/?broken=plOjrn" TargetMode="External"/><Relationship Id="rId15" Type="http://schemas.openxmlformats.org/officeDocument/2006/relationships/hyperlink" Target="https://waterfund.go.ke/watersource/Downloads/003.%20Sustainability%20_Management_Guidelines.pdf" TargetMode="External"/><Relationship Id="rId14" Type="http://schemas.openxmlformats.org/officeDocument/2006/relationships/hyperlink" Target="https://investinopen.org/about/how-were-funded/" TargetMode="External"/><Relationship Id="rId17" Type="http://schemas.openxmlformats.org/officeDocument/2006/relationships/hyperlink" Target="https://www.ircwash.org/resources/financing-and-cost-recovery" TargetMode="External"/><Relationship Id="rId16" Type="http://schemas.openxmlformats.org/officeDocument/2006/relationships/hyperlink" Target="https://www.ircwash.org/sites/default/files/Brikke-2001-Key.pdf" TargetMode="External"/><Relationship Id="rId19" Type="http://schemas.openxmlformats.org/officeDocument/2006/relationships/hyperlink" Target="https://github.com/investinopen/hidden_costs_materials" TargetMode="External"/><Relationship Id="rId18" Type="http://schemas.openxmlformats.org/officeDocument/2006/relationships/hyperlink" Target="https://doi.org/10.2166/washdev.2020.13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WorkSans-regular.ttf"/><Relationship Id="rId2" Type="http://schemas.openxmlformats.org/officeDocument/2006/relationships/font" Target="fonts/WorkSans-bold.ttf"/><Relationship Id="rId3" Type="http://schemas.openxmlformats.org/officeDocument/2006/relationships/font" Target="fonts/WorkSans-italic.ttf"/><Relationship Id="rId4" Type="http://schemas.openxmlformats.org/officeDocument/2006/relationships/font" Target="fonts/WorkSans-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doi.org/10.5281/zenodo.7035560" TargetMode="External"/><Relationship Id="rId2" Type="http://schemas.openxmlformats.org/officeDocument/2006/relationships/hyperlink" Target="https://doi.org/10.5281/zenodo.70256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