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C67E6" w14:textId="56368220" w:rsidR="00283617" w:rsidRPr="00E477DC" w:rsidRDefault="00283617" w:rsidP="00283617">
      <w:pPr>
        <w:spacing w:line="360" w:lineRule="auto"/>
        <w:jc w:val="both"/>
        <w:rPr>
          <w:rFonts w:asciiTheme="majorHAnsi" w:eastAsia="Calibri" w:hAnsiTheme="majorHAnsi" w:cstheme="majorHAnsi"/>
          <w:i/>
          <w:lang w:val="es-CO"/>
        </w:rPr>
      </w:pPr>
      <w:r w:rsidRPr="00E477DC">
        <w:rPr>
          <w:rFonts w:asciiTheme="majorHAnsi" w:eastAsia="Calibri" w:hAnsiTheme="majorHAnsi" w:cstheme="majorHAnsi"/>
          <w:i/>
          <w:lang w:val="es-CO"/>
        </w:rPr>
        <w:t>Tabla 7. Principales hallazgos de los estudios sobre la T</w:t>
      </w:r>
      <w:r w:rsidR="00401608">
        <w:rPr>
          <w:rFonts w:asciiTheme="majorHAnsi" w:eastAsia="Calibri" w:hAnsiTheme="majorHAnsi" w:cstheme="majorHAnsi"/>
          <w:i/>
          <w:lang w:val="es-CO"/>
        </w:rPr>
        <w:t xml:space="preserve">eoría </w:t>
      </w:r>
      <w:r w:rsidRPr="00E477DC">
        <w:rPr>
          <w:rFonts w:asciiTheme="majorHAnsi" w:eastAsia="Calibri" w:hAnsiTheme="majorHAnsi" w:cstheme="majorHAnsi"/>
          <w:i/>
          <w:lang w:val="es-CO"/>
        </w:rPr>
        <w:t>C</w:t>
      </w:r>
      <w:r w:rsidR="00401608">
        <w:rPr>
          <w:rFonts w:asciiTheme="majorHAnsi" w:eastAsia="Calibri" w:hAnsiTheme="majorHAnsi" w:cstheme="majorHAnsi"/>
          <w:i/>
          <w:lang w:val="es-CO"/>
        </w:rPr>
        <w:t xml:space="preserve">ognitiva del </w:t>
      </w:r>
      <w:r w:rsidRPr="00E477DC">
        <w:rPr>
          <w:rFonts w:asciiTheme="majorHAnsi" w:eastAsia="Calibri" w:hAnsiTheme="majorHAnsi" w:cstheme="majorHAnsi"/>
          <w:i/>
          <w:lang w:val="es-CO"/>
        </w:rPr>
        <w:t>A</w:t>
      </w:r>
      <w:r w:rsidR="00401608">
        <w:rPr>
          <w:rFonts w:asciiTheme="majorHAnsi" w:eastAsia="Calibri" w:hAnsiTheme="majorHAnsi" w:cstheme="majorHAnsi"/>
          <w:i/>
          <w:lang w:val="es-CO"/>
        </w:rPr>
        <w:t xml:space="preserve">prendizaje </w:t>
      </w:r>
      <w:r w:rsidRPr="00E477DC">
        <w:rPr>
          <w:rFonts w:asciiTheme="majorHAnsi" w:eastAsia="Calibri" w:hAnsiTheme="majorHAnsi" w:cstheme="majorHAnsi"/>
          <w:i/>
          <w:lang w:val="es-CO"/>
        </w:rPr>
        <w:t>M</w:t>
      </w:r>
      <w:r w:rsidR="00401608">
        <w:rPr>
          <w:rFonts w:asciiTheme="majorHAnsi" w:eastAsia="Calibri" w:hAnsiTheme="majorHAnsi" w:cstheme="majorHAnsi"/>
          <w:i/>
          <w:lang w:val="es-CO"/>
        </w:rPr>
        <w:t>ultimedia</w:t>
      </w:r>
      <w:r>
        <w:rPr>
          <w:rFonts w:asciiTheme="majorHAnsi" w:eastAsia="Calibri" w:hAnsiTheme="majorHAnsi" w:cstheme="majorHAnsi"/>
          <w:i/>
          <w:lang w:val="es-CO"/>
        </w:rPr>
        <w:t xml:space="preserve"> (2018-2022)</w:t>
      </w:r>
      <w:r>
        <w:rPr>
          <w:rStyle w:val="Refdenotaalpie"/>
          <w:rFonts w:asciiTheme="majorHAnsi" w:eastAsia="Calibri" w:hAnsiTheme="majorHAnsi" w:cstheme="majorHAnsi"/>
          <w:i/>
          <w:lang w:val="es-CO"/>
        </w:rPr>
        <w:footnoteReference w:id="1"/>
      </w:r>
    </w:p>
    <w:tbl>
      <w:tblPr>
        <w:tblW w:w="9072" w:type="dxa"/>
        <w:jc w:val="center"/>
        <w:tblBorders>
          <w:top w:val="single" w:sz="4" w:space="0" w:color="auto"/>
          <w:bottom w:val="single" w:sz="4" w:space="0" w:color="auto"/>
          <w:insideH w:val="single" w:sz="4" w:space="0" w:color="auto"/>
        </w:tblBorders>
        <w:tblCellMar>
          <w:left w:w="70" w:type="dxa"/>
          <w:right w:w="70" w:type="dxa"/>
        </w:tblCellMar>
        <w:tblLook w:val="04A0" w:firstRow="1" w:lastRow="0" w:firstColumn="1" w:lastColumn="0" w:noHBand="0" w:noVBand="1"/>
      </w:tblPr>
      <w:tblGrid>
        <w:gridCol w:w="6804"/>
        <w:gridCol w:w="2268"/>
      </w:tblGrid>
      <w:tr w:rsidR="00283617" w:rsidRPr="00F11D70" w14:paraId="7E26BCD8" w14:textId="77777777" w:rsidTr="00B049D0">
        <w:trPr>
          <w:trHeight w:val="255"/>
          <w:jc w:val="center"/>
        </w:trPr>
        <w:tc>
          <w:tcPr>
            <w:tcW w:w="6804" w:type="dxa"/>
            <w:shd w:val="clear" w:color="auto" w:fill="auto"/>
            <w:noWrap/>
            <w:vAlign w:val="bottom"/>
            <w:hideMark/>
          </w:tcPr>
          <w:p w14:paraId="6E6ACD06" w14:textId="77777777" w:rsidR="00283617" w:rsidRPr="00F11D70" w:rsidRDefault="00283617" w:rsidP="00B049D0">
            <w:pPr>
              <w:spacing w:line="240" w:lineRule="auto"/>
              <w:jc w:val="both"/>
              <w:rPr>
                <w:rFonts w:asciiTheme="majorHAnsi" w:eastAsia="Times New Roman" w:hAnsiTheme="majorHAnsi" w:cstheme="majorHAnsi"/>
                <w:b/>
                <w:bCs/>
                <w:sz w:val="20"/>
                <w:szCs w:val="20"/>
                <w:lang w:val="es-CO" w:eastAsia="es-CO"/>
              </w:rPr>
            </w:pPr>
            <w:r w:rsidRPr="00F11D70">
              <w:rPr>
                <w:rFonts w:asciiTheme="majorHAnsi" w:eastAsia="Times New Roman" w:hAnsiTheme="majorHAnsi" w:cstheme="majorHAnsi"/>
                <w:b/>
                <w:bCs/>
                <w:sz w:val="20"/>
                <w:szCs w:val="20"/>
                <w:lang w:val="es-CO" w:eastAsia="es-CO"/>
              </w:rPr>
              <w:t>Hallazgos</w:t>
            </w:r>
          </w:p>
        </w:tc>
        <w:tc>
          <w:tcPr>
            <w:tcW w:w="2268" w:type="dxa"/>
            <w:shd w:val="clear" w:color="auto" w:fill="auto"/>
            <w:noWrap/>
            <w:vAlign w:val="bottom"/>
            <w:hideMark/>
          </w:tcPr>
          <w:p w14:paraId="124863BB" w14:textId="77777777" w:rsidR="00283617" w:rsidRPr="00F11D70" w:rsidRDefault="00283617" w:rsidP="00B049D0">
            <w:pPr>
              <w:spacing w:line="240" w:lineRule="auto"/>
              <w:jc w:val="both"/>
              <w:rPr>
                <w:rFonts w:asciiTheme="majorHAnsi" w:eastAsia="Times New Roman" w:hAnsiTheme="majorHAnsi" w:cstheme="majorHAnsi"/>
                <w:b/>
                <w:sz w:val="20"/>
                <w:szCs w:val="20"/>
                <w:lang w:val="es-CO" w:eastAsia="es-CO"/>
              </w:rPr>
            </w:pPr>
            <w:r w:rsidRPr="00F11D70">
              <w:rPr>
                <w:rFonts w:asciiTheme="majorHAnsi" w:eastAsia="Times New Roman" w:hAnsiTheme="majorHAnsi" w:cstheme="majorHAnsi"/>
                <w:b/>
                <w:sz w:val="20"/>
                <w:szCs w:val="20"/>
                <w:lang w:val="es-CO" w:eastAsia="es-CO"/>
              </w:rPr>
              <w:t>Autores</w:t>
            </w:r>
          </w:p>
        </w:tc>
      </w:tr>
      <w:tr w:rsidR="00283617" w:rsidRPr="00F11D70" w14:paraId="7CC7B74F" w14:textId="77777777" w:rsidTr="00B049D0">
        <w:trPr>
          <w:trHeight w:val="255"/>
          <w:jc w:val="center"/>
        </w:trPr>
        <w:tc>
          <w:tcPr>
            <w:tcW w:w="6804" w:type="dxa"/>
            <w:shd w:val="clear" w:color="auto" w:fill="auto"/>
            <w:noWrap/>
            <w:vAlign w:val="bottom"/>
          </w:tcPr>
          <w:p w14:paraId="2F27A85A"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 xml:space="preserve">Validan la necesidad de presentar animaciones sin texto, y en su lugar con efecto de voz, no animaciones más texto. </w:t>
            </w:r>
          </w:p>
        </w:tc>
        <w:tc>
          <w:tcPr>
            <w:tcW w:w="2268" w:type="dxa"/>
            <w:shd w:val="clear" w:color="auto" w:fill="auto"/>
            <w:noWrap/>
            <w:vAlign w:val="bottom"/>
          </w:tcPr>
          <w:p w14:paraId="1F723E2B"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(Chan et al., 2020)</w:t>
            </w:r>
          </w:p>
        </w:tc>
      </w:tr>
      <w:tr w:rsidR="00283617" w:rsidRPr="00F11D70" w14:paraId="0EF40C03" w14:textId="77777777" w:rsidTr="00B049D0">
        <w:trPr>
          <w:trHeight w:val="255"/>
          <w:jc w:val="center"/>
        </w:trPr>
        <w:tc>
          <w:tcPr>
            <w:tcW w:w="6804" w:type="dxa"/>
            <w:shd w:val="clear" w:color="auto" w:fill="auto"/>
            <w:noWrap/>
            <w:vAlign w:val="bottom"/>
          </w:tcPr>
          <w:p w14:paraId="14D03AAD"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Existe un riesgo importante en el uso de videos interactivos por el posible aumento de la carga cognitiva debido al control y concentración que debe tener el estudiante sobre el material</w:t>
            </w:r>
          </w:p>
        </w:tc>
        <w:tc>
          <w:tcPr>
            <w:tcW w:w="2268" w:type="dxa"/>
            <w:shd w:val="clear" w:color="auto" w:fill="auto"/>
            <w:noWrap/>
            <w:vAlign w:val="bottom"/>
          </w:tcPr>
          <w:p w14:paraId="1367C4C2"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(Kamal, 2019)</w:t>
            </w:r>
          </w:p>
        </w:tc>
      </w:tr>
      <w:tr w:rsidR="00283617" w:rsidRPr="00F11D70" w14:paraId="4B2B3E3B" w14:textId="77777777" w:rsidTr="00B049D0">
        <w:trPr>
          <w:trHeight w:val="255"/>
          <w:jc w:val="center"/>
        </w:trPr>
        <w:tc>
          <w:tcPr>
            <w:tcW w:w="6804" w:type="dxa"/>
            <w:shd w:val="clear" w:color="auto" w:fill="auto"/>
            <w:noWrap/>
            <w:vAlign w:val="bottom"/>
          </w:tcPr>
          <w:p w14:paraId="437D9825"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Los videos deben ser segmentados en pequeñas piezas para favorecer la completa comprensión del estudiante al reducir su carga cognitiva</w:t>
            </w:r>
          </w:p>
        </w:tc>
        <w:tc>
          <w:tcPr>
            <w:tcW w:w="2268" w:type="dxa"/>
            <w:shd w:val="clear" w:color="auto" w:fill="auto"/>
            <w:noWrap/>
            <w:vAlign w:val="bottom"/>
          </w:tcPr>
          <w:p w14:paraId="4442A11A"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(Kamal, 2019; Berntsen y Kristiansen, 2019)</w:t>
            </w:r>
          </w:p>
        </w:tc>
      </w:tr>
      <w:tr w:rsidR="00283617" w:rsidRPr="00F11D70" w14:paraId="0709964D" w14:textId="77777777" w:rsidTr="00B049D0">
        <w:trPr>
          <w:trHeight w:val="255"/>
          <w:jc w:val="center"/>
        </w:trPr>
        <w:tc>
          <w:tcPr>
            <w:tcW w:w="6804" w:type="dxa"/>
            <w:shd w:val="clear" w:color="auto" w:fill="auto"/>
            <w:noWrap/>
            <w:vAlign w:val="bottom"/>
          </w:tcPr>
          <w:p w14:paraId="54FF4AD4"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Clasifica los videos entre “Corto &lt; 6 minutos, Medio 6-12 minutos, y Largo &gt; 12 minutos. Valida que un video educativo debe ser menor a 6 minutos</w:t>
            </w:r>
          </w:p>
        </w:tc>
        <w:tc>
          <w:tcPr>
            <w:tcW w:w="2268" w:type="dxa"/>
            <w:shd w:val="clear" w:color="auto" w:fill="auto"/>
            <w:noWrap/>
            <w:vAlign w:val="bottom"/>
          </w:tcPr>
          <w:p w14:paraId="60E68859"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(Kamal, 2019; Berntsen y Kristiansen, 2019)</w:t>
            </w:r>
          </w:p>
        </w:tc>
      </w:tr>
      <w:tr w:rsidR="00283617" w:rsidRPr="00F11D70" w14:paraId="220FBF64" w14:textId="77777777" w:rsidTr="00B049D0">
        <w:trPr>
          <w:trHeight w:val="255"/>
          <w:jc w:val="center"/>
        </w:trPr>
        <w:tc>
          <w:tcPr>
            <w:tcW w:w="6804" w:type="dxa"/>
            <w:shd w:val="clear" w:color="auto" w:fill="auto"/>
            <w:noWrap/>
            <w:vAlign w:val="bottom"/>
          </w:tcPr>
          <w:p w14:paraId="15D7C4E4"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Un agente o diseño con una apariencia 2D simple es más efectivo que un agente 3D más detallado y visualmente complejo por la carga cognitiva que genera</w:t>
            </w:r>
          </w:p>
        </w:tc>
        <w:tc>
          <w:tcPr>
            <w:tcW w:w="2268" w:type="dxa"/>
            <w:shd w:val="clear" w:color="auto" w:fill="auto"/>
            <w:noWrap/>
            <w:vAlign w:val="bottom"/>
          </w:tcPr>
          <w:p w14:paraId="11A92C28"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(Castro-Alonso et al, 2021)</w:t>
            </w:r>
          </w:p>
        </w:tc>
      </w:tr>
      <w:tr w:rsidR="00283617" w:rsidRPr="00F11D70" w14:paraId="413BE0AE" w14:textId="77777777" w:rsidTr="00B049D0">
        <w:trPr>
          <w:trHeight w:val="255"/>
          <w:jc w:val="center"/>
        </w:trPr>
        <w:tc>
          <w:tcPr>
            <w:tcW w:w="6804" w:type="dxa"/>
            <w:shd w:val="clear" w:color="auto" w:fill="auto"/>
            <w:noWrap/>
            <w:vAlign w:val="bottom"/>
          </w:tcPr>
          <w:p w14:paraId="512E3665"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 xml:space="preserve">Una presentación ppt puede ser más efectiva para enseñar información científica que una lección equivalente en realidad virtual o inmersiva, pero puede ser menos agradable y motivadora para los estudiantes. Agregar material interesante pero innecesario a una lección multimedia puede perjudicar el aprendizaje. Una lección debe despertar en el estudiante un interés situado y un sistema de retroalimentación. </w:t>
            </w:r>
          </w:p>
        </w:tc>
        <w:tc>
          <w:tcPr>
            <w:tcW w:w="2268" w:type="dxa"/>
            <w:shd w:val="clear" w:color="auto" w:fill="auto"/>
            <w:noWrap/>
            <w:vAlign w:val="bottom"/>
          </w:tcPr>
          <w:p w14:paraId="74E99D13"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(Parong y Mayer, 2018)</w:t>
            </w:r>
          </w:p>
        </w:tc>
      </w:tr>
      <w:tr w:rsidR="00283617" w:rsidRPr="00F11D70" w14:paraId="4694CA46" w14:textId="77777777" w:rsidTr="00B049D0">
        <w:trPr>
          <w:trHeight w:val="255"/>
          <w:jc w:val="center"/>
        </w:trPr>
        <w:tc>
          <w:tcPr>
            <w:tcW w:w="6804" w:type="dxa"/>
            <w:shd w:val="clear" w:color="auto" w:fill="auto"/>
            <w:noWrap/>
            <w:vAlign w:val="bottom"/>
          </w:tcPr>
          <w:p w14:paraId="312759F0"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 xml:space="preserve">Imágenes y palabras no son redundantes en áreas donde es necesario el uso y reconocimiento de gráficos o símbolos, como es la química. </w:t>
            </w:r>
          </w:p>
        </w:tc>
        <w:tc>
          <w:tcPr>
            <w:tcW w:w="2268" w:type="dxa"/>
            <w:shd w:val="clear" w:color="auto" w:fill="auto"/>
            <w:noWrap/>
            <w:vAlign w:val="bottom"/>
          </w:tcPr>
          <w:p w14:paraId="4DB22726"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(Raviolo, 2019)</w:t>
            </w:r>
          </w:p>
        </w:tc>
      </w:tr>
      <w:tr w:rsidR="00283617" w:rsidRPr="00F11D70" w14:paraId="0BDEC9F3" w14:textId="77777777" w:rsidTr="00B049D0">
        <w:trPr>
          <w:trHeight w:val="255"/>
          <w:jc w:val="center"/>
        </w:trPr>
        <w:tc>
          <w:tcPr>
            <w:tcW w:w="6804" w:type="dxa"/>
            <w:shd w:val="clear" w:color="auto" w:fill="auto"/>
            <w:noWrap/>
            <w:vAlign w:val="bottom"/>
          </w:tcPr>
          <w:p w14:paraId="5520C7BB"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Resulta más fácil estructurar información a partir de segmentos cortos que a partir de bloques extensos, la segmentación depende del conocimiento previo del estudiante, si este es muy avanzado en el tema, segmentar mucho impide el aprendizaje.</w:t>
            </w:r>
          </w:p>
        </w:tc>
        <w:tc>
          <w:tcPr>
            <w:tcW w:w="2268" w:type="dxa"/>
            <w:shd w:val="clear" w:color="auto" w:fill="auto"/>
            <w:noWrap/>
            <w:vAlign w:val="bottom"/>
          </w:tcPr>
          <w:p w14:paraId="659B24C7"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(Rey, et al., 2019)</w:t>
            </w:r>
          </w:p>
        </w:tc>
      </w:tr>
      <w:tr w:rsidR="00283617" w:rsidRPr="00F11D70" w14:paraId="3BB496D4" w14:textId="77777777" w:rsidTr="00B049D0">
        <w:trPr>
          <w:trHeight w:val="255"/>
          <w:jc w:val="center"/>
        </w:trPr>
        <w:tc>
          <w:tcPr>
            <w:tcW w:w="6804" w:type="dxa"/>
            <w:shd w:val="clear" w:color="auto" w:fill="auto"/>
            <w:noWrap/>
            <w:vAlign w:val="bottom"/>
          </w:tcPr>
          <w:p w14:paraId="7CF63914"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 xml:space="preserve">La calidad de un video está sujeta a las habilidades personales y profesionales del orador, el desarrollo técnico del video y el audio y su duración, así como la coherencia entre el título y su contenido. </w:t>
            </w:r>
          </w:p>
        </w:tc>
        <w:tc>
          <w:tcPr>
            <w:tcW w:w="2268" w:type="dxa"/>
            <w:shd w:val="clear" w:color="auto" w:fill="auto"/>
            <w:noWrap/>
            <w:vAlign w:val="bottom"/>
          </w:tcPr>
          <w:p w14:paraId="0CF8B140"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(Shoufan, 2019)</w:t>
            </w:r>
          </w:p>
        </w:tc>
      </w:tr>
      <w:tr w:rsidR="00283617" w:rsidRPr="00F11D70" w14:paraId="35F7BFCD" w14:textId="77777777" w:rsidTr="00B049D0">
        <w:trPr>
          <w:trHeight w:val="255"/>
          <w:jc w:val="center"/>
        </w:trPr>
        <w:tc>
          <w:tcPr>
            <w:tcW w:w="6804" w:type="dxa"/>
            <w:shd w:val="clear" w:color="auto" w:fill="auto"/>
            <w:noWrap/>
            <w:vAlign w:val="bottom"/>
          </w:tcPr>
          <w:p w14:paraId="1A0B0DCC"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 xml:space="preserve">Los videos con explicaciones que usan diapositivas (con diagramas ya creados) generan mayor valor cognitivo que los videos que utilizan el estilo “Khan-Academy” y que aquellos donde el locutor dibuja diagramas manualmente. </w:t>
            </w:r>
          </w:p>
        </w:tc>
        <w:tc>
          <w:tcPr>
            <w:tcW w:w="2268" w:type="dxa"/>
            <w:shd w:val="clear" w:color="auto" w:fill="auto"/>
            <w:noWrap/>
            <w:vAlign w:val="bottom"/>
          </w:tcPr>
          <w:p w14:paraId="351D093A"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(Shoufan, 2019)</w:t>
            </w:r>
          </w:p>
        </w:tc>
      </w:tr>
      <w:tr w:rsidR="00283617" w:rsidRPr="00F11D70" w14:paraId="0265F7B6" w14:textId="77777777" w:rsidTr="00B049D0">
        <w:trPr>
          <w:trHeight w:val="255"/>
          <w:jc w:val="center"/>
        </w:trPr>
        <w:tc>
          <w:tcPr>
            <w:tcW w:w="6804" w:type="dxa"/>
            <w:shd w:val="clear" w:color="auto" w:fill="auto"/>
            <w:noWrap/>
            <w:vAlign w:val="bottom"/>
          </w:tcPr>
          <w:p w14:paraId="7C85EB1E"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Los mejores resultados se obtienen cuando la combinación multimedia incluye lectura y escucha. En el aprendizaje de una segunda lengua (especialmente, en la adquisición de vocabulario) el texto escrito y narrado son complementarios y necesarios, y no redundantes como lo establece la TCAM.</w:t>
            </w:r>
          </w:p>
        </w:tc>
        <w:tc>
          <w:tcPr>
            <w:tcW w:w="2268" w:type="dxa"/>
            <w:shd w:val="clear" w:color="auto" w:fill="auto"/>
            <w:noWrap/>
            <w:vAlign w:val="bottom"/>
          </w:tcPr>
          <w:p w14:paraId="3899E153"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(Çekiç &amp; Demirezen, 2021)</w:t>
            </w:r>
          </w:p>
        </w:tc>
      </w:tr>
      <w:tr w:rsidR="00283617" w:rsidRPr="00F11D70" w14:paraId="222BFC34" w14:textId="77777777" w:rsidTr="00B049D0">
        <w:trPr>
          <w:trHeight w:val="255"/>
          <w:jc w:val="center"/>
        </w:trPr>
        <w:tc>
          <w:tcPr>
            <w:tcW w:w="6804" w:type="dxa"/>
            <w:shd w:val="clear" w:color="auto" w:fill="auto"/>
            <w:noWrap/>
            <w:vAlign w:val="bottom"/>
          </w:tcPr>
          <w:p w14:paraId="1CDCAA55"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La animación proporciona varios mecanismos para ayudar a reducir la carga cognitiva durante el proceso de aprendizaje, específicamente para comprender fenómenos dinámicos.</w:t>
            </w:r>
            <w:r w:rsidRPr="00F11D70">
              <w:rPr>
                <w:sz w:val="20"/>
                <w:szCs w:val="20"/>
              </w:rPr>
              <w:t xml:space="preserve"> </w:t>
            </w:r>
            <w:r w:rsidRPr="00F11D70">
              <w:rPr>
                <w:rFonts w:asciiTheme="majorHAnsi" w:eastAsia="Times New Roman" w:hAnsiTheme="majorHAnsi" w:cstheme="majorHAnsi"/>
                <w:sz w:val="20"/>
                <w:szCs w:val="20"/>
                <w:lang w:val="es-CO" w:eastAsia="es-CO"/>
              </w:rPr>
              <w:t xml:space="preserve">La animación genera beneficios en el aprendizaje, especialmente cuando el estudiante es novato. </w:t>
            </w:r>
          </w:p>
        </w:tc>
        <w:tc>
          <w:tcPr>
            <w:tcW w:w="2268" w:type="dxa"/>
            <w:shd w:val="clear" w:color="auto" w:fill="auto"/>
            <w:noWrap/>
            <w:vAlign w:val="bottom"/>
          </w:tcPr>
          <w:p w14:paraId="587F2E9C"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(Aysolmaz &amp; Reijers, 2021)</w:t>
            </w:r>
          </w:p>
        </w:tc>
      </w:tr>
      <w:tr w:rsidR="00283617" w:rsidRPr="00F11D70" w14:paraId="376925CB" w14:textId="77777777" w:rsidTr="00B049D0">
        <w:trPr>
          <w:trHeight w:val="255"/>
          <w:jc w:val="center"/>
        </w:trPr>
        <w:tc>
          <w:tcPr>
            <w:tcW w:w="6804" w:type="dxa"/>
            <w:shd w:val="clear" w:color="auto" w:fill="auto"/>
            <w:noWrap/>
            <w:vAlign w:val="bottom"/>
          </w:tcPr>
          <w:p w14:paraId="0C770F17"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El uso de los principios de la TCAM y la taxonomía de Bloom en estrategias de aula invertida, generan un impacto positivo en el aprendizaje</w:t>
            </w:r>
          </w:p>
        </w:tc>
        <w:tc>
          <w:tcPr>
            <w:tcW w:w="2268" w:type="dxa"/>
            <w:shd w:val="clear" w:color="auto" w:fill="auto"/>
            <w:noWrap/>
            <w:vAlign w:val="bottom"/>
          </w:tcPr>
          <w:p w14:paraId="4E8AA1AC"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(Almasseri &amp; Alhojailan, 2019)</w:t>
            </w:r>
          </w:p>
        </w:tc>
      </w:tr>
      <w:tr w:rsidR="00283617" w:rsidRPr="00F11D70" w14:paraId="0E3C0D23" w14:textId="77777777" w:rsidTr="00B049D0">
        <w:trPr>
          <w:trHeight w:val="255"/>
          <w:jc w:val="center"/>
        </w:trPr>
        <w:tc>
          <w:tcPr>
            <w:tcW w:w="6804" w:type="dxa"/>
            <w:shd w:val="clear" w:color="auto" w:fill="auto"/>
            <w:noWrap/>
            <w:vAlign w:val="bottom"/>
          </w:tcPr>
          <w:p w14:paraId="57DB9C36"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El éxito en el proceso de formación se asocia a la motivación de los estudiantes, el número de participantes, la función que cumple el recurso multimedia y sus combinaciones de acuerdo con las necesidades del contenido, así como el desarrollo de ejercicios y la resolución de problemas de manera autónoma.</w:t>
            </w:r>
          </w:p>
        </w:tc>
        <w:tc>
          <w:tcPr>
            <w:tcW w:w="2268" w:type="dxa"/>
            <w:shd w:val="clear" w:color="auto" w:fill="auto"/>
            <w:noWrap/>
            <w:vAlign w:val="bottom"/>
          </w:tcPr>
          <w:p w14:paraId="1F0497B0"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(Dulamă &amp; Ilovan, 2020)</w:t>
            </w:r>
          </w:p>
        </w:tc>
      </w:tr>
      <w:tr w:rsidR="00283617" w:rsidRPr="00F11D70" w14:paraId="313226CE" w14:textId="77777777" w:rsidTr="00B049D0">
        <w:trPr>
          <w:trHeight w:val="255"/>
          <w:jc w:val="center"/>
        </w:trPr>
        <w:tc>
          <w:tcPr>
            <w:tcW w:w="6804" w:type="dxa"/>
            <w:shd w:val="clear" w:color="auto" w:fill="auto"/>
            <w:noWrap/>
            <w:vAlign w:val="bottom"/>
          </w:tcPr>
          <w:p w14:paraId="30D0B528"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El uso de animaciones sobre imágenes es más efectivo y reduce la carga cognitiva</w:t>
            </w:r>
          </w:p>
        </w:tc>
        <w:tc>
          <w:tcPr>
            <w:tcW w:w="2268" w:type="dxa"/>
            <w:shd w:val="clear" w:color="auto" w:fill="auto"/>
            <w:noWrap/>
            <w:vAlign w:val="bottom"/>
          </w:tcPr>
          <w:p w14:paraId="51C29746"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(Yang et al., 2018)</w:t>
            </w:r>
          </w:p>
        </w:tc>
      </w:tr>
      <w:tr w:rsidR="00283617" w:rsidRPr="00F11D70" w14:paraId="35B12FED" w14:textId="77777777" w:rsidTr="00B049D0">
        <w:trPr>
          <w:trHeight w:val="255"/>
          <w:jc w:val="center"/>
        </w:trPr>
        <w:tc>
          <w:tcPr>
            <w:tcW w:w="6804" w:type="dxa"/>
            <w:shd w:val="clear" w:color="auto" w:fill="auto"/>
            <w:noWrap/>
            <w:vAlign w:val="bottom"/>
          </w:tcPr>
          <w:p w14:paraId="6C078686"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lastRenderedPageBreak/>
              <w:t>El uso de RA es más efectivo sobre el uso de papel físico o modelos reales</w:t>
            </w:r>
          </w:p>
        </w:tc>
        <w:tc>
          <w:tcPr>
            <w:tcW w:w="2268" w:type="dxa"/>
            <w:shd w:val="clear" w:color="auto" w:fill="auto"/>
            <w:noWrap/>
            <w:vAlign w:val="bottom"/>
          </w:tcPr>
          <w:p w14:paraId="77C0ACC6"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(Wang et al., 2018)</w:t>
            </w:r>
          </w:p>
        </w:tc>
      </w:tr>
      <w:tr w:rsidR="00283617" w:rsidRPr="00F11D70" w14:paraId="3B4A933E" w14:textId="77777777" w:rsidTr="00B049D0">
        <w:trPr>
          <w:trHeight w:val="255"/>
          <w:jc w:val="center"/>
        </w:trPr>
        <w:tc>
          <w:tcPr>
            <w:tcW w:w="6804" w:type="dxa"/>
            <w:shd w:val="clear" w:color="auto" w:fill="auto"/>
            <w:noWrap/>
            <w:vAlign w:val="bottom"/>
          </w:tcPr>
          <w:p w14:paraId="698864A5"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El principio de segmentación aporta a la retención de información, pero no de manera significativa a su transferencia para la toma de decisiones</w:t>
            </w:r>
          </w:p>
        </w:tc>
        <w:tc>
          <w:tcPr>
            <w:tcW w:w="2268" w:type="dxa"/>
            <w:shd w:val="clear" w:color="auto" w:fill="auto"/>
            <w:noWrap/>
            <w:vAlign w:val="bottom"/>
          </w:tcPr>
          <w:p w14:paraId="308A0E12"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(Soicher &amp; Becker, 2020)</w:t>
            </w:r>
          </w:p>
        </w:tc>
      </w:tr>
      <w:tr w:rsidR="00283617" w:rsidRPr="00F11D70" w14:paraId="1539E68A" w14:textId="77777777" w:rsidTr="00B049D0">
        <w:trPr>
          <w:trHeight w:val="255"/>
          <w:jc w:val="center"/>
        </w:trPr>
        <w:tc>
          <w:tcPr>
            <w:tcW w:w="6804" w:type="dxa"/>
            <w:shd w:val="clear" w:color="auto" w:fill="auto"/>
            <w:noWrap/>
            <w:vAlign w:val="bottom"/>
          </w:tcPr>
          <w:p w14:paraId="36FF8F09"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El glosado con dos tipos de canales o con dos complementos multimedia es más efectivo en el aprendizaje y retención de palabras</w:t>
            </w:r>
          </w:p>
        </w:tc>
        <w:tc>
          <w:tcPr>
            <w:tcW w:w="2268" w:type="dxa"/>
            <w:shd w:val="clear" w:color="auto" w:fill="auto"/>
            <w:noWrap/>
            <w:vAlign w:val="bottom"/>
          </w:tcPr>
          <w:p w14:paraId="051F1A20"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(Ramezanal &amp; Faez, 2019)</w:t>
            </w:r>
          </w:p>
        </w:tc>
      </w:tr>
      <w:tr w:rsidR="00283617" w:rsidRPr="00F11D70" w14:paraId="24111485" w14:textId="77777777" w:rsidTr="00B049D0">
        <w:trPr>
          <w:trHeight w:val="255"/>
          <w:jc w:val="center"/>
        </w:trPr>
        <w:tc>
          <w:tcPr>
            <w:tcW w:w="6804" w:type="dxa"/>
            <w:shd w:val="clear" w:color="auto" w:fill="auto"/>
            <w:noWrap/>
            <w:vAlign w:val="bottom"/>
          </w:tcPr>
          <w:p w14:paraId="694DF65A"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El texto plano y el contenido con menor nivel de interacción evitaba el aumento de la carga cognitiva</w:t>
            </w:r>
          </w:p>
        </w:tc>
        <w:tc>
          <w:tcPr>
            <w:tcW w:w="2268" w:type="dxa"/>
            <w:shd w:val="clear" w:color="auto" w:fill="auto"/>
            <w:noWrap/>
            <w:vAlign w:val="bottom"/>
          </w:tcPr>
          <w:p w14:paraId="6EF0B9B4"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(Rat et al., 2018)</w:t>
            </w:r>
          </w:p>
        </w:tc>
      </w:tr>
      <w:tr w:rsidR="00283617" w:rsidRPr="00F11D70" w14:paraId="70BB47E5" w14:textId="77777777" w:rsidTr="00B049D0">
        <w:trPr>
          <w:trHeight w:val="255"/>
          <w:jc w:val="center"/>
        </w:trPr>
        <w:tc>
          <w:tcPr>
            <w:tcW w:w="6804" w:type="dxa"/>
            <w:shd w:val="clear" w:color="auto" w:fill="auto"/>
            <w:noWrap/>
            <w:vAlign w:val="bottom"/>
          </w:tcPr>
          <w:p w14:paraId="3E4CFBF9"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Los estudiantes aprecian el humor por lo que se considera uno de los pocos aspectos que contribuyen al éxito de un curso que no está previsto por uno de los principios multimedia de Mayer</w:t>
            </w:r>
          </w:p>
        </w:tc>
        <w:tc>
          <w:tcPr>
            <w:tcW w:w="2268" w:type="dxa"/>
            <w:shd w:val="clear" w:color="auto" w:fill="auto"/>
            <w:noWrap/>
            <w:vAlign w:val="bottom"/>
          </w:tcPr>
          <w:p w14:paraId="2A6B4824"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(Oakley &amp; Sejnowski, 2019)</w:t>
            </w:r>
          </w:p>
        </w:tc>
      </w:tr>
      <w:tr w:rsidR="00283617" w:rsidRPr="00F11D70" w14:paraId="7485223E" w14:textId="77777777" w:rsidTr="00B049D0">
        <w:trPr>
          <w:trHeight w:val="255"/>
          <w:jc w:val="center"/>
        </w:trPr>
        <w:tc>
          <w:tcPr>
            <w:tcW w:w="6804" w:type="dxa"/>
            <w:shd w:val="clear" w:color="auto" w:fill="auto"/>
            <w:noWrap/>
            <w:vAlign w:val="bottom"/>
          </w:tcPr>
          <w:p w14:paraId="5BC20C95"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Se corre el riesgo de escoger recursos digitales por su apariencia o por intuición del experto, y no por su diseño riguroso orientado al aprendizaje</w:t>
            </w:r>
          </w:p>
        </w:tc>
        <w:tc>
          <w:tcPr>
            <w:tcW w:w="2268" w:type="dxa"/>
            <w:shd w:val="clear" w:color="auto" w:fill="auto"/>
            <w:noWrap/>
            <w:vAlign w:val="bottom"/>
          </w:tcPr>
          <w:p w14:paraId="3E699BA7"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(Noyes et al., 2020)</w:t>
            </w:r>
          </w:p>
        </w:tc>
      </w:tr>
      <w:tr w:rsidR="00283617" w:rsidRPr="00F11D70" w14:paraId="224A251F" w14:textId="77777777" w:rsidTr="00B049D0">
        <w:trPr>
          <w:trHeight w:val="255"/>
          <w:jc w:val="center"/>
        </w:trPr>
        <w:tc>
          <w:tcPr>
            <w:tcW w:w="6804" w:type="dxa"/>
            <w:shd w:val="clear" w:color="auto" w:fill="auto"/>
            <w:noWrap/>
            <w:vAlign w:val="bottom"/>
          </w:tcPr>
          <w:p w14:paraId="327F96CA"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Es más efectivo utilizar imágenes y audio y no imágenes y texto</w:t>
            </w:r>
          </w:p>
        </w:tc>
        <w:tc>
          <w:tcPr>
            <w:tcW w:w="2268" w:type="dxa"/>
            <w:shd w:val="clear" w:color="auto" w:fill="auto"/>
            <w:noWrap/>
            <w:vAlign w:val="bottom"/>
          </w:tcPr>
          <w:p w14:paraId="63C89D5F"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(Mirkovski et al., 2019)</w:t>
            </w:r>
          </w:p>
        </w:tc>
      </w:tr>
      <w:tr w:rsidR="00283617" w:rsidRPr="00F11D70" w14:paraId="774047F8" w14:textId="77777777" w:rsidTr="00B049D0">
        <w:trPr>
          <w:trHeight w:val="255"/>
          <w:jc w:val="center"/>
        </w:trPr>
        <w:tc>
          <w:tcPr>
            <w:tcW w:w="6804" w:type="dxa"/>
            <w:shd w:val="clear" w:color="auto" w:fill="auto"/>
            <w:noWrap/>
            <w:vAlign w:val="bottom"/>
          </w:tcPr>
          <w:p w14:paraId="117EE76A"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Los recursos y estrategias de formación en el área de la salud que utilizan los principios de la TCAM logran un mayor aprendizaje</w:t>
            </w:r>
          </w:p>
        </w:tc>
        <w:tc>
          <w:tcPr>
            <w:tcW w:w="2268" w:type="dxa"/>
            <w:shd w:val="clear" w:color="auto" w:fill="auto"/>
            <w:noWrap/>
            <w:vAlign w:val="bottom"/>
          </w:tcPr>
          <w:p w14:paraId="4C80761E"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(Mahajan et al., 2020)</w:t>
            </w:r>
          </w:p>
        </w:tc>
      </w:tr>
      <w:tr w:rsidR="00283617" w:rsidRPr="00F11D70" w14:paraId="45890401" w14:textId="77777777" w:rsidTr="00B049D0">
        <w:trPr>
          <w:trHeight w:val="255"/>
          <w:jc w:val="center"/>
        </w:trPr>
        <w:tc>
          <w:tcPr>
            <w:tcW w:w="6804" w:type="dxa"/>
            <w:shd w:val="clear" w:color="auto" w:fill="auto"/>
            <w:noWrap/>
            <w:vAlign w:val="bottom"/>
          </w:tcPr>
          <w:p w14:paraId="7815E495"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“Los niños no necesitan una representación concreta para comprender los conceptos científicos[...] una representación abstracta básica puede ser más útil que varios ejemplos concretos para presentar información porque les permite concentrarse fácilmente en los objetivos de aprendizaje” (p. 140)</w:t>
            </w:r>
          </w:p>
        </w:tc>
        <w:tc>
          <w:tcPr>
            <w:tcW w:w="2268" w:type="dxa"/>
            <w:shd w:val="clear" w:color="auto" w:fill="auto"/>
            <w:noWrap/>
            <w:vAlign w:val="bottom"/>
          </w:tcPr>
          <w:p w14:paraId="7AEF331E"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(Kutbay &amp; Akpınar, 2020)</w:t>
            </w:r>
          </w:p>
        </w:tc>
      </w:tr>
      <w:tr w:rsidR="00283617" w:rsidRPr="00F11D70" w14:paraId="0FFA4E53" w14:textId="77777777" w:rsidTr="00B049D0">
        <w:trPr>
          <w:trHeight w:val="255"/>
          <w:jc w:val="center"/>
        </w:trPr>
        <w:tc>
          <w:tcPr>
            <w:tcW w:w="6804" w:type="dxa"/>
            <w:shd w:val="clear" w:color="auto" w:fill="auto"/>
            <w:noWrap/>
            <w:vAlign w:val="bottom"/>
          </w:tcPr>
          <w:p w14:paraId="346B68D0"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Los estudiantes con baja capacidad de memoria de trabajo se benefician de un diseño de modalidad dual para el aprendizaje de retención, pero tienen dificultades en las pruebas de retención cuando aprenden en una sola modalidad. Los estudiantes con alta capacidad de memoria de trabajo necesitan un diseño de modalidad dual para el aprendizaje de resolución de problemas, pero no necesitan el mismo apoyo instructivo para el aprendizaje de retención</w:t>
            </w:r>
          </w:p>
        </w:tc>
        <w:tc>
          <w:tcPr>
            <w:tcW w:w="2268" w:type="dxa"/>
            <w:shd w:val="clear" w:color="auto" w:fill="auto"/>
            <w:noWrap/>
            <w:vAlign w:val="bottom"/>
          </w:tcPr>
          <w:p w14:paraId="17A0D439"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(Greenberg et al., 2021)</w:t>
            </w:r>
          </w:p>
        </w:tc>
      </w:tr>
      <w:tr w:rsidR="00283617" w:rsidRPr="00F11D70" w14:paraId="00CCFF5F" w14:textId="77777777" w:rsidTr="00B049D0">
        <w:trPr>
          <w:trHeight w:val="255"/>
          <w:jc w:val="center"/>
        </w:trPr>
        <w:tc>
          <w:tcPr>
            <w:tcW w:w="6804" w:type="dxa"/>
            <w:shd w:val="clear" w:color="auto" w:fill="auto"/>
            <w:noWrap/>
            <w:vAlign w:val="bottom"/>
          </w:tcPr>
          <w:p w14:paraId="109B81CC"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Un mapa digital interactivo se puede enriquecer con la integración de audios</w:t>
            </w:r>
          </w:p>
        </w:tc>
        <w:tc>
          <w:tcPr>
            <w:tcW w:w="2268" w:type="dxa"/>
            <w:shd w:val="clear" w:color="auto" w:fill="auto"/>
            <w:noWrap/>
            <w:vAlign w:val="bottom"/>
          </w:tcPr>
          <w:p w14:paraId="38CF3910"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(Groshans et al., 2019)</w:t>
            </w:r>
          </w:p>
        </w:tc>
      </w:tr>
      <w:tr w:rsidR="00283617" w:rsidRPr="00F11D70" w14:paraId="4A965352" w14:textId="77777777" w:rsidTr="00B049D0">
        <w:trPr>
          <w:trHeight w:val="255"/>
          <w:jc w:val="center"/>
        </w:trPr>
        <w:tc>
          <w:tcPr>
            <w:tcW w:w="6804" w:type="dxa"/>
            <w:shd w:val="clear" w:color="auto" w:fill="auto"/>
            <w:noWrap/>
            <w:vAlign w:val="bottom"/>
          </w:tcPr>
          <w:p w14:paraId="536D89D8"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Los docentes deben presentar textos y visualizaciones de manera contigua o integrada y deben esforzarse en presentar solo la información de aprendizaje esencial</w:t>
            </w:r>
          </w:p>
        </w:tc>
        <w:tc>
          <w:tcPr>
            <w:tcW w:w="2268" w:type="dxa"/>
            <w:shd w:val="clear" w:color="auto" w:fill="auto"/>
            <w:noWrap/>
            <w:vAlign w:val="bottom"/>
          </w:tcPr>
          <w:p w14:paraId="2C4E155D"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(Castro-Alonso et al., 2021b)</w:t>
            </w:r>
          </w:p>
        </w:tc>
      </w:tr>
      <w:tr w:rsidR="00283617" w:rsidRPr="00F11D70" w14:paraId="2E94E1AB" w14:textId="77777777" w:rsidTr="00B049D0">
        <w:trPr>
          <w:trHeight w:val="255"/>
          <w:jc w:val="center"/>
        </w:trPr>
        <w:tc>
          <w:tcPr>
            <w:tcW w:w="6804" w:type="dxa"/>
            <w:shd w:val="clear" w:color="auto" w:fill="auto"/>
            <w:noWrap/>
            <w:vAlign w:val="bottom"/>
          </w:tcPr>
          <w:p w14:paraId="04075605"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 xml:space="preserve">“La señalización y la contigüidad espacial, pueden ser principios de diseño efectivos para implementar comentarios de mapas conceptuales destinados a ayudar a los estudiantes a revisar sus textos escritos para lograr la cohesión del texto” </w:t>
            </w:r>
          </w:p>
        </w:tc>
        <w:tc>
          <w:tcPr>
            <w:tcW w:w="2268" w:type="dxa"/>
            <w:shd w:val="clear" w:color="auto" w:fill="auto"/>
            <w:noWrap/>
            <w:vAlign w:val="bottom"/>
          </w:tcPr>
          <w:p w14:paraId="287BC081"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(Burkhart et al., 2021, p. 1).</w:t>
            </w:r>
          </w:p>
        </w:tc>
      </w:tr>
      <w:tr w:rsidR="00283617" w:rsidRPr="00F11D70" w14:paraId="0A1001D7" w14:textId="77777777" w:rsidTr="00B049D0">
        <w:trPr>
          <w:trHeight w:val="255"/>
          <w:jc w:val="center"/>
        </w:trPr>
        <w:tc>
          <w:tcPr>
            <w:tcW w:w="6804" w:type="dxa"/>
            <w:shd w:val="clear" w:color="auto" w:fill="auto"/>
            <w:noWrap/>
            <w:vAlign w:val="bottom"/>
          </w:tcPr>
          <w:p w14:paraId="20A21791"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El uso de tablas interactivas permite que el estudiante navegue por más tiempo y detalle el contenido del video, pero no refleja mejoras significativas en la memoria y comprensión de los temas</w:t>
            </w:r>
          </w:p>
        </w:tc>
        <w:tc>
          <w:tcPr>
            <w:tcW w:w="2268" w:type="dxa"/>
            <w:shd w:val="clear" w:color="auto" w:fill="auto"/>
            <w:noWrap/>
            <w:vAlign w:val="bottom"/>
          </w:tcPr>
          <w:p w14:paraId="056EE33B"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(Cojean &amp; Jamet, 2022)</w:t>
            </w:r>
          </w:p>
        </w:tc>
      </w:tr>
      <w:tr w:rsidR="00283617" w:rsidRPr="00F11D70" w14:paraId="05B9FCF4" w14:textId="77777777" w:rsidTr="00B049D0">
        <w:trPr>
          <w:trHeight w:val="255"/>
          <w:jc w:val="center"/>
        </w:trPr>
        <w:tc>
          <w:tcPr>
            <w:tcW w:w="6804" w:type="dxa"/>
            <w:shd w:val="clear" w:color="auto" w:fill="auto"/>
            <w:noWrap/>
            <w:vAlign w:val="bottom"/>
          </w:tcPr>
          <w:p w14:paraId="23233973"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 xml:space="preserve">La adaptación de preguntas de evaluación a partir de la TCAM conlleva a que sean más fáciles de comprender y a prolongar el análisis de las mismas. </w:t>
            </w:r>
          </w:p>
        </w:tc>
        <w:tc>
          <w:tcPr>
            <w:tcW w:w="2268" w:type="dxa"/>
            <w:shd w:val="clear" w:color="auto" w:fill="auto"/>
            <w:noWrap/>
            <w:vAlign w:val="bottom"/>
          </w:tcPr>
          <w:p w14:paraId="195FA7ED"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(Dirkx et al., 2021)</w:t>
            </w:r>
          </w:p>
        </w:tc>
      </w:tr>
      <w:tr w:rsidR="00283617" w:rsidRPr="00F11D70" w14:paraId="57E8C7D8" w14:textId="77777777" w:rsidTr="00B049D0">
        <w:trPr>
          <w:trHeight w:val="255"/>
          <w:jc w:val="center"/>
        </w:trPr>
        <w:tc>
          <w:tcPr>
            <w:tcW w:w="6804" w:type="dxa"/>
            <w:shd w:val="clear" w:color="auto" w:fill="auto"/>
            <w:noWrap/>
            <w:vAlign w:val="bottom"/>
          </w:tcPr>
          <w:p w14:paraId="4B29C58D"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 xml:space="preserve">Se valida la relevancia de mantener el uso de los principios de la TCAM en el diseño de materiales de aprendizaje para que sean más efectivos. Los materiales que aprovecha los dos canales de procesamiento de información (visual y auditivo) mejoran el aprendizaje y reducen la carga cognitiva extraña. </w:t>
            </w:r>
          </w:p>
        </w:tc>
        <w:tc>
          <w:tcPr>
            <w:tcW w:w="2268" w:type="dxa"/>
            <w:shd w:val="clear" w:color="auto" w:fill="auto"/>
            <w:noWrap/>
            <w:vAlign w:val="bottom"/>
          </w:tcPr>
          <w:p w14:paraId="1C8C92CF" w14:textId="77777777" w:rsidR="00283617" w:rsidRPr="00F11D70" w:rsidRDefault="00283617" w:rsidP="00B049D0">
            <w:pPr>
              <w:spacing w:line="240" w:lineRule="auto"/>
              <w:jc w:val="both"/>
              <w:rPr>
                <w:rFonts w:asciiTheme="majorHAnsi" w:eastAsia="Times New Roman" w:hAnsiTheme="majorHAnsi" w:cstheme="majorHAnsi"/>
                <w:sz w:val="20"/>
                <w:szCs w:val="20"/>
                <w:lang w:val="es-CO" w:eastAsia="es-CO"/>
              </w:rPr>
            </w:pPr>
            <w:r w:rsidRPr="00F11D70">
              <w:rPr>
                <w:rFonts w:asciiTheme="majorHAnsi" w:eastAsia="Times New Roman" w:hAnsiTheme="majorHAnsi" w:cstheme="majorHAnsi"/>
                <w:sz w:val="20"/>
                <w:szCs w:val="20"/>
                <w:lang w:val="es-CO" w:eastAsia="es-CO"/>
              </w:rPr>
              <w:t>(Noetel et al., 2022)</w:t>
            </w:r>
          </w:p>
        </w:tc>
      </w:tr>
    </w:tbl>
    <w:p w14:paraId="18478F99" w14:textId="114AD400" w:rsidR="00283617" w:rsidRPr="00E477DC" w:rsidRDefault="00283617" w:rsidP="00283617">
      <w:pPr>
        <w:spacing w:line="360" w:lineRule="auto"/>
        <w:ind w:firstLine="284"/>
        <w:jc w:val="center"/>
        <w:rPr>
          <w:rFonts w:asciiTheme="majorHAnsi" w:eastAsia="Calibri" w:hAnsiTheme="majorHAnsi" w:cstheme="majorHAnsi"/>
        </w:rPr>
      </w:pPr>
      <w:r w:rsidRPr="00E477DC">
        <w:rPr>
          <w:rFonts w:asciiTheme="majorHAnsi" w:eastAsia="Calibri" w:hAnsiTheme="majorHAnsi" w:cstheme="majorHAnsi"/>
        </w:rPr>
        <w:t xml:space="preserve">Fuente: </w:t>
      </w:r>
      <w:r>
        <w:rPr>
          <w:rFonts w:asciiTheme="majorHAnsi" w:eastAsia="Calibri" w:hAnsiTheme="majorHAnsi" w:cstheme="majorHAnsi"/>
        </w:rPr>
        <w:t>Betancur-Chicué, Viviana y García-Valcárcel, Ana (2022)</w:t>
      </w:r>
      <w:r>
        <w:rPr>
          <w:rStyle w:val="Refdenotaalpie"/>
          <w:rFonts w:asciiTheme="majorHAnsi" w:eastAsia="Calibri" w:hAnsiTheme="majorHAnsi" w:cstheme="majorHAnsi"/>
        </w:rPr>
        <w:footnoteReference w:id="2"/>
      </w:r>
    </w:p>
    <w:p w14:paraId="5FD39C3C" w14:textId="77777777" w:rsidR="005B59D7" w:rsidRDefault="005B59D7"/>
    <w:sectPr w:rsidR="005B59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D87D62" w14:textId="77777777" w:rsidR="005051E0" w:rsidRDefault="005051E0" w:rsidP="00283617">
      <w:pPr>
        <w:spacing w:line="240" w:lineRule="auto"/>
      </w:pPr>
      <w:r>
        <w:separator/>
      </w:r>
    </w:p>
  </w:endnote>
  <w:endnote w:type="continuationSeparator" w:id="0">
    <w:p w14:paraId="795391C7" w14:textId="77777777" w:rsidR="005051E0" w:rsidRDefault="005051E0" w:rsidP="0028361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640C71" w14:textId="77777777" w:rsidR="005051E0" w:rsidRDefault="005051E0" w:rsidP="00283617">
      <w:pPr>
        <w:spacing w:line="240" w:lineRule="auto"/>
      </w:pPr>
      <w:r>
        <w:separator/>
      </w:r>
    </w:p>
  </w:footnote>
  <w:footnote w:type="continuationSeparator" w:id="0">
    <w:p w14:paraId="519E4A8D" w14:textId="77777777" w:rsidR="005051E0" w:rsidRDefault="005051E0" w:rsidP="00283617">
      <w:pPr>
        <w:spacing w:line="240" w:lineRule="auto"/>
      </w:pPr>
      <w:r>
        <w:continuationSeparator/>
      </w:r>
    </w:p>
  </w:footnote>
  <w:footnote w:id="1">
    <w:p w14:paraId="77384CA8" w14:textId="661166BE" w:rsidR="00283617" w:rsidRPr="00283617" w:rsidRDefault="00283617">
      <w:pPr>
        <w:pStyle w:val="Textonotapie"/>
        <w:rPr>
          <w:i/>
          <w:iCs/>
          <w:lang w:val="es-ES"/>
        </w:rPr>
      </w:pPr>
      <w:r>
        <w:rPr>
          <w:rStyle w:val="Refdenotaalpie"/>
        </w:rPr>
        <w:footnoteRef/>
      </w:r>
      <w:r>
        <w:t xml:space="preserve"> </w:t>
      </w:r>
      <w:r>
        <w:rPr>
          <w:lang w:val="es-ES"/>
        </w:rPr>
        <w:t xml:space="preserve">Tabla de datos de los hallazgos principales derivados de la revisión sistemática: </w:t>
      </w:r>
      <w:r w:rsidRPr="00283617">
        <w:rPr>
          <w:i/>
          <w:iCs/>
          <w:lang w:val="es-ES"/>
        </w:rPr>
        <w:t>Aplicación de los principios de la teoría cognitiva del aprendizaje multimedia al diseño de situaciones de aprendizaje y escenarios de formación</w:t>
      </w:r>
    </w:p>
  </w:footnote>
  <w:footnote w:id="2">
    <w:p w14:paraId="2088722E" w14:textId="40C4D99B" w:rsidR="00283617" w:rsidRPr="00283617" w:rsidRDefault="00283617">
      <w:pPr>
        <w:pStyle w:val="Textonotapie"/>
        <w:rPr>
          <w:lang w:val="es-ES"/>
        </w:rPr>
      </w:pPr>
      <w:r>
        <w:rPr>
          <w:rStyle w:val="Refdenotaalpie"/>
        </w:rPr>
        <w:footnoteRef/>
      </w:r>
      <w:r>
        <w:t xml:space="preserve"> Autoras del artículo “</w:t>
      </w:r>
      <w:r w:rsidRPr="00283617">
        <w:t>Aplicación de los principios de la teoría cognitiva del aprendizaje multimedia al diseño de situaciones de aprendizaje y escenarios de formación</w:t>
      </w:r>
      <w:r>
        <w:t xml:space="preserve">”. Universidad de Salamanca, España.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082"/>
    <w:rsid w:val="001C1082"/>
    <w:rsid w:val="00283617"/>
    <w:rsid w:val="00401608"/>
    <w:rsid w:val="005051E0"/>
    <w:rsid w:val="005B59D7"/>
    <w:rsid w:val="00B74DC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A16A6"/>
  <w15:chartTrackingRefBased/>
  <w15:docId w15:val="{2699345D-62A0-4D6E-96A1-A3FF14AA9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3617"/>
    <w:pPr>
      <w:spacing w:after="0" w:line="276" w:lineRule="auto"/>
    </w:pPr>
    <w:rPr>
      <w:rFonts w:ascii="Arial" w:eastAsia="Arial" w:hAnsi="Arial" w:cs="Arial"/>
      <w:lang w:val="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283617"/>
    <w:pPr>
      <w:spacing w:line="240" w:lineRule="auto"/>
    </w:pPr>
    <w:rPr>
      <w:sz w:val="20"/>
      <w:szCs w:val="20"/>
    </w:rPr>
  </w:style>
  <w:style w:type="character" w:customStyle="1" w:styleId="TextonotapieCar">
    <w:name w:val="Texto nota pie Car"/>
    <w:basedOn w:val="Fuentedeprrafopredeter"/>
    <w:link w:val="Textonotapie"/>
    <w:uiPriority w:val="99"/>
    <w:semiHidden/>
    <w:rsid w:val="00283617"/>
    <w:rPr>
      <w:rFonts w:ascii="Arial" w:eastAsia="Arial" w:hAnsi="Arial" w:cs="Arial"/>
      <w:sz w:val="20"/>
      <w:szCs w:val="20"/>
      <w:lang w:val="es" w:eastAsia="es-ES"/>
    </w:rPr>
  </w:style>
  <w:style w:type="character" w:styleId="Refdenotaalpie">
    <w:name w:val="footnote reference"/>
    <w:basedOn w:val="Fuentedeprrafopredeter"/>
    <w:uiPriority w:val="99"/>
    <w:semiHidden/>
    <w:unhideWhenUsed/>
    <w:rsid w:val="0028361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A283F3-52C5-44EF-930B-D226E7C22A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1058</Words>
  <Characters>5819</Characters>
  <Application>Microsoft Office Word</Application>
  <DocSecurity>0</DocSecurity>
  <Lines>48</Lines>
  <Paragraphs>13</Paragraphs>
  <ScaleCrop>false</ScaleCrop>
  <Company/>
  <LinksUpToDate>false</LinksUpToDate>
  <CharactersWithSpaces>6864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Viviana</dc:creator>
  <cp:keywords/>
  <dc:description/>
  <cp:lastModifiedBy>Viviana</cp:lastModifiedBy>
  <cp:revision>3</cp:revision>
  <dcterms:created xsi:type="dcterms:W3CDTF">2022-10-04T00:54:00Z</dcterms:created>
  <dcterms:modified xsi:type="dcterms:W3CDTF">2022-10-04T01:15:00Z</dcterms:modified>
</cp:coreProperties>
</file>