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366C" w:rsidRPr="005D366C" w:rsidRDefault="005D366C" w:rsidP="005D366C">
      <w:pPr>
        <w:ind w:left="708"/>
        <w:rPr>
          <w:rFonts w:ascii="Palatino Linotype" w:eastAsia="Times New Roman" w:hAnsi="Palatino Linotype" w:cs="Times New Roman"/>
          <w:b/>
          <w:bCs/>
          <w:snapToGrid w:val="0"/>
          <w:color w:val="000000"/>
          <w:sz w:val="18"/>
          <w:szCs w:val="20"/>
          <w:lang w:val="en-US" w:bidi="en-US"/>
        </w:rPr>
      </w:pPr>
      <w:r w:rsidRPr="005D366C">
        <w:rPr>
          <w:rFonts w:ascii="Palatino Linotype" w:eastAsia="Times New Roman" w:hAnsi="Palatino Linotype" w:cs="Times New Roman"/>
          <w:b/>
          <w:bCs/>
          <w:snapToGrid w:val="0"/>
          <w:color w:val="000000"/>
          <w:sz w:val="18"/>
          <w:szCs w:val="20"/>
          <w:lang w:val="en-US" w:bidi="en-US"/>
        </w:rPr>
        <w:t>Supplementary Tables</w:t>
      </w:r>
    </w:p>
    <w:p w:rsidR="005D366C" w:rsidRPr="005D366C" w:rsidRDefault="005D366C" w:rsidP="005D366C">
      <w:pPr>
        <w:ind w:left="708"/>
        <w:jc w:val="both"/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</w:pPr>
      <w:r w:rsidRPr="005D366C">
        <w:rPr>
          <w:rFonts w:ascii="Palatino Linotype" w:eastAsia="Times New Roman" w:hAnsi="Palatino Linotype" w:cs="Times New Roman"/>
          <w:b/>
          <w:bCs/>
          <w:snapToGrid w:val="0"/>
          <w:color w:val="000000"/>
          <w:sz w:val="18"/>
          <w:szCs w:val="20"/>
          <w:lang w:val="en-US" w:bidi="en-US"/>
        </w:rPr>
        <w:t>Table S1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  <w:t xml:space="preserve">. Summary of p values obtained with Turkey’s multiple comparison test of CXCL1 levels detected in the sera from wild-type, </w:t>
      </w:r>
      <w:r w:rsidRPr="005D366C">
        <w:rPr>
          <w:rFonts w:ascii="Palatino Linotype" w:eastAsia="Times New Roman" w:hAnsi="Palatino Linotype" w:cs="Times New Roman"/>
          <w:bCs/>
          <w:i/>
          <w:snapToGrid w:val="0"/>
          <w:color w:val="000000"/>
          <w:sz w:val="18"/>
          <w:szCs w:val="20"/>
          <w:lang w:val="en-US" w:bidi="en-US"/>
        </w:rPr>
        <w:t>Gata1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vertAlign w:val="superscript"/>
          <w:lang w:val="en-US" w:bidi="en-US"/>
        </w:rPr>
        <w:t>low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  <w:t xml:space="preserve">, </w:t>
      </w:r>
      <w:r w:rsidRPr="005D366C">
        <w:rPr>
          <w:rFonts w:ascii="Palatino Linotype" w:eastAsia="Times New Roman" w:hAnsi="Palatino Linotype" w:cs="Times New Roman"/>
          <w:bCs/>
          <w:i/>
          <w:snapToGrid w:val="0"/>
          <w:color w:val="000000"/>
          <w:sz w:val="18"/>
          <w:szCs w:val="20"/>
          <w:lang w:val="en-US" w:bidi="en-US"/>
        </w:rPr>
        <w:t>Psel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vertAlign w:val="superscript"/>
          <w:lang w:val="en-US" w:bidi="en-US"/>
        </w:rPr>
        <w:t>null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  <w:t xml:space="preserve"> and </w:t>
      </w:r>
      <w:r w:rsidRPr="005D366C">
        <w:rPr>
          <w:rFonts w:ascii="Palatino Linotype" w:eastAsia="Times New Roman" w:hAnsi="Palatino Linotype" w:cs="Times New Roman"/>
          <w:bCs/>
          <w:i/>
          <w:snapToGrid w:val="0"/>
          <w:color w:val="000000"/>
          <w:sz w:val="18"/>
          <w:szCs w:val="20"/>
          <w:lang w:val="en-US" w:bidi="en-US"/>
        </w:rPr>
        <w:t>Gata1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vertAlign w:val="superscript"/>
          <w:lang w:val="en-US" w:bidi="en-US"/>
        </w:rPr>
        <w:t>low</w:t>
      </w:r>
      <w:r w:rsidRPr="005D366C">
        <w:rPr>
          <w:rFonts w:ascii="Palatino Linotype" w:eastAsia="Times New Roman" w:hAnsi="Palatino Linotype" w:cs="Times New Roman"/>
          <w:bCs/>
          <w:i/>
          <w:snapToGrid w:val="0"/>
          <w:color w:val="000000"/>
          <w:sz w:val="18"/>
          <w:szCs w:val="20"/>
          <w:lang w:val="en-US" w:bidi="en-US"/>
        </w:rPr>
        <w:t>Psel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vertAlign w:val="superscript"/>
          <w:lang w:val="en-US" w:bidi="en-US"/>
        </w:rPr>
        <w:t>null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  <w:t xml:space="preserve"> mice (all in the CD1 background) presented in </w:t>
      </w:r>
      <w:r w:rsidRPr="005D366C">
        <w:rPr>
          <w:rFonts w:ascii="Palatino Linotype" w:eastAsia="Times New Roman" w:hAnsi="Palatino Linotype" w:cs="Times New Roman"/>
          <w:b/>
          <w:bCs/>
          <w:snapToGrid w:val="0"/>
          <w:color w:val="000000"/>
          <w:sz w:val="18"/>
          <w:szCs w:val="20"/>
          <w:lang w:val="en-US" w:bidi="en-US"/>
        </w:rPr>
        <w:t>Figure S3C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  <w:t xml:space="preserve">. Gender (M, males; F, females) and age (adult and old) were analyzed as independent variables. The number of mice analyzed in each experimental group is indicated by n. (see </w:t>
      </w:r>
      <w:r w:rsidRPr="005D366C">
        <w:rPr>
          <w:rFonts w:ascii="Palatino Linotype" w:eastAsia="Times New Roman" w:hAnsi="Palatino Linotype" w:cs="Times New Roman"/>
          <w:b/>
          <w:bCs/>
          <w:snapToGrid w:val="0"/>
          <w:color w:val="000000"/>
          <w:sz w:val="18"/>
          <w:szCs w:val="20"/>
          <w:lang w:val="en-US" w:bidi="en-US"/>
        </w:rPr>
        <w:t>Figure 1C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  <w:t xml:space="preserve"> for further details). Values statistical significant are in red fonts. </w:t>
      </w:r>
    </w:p>
    <w:p w:rsidR="005D366C" w:rsidRPr="00C94105" w:rsidRDefault="004E44A8" w:rsidP="005D366C">
      <w:pPr>
        <w:ind w:left="708"/>
        <w:rPr>
          <w:b/>
          <w:lang w:val="en-US" w:bidi="en-US"/>
        </w:rPr>
      </w:pPr>
      <w:r>
        <w:rPr>
          <w:b/>
          <w:noProof/>
          <w:lang w:eastAsia="it-IT"/>
        </w:rPr>
        <w:drawing>
          <wp:inline distT="0" distB="0" distL="0" distR="0" wp14:anchorId="034C6033">
            <wp:extent cx="5444836" cy="3494985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671" cy="3510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66C" w:rsidRPr="005D366C" w:rsidRDefault="005D366C" w:rsidP="005D366C">
      <w:pPr>
        <w:ind w:left="708"/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</w:pPr>
      <w:r w:rsidRPr="005D366C">
        <w:rPr>
          <w:rFonts w:ascii="Palatino Linotype" w:eastAsia="Times New Roman" w:hAnsi="Palatino Linotype" w:cs="Times New Roman"/>
          <w:b/>
          <w:bCs/>
          <w:snapToGrid w:val="0"/>
          <w:color w:val="000000"/>
          <w:sz w:val="18"/>
          <w:szCs w:val="20"/>
          <w:lang w:val="en-US" w:bidi="en-US"/>
        </w:rPr>
        <w:t>Table S2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  <w:t xml:space="preserve">. Summary of p values obtained with Turkey’s multiple comparison test of TGF-β1 levels detected in the sera from CD1, C57BL/6 and DBA/2 mice presented in </w:t>
      </w:r>
      <w:r w:rsidRPr="005D366C">
        <w:rPr>
          <w:rFonts w:ascii="Palatino Linotype" w:eastAsia="Times New Roman" w:hAnsi="Palatino Linotype" w:cs="Times New Roman"/>
          <w:b/>
          <w:bCs/>
          <w:snapToGrid w:val="0"/>
          <w:color w:val="000000"/>
          <w:sz w:val="18"/>
          <w:szCs w:val="20"/>
          <w:lang w:val="en-US" w:bidi="en-US"/>
        </w:rPr>
        <w:t>Figure S4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  <w:t xml:space="preserve">. Gender (M, males; F, females) and age (adult and old) were analyzed as independent variables. The number of mice analyzed in each experimental group is indicated by n. (see </w:t>
      </w:r>
      <w:r w:rsidRPr="005D366C">
        <w:rPr>
          <w:rFonts w:ascii="Palatino Linotype" w:eastAsia="Times New Roman" w:hAnsi="Palatino Linotype" w:cs="Times New Roman"/>
          <w:b/>
          <w:bCs/>
          <w:snapToGrid w:val="0"/>
          <w:color w:val="000000"/>
          <w:sz w:val="18"/>
          <w:szCs w:val="20"/>
          <w:lang w:val="en-US" w:bidi="en-US"/>
        </w:rPr>
        <w:t>Figure 2</w:t>
      </w:r>
      <w:r w:rsidRPr="005D366C"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  <w:t xml:space="preserve"> for further details). Values statistical significant are in red fonts. </w:t>
      </w:r>
    </w:p>
    <w:p w:rsidR="005D366C" w:rsidRPr="005D366C" w:rsidRDefault="005D366C" w:rsidP="005D366C">
      <w:pPr>
        <w:ind w:left="708"/>
        <w:rPr>
          <w:rFonts w:ascii="Palatino Linotype" w:eastAsia="Times New Roman" w:hAnsi="Palatino Linotype" w:cs="Times New Roman"/>
          <w:bCs/>
          <w:snapToGrid w:val="0"/>
          <w:color w:val="000000"/>
          <w:sz w:val="18"/>
          <w:szCs w:val="20"/>
          <w:lang w:val="en-US" w:bidi="en-US"/>
        </w:rPr>
      </w:pPr>
    </w:p>
    <w:p w:rsidR="005D366C" w:rsidRPr="005D366C" w:rsidRDefault="00CA3CD3" w:rsidP="005D366C">
      <w:pPr>
        <w:ind w:left="708"/>
        <w:rPr>
          <w:b/>
          <w:lang w:bidi="en-US"/>
        </w:rPr>
      </w:pPr>
      <w:r>
        <w:rPr>
          <w:b/>
          <w:noProof/>
          <w:lang w:eastAsia="it-IT"/>
        </w:rPr>
        <w:drawing>
          <wp:inline distT="0" distB="0" distL="0" distR="0" wp14:anchorId="657DEDA7">
            <wp:extent cx="5523065" cy="2784763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664" cy="280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66C" w:rsidRPr="005D366C" w:rsidRDefault="005D366C" w:rsidP="005D366C">
      <w:pPr>
        <w:ind w:left="708"/>
        <w:rPr>
          <w:b/>
          <w:lang w:bidi="en-US"/>
        </w:rPr>
      </w:pPr>
    </w:p>
    <w:p w:rsidR="005D366C" w:rsidRDefault="005D366C" w:rsidP="005D366C">
      <w:pPr>
        <w:ind w:left="708"/>
        <w:rPr>
          <w:b/>
          <w:lang w:val="en-US" w:bidi="en-US"/>
        </w:rPr>
      </w:pPr>
    </w:p>
    <w:p w:rsidR="005D366C" w:rsidRPr="005D366C" w:rsidRDefault="005D366C" w:rsidP="005D366C">
      <w:pPr>
        <w:ind w:left="708"/>
        <w:rPr>
          <w:rFonts w:ascii="Palatino Linotype" w:hAnsi="Palatino Linotype"/>
          <w:sz w:val="18"/>
          <w:szCs w:val="18"/>
          <w:lang w:bidi="en-US"/>
        </w:rPr>
      </w:pPr>
      <w:r w:rsidRPr="005D366C">
        <w:rPr>
          <w:rFonts w:ascii="Palatino Linotype" w:hAnsi="Palatino Linotype"/>
          <w:b/>
          <w:sz w:val="18"/>
          <w:szCs w:val="18"/>
          <w:lang w:val="en-US" w:bidi="en-US"/>
        </w:rPr>
        <w:t xml:space="preserve">Table S3. </w:t>
      </w:r>
      <w:r w:rsidRPr="005D366C">
        <w:rPr>
          <w:rFonts w:ascii="Palatino Linotype" w:hAnsi="Palatino Linotype"/>
          <w:sz w:val="18"/>
          <w:szCs w:val="18"/>
          <w:lang w:val="en-US" w:bidi="en-US"/>
        </w:rPr>
        <w:t xml:space="preserve">Summary of p values obtained with Turkey’s multiple comparison test of LCN2 levels detected in the sera from CD1, C57BL/6 and DBA/2 mice presented in </w:t>
      </w:r>
      <w:r w:rsidRPr="005D366C">
        <w:rPr>
          <w:rFonts w:ascii="Palatino Linotype" w:hAnsi="Palatino Linotype"/>
          <w:b/>
          <w:sz w:val="18"/>
          <w:szCs w:val="18"/>
          <w:lang w:val="en-US" w:bidi="en-US"/>
        </w:rPr>
        <w:t>Figure S4</w:t>
      </w:r>
      <w:r w:rsidRPr="005D366C">
        <w:rPr>
          <w:rFonts w:ascii="Palatino Linotype" w:hAnsi="Palatino Linotype"/>
          <w:sz w:val="18"/>
          <w:szCs w:val="18"/>
          <w:lang w:val="en-US" w:bidi="en-US"/>
        </w:rPr>
        <w:t xml:space="preserve">. </w:t>
      </w:r>
      <w:r w:rsidRPr="005D366C">
        <w:rPr>
          <w:rFonts w:ascii="Palatino Linotype" w:hAnsi="Palatino Linotype"/>
          <w:sz w:val="18"/>
          <w:szCs w:val="18"/>
          <w:lang w:val="en-GB"/>
        </w:rPr>
        <w:t>Gender</w:t>
      </w:r>
      <w:r w:rsidRPr="005D366C">
        <w:rPr>
          <w:rFonts w:ascii="Palatino Linotype" w:hAnsi="Palatino Linotype"/>
          <w:sz w:val="18"/>
          <w:szCs w:val="18"/>
          <w:lang w:val="en-US" w:bidi="en-US"/>
        </w:rPr>
        <w:t xml:space="preserve"> (M, males; F, females) and age (adult and old) were analyzed as independent variables. The number of mice analyzed in each experimental group is indicated by n. (see </w:t>
      </w:r>
      <w:r w:rsidRPr="005D366C">
        <w:rPr>
          <w:rFonts w:ascii="Palatino Linotype" w:hAnsi="Palatino Linotype"/>
          <w:b/>
          <w:sz w:val="18"/>
          <w:szCs w:val="18"/>
          <w:lang w:val="en-US" w:bidi="en-US"/>
        </w:rPr>
        <w:t>Figure 2</w:t>
      </w:r>
      <w:r w:rsidRPr="005D366C">
        <w:rPr>
          <w:rFonts w:ascii="Palatino Linotype" w:hAnsi="Palatino Linotype"/>
          <w:sz w:val="18"/>
          <w:szCs w:val="18"/>
          <w:lang w:val="en-US" w:bidi="en-US"/>
        </w:rPr>
        <w:t xml:space="preserve"> for further details). </w:t>
      </w:r>
      <w:r w:rsidRPr="005D366C">
        <w:rPr>
          <w:rFonts w:ascii="Palatino Linotype" w:hAnsi="Palatino Linotype"/>
          <w:sz w:val="18"/>
          <w:szCs w:val="18"/>
          <w:lang w:bidi="en-US"/>
        </w:rPr>
        <w:t xml:space="preserve">Values statistical significant are in red fonts. </w:t>
      </w:r>
    </w:p>
    <w:p w:rsidR="005D366C" w:rsidRDefault="00CA3CD3" w:rsidP="005D366C">
      <w:pPr>
        <w:ind w:left="708"/>
        <w:rPr>
          <w:b/>
          <w:lang w:bidi="en-US"/>
        </w:rPr>
      </w:pPr>
      <w:r>
        <w:rPr>
          <w:b/>
          <w:noProof/>
          <w:lang w:eastAsia="it-IT"/>
        </w:rPr>
        <w:drawing>
          <wp:inline distT="0" distB="0" distL="0" distR="0" wp14:anchorId="76D82521">
            <wp:extent cx="5660453" cy="2854036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169" cy="2872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66C" w:rsidRPr="005D366C" w:rsidRDefault="005D366C" w:rsidP="005D366C">
      <w:pPr>
        <w:ind w:left="708"/>
        <w:rPr>
          <w:b/>
          <w:lang w:bidi="en-US"/>
        </w:rPr>
      </w:pPr>
    </w:p>
    <w:p w:rsidR="005D366C" w:rsidRPr="005D366C" w:rsidRDefault="005D366C" w:rsidP="005D366C">
      <w:pPr>
        <w:ind w:left="708"/>
        <w:rPr>
          <w:rFonts w:ascii="Palatino Linotype" w:hAnsi="Palatino Linotype"/>
          <w:sz w:val="18"/>
          <w:lang w:bidi="en-US"/>
        </w:rPr>
      </w:pPr>
      <w:r w:rsidRPr="005D366C">
        <w:rPr>
          <w:rFonts w:ascii="Palatino Linotype" w:hAnsi="Palatino Linotype"/>
          <w:b/>
          <w:sz w:val="18"/>
          <w:lang w:val="en-US" w:bidi="en-US"/>
        </w:rPr>
        <w:t xml:space="preserve">Table S4. </w:t>
      </w:r>
      <w:r w:rsidRPr="005D366C">
        <w:rPr>
          <w:rFonts w:ascii="Palatino Linotype" w:hAnsi="Palatino Linotype"/>
          <w:sz w:val="18"/>
          <w:lang w:val="en-US" w:bidi="en-US"/>
        </w:rPr>
        <w:t xml:space="preserve">Summary of p values obtained with Turkey’s multiple comparison test of CXCL1 levels detected in the sera from CD1, C57BL/6 and DBA/2 mice presented in </w:t>
      </w:r>
      <w:r w:rsidRPr="005D366C">
        <w:rPr>
          <w:rFonts w:ascii="Palatino Linotype" w:hAnsi="Palatino Linotype"/>
          <w:b/>
          <w:sz w:val="18"/>
          <w:lang w:val="en-US" w:bidi="en-US"/>
        </w:rPr>
        <w:t>Figure S4</w:t>
      </w:r>
      <w:r w:rsidRPr="005D366C">
        <w:rPr>
          <w:rFonts w:ascii="Palatino Linotype" w:hAnsi="Palatino Linotype"/>
          <w:sz w:val="18"/>
          <w:lang w:val="en-US" w:bidi="en-US"/>
        </w:rPr>
        <w:t xml:space="preserve">. </w:t>
      </w:r>
      <w:r w:rsidRPr="005D366C">
        <w:rPr>
          <w:rFonts w:ascii="Palatino Linotype" w:hAnsi="Palatino Linotype"/>
          <w:sz w:val="18"/>
          <w:lang w:val="en-GB"/>
        </w:rPr>
        <w:t>Gender</w:t>
      </w:r>
      <w:r w:rsidRPr="005D366C">
        <w:rPr>
          <w:rFonts w:ascii="Palatino Linotype" w:hAnsi="Palatino Linotype"/>
          <w:sz w:val="18"/>
          <w:lang w:val="en-US" w:bidi="en-US"/>
        </w:rPr>
        <w:t xml:space="preserve"> (M, males; F, females) and age (adult and old) were analyzed as independent variables. The number of mice analyzed in each experimental group is indicated by n. (see </w:t>
      </w:r>
      <w:r w:rsidRPr="005D366C">
        <w:rPr>
          <w:rFonts w:ascii="Palatino Linotype" w:hAnsi="Palatino Linotype"/>
          <w:b/>
          <w:sz w:val="18"/>
          <w:lang w:val="en-US" w:bidi="en-US"/>
        </w:rPr>
        <w:t>Figure 2</w:t>
      </w:r>
      <w:r w:rsidRPr="005D366C">
        <w:rPr>
          <w:rFonts w:ascii="Palatino Linotype" w:hAnsi="Palatino Linotype"/>
          <w:sz w:val="18"/>
          <w:lang w:val="en-US" w:bidi="en-US"/>
        </w:rPr>
        <w:t xml:space="preserve"> for further details). </w:t>
      </w:r>
      <w:r w:rsidRPr="005D366C">
        <w:rPr>
          <w:rFonts w:ascii="Palatino Linotype" w:hAnsi="Palatino Linotype"/>
          <w:sz w:val="18"/>
          <w:lang w:bidi="en-US"/>
        </w:rPr>
        <w:t xml:space="preserve">Values statistical significant are in red fonts. </w:t>
      </w:r>
    </w:p>
    <w:p w:rsidR="005D366C" w:rsidRPr="005D366C" w:rsidRDefault="00CA3CD3" w:rsidP="005D366C">
      <w:pPr>
        <w:ind w:left="708"/>
        <w:rPr>
          <w:b/>
          <w:lang w:bidi="en-US"/>
        </w:rPr>
      </w:pPr>
      <w:r>
        <w:rPr>
          <w:b/>
          <w:noProof/>
          <w:lang w:eastAsia="it-IT"/>
        </w:rPr>
        <w:drawing>
          <wp:inline distT="0" distB="0" distL="0" distR="0" wp14:anchorId="7652084A">
            <wp:extent cx="5721927" cy="288503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589" cy="2896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66C" w:rsidRPr="005D366C" w:rsidRDefault="005D366C" w:rsidP="005D366C">
      <w:pPr>
        <w:rPr>
          <w:b/>
          <w:lang w:bidi="en-US"/>
        </w:rPr>
      </w:pPr>
    </w:p>
    <w:p w:rsidR="003E1FCB" w:rsidRDefault="003E1FCB">
      <w:bookmarkStart w:id="0" w:name="_GoBack"/>
      <w:bookmarkEnd w:id="0"/>
    </w:p>
    <w:sectPr w:rsidR="003E1FC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D40"/>
    <w:rsid w:val="00317D40"/>
    <w:rsid w:val="003E1FCB"/>
    <w:rsid w:val="004E44A8"/>
    <w:rsid w:val="005D366C"/>
    <w:rsid w:val="00C94105"/>
    <w:rsid w:val="00CA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5375C"/>
  <w15:chartTrackingRefBased/>
  <w15:docId w15:val="{F8D2A1AE-547C-4A0F-861C-B6C60A687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081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</dc:creator>
  <cp:keywords/>
  <dc:description/>
  <cp:lastModifiedBy>paola</cp:lastModifiedBy>
  <cp:revision>2</cp:revision>
  <dcterms:created xsi:type="dcterms:W3CDTF">2022-01-28T16:14:00Z</dcterms:created>
  <dcterms:modified xsi:type="dcterms:W3CDTF">2022-01-28T16:14:00Z</dcterms:modified>
</cp:coreProperties>
</file>