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930874" w14:textId="03054DEC" w:rsidR="005D717D" w:rsidRPr="00344B0D" w:rsidRDefault="005D717D" w:rsidP="007A1B58">
      <w:pPr>
        <w:jc w:val="both"/>
        <w:rPr>
          <w:rFonts w:cstheme="minorHAnsi"/>
          <w:b/>
          <w:bCs/>
          <w:lang w:val="en-GB"/>
        </w:rPr>
      </w:pPr>
      <w:bookmarkStart w:id="0" w:name="_GoBack"/>
      <w:r w:rsidRPr="00344B0D">
        <w:rPr>
          <w:rFonts w:cstheme="minorHAnsi"/>
          <w:b/>
          <w:bCs/>
          <w:lang w:val="en-GB"/>
        </w:rPr>
        <w:t>Supplemental Methods</w:t>
      </w:r>
    </w:p>
    <w:p w14:paraId="38466612" w14:textId="77777777" w:rsidR="005D717D" w:rsidRPr="00344B0D" w:rsidRDefault="005D717D" w:rsidP="005D717D">
      <w:pPr>
        <w:jc w:val="both"/>
        <w:rPr>
          <w:rFonts w:cstheme="minorHAnsi"/>
          <w:lang w:val="en-GB"/>
        </w:rPr>
      </w:pPr>
    </w:p>
    <w:p w14:paraId="6605C23A" w14:textId="4808729D" w:rsidR="005D717D" w:rsidRPr="00344B0D" w:rsidRDefault="005D717D" w:rsidP="005D717D">
      <w:pPr>
        <w:jc w:val="both"/>
        <w:rPr>
          <w:rFonts w:cstheme="minorHAnsi"/>
          <w:b/>
          <w:bCs/>
          <w:lang w:val="en-GB"/>
        </w:rPr>
      </w:pPr>
      <w:r w:rsidRPr="00344B0D">
        <w:rPr>
          <w:rFonts w:cstheme="minorHAnsi"/>
          <w:b/>
          <w:bCs/>
          <w:lang w:val="en-GB"/>
        </w:rPr>
        <w:t>Whole genome sequencing</w:t>
      </w:r>
    </w:p>
    <w:p w14:paraId="61278A24" w14:textId="36E96CDA" w:rsidR="00D93D3A" w:rsidRPr="00344B0D" w:rsidRDefault="00D93D3A" w:rsidP="00D93D3A">
      <w:pPr>
        <w:spacing w:line="360" w:lineRule="auto"/>
        <w:contextualSpacing/>
        <w:jc w:val="both"/>
        <w:rPr>
          <w:rFonts w:cstheme="minorHAnsi"/>
          <w:lang w:val="en-US"/>
        </w:rPr>
      </w:pPr>
      <w:r w:rsidRPr="00344B0D">
        <w:rPr>
          <w:rFonts w:cstheme="minorHAnsi"/>
          <w:lang w:val="en-GB"/>
        </w:rPr>
        <w:t xml:space="preserve">The mutational status was determined for FLT3-ITD, NPM1 and 7 splicing factors (SF1, SF3A1, SF3B1, SRSF2, U2AF1, U2AF2 and ZRSR2). </w:t>
      </w:r>
      <w:r w:rsidRPr="00344B0D">
        <w:rPr>
          <w:rFonts w:cstheme="minorHAnsi"/>
          <w:lang w:val="en-US"/>
        </w:rPr>
        <w:t>Whole genome sequencing (WGS) libraries were generated from 1µg of DNA extracted from bone marrow or peripheral blood samples using the TruSeq PCR free library prep kit, following the manufacturer’s recommendations (Illumina, San Diego, CA, USA) and sequenced on a NovaSeq6000 or HiSeqX Illumina instruments following a 2x150bp paired-end reads standard protocol at a mean depth of coverage of &gt;100x. Bioinformatic analysis of WGS data was performed using Illumina’s BaseSpace Sequence Hub and in-house pipelines. Reads were aligned against human genome build GRCh37/hg19 with the tool Isaac3.</w:t>
      </w:r>
      <w:sdt>
        <w:sdtPr>
          <w:rPr>
            <w:rFonts w:cstheme="minorHAnsi"/>
            <w:color w:val="000000"/>
            <w:vertAlign w:val="superscript"/>
            <w:lang w:val="en-US"/>
          </w:rPr>
          <w:tag w:val="MENDELEY_CITATION_3bce38d0-5769-484d-b9a3-88735f5c6717"/>
          <w:id w:val="-872616748"/>
        </w:sdtPr>
        <w:sdtEndPr/>
        <w:sdtContent>
          <w:r w:rsidRPr="00344B0D">
            <w:rPr>
              <w:rFonts w:cstheme="minorHAnsi"/>
              <w:color w:val="000000"/>
              <w:vertAlign w:val="superscript"/>
              <w:lang w:val="en-US"/>
            </w:rPr>
            <w:t>1</w:t>
          </w:r>
        </w:sdtContent>
      </w:sdt>
      <w:r w:rsidRPr="00344B0D">
        <w:rPr>
          <w:rFonts w:cstheme="minorHAnsi"/>
          <w:color w:val="000000"/>
          <w:vertAlign w:val="superscript"/>
          <w:lang w:val="en-US"/>
        </w:rPr>
        <w:t xml:space="preserve"> </w:t>
      </w:r>
      <w:r w:rsidRPr="00344B0D">
        <w:rPr>
          <w:rFonts w:cstheme="minorHAnsi"/>
          <w:lang w:val="en-US"/>
        </w:rPr>
        <w:t>Variant calling was performed using Strelka2</w:t>
      </w:r>
      <w:sdt>
        <w:sdtPr>
          <w:rPr>
            <w:rFonts w:cstheme="minorHAnsi"/>
            <w:color w:val="000000"/>
            <w:vertAlign w:val="superscript"/>
            <w:lang w:val="en-US"/>
          </w:rPr>
          <w:tag w:val="MENDELEY_CITATION_09e57f38-6624-415b-a764-c5d16a50a920"/>
          <w:id w:val="569780643"/>
        </w:sdtPr>
        <w:sdtEndPr/>
        <w:sdtContent>
          <w:r w:rsidRPr="00344B0D">
            <w:rPr>
              <w:rFonts w:cstheme="minorHAnsi"/>
              <w:color w:val="000000"/>
              <w:vertAlign w:val="superscript"/>
              <w:lang w:val="en-US"/>
            </w:rPr>
            <w:t>2</w:t>
          </w:r>
        </w:sdtContent>
      </w:sdt>
      <w:r w:rsidRPr="00344B0D">
        <w:rPr>
          <w:rFonts w:cstheme="minorHAnsi"/>
          <w:color w:val="000000"/>
          <w:vertAlign w:val="superscript"/>
          <w:lang w:val="en-US"/>
        </w:rPr>
        <w:t xml:space="preserve"> </w:t>
      </w:r>
      <w:r w:rsidRPr="00344B0D">
        <w:rPr>
          <w:rFonts w:cstheme="minorHAnsi"/>
          <w:lang w:val="en-US"/>
        </w:rPr>
        <w:t xml:space="preserve">and additional variant annotation </w:t>
      </w:r>
      <w:r w:rsidR="001D4A3A" w:rsidRPr="00344B0D">
        <w:rPr>
          <w:rFonts w:cstheme="minorHAnsi"/>
          <w:lang w:val="en-US"/>
        </w:rPr>
        <w:t>w</w:t>
      </w:r>
      <w:r w:rsidRPr="00344B0D">
        <w:rPr>
          <w:rFonts w:cstheme="minorHAnsi"/>
          <w:lang w:val="en-US"/>
        </w:rPr>
        <w:t>as performed using Ensembl VEP.</w:t>
      </w:r>
      <w:sdt>
        <w:sdtPr>
          <w:rPr>
            <w:rFonts w:cstheme="minorHAnsi"/>
            <w:color w:val="000000"/>
            <w:vertAlign w:val="superscript"/>
            <w:lang w:val="en-US"/>
          </w:rPr>
          <w:tag w:val="MENDELEY_CITATION_81e65731-0374-4a4d-b58c-51eb6b19b898"/>
          <w:id w:val="592058250"/>
        </w:sdtPr>
        <w:sdtEndPr/>
        <w:sdtContent>
          <w:r w:rsidRPr="00344B0D">
            <w:rPr>
              <w:rFonts w:cstheme="minorHAnsi"/>
              <w:color w:val="000000"/>
              <w:vertAlign w:val="superscript"/>
              <w:lang w:val="en-US"/>
            </w:rPr>
            <w:t>3</w:t>
          </w:r>
        </w:sdtContent>
      </w:sdt>
      <w:r w:rsidRPr="00344B0D">
        <w:rPr>
          <w:rFonts w:cstheme="minorHAnsi"/>
          <w:color w:val="000000"/>
          <w:vertAlign w:val="superscript"/>
          <w:lang w:val="en-US"/>
        </w:rPr>
        <w:t xml:space="preserve"> </w:t>
      </w:r>
      <w:r w:rsidRPr="00344B0D">
        <w:rPr>
          <w:rFonts w:cstheme="minorHAnsi"/>
          <w:lang w:val="en-US"/>
        </w:rPr>
        <w:t>Only exonic (non-synonymous single nucleotide variants (SNVs) and small insertions/deletions (indels)) and variants at splicing acceptor/donor sites were considered in this study. Because matched normal samples were not available, tumor-unmatched normal variant calling was performed using a pool gender-matched DNA (Promega, Madison, WI, USA). In order to remove germline and benign variants as well as technical artifacts from the dataset a strict filtering strategy was applied as described below.</w:t>
      </w:r>
    </w:p>
    <w:p w14:paraId="3401C66E" w14:textId="43263EA1" w:rsidR="00344B0D" w:rsidRPr="00344B0D" w:rsidRDefault="00344B0D" w:rsidP="00D93D3A">
      <w:pPr>
        <w:spacing w:line="360" w:lineRule="auto"/>
        <w:contextualSpacing/>
        <w:jc w:val="both"/>
        <w:rPr>
          <w:rFonts w:cstheme="minorHAnsi"/>
          <w:lang w:val="en-US"/>
        </w:rPr>
      </w:pPr>
    </w:p>
    <w:p w14:paraId="2D3D8A12" w14:textId="04268A2A" w:rsidR="00344B0D" w:rsidRPr="00344B0D" w:rsidRDefault="00344B0D" w:rsidP="00D93D3A">
      <w:pPr>
        <w:spacing w:line="360" w:lineRule="auto"/>
        <w:contextualSpacing/>
        <w:jc w:val="both"/>
        <w:rPr>
          <w:rFonts w:cstheme="minorHAnsi"/>
          <w:b/>
          <w:bCs/>
          <w:lang w:val="en-US"/>
        </w:rPr>
      </w:pPr>
      <w:r w:rsidRPr="00344B0D">
        <w:rPr>
          <w:rFonts w:cstheme="minorHAnsi"/>
          <w:b/>
          <w:bCs/>
          <w:lang w:val="en-US"/>
        </w:rPr>
        <w:t>Variant calling from RNA sequencing data</w:t>
      </w:r>
    </w:p>
    <w:p w14:paraId="558F12DF" w14:textId="5353E04E" w:rsidR="00344B0D" w:rsidRPr="00344B0D" w:rsidRDefault="00344B0D" w:rsidP="00D93D3A">
      <w:pPr>
        <w:spacing w:line="360" w:lineRule="auto"/>
        <w:contextualSpacing/>
        <w:jc w:val="both"/>
        <w:rPr>
          <w:rFonts w:cstheme="minorHAnsi"/>
          <w:lang w:val="en-US"/>
        </w:rPr>
      </w:pPr>
      <w:r w:rsidRPr="00344B0D">
        <w:rPr>
          <w:rFonts w:cstheme="minorHAnsi"/>
          <w:lang w:val="en-US"/>
        </w:rPr>
        <w:t>Variant calling was performed using Isaac 2.3.1</w:t>
      </w:r>
      <w:r w:rsidRPr="00344B0D">
        <w:rPr>
          <w:rFonts w:cstheme="minorHAnsi"/>
          <w:vertAlign w:val="superscript"/>
          <w:lang w:val="en-US"/>
        </w:rPr>
        <w:t>1</w:t>
      </w:r>
      <w:r w:rsidRPr="00344B0D">
        <w:rPr>
          <w:rFonts w:cstheme="minorHAnsi"/>
          <w:lang w:val="en-US"/>
        </w:rPr>
        <w:t xml:space="preserve"> and additional variant annotation was performed using Ensembl VEP.</w:t>
      </w:r>
      <w:r w:rsidRPr="00344B0D">
        <w:rPr>
          <w:rFonts w:cstheme="minorHAnsi"/>
          <w:vertAlign w:val="superscript"/>
          <w:lang w:val="en-US"/>
        </w:rPr>
        <w:t>3</w:t>
      </w:r>
      <w:r w:rsidRPr="00344B0D">
        <w:rPr>
          <w:rFonts w:cstheme="minorHAnsi"/>
          <w:lang w:val="en-US"/>
        </w:rPr>
        <w:t xml:space="preserve"> Only non-synonymous SNVs and indels were considered in this study.</w:t>
      </w:r>
    </w:p>
    <w:p w14:paraId="44EB7D9D" w14:textId="77777777" w:rsidR="00D93D3A" w:rsidRPr="00344B0D" w:rsidRDefault="00D93D3A" w:rsidP="00D93D3A">
      <w:pPr>
        <w:spacing w:line="360" w:lineRule="auto"/>
        <w:jc w:val="both"/>
        <w:rPr>
          <w:rFonts w:cstheme="minorHAnsi"/>
          <w:lang w:val="en-US"/>
        </w:rPr>
      </w:pPr>
    </w:p>
    <w:p w14:paraId="193ED784" w14:textId="77777777" w:rsidR="00D93D3A" w:rsidRPr="00344B0D" w:rsidRDefault="00D93D3A" w:rsidP="00D93D3A">
      <w:pPr>
        <w:spacing w:line="360" w:lineRule="auto"/>
        <w:jc w:val="both"/>
        <w:rPr>
          <w:rFonts w:cstheme="minorHAnsi"/>
          <w:b/>
          <w:bCs/>
          <w:lang w:val="en-US"/>
        </w:rPr>
      </w:pPr>
      <w:r w:rsidRPr="00344B0D">
        <w:rPr>
          <w:rFonts w:cstheme="minorHAnsi"/>
          <w:b/>
          <w:bCs/>
          <w:lang w:val="en-US"/>
        </w:rPr>
        <w:t>Filtering whole genome sequencing data</w:t>
      </w:r>
    </w:p>
    <w:p w14:paraId="1ADE9083" w14:textId="7D75ABEF" w:rsidR="00D93D3A" w:rsidRPr="00344B0D" w:rsidRDefault="00D93D3A" w:rsidP="00D93D3A">
      <w:pPr>
        <w:spacing w:line="360" w:lineRule="auto"/>
        <w:jc w:val="both"/>
        <w:rPr>
          <w:rFonts w:cstheme="minorHAnsi"/>
          <w:lang w:val="en-US"/>
        </w:rPr>
      </w:pPr>
      <w:r w:rsidRPr="00344B0D">
        <w:rPr>
          <w:rFonts w:cstheme="minorHAnsi"/>
          <w:lang w:val="en-US"/>
        </w:rPr>
        <w:t xml:space="preserve">Upon variant calling </w:t>
      </w:r>
      <w:r w:rsidR="001D4A3A" w:rsidRPr="00344B0D">
        <w:rPr>
          <w:rFonts w:cstheme="minorHAnsi"/>
          <w:lang w:val="en-US"/>
        </w:rPr>
        <w:t xml:space="preserve">from WGS and RNA sequencing data </w:t>
      </w:r>
      <w:r w:rsidRPr="00344B0D">
        <w:rPr>
          <w:rFonts w:cstheme="minorHAnsi"/>
          <w:lang w:val="en-US"/>
        </w:rPr>
        <w:t>the following in-house filtering strategy</w:t>
      </w:r>
      <w:r w:rsidRPr="00344B0D">
        <w:rPr>
          <w:rFonts w:cstheme="minorHAnsi"/>
          <w:vertAlign w:val="superscript"/>
          <w:lang w:val="en-US"/>
        </w:rPr>
        <w:t>4</w:t>
      </w:r>
      <w:r w:rsidRPr="00344B0D">
        <w:rPr>
          <w:rFonts w:cstheme="minorHAnsi"/>
          <w:lang w:val="en-US"/>
        </w:rPr>
        <w:t xml:space="preserve"> was applied to remove sequencing artifacts as well as germline and likely benign variants, resulting in a dataset consisting of reliable and likely somatic, pathogenic variants.</w:t>
      </w:r>
    </w:p>
    <w:p w14:paraId="675AB5D9" w14:textId="77777777" w:rsidR="00D93D3A" w:rsidRPr="00344B0D" w:rsidRDefault="00D93D3A" w:rsidP="00D93D3A">
      <w:pPr>
        <w:spacing w:line="360" w:lineRule="auto"/>
        <w:jc w:val="both"/>
        <w:rPr>
          <w:rFonts w:cstheme="minorHAnsi"/>
          <w:lang w:val="en-US"/>
        </w:rPr>
      </w:pPr>
    </w:p>
    <w:p w14:paraId="1DFF31E2" w14:textId="77777777" w:rsidR="00D93D3A" w:rsidRPr="00344B0D" w:rsidRDefault="00D93D3A" w:rsidP="00D93D3A">
      <w:pPr>
        <w:spacing w:line="360" w:lineRule="auto"/>
        <w:rPr>
          <w:rFonts w:cstheme="minorHAnsi"/>
          <w:i/>
          <w:iCs/>
          <w:lang w:val="en-US"/>
        </w:rPr>
      </w:pPr>
      <w:r w:rsidRPr="00344B0D">
        <w:rPr>
          <w:rFonts w:cstheme="minorHAnsi"/>
          <w:i/>
          <w:iCs/>
          <w:lang w:val="en-US"/>
        </w:rPr>
        <w:t>Sequencing artifacts</w:t>
      </w:r>
    </w:p>
    <w:p w14:paraId="62295BBA" w14:textId="77777777" w:rsidR="00D93D3A" w:rsidRPr="00344B0D" w:rsidRDefault="00D93D3A" w:rsidP="00D93D3A">
      <w:pPr>
        <w:spacing w:line="360" w:lineRule="auto"/>
        <w:jc w:val="both"/>
        <w:rPr>
          <w:rFonts w:cstheme="minorHAnsi"/>
          <w:lang w:val="en-US"/>
        </w:rPr>
      </w:pPr>
      <w:r w:rsidRPr="00344B0D">
        <w:rPr>
          <w:rFonts w:cstheme="minorHAnsi"/>
          <w:lang w:val="en-US"/>
        </w:rPr>
        <w:t xml:space="preserve">Repetitive regions and regions potentially troublesome for variant calling were annotated based on Ensembl repeat database and the Global Alliance for Genomics and Health (GA4GH) database. Firstly, variants located in regions of established low confidence variant calling (as specified in Genome in a Bottle Consortium using sample NA12878/HG001, https://github.com/genome-in-a-bottle). </w:t>
      </w:r>
      <w:r w:rsidRPr="00344B0D">
        <w:rPr>
          <w:rFonts w:cstheme="minorHAnsi"/>
          <w:lang w:val="en-US"/>
        </w:rPr>
        <w:lastRenderedPageBreak/>
        <w:t>Subsequently, we discarded variants with low frequency (VAF &lt; 15%) located in low complexity regions (homopolymers), tandem repeats (i.e. microsatellites), segmental duplications or repetitive regions interspersed throughout the genome (i.e. transposable elements). Finally, variants supported by ≤ 3 reads for the alternative allele as well as with the total depth of coverage ≤ 5 were removed from downstream analysis.</w:t>
      </w:r>
    </w:p>
    <w:p w14:paraId="67B0EA5A" w14:textId="77777777" w:rsidR="00D93D3A" w:rsidRPr="00344B0D" w:rsidRDefault="00D93D3A" w:rsidP="00D93D3A">
      <w:pPr>
        <w:rPr>
          <w:rFonts w:cstheme="minorHAnsi"/>
          <w:i/>
          <w:iCs/>
          <w:lang w:val="en-US"/>
        </w:rPr>
      </w:pPr>
    </w:p>
    <w:p w14:paraId="091B5B3C" w14:textId="77777777" w:rsidR="00D93D3A" w:rsidRPr="00344B0D" w:rsidRDefault="00D93D3A" w:rsidP="00D93D3A">
      <w:pPr>
        <w:spacing w:line="360" w:lineRule="auto"/>
        <w:jc w:val="both"/>
        <w:rPr>
          <w:rFonts w:cstheme="minorHAnsi"/>
          <w:i/>
          <w:iCs/>
          <w:lang w:val="en-US"/>
        </w:rPr>
      </w:pPr>
      <w:r w:rsidRPr="00344B0D">
        <w:rPr>
          <w:rFonts w:cstheme="minorHAnsi"/>
          <w:i/>
          <w:iCs/>
          <w:lang w:val="en-US"/>
        </w:rPr>
        <w:t>Germline variants</w:t>
      </w:r>
    </w:p>
    <w:p w14:paraId="7987CCC8" w14:textId="77777777" w:rsidR="00D93D3A" w:rsidRPr="00344B0D" w:rsidRDefault="00D93D3A" w:rsidP="00D93D3A">
      <w:pPr>
        <w:spacing w:line="360" w:lineRule="auto"/>
        <w:jc w:val="both"/>
        <w:rPr>
          <w:rFonts w:cstheme="minorHAnsi"/>
          <w:i/>
          <w:iCs/>
          <w:lang w:val="en-US"/>
        </w:rPr>
      </w:pPr>
      <w:r w:rsidRPr="00344B0D">
        <w:rPr>
          <w:rFonts w:cstheme="minorHAnsi"/>
          <w:lang w:val="en-US"/>
        </w:rPr>
        <w:t>First, variants with the global population frequency ≥ 0.001 (based on the genome aggregation database; gnomAD) were discarded. Next, variants labelled as germline in ClinVar or COSMIC databases were filtered out. Finally, variants not well annotated in hematological malignancies with a VAF between 40-60% or &gt; 90% in all samples were eliminated. This strategy was applied in order to remove as many of the germline variants as possible although it should be noted that due to the lack of matched germline control some residual germline variants are likely to be retained in our dataset. However, since this study focuses on genes recurrently mutated in AML these residual germline variants are not expected to affect the analysis.</w:t>
      </w:r>
    </w:p>
    <w:p w14:paraId="69C81980" w14:textId="77777777" w:rsidR="00D93D3A" w:rsidRPr="00344B0D" w:rsidRDefault="00D93D3A" w:rsidP="00D93D3A">
      <w:pPr>
        <w:spacing w:line="360" w:lineRule="auto"/>
        <w:jc w:val="both"/>
        <w:rPr>
          <w:rFonts w:cstheme="minorHAnsi"/>
          <w:lang w:val="en-US"/>
        </w:rPr>
      </w:pPr>
    </w:p>
    <w:p w14:paraId="3C8745A7" w14:textId="77777777" w:rsidR="00D93D3A" w:rsidRPr="00344B0D" w:rsidRDefault="00D93D3A" w:rsidP="00D93D3A">
      <w:pPr>
        <w:spacing w:line="360" w:lineRule="auto"/>
        <w:jc w:val="both"/>
        <w:rPr>
          <w:rFonts w:cstheme="minorHAnsi"/>
          <w:i/>
          <w:iCs/>
          <w:lang w:val="en-US"/>
        </w:rPr>
      </w:pPr>
      <w:r w:rsidRPr="00344B0D">
        <w:rPr>
          <w:rFonts w:cstheme="minorHAnsi"/>
          <w:i/>
          <w:iCs/>
          <w:lang w:val="en-US"/>
        </w:rPr>
        <w:t>Likely benign variants</w:t>
      </w:r>
    </w:p>
    <w:p w14:paraId="2C87DEB4" w14:textId="2671D26E" w:rsidR="00D93D3A" w:rsidRPr="00344B0D" w:rsidRDefault="00D93D3A" w:rsidP="00D93D3A">
      <w:pPr>
        <w:spacing w:line="360" w:lineRule="auto"/>
        <w:jc w:val="both"/>
        <w:rPr>
          <w:rFonts w:cstheme="minorHAnsi"/>
          <w:lang w:val="en-US"/>
        </w:rPr>
      </w:pPr>
      <w:r w:rsidRPr="00344B0D">
        <w:rPr>
          <w:rFonts w:cstheme="minorHAnsi"/>
          <w:lang w:val="en-US"/>
        </w:rPr>
        <w:t>First, variants listed as benign/likely benign in ClinVar database were removed. Subsequently, we used an in-house developed tool HePPy (Hematological Predictor of Pathogenicity)</w:t>
      </w:r>
      <w:sdt>
        <w:sdtPr>
          <w:rPr>
            <w:rFonts w:cstheme="minorHAnsi"/>
            <w:color w:val="000000"/>
            <w:vertAlign w:val="superscript"/>
            <w:lang w:val="en-US"/>
          </w:rPr>
          <w:tag w:val="MENDELEY_CITATION_adb4ca8c-73e4-49c0-a920-c629af2e1629"/>
          <w:id w:val="1961675393"/>
        </w:sdtPr>
        <w:sdtEndPr/>
        <w:sdtContent>
          <w:r w:rsidRPr="00344B0D">
            <w:rPr>
              <w:rFonts w:cstheme="minorHAnsi"/>
              <w:color w:val="000000"/>
              <w:vertAlign w:val="superscript"/>
              <w:lang w:val="en-US"/>
            </w:rPr>
            <w:t>5</w:t>
          </w:r>
        </w:sdtContent>
      </w:sdt>
      <w:r w:rsidRPr="00344B0D">
        <w:rPr>
          <w:rFonts w:cstheme="minorHAnsi"/>
          <w:lang w:val="en-US"/>
        </w:rPr>
        <w:t xml:space="preserve"> to remove missense variants with HePPy score &lt; 0.75 (indicating low pathogenicity).</w:t>
      </w:r>
    </w:p>
    <w:p w14:paraId="631D7793" w14:textId="77777777" w:rsidR="00D93D3A" w:rsidRPr="00344B0D" w:rsidRDefault="00D93D3A" w:rsidP="00D93D3A">
      <w:pPr>
        <w:spacing w:line="360" w:lineRule="auto"/>
        <w:jc w:val="both"/>
        <w:rPr>
          <w:rFonts w:cstheme="minorHAnsi"/>
          <w:lang w:val="en-US"/>
        </w:rPr>
      </w:pPr>
    </w:p>
    <w:p w14:paraId="7C813E1B" w14:textId="77777777" w:rsidR="00D93D3A" w:rsidRPr="00344B0D" w:rsidRDefault="00D93D3A" w:rsidP="00D93D3A">
      <w:pPr>
        <w:spacing w:line="360" w:lineRule="auto"/>
        <w:jc w:val="both"/>
        <w:rPr>
          <w:rFonts w:cstheme="minorHAnsi"/>
          <w:b/>
          <w:bCs/>
          <w:lang w:val="en-US"/>
        </w:rPr>
      </w:pPr>
      <w:r w:rsidRPr="00344B0D">
        <w:rPr>
          <w:rFonts w:cstheme="minorHAnsi"/>
          <w:b/>
          <w:bCs/>
          <w:lang w:val="en-US"/>
        </w:rPr>
        <w:t>References</w:t>
      </w:r>
    </w:p>
    <w:p w14:paraId="3F6265E2" w14:textId="63F9A304" w:rsidR="00D93D3A" w:rsidRPr="00344B0D" w:rsidRDefault="00D93D3A" w:rsidP="00D93D3A">
      <w:pPr>
        <w:spacing w:after="120" w:line="360" w:lineRule="auto"/>
        <w:rPr>
          <w:rFonts w:eastAsia="Times New Roman" w:cstheme="minorHAnsi"/>
          <w:lang w:val="en-US"/>
        </w:rPr>
      </w:pPr>
      <w:r w:rsidRPr="00344B0D">
        <w:rPr>
          <w:rFonts w:eastAsia="Times New Roman" w:cstheme="minorHAnsi"/>
          <w:b/>
          <w:bCs/>
          <w:lang w:val="en-US"/>
        </w:rPr>
        <w:t>1</w:t>
      </w:r>
      <w:r w:rsidRPr="00344B0D">
        <w:rPr>
          <w:rFonts w:eastAsia="Times New Roman" w:cstheme="minorHAnsi"/>
          <w:lang w:val="en-US"/>
        </w:rPr>
        <w:t>. Raczy C.et al: Isaac: Ultra-fast whole-genome secondary analysis on Illumina sequencing platforms. Bioinformatics 29:2041–2043, 2013</w:t>
      </w:r>
    </w:p>
    <w:p w14:paraId="3CEB6485" w14:textId="57B82D2B" w:rsidR="00D93D3A" w:rsidRPr="00344B0D" w:rsidRDefault="00D93D3A" w:rsidP="00D93D3A">
      <w:pPr>
        <w:spacing w:after="120" w:line="360" w:lineRule="auto"/>
        <w:rPr>
          <w:rFonts w:eastAsia="Times New Roman" w:cstheme="minorHAnsi"/>
          <w:lang w:val="en-US"/>
        </w:rPr>
      </w:pPr>
      <w:r w:rsidRPr="00344B0D">
        <w:rPr>
          <w:rFonts w:eastAsia="Times New Roman" w:cstheme="minorHAnsi"/>
          <w:b/>
          <w:bCs/>
          <w:lang w:val="en-US"/>
        </w:rPr>
        <w:t>2</w:t>
      </w:r>
      <w:r w:rsidRPr="00344B0D">
        <w:rPr>
          <w:rFonts w:eastAsia="Times New Roman" w:cstheme="minorHAnsi"/>
          <w:lang w:val="en-US"/>
        </w:rPr>
        <w:t>. Kim S. et al: Strelka2: fast and accurate calling of germline and somatic variants. Nature Methods 15:591–594, 2018</w:t>
      </w:r>
    </w:p>
    <w:p w14:paraId="2D7C1EDB" w14:textId="395F1CD1" w:rsidR="00D93D3A" w:rsidRPr="00344B0D" w:rsidRDefault="00D93D3A" w:rsidP="00D93D3A">
      <w:pPr>
        <w:spacing w:after="120" w:line="360" w:lineRule="auto"/>
        <w:rPr>
          <w:rFonts w:eastAsia="Times New Roman" w:cstheme="minorHAnsi"/>
          <w:lang w:val="en-US"/>
        </w:rPr>
      </w:pPr>
      <w:r w:rsidRPr="00344B0D">
        <w:rPr>
          <w:rFonts w:eastAsia="Times New Roman" w:cstheme="minorHAnsi"/>
          <w:b/>
          <w:bCs/>
          <w:lang w:val="en-US"/>
        </w:rPr>
        <w:t>3</w:t>
      </w:r>
      <w:r w:rsidRPr="00344B0D">
        <w:rPr>
          <w:rFonts w:eastAsia="Times New Roman" w:cstheme="minorHAnsi"/>
          <w:lang w:val="en-US"/>
        </w:rPr>
        <w:t>. McLaren, W. et al. The Ensembl Variant Effect Predictor. Genome Biology 6: 122, 2016</w:t>
      </w:r>
    </w:p>
    <w:p w14:paraId="0DB8778D" w14:textId="2F2794EE" w:rsidR="00D93D3A" w:rsidRPr="00344B0D" w:rsidRDefault="00D93D3A" w:rsidP="00D93D3A">
      <w:pPr>
        <w:spacing w:after="120" w:line="360" w:lineRule="auto"/>
        <w:rPr>
          <w:rFonts w:eastAsia="Times New Roman" w:cstheme="minorHAnsi"/>
          <w:lang w:val="en-US"/>
        </w:rPr>
      </w:pPr>
      <w:r w:rsidRPr="00344B0D">
        <w:rPr>
          <w:rFonts w:eastAsia="Times New Roman" w:cstheme="minorHAnsi"/>
          <w:b/>
          <w:bCs/>
          <w:lang w:val="en-US"/>
        </w:rPr>
        <w:t>4</w:t>
      </w:r>
      <w:r w:rsidRPr="00344B0D">
        <w:rPr>
          <w:rFonts w:eastAsia="Times New Roman" w:cstheme="minorHAnsi"/>
          <w:lang w:val="en-US"/>
        </w:rPr>
        <w:t>. Palomo L. et al. Molecular landscape and clonal architecture of adult myelodysplastic/myeloproliferative neoplasms. Blood Jun 23:blood.2019004229, 2020</w:t>
      </w:r>
    </w:p>
    <w:p w14:paraId="78CF1457" w14:textId="56D3243C" w:rsidR="00D93D3A" w:rsidRPr="00344B0D" w:rsidRDefault="00D93D3A" w:rsidP="00D93D3A">
      <w:pPr>
        <w:spacing w:after="120" w:line="360" w:lineRule="auto"/>
        <w:rPr>
          <w:rFonts w:eastAsia="Times New Roman" w:cstheme="minorHAnsi"/>
          <w:lang w:val="en-US"/>
        </w:rPr>
      </w:pPr>
      <w:r w:rsidRPr="00344B0D">
        <w:rPr>
          <w:rFonts w:eastAsia="Times New Roman" w:cstheme="minorHAnsi"/>
          <w:b/>
          <w:bCs/>
          <w:lang w:val="en-US"/>
        </w:rPr>
        <w:lastRenderedPageBreak/>
        <w:t>5.</w:t>
      </w:r>
      <w:r w:rsidRPr="00344B0D">
        <w:rPr>
          <w:rFonts w:eastAsia="Times New Roman" w:cstheme="minorHAnsi"/>
          <w:lang w:val="en-US"/>
        </w:rPr>
        <w:t xml:space="preserve"> Hutter S. et al: A Novel Machine Learning Based in silico Pathogenicity Predictor for Missense Variants in a Hematological Setting. Blood 134:2090–2090, 2019</w:t>
      </w:r>
    </w:p>
    <w:bookmarkEnd w:id="0"/>
    <w:p w14:paraId="7217E979" w14:textId="77777777" w:rsidR="005D717D" w:rsidRDefault="005D717D">
      <w:pPr>
        <w:rPr>
          <w:b/>
          <w:bCs/>
          <w:lang w:val="en-GB"/>
        </w:rPr>
      </w:pPr>
      <w:r>
        <w:rPr>
          <w:b/>
          <w:bCs/>
          <w:lang w:val="en-GB"/>
        </w:rPr>
        <w:br w:type="page"/>
      </w:r>
    </w:p>
    <w:p w14:paraId="106E84DA" w14:textId="20C41DCA" w:rsidR="00A02C48" w:rsidRDefault="0006625D" w:rsidP="007A1B58">
      <w:pPr>
        <w:jc w:val="both"/>
        <w:rPr>
          <w:lang w:val="en-GB"/>
        </w:rPr>
      </w:pPr>
      <w:r>
        <w:rPr>
          <w:b/>
          <w:bCs/>
          <w:noProof/>
          <w:lang w:eastAsia="nl-NL"/>
        </w:rPr>
        <w:lastRenderedPageBreak/>
        <w:drawing>
          <wp:anchor distT="0" distB="0" distL="114300" distR="114300" simplePos="0" relativeHeight="251659264" behindDoc="0" locked="0" layoutInCell="1" allowOverlap="1" wp14:anchorId="5D8A8A3B" wp14:editId="278288A8">
            <wp:simplePos x="0" y="0"/>
            <wp:positionH relativeFrom="margin">
              <wp:align>left</wp:align>
            </wp:positionH>
            <wp:positionV relativeFrom="paragraph">
              <wp:posOffset>8890</wp:posOffset>
            </wp:positionV>
            <wp:extent cx="5157470" cy="7105015"/>
            <wp:effectExtent l="0" t="0" r="5080"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6" cstate="print">
                      <a:extLst>
                        <a:ext uri="{28A0092B-C50C-407E-A947-70E740481C1C}">
                          <a14:useLocalDpi xmlns:a14="http://schemas.microsoft.com/office/drawing/2010/main" val="0"/>
                        </a:ext>
                      </a:extLst>
                    </a:blip>
                    <a:srcRect t="7535"/>
                    <a:stretch/>
                  </pic:blipFill>
                  <pic:spPr bwMode="auto">
                    <a:xfrm>
                      <a:off x="0" y="0"/>
                      <a:ext cx="5157470" cy="710501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51EB270D" w14:textId="291D7CA3" w:rsidR="00A02C48" w:rsidRDefault="00A02C48" w:rsidP="00A02C48">
      <w:pPr>
        <w:jc w:val="both"/>
        <w:rPr>
          <w:lang w:val="en-GB"/>
        </w:rPr>
      </w:pPr>
    </w:p>
    <w:p w14:paraId="7B63B6AE" w14:textId="77777777" w:rsidR="00A02C48" w:rsidRPr="00DC2B07" w:rsidRDefault="00A02C48" w:rsidP="00A02C48">
      <w:pPr>
        <w:jc w:val="both"/>
        <w:rPr>
          <w:lang w:val="en-US"/>
        </w:rPr>
      </w:pPr>
    </w:p>
    <w:p w14:paraId="498CE4B1" w14:textId="5F383FB4" w:rsidR="00A02C48" w:rsidRPr="00DC2B07" w:rsidRDefault="00A02C48" w:rsidP="007A1B58">
      <w:pPr>
        <w:jc w:val="both"/>
        <w:rPr>
          <w:lang w:val="en-US"/>
        </w:rPr>
      </w:pPr>
    </w:p>
    <w:p w14:paraId="61293C1B" w14:textId="5C41DC79" w:rsidR="007A1B58" w:rsidRPr="00DC2B07" w:rsidRDefault="007A1B58" w:rsidP="007A1B58">
      <w:pPr>
        <w:jc w:val="both"/>
        <w:rPr>
          <w:lang w:val="en-US"/>
        </w:rPr>
      </w:pPr>
    </w:p>
    <w:p w14:paraId="3F8BC76F" w14:textId="0895775E" w:rsidR="007A1B58" w:rsidRPr="00DC2B07" w:rsidRDefault="007A1B58" w:rsidP="007A1B58">
      <w:pPr>
        <w:jc w:val="both"/>
        <w:rPr>
          <w:lang w:val="en-US"/>
        </w:rPr>
      </w:pPr>
    </w:p>
    <w:p w14:paraId="2D15154A" w14:textId="631D0B0A" w:rsidR="007A1B58" w:rsidRPr="00DC2B07" w:rsidRDefault="007A1B58" w:rsidP="007A1B58">
      <w:pPr>
        <w:jc w:val="both"/>
        <w:rPr>
          <w:lang w:val="en-US"/>
        </w:rPr>
      </w:pPr>
    </w:p>
    <w:p w14:paraId="32C8C60C" w14:textId="387CA49E" w:rsidR="003F6F5D" w:rsidRDefault="003F6F5D" w:rsidP="00A02C48">
      <w:pPr>
        <w:jc w:val="both"/>
        <w:rPr>
          <w:b/>
          <w:bCs/>
          <w:lang w:val="en-GB"/>
        </w:rPr>
      </w:pPr>
    </w:p>
    <w:p w14:paraId="11AC8648" w14:textId="77777777" w:rsidR="00DC2B07" w:rsidRDefault="00DC2B07">
      <w:pPr>
        <w:rPr>
          <w:b/>
          <w:bCs/>
          <w:lang w:val="en-GB"/>
        </w:rPr>
      </w:pPr>
    </w:p>
    <w:p w14:paraId="3ADFB591" w14:textId="77777777" w:rsidR="00DC2B07" w:rsidRDefault="00DC2B07">
      <w:pPr>
        <w:rPr>
          <w:b/>
          <w:bCs/>
          <w:lang w:val="en-GB"/>
        </w:rPr>
      </w:pPr>
    </w:p>
    <w:p w14:paraId="3F153F31" w14:textId="77777777" w:rsidR="00DC2B07" w:rsidRDefault="00DC2B07">
      <w:pPr>
        <w:rPr>
          <w:b/>
          <w:bCs/>
          <w:lang w:val="en-GB"/>
        </w:rPr>
      </w:pPr>
    </w:p>
    <w:p w14:paraId="0D2D0430" w14:textId="77777777" w:rsidR="00DC2B07" w:rsidRDefault="00DC2B07">
      <w:pPr>
        <w:rPr>
          <w:b/>
          <w:bCs/>
          <w:lang w:val="en-GB"/>
        </w:rPr>
      </w:pPr>
    </w:p>
    <w:p w14:paraId="0E9B4742" w14:textId="77777777" w:rsidR="00DC2B07" w:rsidRDefault="00DC2B07">
      <w:pPr>
        <w:rPr>
          <w:b/>
          <w:bCs/>
          <w:lang w:val="en-GB"/>
        </w:rPr>
      </w:pPr>
    </w:p>
    <w:p w14:paraId="3440B4DC" w14:textId="77777777" w:rsidR="00DC2B07" w:rsidRDefault="00DC2B07">
      <w:pPr>
        <w:rPr>
          <w:b/>
          <w:bCs/>
          <w:lang w:val="en-GB"/>
        </w:rPr>
      </w:pPr>
    </w:p>
    <w:p w14:paraId="251B1B2D" w14:textId="77777777" w:rsidR="00DC2B07" w:rsidRDefault="00DC2B07">
      <w:pPr>
        <w:rPr>
          <w:b/>
          <w:bCs/>
          <w:lang w:val="en-GB"/>
        </w:rPr>
      </w:pPr>
    </w:p>
    <w:p w14:paraId="6411B06B" w14:textId="77777777" w:rsidR="00DC2B07" w:rsidRDefault="00DC2B07">
      <w:pPr>
        <w:rPr>
          <w:b/>
          <w:bCs/>
          <w:lang w:val="en-GB"/>
        </w:rPr>
      </w:pPr>
    </w:p>
    <w:p w14:paraId="52E9AB4D" w14:textId="77777777" w:rsidR="00DC2B07" w:rsidRDefault="00DC2B07">
      <w:pPr>
        <w:rPr>
          <w:b/>
          <w:bCs/>
          <w:lang w:val="en-GB"/>
        </w:rPr>
      </w:pPr>
    </w:p>
    <w:p w14:paraId="18D8F6FE" w14:textId="77777777" w:rsidR="00DC2B07" w:rsidRDefault="00DC2B07">
      <w:pPr>
        <w:rPr>
          <w:b/>
          <w:bCs/>
          <w:lang w:val="en-GB"/>
        </w:rPr>
      </w:pPr>
    </w:p>
    <w:p w14:paraId="46000D7E" w14:textId="77777777" w:rsidR="00DC2B07" w:rsidRDefault="00DC2B07">
      <w:pPr>
        <w:rPr>
          <w:b/>
          <w:bCs/>
          <w:lang w:val="en-GB"/>
        </w:rPr>
      </w:pPr>
    </w:p>
    <w:p w14:paraId="34BE6567" w14:textId="77777777" w:rsidR="00DC2B07" w:rsidRDefault="00DC2B07">
      <w:pPr>
        <w:rPr>
          <w:b/>
          <w:bCs/>
          <w:lang w:val="en-GB"/>
        </w:rPr>
      </w:pPr>
    </w:p>
    <w:p w14:paraId="5A39B910" w14:textId="77777777" w:rsidR="00DC2B07" w:rsidRDefault="00DC2B07">
      <w:pPr>
        <w:rPr>
          <w:b/>
          <w:bCs/>
          <w:lang w:val="en-GB"/>
        </w:rPr>
      </w:pPr>
    </w:p>
    <w:p w14:paraId="11B0CC4A" w14:textId="77777777" w:rsidR="00DC2B07" w:rsidRDefault="00DC2B07">
      <w:pPr>
        <w:rPr>
          <w:b/>
          <w:bCs/>
          <w:lang w:val="en-GB"/>
        </w:rPr>
      </w:pPr>
    </w:p>
    <w:p w14:paraId="1DB35E28" w14:textId="77777777" w:rsidR="00DC2B07" w:rsidRDefault="00DC2B07">
      <w:pPr>
        <w:rPr>
          <w:b/>
          <w:bCs/>
          <w:lang w:val="en-GB"/>
        </w:rPr>
      </w:pPr>
    </w:p>
    <w:p w14:paraId="507749D9" w14:textId="77777777" w:rsidR="00DC2B07" w:rsidRDefault="00DC2B07">
      <w:pPr>
        <w:rPr>
          <w:b/>
          <w:bCs/>
          <w:lang w:val="en-GB"/>
        </w:rPr>
      </w:pPr>
    </w:p>
    <w:p w14:paraId="2DB74E65" w14:textId="77777777" w:rsidR="00DC2B07" w:rsidRDefault="00DC2B07">
      <w:pPr>
        <w:rPr>
          <w:b/>
          <w:bCs/>
          <w:lang w:val="en-GB"/>
        </w:rPr>
      </w:pPr>
    </w:p>
    <w:p w14:paraId="3A7827EA" w14:textId="77777777" w:rsidR="00DC2B07" w:rsidRDefault="00DC2B07">
      <w:pPr>
        <w:rPr>
          <w:b/>
          <w:bCs/>
          <w:lang w:val="en-GB"/>
        </w:rPr>
      </w:pPr>
    </w:p>
    <w:p w14:paraId="479C4338" w14:textId="77777777" w:rsidR="00DC2B07" w:rsidRDefault="00DC2B07" w:rsidP="00DC2B07">
      <w:pPr>
        <w:jc w:val="both"/>
        <w:rPr>
          <w:lang w:val="en-GB"/>
        </w:rPr>
      </w:pPr>
      <w:r w:rsidRPr="007A1B58">
        <w:rPr>
          <w:b/>
          <w:bCs/>
          <w:lang w:val="en-GB"/>
        </w:rPr>
        <w:t>Supplemental Figure S1</w:t>
      </w:r>
      <w:r w:rsidRPr="007A1B58">
        <w:rPr>
          <w:lang w:val="en-GB"/>
        </w:rPr>
        <w:t xml:space="preserve">. </w:t>
      </w:r>
      <w:r w:rsidRPr="007A1B58">
        <w:rPr>
          <w:i/>
          <w:iCs/>
          <w:lang w:val="en-GB"/>
        </w:rPr>
        <w:t>FLT3</w:t>
      </w:r>
      <w:r w:rsidRPr="007A1B58">
        <w:rPr>
          <w:lang w:val="en-GB"/>
        </w:rPr>
        <w:t xml:space="preserve">-ITD and mutated </w:t>
      </w:r>
      <w:r w:rsidRPr="007A1B58">
        <w:rPr>
          <w:i/>
          <w:iCs/>
          <w:lang w:val="en-GB"/>
        </w:rPr>
        <w:t>NPM1</w:t>
      </w:r>
      <w:r w:rsidRPr="007A1B58">
        <w:rPr>
          <w:lang w:val="en-GB"/>
        </w:rPr>
        <w:t xml:space="preserve">-associated gene expression signatures in the total sample set and FAB type distribution of samples. </w:t>
      </w:r>
      <w:r w:rsidRPr="007A1B58">
        <w:rPr>
          <w:b/>
          <w:bCs/>
          <w:lang w:val="en-GB"/>
        </w:rPr>
        <w:t>A</w:t>
      </w:r>
      <w:r w:rsidRPr="007A1B58">
        <w:rPr>
          <w:lang w:val="en-GB"/>
        </w:rPr>
        <w:t xml:space="preserve"> – Hierarchical clustering of genes previously reported (Valk et al., NEJM 2004) to be differentially expressed in association to </w:t>
      </w:r>
      <w:r w:rsidRPr="007A1B58">
        <w:rPr>
          <w:i/>
          <w:iCs/>
          <w:lang w:val="en-GB"/>
        </w:rPr>
        <w:t>FLT3</w:t>
      </w:r>
      <w:r w:rsidRPr="007A1B58">
        <w:rPr>
          <w:lang w:val="en-GB"/>
        </w:rPr>
        <w:t xml:space="preserve">-ITD plotted for AML samples in the total sample cohort in the current study. Genes significantly differentially expressed in the current study are highlighted in red. </w:t>
      </w:r>
      <w:r w:rsidRPr="007A1B58">
        <w:rPr>
          <w:b/>
          <w:bCs/>
          <w:lang w:val="en-GB"/>
        </w:rPr>
        <w:t>B</w:t>
      </w:r>
      <w:r w:rsidRPr="007A1B58">
        <w:rPr>
          <w:lang w:val="en-GB"/>
        </w:rPr>
        <w:t xml:space="preserve"> – Hierarchical clustering of genes previously reported (Verhaak et al., Blood 2005) to be differentially expressed in association to </w:t>
      </w:r>
      <w:r w:rsidRPr="007A1B58">
        <w:rPr>
          <w:i/>
          <w:iCs/>
          <w:lang w:val="en-GB"/>
        </w:rPr>
        <w:t>NPM1</w:t>
      </w:r>
      <w:r w:rsidRPr="007A1B58">
        <w:rPr>
          <w:lang w:val="en-GB"/>
        </w:rPr>
        <w:t xml:space="preserve"> plotted for AML samples in the total sample cohort in the current study. </w:t>
      </w:r>
      <w:r w:rsidRPr="007A1B58">
        <w:rPr>
          <w:b/>
          <w:bCs/>
          <w:lang w:val="en-GB"/>
        </w:rPr>
        <w:t>C</w:t>
      </w:r>
      <w:r w:rsidRPr="007A1B58">
        <w:rPr>
          <w:lang w:val="en-GB"/>
        </w:rPr>
        <w:t xml:space="preserve"> – Overlap between genes included in </w:t>
      </w:r>
      <w:r w:rsidRPr="007A1B58">
        <w:rPr>
          <w:lang w:val="en-GB"/>
        </w:rPr>
        <w:lastRenderedPageBreak/>
        <w:t xml:space="preserve">the NPM1-associated gene expression signature from Verhaak et al. Blood 2005 and significantly differentially expressed genes in relation to mutated </w:t>
      </w:r>
      <w:r w:rsidRPr="007A1B58">
        <w:rPr>
          <w:i/>
          <w:iCs/>
          <w:lang w:val="en-GB"/>
        </w:rPr>
        <w:t>NPM1</w:t>
      </w:r>
      <w:r w:rsidRPr="007A1B58">
        <w:rPr>
          <w:lang w:val="en-GB"/>
        </w:rPr>
        <w:t xml:space="preserve"> in the total cohort of the current study. </w:t>
      </w:r>
      <w:r w:rsidRPr="00A02C48">
        <w:rPr>
          <w:b/>
          <w:bCs/>
          <w:lang w:val="en-GB"/>
        </w:rPr>
        <w:t>D</w:t>
      </w:r>
      <w:r w:rsidRPr="007A1B58">
        <w:rPr>
          <w:lang w:val="en-GB"/>
        </w:rPr>
        <w:t xml:space="preserve"> – FAB type composition of the total cohort with the most represented FAB types (M1, M2 and M4) highlighted.</w:t>
      </w:r>
    </w:p>
    <w:p w14:paraId="6C1385C8" w14:textId="6C52E4C8" w:rsidR="003F6F5D" w:rsidRDefault="003F6F5D">
      <w:pPr>
        <w:rPr>
          <w:b/>
          <w:bCs/>
          <w:lang w:val="en-GB"/>
        </w:rPr>
      </w:pPr>
      <w:r>
        <w:rPr>
          <w:b/>
          <w:bCs/>
          <w:lang w:val="en-GB"/>
        </w:rPr>
        <w:br w:type="page"/>
      </w:r>
    </w:p>
    <w:p w14:paraId="55756443" w14:textId="1E4B84BF" w:rsidR="003F6F5D" w:rsidRDefault="00DC2B07" w:rsidP="00A02C48">
      <w:pPr>
        <w:jc w:val="both"/>
        <w:rPr>
          <w:b/>
          <w:bCs/>
          <w:lang w:val="en-GB"/>
        </w:rPr>
      </w:pPr>
      <w:r>
        <w:rPr>
          <w:b/>
          <w:bCs/>
          <w:noProof/>
          <w:lang w:eastAsia="nl-NL"/>
        </w:rPr>
        <w:lastRenderedPageBreak/>
        <w:drawing>
          <wp:inline distT="0" distB="0" distL="0" distR="0" wp14:anchorId="52304BF5" wp14:editId="6A77A13D">
            <wp:extent cx="5731510" cy="5794429"/>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7" cstate="print">
                      <a:extLst>
                        <a:ext uri="{28A0092B-C50C-407E-A947-70E740481C1C}">
                          <a14:useLocalDpi xmlns:a14="http://schemas.microsoft.com/office/drawing/2010/main" val="0"/>
                        </a:ext>
                      </a:extLst>
                    </a:blip>
                    <a:srcRect t="4644"/>
                    <a:stretch/>
                  </pic:blipFill>
                  <pic:spPr bwMode="auto">
                    <a:xfrm>
                      <a:off x="0" y="0"/>
                      <a:ext cx="5731510" cy="5794429"/>
                    </a:xfrm>
                    <a:prstGeom prst="rect">
                      <a:avLst/>
                    </a:prstGeom>
                    <a:ln>
                      <a:noFill/>
                    </a:ln>
                    <a:extLst>
                      <a:ext uri="{53640926-AAD7-44D8-BBD7-CCE9431645EC}">
                        <a14:shadowObscured xmlns:a14="http://schemas.microsoft.com/office/drawing/2010/main"/>
                      </a:ext>
                    </a:extLst>
                  </pic:spPr>
                </pic:pic>
              </a:graphicData>
            </a:graphic>
          </wp:inline>
        </w:drawing>
      </w:r>
    </w:p>
    <w:p w14:paraId="3A7B4A9D" w14:textId="3C8BF6BA" w:rsidR="003F6F5D" w:rsidRPr="003F6F5D" w:rsidRDefault="003F6F5D" w:rsidP="00A02C48">
      <w:pPr>
        <w:jc w:val="both"/>
        <w:rPr>
          <w:b/>
          <w:bCs/>
          <w:lang w:val="en-GB"/>
        </w:rPr>
      </w:pPr>
    </w:p>
    <w:p w14:paraId="0C2FB2F0" w14:textId="77777777" w:rsidR="00DC2B07" w:rsidRDefault="00DC2B07" w:rsidP="00DC2B07">
      <w:pPr>
        <w:jc w:val="both"/>
        <w:rPr>
          <w:lang w:val="en-GB"/>
        </w:rPr>
      </w:pPr>
      <w:r w:rsidRPr="007A1B58">
        <w:rPr>
          <w:b/>
          <w:bCs/>
          <w:lang w:val="en-GB"/>
        </w:rPr>
        <w:t>Supplemental Figure S</w:t>
      </w:r>
      <w:r>
        <w:rPr>
          <w:b/>
          <w:bCs/>
          <w:lang w:val="en-GB"/>
        </w:rPr>
        <w:t>2</w:t>
      </w:r>
      <w:r w:rsidRPr="007A1B58">
        <w:rPr>
          <w:lang w:val="en-GB"/>
        </w:rPr>
        <w:t xml:space="preserve">. </w:t>
      </w:r>
      <w:r w:rsidRPr="007A1B58">
        <w:rPr>
          <w:i/>
          <w:iCs/>
          <w:lang w:val="en-GB"/>
        </w:rPr>
        <w:t>FLT3</w:t>
      </w:r>
      <w:r w:rsidRPr="007A1B58">
        <w:rPr>
          <w:lang w:val="en-GB"/>
        </w:rPr>
        <w:t xml:space="preserve">-ITD and mutated </w:t>
      </w:r>
      <w:r w:rsidRPr="007A1B58">
        <w:rPr>
          <w:i/>
          <w:iCs/>
          <w:lang w:val="en-GB"/>
        </w:rPr>
        <w:t>NPM1</w:t>
      </w:r>
      <w:r w:rsidRPr="007A1B58">
        <w:rPr>
          <w:lang w:val="en-GB"/>
        </w:rPr>
        <w:t xml:space="preserve">-associated splicing patterns in the total sample set. </w:t>
      </w:r>
      <w:r w:rsidRPr="007A1B58">
        <w:rPr>
          <w:b/>
          <w:bCs/>
          <w:lang w:val="en-GB"/>
        </w:rPr>
        <w:t>A</w:t>
      </w:r>
      <w:r w:rsidRPr="007A1B58">
        <w:rPr>
          <w:lang w:val="en-GB"/>
        </w:rPr>
        <w:t xml:space="preserve">, </w:t>
      </w:r>
      <w:r w:rsidRPr="007A1B58">
        <w:rPr>
          <w:b/>
          <w:bCs/>
          <w:lang w:val="en-GB"/>
        </w:rPr>
        <w:t>B</w:t>
      </w:r>
      <w:r w:rsidRPr="007A1B58">
        <w:rPr>
          <w:lang w:val="en-GB"/>
        </w:rPr>
        <w:t xml:space="preserve"> – An overview of the differential splicing analysis in relation to </w:t>
      </w:r>
      <w:r w:rsidRPr="007A1B58">
        <w:rPr>
          <w:i/>
          <w:iCs/>
          <w:lang w:val="en-GB"/>
        </w:rPr>
        <w:t>FLT3</w:t>
      </w:r>
      <w:r w:rsidRPr="007A1B58">
        <w:rPr>
          <w:lang w:val="en-GB"/>
        </w:rPr>
        <w:t xml:space="preserve">-ITD performed with rMATS in the total cohort of AML patients. </w:t>
      </w:r>
      <w:r w:rsidRPr="007A1B58">
        <w:rPr>
          <w:b/>
          <w:bCs/>
          <w:lang w:val="en-GB"/>
        </w:rPr>
        <w:t>A</w:t>
      </w:r>
      <w:r w:rsidRPr="007A1B58">
        <w:rPr>
          <w:lang w:val="en-GB"/>
        </w:rPr>
        <w:t xml:space="preserve"> – Volcano plot of PSI (proportion spliced-in). </w:t>
      </w:r>
      <w:r w:rsidRPr="007A1B58">
        <w:rPr>
          <w:b/>
          <w:bCs/>
          <w:lang w:val="en-GB"/>
        </w:rPr>
        <w:t>B</w:t>
      </w:r>
      <w:r w:rsidRPr="007A1B58">
        <w:rPr>
          <w:lang w:val="en-GB"/>
        </w:rPr>
        <w:t xml:space="preserve"> </w:t>
      </w:r>
      <w:r>
        <w:rPr>
          <w:lang w:val="en-GB"/>
        </w:rPr>
        <w:t>–</w:t>
      </w:r>
      <w:r w:rsidRPr="007A1B58">
        <w:rPr>
          <w:lang w:val="en-GB"/>
        </w:rPr>
        <w:t xml:space="preserve"> Hierarchical clustering of significant differential splicing events (FDR &lt; 0.05) with a minimal splicing difference between the two groups of</w:t>
      </w:r>
      <w:r>
        <w:rPr>
          <w:lang w:val="en-GB"/>
        </w:rPr>
        <w:t xml:space="preserve"> </w:t>
      </w:r>
      <w:r w:rsidRPr="007A1B58">
        <w:rPr>
          <w:lang w:val="en-GB"/>
        </w:rPr>
        <w:t>0.1 (|</w:t>
      </w:r>
      <w:r w:rsidRPr="007A1B58">
        <w:rPr>
          <w:lang w:val="el-GR"/>
        </w:rPr>
        <w:t>Δ</w:t>
      </w:r>
      <w:r w:rsidRPr="007A1B58">
        <w:rPr>
          <w:lang w:val="en-GB"/>
        </w:rPr>
        <w:t xml:space="preserve">PSI| &gt; 0.1). </w:t>
      </w:r>
      <w:r w:rsidRPr="007A1B58">
        <w:rPr>
          <w:b/>
          <w:bCs/>
          <w:lang w:val="en-GB"/>
        </w:rPr>
        <w:t>C</w:t>
      </w:r>
      <w:r w:rsidRPr="007A1B58">
        <w:rPr>
          <w:lang w:val="en-GB"/>
        </w:rPr>
        <w:t xml:space="preserve">, </w:t>
      </w:r>
      <w:r w:rsidRPr="007A1B58">
        <w:rPr>
          <w:b/>
          <w:bCs/>
          <w:lang w:val="en-GB"/>
        </w:rPr>
        <w:t>D</w:t>
      </w:r>
      <w:r w:rsidRPr="007A1B58">
        <w:rPr>
          <w:lang w:val="en-GB"/>
        </w:rPr>
        <w:t xml:space="preserve"> – An overview of the differential splicing analysis in relation to </w:t>
      </w:r>
      <w:r w:rsidRPr="007A1B58">
        <w:rPr>
          <w:i/>
          <w:iCs/>
          <w:lang w:val="en-GB"/>
        </w:rPr>
        <w:t>NPM1</w:t>
      </w:r>
      <w:r w:rsidRPr="007A1B58">
        <w:rPr>
          <w:lang w:val="en-GB"/>
        </w:rPr>
        <w:t xml:space="preserve"> mutations performed with rMATS in the total cohort of AML patients (combined M1, M2 and M4 FAB types). </w:t>
      </w:r>
      <w:r w:rsidRPr="007A1B58">
        <w:rPr>
          <w:b/>
          <w:bCs/>
          <w:lang w:val="en-GB"/>
        </w:rPr>
        <w:t>C</w:t>
      </w:r>
      <w:r w:rsidRPr="007A1B58">
        <w:rPr>
          <w:lang w:val="en-GB"/>
        </w:rPr>
        <w:t xml:space="preserve"> – Volcano plot of PSI (proportion spliced-in) values. </w:t>
      </w:r>
      <w:r w:rsidRPr="007A1B58">
        <w:rPr>
          <w:b/>
          <w:bCs/>
          <w:lang w:val="en-GB"/>
        </w:rPr>
        <w:t>D</w:t>
      </w:r>
      <w:r w:rsidRPr="007A1B58">
        <w:rPr>
          <w:lang w:val="en-GB"/>
        </w:rPr>
        <w:t xml:space="preserve"> - Hierarchical clustering of significant differential splicing events (FDR &lt; 0.05) with a minimal splicing difference between the two groups of</w:t>
      </w:r>
      <w:r>
        <w:rPr>
          <w:lang w:val="en-GB"/>
        </w:rPr>
        <w:t xml:space="preserve"> </w:t>
      </w:r>
      <w:r w:rsidRPr="007A1B58">
        <w:rPr>
          <w:lang w:val="en-GB"/>
        </w:rPr>
        <w:t>0.1 (|</w:t>
      </w:r>
      <w:r w:rsidRPr="007A1B58">
        <w:rPr>
          <w:lang w:val="el-GR"/>
        </w:rPr>
        <w:t>Δ</w:t>
      </w:r>
      <w:r w:rsidRPr="007A1B58">
        <w:rPr>
          <w:lang w:val="en-GB"/>
        </w:rPr>
        <w:t>PSI| &gt; 0.1).</w:t>
      </w:r>
      <w:r>
        <w:rPr>
          <w:lang w:val="en-GB"/>
        </w:rPr>
        <w:t xml:space="preserve"> </w:t>
      </w:r>
      <w:r w:rsidRPr="00E4567D">
        <w:rPr>
          <w:b/>
          <w:bCs/>
          <w:lang w:val="en-GB"/>
        </w:rPr>
        <w:t>E</w:t>
      </w:r>
      <w:r w:rsidRPr="007A1B58">
        <w:rPr>
          <w:lang w:val="en-GB"/>
        </w:rPr>
        <w:t xml:space="preserve">, </w:t>
      </w:r>
      <w:r w:rsidRPr="00E4567D">
        <w:rPr>
          <w:b/>
          <w:bCs/>
          <w:lang w:val="en-GB"/>
        </w:rPr>
        <w:t>F</w:t>
      </w:r>
      <w:r w:rsidRPr="007A1B58">
        <w:rPr>
          <w:lang w:val="en-GB"/>
        </w:rPr>
        <w:t xml:space="preserve"> – An overview of the differential splicing analysis in relation to </w:t>
      </w:r>
      <w:r w:rsidRPr="007A1B58">
        <w:rPr>
          <w:i/>
          <w:iCs/>
          <w:lang w:val="en-GB"/>
        </w:rPr>
        <w:t>FLT3</w:t>
      </w:r>
      <w:r w:rsidRPr="007A1B58">
        <w:rPr>
          <w:lang w:val="en-GB"/>
        </w:rPr>
        <w:t xml:space="preserve">-ITD with a concomitant </w:t>
      </w:r>
      <w:r w:rsidRPr="007A1B58">
        <w:rPr>
          <w:i/>
          <w:iCs/>
          <w:lang w:val="en-GB"/>
        </w:rPr>
        <w:t>NPM1</w:t>
      </w:r>
      <w:r w:rsidRPr="007A1B58">
        <w:rPr>
          <w:lang w:val="en-GB"/>
        </w:rPr>
        <w:t xml:space="preserve"> mutation performed with rMATS in the total cohort of AML patients (combined M1, M2 and M4 FAB types). </w:t>
      </w:r>
      <w:r w:rsidRPr="00E4567D">
        <w:rPr>
          <w:b/>
          <w:bCs/>
          <w:lang w:val="en-GB"/>
        </w:rPr>
        <w:t>E</w:t>
      </w:r>
      <w:r w:rsidRPr="007A1B58">
        <w:rPr>
          <w:lang w:val="en-GB"/>
        </w:rPr>
        <w:t xml:space="preserve"> – Volcano plot of PSI (proportion spliced-in) values. </w:t>
      </w:r>
      <w:r w:rsidRPr="00E4567D">
        <w:rPr>
          <w:b/>
          <w:bCs/>
          <w:lang w:val="en-GB"/>
        </w:rPr>
        <w:t>F</w:t>
      </w:r>
      <w:r w:rsidRPr="007A1B58">
        <w:rPr>
          <w:lang w:val="en-GB"/>
        </w:rPr>
        <w:t xml:space="preserve"> - Hierarchical clustering of significant differential splicing events (FDR &lt; 0.05) with a minimal splicing difference between the two groups of</w:t>
      </w:r>
      <w:r>
        <w:rPr>
          <w:lang w:val="en-GB"/>
        </w:rPr>
        <w:t xml:space="preserve"> </w:t>
      </w:r>
      <w:r w:rsidRPr="007A1B58">
        <w:rPr>
          <w:lang w:val="en-GB"/>
        </w:rPr>
        <w:t>0.1 (|</w:t>
      </w:r>
      <w:r w:rsidRPr="007A1B58">
        <w:rPr>
          <w:lang w:val="el-GR"/>
        </w:rPr>
        <w:t>Δ</w:t>
      </w:r>
      <w:r w:rsidRPr="007A1B58">
        <w:rPr>
          <w:lang w:val="en-GB"/>
        </w:rPr>
        <w:t>PSI| &gt; 0.1).</w:t>
      </w:r>
    </w:p>
    <w:p w14:paraId="3A7CDEDD" w14:textId="74055E7E" w:rsidR="00A02C48" w:rsidRPr="00DC2B07" w:rsidRDefault="00A02C48" w:rsidP="007A1B58">
      <w:pPr>
        <w:jc w:val="both"/>
        <w:rPr>
          <w:lang w:val="en-GB"/>
        </w:rPr>
      </w:pPr>
    </w:p>
    <w:p w14:paraId="4BD3E741" w14:textId="21C7E0E2" w:rsidR="003F6F5D" w:rsidRPr="00A02C48" w:rsidRDefault="003F6F5D" w:rsidP="007A1B58">
      <w:pPr>
        <w:jc w:val="both"/>
      </w:pPr>
      <w:r>
        <w:rPr>
          <w:noProof/>
          <w:lang w:eastAsia="nl-NL"/>
        </w:rPr>
        <w:lastRenderedPageBreak/>
        <w:drawing>
          <wp:inline distT="0" distB="0" distL="0" distR="0" wp14:anchorId="0C0AFB06" wp14:editId="44E3FE06">
            <wp:extent cx="6265404" cy="7781925"/>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8" cstate="print">
                      <a:extLst>
                        <a:ext uri="{28A0092B-C50C-407E-A947-70E740481C1C}">
                          <a14:useLocalDpi xmlns:a14="http://schemas.microsoft.com/office/drawing/2010/main" val="0"/>
                        </a:ext>
                      </a:extLst>
                    </a:blip>
                    <a:srcRect l="3146"/>
                    <a:stretch/>
                  </pic:blipFill>
                  <pic:spPr bwMode="auto">
                    <a:xfrm>
                      <a:off x="0" y="0"/>
                      <a:ext cx="6269594" cy="7787130"/>
                    </a:xfrm>
                    <a:prstGeom prst="rect">
                      <a:avLst/>
                    </a:prstGeom>
                    <a:ln>
                      <a:noFill/>
                    </a:ln>
                    <a:extLst>
                      <a:ext uri="{53640926-AAD7-44D8-BBD7-CCE9431645EC}">
                        <a14:shadowObscured xmlns:a14="http://schemas.microsoft.com/office/drawing/2010/main"/>
                      </a:ext>
                    </a:extLst>
                  </pic:spPr>
                </pic:pic>
              </a:graphicData>
            </a:graphic>
          </wp:inline>
        </w:drawing>
      </w:r>
    </w:p>
    <w:p w14:paraId="77B89F1E" w14:textId="77777777" w:rsidR="00DC2B07" w:rsidRPr="00DC2B07" w:rsidRDefault="00DC2B07" w:rsidP="00DC2B07">
      <w:pPr>
        <w:jc w:val="both"/>
        <w:rPr>
          <w:lang w:val="en-US"/>
        </w:rPr>
      </w:pPr>
      <w:r w:rsidRPr="007A1B58">
        <w:rPr>
          <w:b/>
          <w:bCs/>
          <w:lang w:val="en-GB"/>
        </w:rPr>
        <w:t>Supplemental Figure S</w:t>
      </w:r>
      <w:r>
        <w:rPr>
          <w:b/>
          <w:bCs/>
          <w:lang w:val="en-GB"/>
        </w:rPr>
        <w:t>3</w:t>
      </w:r>
      <w:r w:rsidRPr="007A1B58">
        <w:rPr>
          <w:lang w:val="en-GB"/>
        </w:rPr>
        <w:t xml:space="preserve">. </w:t>
      </w:r>
      <w:r w:rsidRPr="007A1B58">
        <w:rPr>
          <w:i/>
          <w:iCs/>
          <w:lang w:val="en-GB"/>
        </w:rPr>
        <w:t>FLT3</w:t>
      </w:r>
      <w:r w:rsidRPr="007A1B58">
        <w:rPr>
          <w:lang w:val="en-GB"/>
        </w:rPr>
        <w:t xml:space="preserve">-ITD-associated splicing patterns differ per FAB type. </w:t>
      </w:r>
      <w:r w:rsidRPr="007A1B58">
        <w:rPr>
          <w:b/>
          <w:bCs/>
          <w:lang w:val="en-GB"/>
        </w:rPr>
        <w:t>A</w:t>
      </w:r>
      <w:r w:rsidRPr="007A1B58">
        <w:rPr>
          <w:lang w:val="en-GB"/>
        </w:rPr>
        <w:t xml:space="preserve"> – An overview of the differential splicing analysis performed with rMATS in three major FAB subtypes of AML (M1, M2 and M4) including volcano plots of PSI (proportion spliced-in) values and hierarchical clustering of significant differential splicing events (FDR &lt; 0.05) with a minimal splicing difference between the two groups of</w:t>
      </w:r>
      <w:r>
        <w:rPr>
          <w:lang w:val="en-GB"/>
        </w:rPr>
        <w:t xml:space="preserve"> </w:t>
      </w:r>
      <w:r w:rsidRPr="007A1B58">
        <w:rPr>
          <w:lang w:val="en-GB"/>
        </w:rPr>
        <w:t>0.1 (|</w:t>
      </w:r>
      <w:r w:rsidRPr="007A1B58">
        <w:rPr>
          <w:lang w:val="el-GR"/>
        </w:rPr>
        <w:t>Δ</w:t>
      </w:r>
      <w:r w:rsidRPr="007A1B58">
        <w:rPr>
          <w:lang w:val="en-GB"/>
        </w:rPr>
        <w:t xml:space="preserve">PSI| &gt; 0.1). The numbers of </w:t>
      </w:r>
      <w:r w:rsidRPr="007A1B58">
        <w:rPr>
          <w:i/>
          <w:iCs/>
          <w:lang w:val="en-GB"/>
        </w:rPr>
        <w:t>FLT3</w:t>
      </w:r>
      <w:r w:rsidRPr="007A1B58">
        <w:rPr>
          <w:lang w:val="en-GB"/>
        </w:rPr>
        <w:t xml:space="preserve">-ITD+ and </w:t>
      </w:r>
      <w:r w:rsidRPr="007A1B58">
        <w:rPr>
          <w:i/>
          <w:iCs/>
          <w:lang w:val="en-GB"/>
        </w:rPr>
        <w:t>FLT3</w:t>
      </w:r>
      <w:r w:rsidRPr="007A1B58">
        <w:rPr>
          <w:lang w:val="en-GB"/>
        </w:rPr>
        <w:t xml:space="preserve">-ITD- patients as well as the number </w:t>
      </w:r>
      <w:r w:rsidRPr="007A1B58">
        <w:rPr>
          <w:lang w:val="en-GB"/>
        </w:rPr>
        <w:lastRenderedPageBreak/>
        <w:t xml:space="preserve">of significant differential splicing (AS) events in each analysis are indicated. </w:t>
      </w:r>
      <w:r w:rsidRPr="007A1B58">
        <w:rPr>
          <w:b/>
          <w:bCs/>
          <w:lang w:val="en-GB"/>
        </w:rPr>
        <w:t>B</w:t>
      </w:r>
      <w:r w:rsidRPr="007A1B58">
        <w:rPr>
          <w:lang w:val="en-GB"/>
        </w:rPr>
        <w:t xml:space="preserve"> – The distribution of significant AS events in M1, M2 and M4 FAB types between the four main AS categories – skipped exons (SE), alternative 3’ splice site selection (A3SS), alternative 5’ splice site selection (A5SS) and retained introns (RI). </w:t>
      </w:r>
      <w:r w:rsidRPr="007A1B58">
        <w:rPr>
          <w:b/>
          <w:bCs/>
          <w:lang w:val="en-GB"/>
        </w:rPr>
        <w:t>C</w:t>
      </w:r>
      <w:r w:rsidRPr="007A1B58">
        <w:rPr>
          <w:lang w:val="en-GB"/>
        </w:rPr>
        <w:t xml:space="preserve"> – Overlap between significantly differentially spliced genes (FDR &lt; 0.05, |</w:t>
      </w:r>
      <w:r w:rsidRPr="007A1B58">
        <w:rPr>
          <w:lang w:val="el-GR"/>
        </w:rPr>
        <w:t>Δ</w:t>
      </w:r>
      <w:r w:rsidRPr="007A1B58">
        <w:rPr>
          <w:lang w:val="en-GB"/>
        </w:rPr>
        <w:t xml:space="preserve">PSI| &gt; 0.1) in relation to </w:t>
      </w:r>
      <w:r w:rsidRPr="007A1B58">
        <w:rPr>
          <w:i/>
          <w:iCs/>
          <w:lang w:val="en-GB"/>
        </w:rPr>
        <w:t>FLT3</w:t>
      </w:r>
      <w:r w:rsidRPr="007A1B58">
        <w:rPr>
          <w:lang w:val="en-GB"/>
        </w:rPr>
        <w:t>-ITD in M1, M2 and M4 FAB subtypes. The three events overlapping between all three FAB subtypes are indicated.</w:t>
      </w:r>
    </w:p>
    <w:p w14:paraId="5AADB7C0" w14:textId="74D9F0A9" w:rsidR="003F6F5D" w:rsidRPr="00DC2B07" w:rsidRDefault="003F6F5D">
      <w:pPr>
        <w:rPr>
          <w:lang w:val="en-US"/>
        </w:rPr>
      </w:pPr>
      <w:r w:rsidRPr="00DC2B07">
        <w:rPr>
          <w:lang w:val="en-US"/>
        </w:rPr>
        <w:br w:type="page"/>
      </w:r>
    </w:p>
    <w:p w14:paraId="67F26F97" w14:textId="0BCE240F" w:rsidR="007A1B58" w:rsidRDefault="003F6F5D" w:rsidP="007A1B58">
      <w:pPr>
        <w:jc w:val="both"/>
      </w:pPr>
      <w:r>
        <w:rPr>
          <w:noProof/>
          <w:lang w:eastAsia="nl-NL"/>
        </w:rPr>
        <w:lastRenderedPageBreak/>
        <w:drawing>
          <wp:inline distT="0" distB="0" distL="0" distR="0" wp14:anchorId="073CAF74" wp14:editId="2860273D">
            <wp:extent cx="6096000" cy="788916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rotWithShape="1">
                    <a:blip r:embed="rId9" cstate="print">
                      <a:extLst>
                        <a:ext uri="{28A0092B-C50C-407E-A947-70E740481C1C}">
                          <a14:useLocalDpi xmlns:a14="http://schemas.microsoft.com/office/drawing/2010/main" val="0"/>
                        </a:ext>
                      </a:extLst>
                    </a:blip>
                    <a:srcRect l="5650" r="5274"/>
                    <a:stretch/>
                  </pic:blipFill>
                  <pic:spPr bwMode="auto">
                    <a:xfrm>
                      <a:off x="0" y="0"/>
                      <a:ext cx="6108860" cy="7905805"/>
                    </a:xfrm>
                    <a:prstGeom prst="rect">
                      <a:avLst/>
                    </a:prstGeom>
                    <a:ln>
                      <a:noFill/>
                    </a:ln>
                    <a:extLst>
                      <a:ext uri="{53640926-AAD7-44D8-BBD7-CCE9431645EC}">
                        <a14:shadowObscured xmlns:a14="http://schemas.microsoft.com/office/drawing/2010/main"/>
                      </a:ext>
                    </a:extLst>
                  </pic:spPr>
                </pic:pic>
              </a:graphicData>
            </a:graphic>
          </wp:inline>
        </w:drawing>
      </w:r>
    </w:p>
    <w:p w14:paraId="0C07B916" w14:textId="77777777" w:rsidR="00DC2B07" w:rsidRPr="00DC2B07" w:rsidRDefault="00DC2B07" w:rsidP="00DC2B07">
      <w:pPr>
        <w:jc w:val="both"/>
        <w:rPr>
          <w:lang w:val="en-US"/>
        </w:rPr>
      </w:pPr>
      <w:r w:rsidRPr="007A1B58">
        <w:rPr>
          <w:b/>
          <w:bCs/>
          <w:lang w:val="en-GB"/>
        </w:rPr>
        <w:t>Supplemental Figure S</w:t>
      </w:r>
      <w:r>
        <w:rPr>
          <w:b/>
          <w:bCs/>
          <w:lang w:val="en-GB"/>
        </w:rPr>
        <w:t>4</w:t>
      </w:r>
      <w:r w:rsidRPr="007A1B58">
        <w:rPr>
          <w:lang w:val="en-GB"/>
        </w:rPr>
        <w:t xml:space="preserve">. </w:t>
      </w:r>
      <w:r w:rsidRPr="007A1B58">
        <w:rPr>
          <w:i/>
          <w:iCs/>
          <w:lang w:val="en-GB"/>
        </w:rPr>
        <w:t>NPM1</w:t>
      </w:r>
      <w:r w:rsidRPr="007A1B58">
        <w:rPr>
          <w:lang w:val="en-GB"/>
        </w:rPr>
        <w:t xml:space="preserve">-associated splicing patterns differ per FAB type. </w:t>
      </w:r>
      <w:r w:rsidRPr="007A1B58">
        <w:rPr>
          <w:b/>
          <w:bCs/>
          <w:lang w:val="en-GB"/>
        </w:rPr>
        <w:t>A</w:t>
      </w:r>
      <w:r w:rsidRPr="007A1B58">
        <w:rPr>
          <w:lang w:val="en-GB"/>
        </w:rPr>
        <w:t xml:space="preserve"> – An overview of the differential splicing analysis performed with rMATS in three major FAB subtypes of AML (M1, M2 and M4) including volcano plots of PSI (proportion spliced-in) values and hierarchical clustering of significant differential splicing events (FDR &lt; 0.05) with a minimal splicing difference between the two </w:t>
      </w:r>
      <w:r w:rsidRPr="007A1B58">
        <w:rPr>
          <w:lang w:val="en-GB"/>
        </w:rPr>
        <w:lastRenderedPageBreak/>
        <w:t>groups of</w:t>
      </w:r>
      <w:r>
        <w:rPr>
          <w:lang w:val="en-GB"/>
        </w:rPr>
        <w:t xml:space="preserve"> </w:t>
      </w:r>
      <w:r w:rsidRPr="007A1B58">
        <w:rPr>
          <w:lang w:val="en-GB"/>
        </w:rPr>
        <w:t>0.1 (|</w:t>
      </w:r>
      <w:r w:rsidRPr="007A1B58">
        <w:rPr>
          <w:lang w:val="el-GR"/>
        </w:rPr>
        <w:t>Δ</w:t>
      </w:r>
      <w:r w:rsidRPr="007A1B58">
        <w:rPr>
          <w:lang w:val="en-GB"/>
        </w:rPr>
        <w:t xml:space="preserve">PSI| &gt; 0.1). The numbers of </w:t>
      </w:r>
      <w:r w:rsidRPr="007A1B58">
        <w:rPr>
          <w:i/>
          <w:iCs/>
          <w:lang w:val="en-GB"/>
        </w:rPr>
        <w:t>NPM1</w:t>
      </w:r>
      <w:r w:rsidRPr="007A1B58">
        <w:rPr>
          <w:lang w:val="en-GB"/>
        </w:rPr>
        <w:t xml:space="preserve">+ and </w:t>
      </w:r>
      <w:r w:rsidRPr="007A1B58">
        <w:rPr>
          <w:i/>
          <w:iCs/>
          <w:lang w:val="en-GB"/>
        </w:rPr>
        <w:t>NPM1-</w:t>
      </w:r>
      <w:r w:rsidRPr="007A1B58">
        <w:rPr>
          <w:lang w:val="en-GB"/>
        </w:rPr>
        <w:t xml:space="preserve"> patients as well as the number of significant differential splicing (AS) events in each analysis are indicated. </w:t>
      </w:r>
      <w:r w:rsidRPr="007A1B58">
        <w:rPr>
          <w:b/>
          <w:bCs/>
          <w:lang w:val="en-GB"/>
        </w:rPr>
        <w:t>B</w:t>
      </w:r>
      <w:r w:rsidRPr="007A1B58">
        <w:rPr>
          <w:lang w:val="en-GB"/>
        </w:rPr>
        <w:t xml:space="preserve"> – The distribution of significant AS events in M1, M2 and M4 FAB types between the four main AS categories – skipped exons (SE), alternative 3’ splice site selection (A3SS), alternative 5’ splice site selection (A5SS) and retained introns (RI). </w:t>
      </w:r>
      <w:r w:rsidRPr="007A1B58">
        <w:rPr>
          <w:b/>
          <w:bCs/>
          <w:lang w:val="en-GB"/>
        </w:rPr>
        <w:t>C</w:t>
      </w:r>
      <w:r w:rsidRPr="007A1B58">
        <w:rPr>
          <w:lang w:val="en-GB"/>
        </w:rPr>
        <w:t xml:space="preserve"> – Overlap between significantly differentially spliced genes (FDR &lt; 0.05, |</w:t>
      </w:r>
      <w:r w:rsidRPr="007A1B58">
        <w:rPr>
          <w:lang w:val="el-GR"/>
        </w:rPr>
        <w:t>Δ</w:t>
      </w:r>
      <w:r w:rsidRPr="007A1B58">
        <w:rPr>
          <w:lang w:val="en-GB"/>
        </w:rPr>
        <w:t xml:space="preserve">PSI| &gt; 0.1) in relation to </w:t>
      </w:r>
      <w:r w:rsidRPr="007A1B58">
        <w:rPr>
          <w:i/>
          <w:iCs/>
          <w:lang w:val="en-GB"/>
        </w:rPr>
        <w:t>NPM1</w:t>
      </w:r>
      <w:r w:rsidRPr="007A1B58">
        <w:rPr>
          <w:lang w:val="en-GB"/>
        </w:rPr>
        <w:t xml:space="preserve"> in M1, M2 and M4 FAB subtypes. The two events overlapping between all three FAB subtypes are indicated.</w:t>
      </w:r>
    </w:p>
    <w:p w14:paraId="7E49FF34" w14:textId="77D07116" w:rsidR="003F6F5D" w:rsidRPr="00DC2B07" w:rsidRDefault="003F6F5D">
      <w:pPr>
        <w:rPr>
          <w:lang w:val="en-US"/>
        </w:rPr>
      </w:pPr>
      <w:r w:rsidRPr="00DC2B07">
        <w:rPr>
          <w:lang w:val="en-US"/>
        </w:rPr>
        <w:br w:type="page"/>
      </w:r>
    </w:p>
    <w:p w14:paraId="5E818273" w14:textId="743A5E17" w:rsidR="00DC2B07" w:rsidRPr="00DC2B07" w:rsidRDefault="00DC2B07" w:rsidP="00DC2B07">
      <w:pPr>
        <w:jc w:val="both"/>
        <w:rPr>
          <w:lang w:val="en-US"/>
        </w:rPr>
      </w:pPr>
      <w:r>
        <w:rPr>
          <w:noProof/>
          <w:lang w:eastAsia="nl-NL"/>
        </w:rPr>
        <w:lastRenderedPageBreak/>
        <w:drawing>
          <wp:anchor distT="0" distB="0" distL="114300" distR="114300" simplePos="0" relativeHeight="251660288" behindDoc="0" locked="0" layoutInCell="1" allowOverlap="1" wp14:anchorId="78C40F32" wp14:editId="048AB674">
            <wp:simplePos x="0" y="0"/>
            <wp:positionH relativeFrom="margin">
              <wp:align>left</wp:align>
            </wp:positionH>
            <wp:positionV relativeFrom="paragraph">
              <wp:posOffset>9525</wp:posOffset>
            </wp:positionV>
            <wp:extent cx="5984708" cy="731520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rotWithShape="1">
                    <a:blip r:embed="rId10" cstate="print">
                      <a:extLst>
                        <a:ext uri="{28A0092B-C50C-407E-A947-70E740481C1C}">
                          <a14:useLocalDpi xmlns:a14="http://schemas.microsoft.com/office/drawing/2010/main" val="0"/>
                        </a:ext>
                      </a:extLst>
                    </a:blip>
                    <a:srcRect t="2748"/>
                    <a:stretch/>
                  </pic:blipFill>
                  <pic:spPr bwMode="auto">
                    <a:xfrm>
                      <a:off x="0" y="0"/>
                      <a:ext cx="5986729" cy="73176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A1B58">
        <w:rPr>
          <w:b/>
          <w:bCs/>
          <w:lang w:val="en-GB"/>
        </w:rPr>
        <w:t>Supplemental Figure S</w:t>
      </w:r>
      <w:r>
        <w:rPr>
          <w:b/>
          <w:bCs/>
          <w:lang w:val="en-GB"/>
        </w:rPr>
        <w:t>5</w:t>
      </w:r>
      <w:r w:rsidRPr="007A1B58">
        <w:rPr>
          <w:lang w:val="en-GB"/>
        </w:rPr>
        <w:t xml:space="preserve">. </w:t>
      </w:r>
      <w:r w:rsidRPr="007A1B58">
        <w:rPr>
          <w:i/>
          <w:iCs/>
          <w:lang w:val="en-GB"/>
        </w:rPr>
        <w:t>FLT3</w:t>
      </w:r>
      <w:r w:rsidRPr="007A1B58">
        <w:rPr>
          <w:lang w:val="en-GB"/>
        </w:rPr>
        <w:t xml:space="preserve">-ITD and </w:t>
      </w:r>
      <w:r w:rsidRPr="007A1B58">
        <w:rPr>
          <w:i/>
          <w:iCs/>
          <w:lang w:val="en-GB"/>
        </w:rPr>
        <w:t>NPM1</w:t>
      </w:r>
      <w:r w:rsidRPr="007A1B58">
        <w:rPr>
          <w:lang w:val="en-GB"/>
        </w:rPr>
        <w:t xml:space="preserve">-associated gene expression in M1, M2 and M4 FAB subtypes. </w:t>
      </w:r>
      <w:r w:rsidRPr="007A1B58">
        <w:rPr>
          <w:b/>
          <w:bCs/>
          <w:lang w:val="en-GB"/>
        </w:rPr>
        <w:t>A</w:t>
      </w:r>
      <w:r w:rsidRPr="007A1B58">
        <w:rPr>
          <w:lang w:val="en-GB"/>
        </w:rPr>
        <w:t xml:space="preserve">, </w:t>
      </w:r>
      <w:r w:rsidRPr="007A1B58">
        <w:rPr>
          <w:b/>
          <w:bCs/>
          <w:lang w:val="en-GB"/>
        </w:rPr>
        <w:t>B</w:t>
      </w:r>
      <w:r>
        <w:rPr>
          <w:b/>
          <w:bCs/>
          <w:lang w:val="en-GB"/>
        </w:rPr>
        <w:t>, C</w:t>
      </w:r>
      <w:r w:rsidRPr="007A1B58">
        <w:rPr>
          <w:b/>
          <w:bCs/>
          <w:lang w:val="en-GB"/>
        </w:rPr>
        <w:t xml:space="preserve"> </w:t>
      </w:r>
      <w:r w:rsidRPr="007A1B58">
        <w:rPr>
          <w:lang w:val="en-GB"/>
        </w:rPr>
        <w:t xml:space="preserve">– Overlap between significantly differentially expressed genes (FDR &lt; 0.05, |log2Fc| &gt; 1.5) in relation to the presence of </w:t>
      </w:r>
      <w:r w:rsidRPr="007A1B58">
        <w:rPr>
          <w:i/>
          <w:iCs/>
          <w:lang w:val="en-GB"/>
        </w:rPr>
        <w:t>FLT3</w:t>
      </w:r>
      <w:r w:rsidRPr="007A1B58">
        <w:rPr>
          <w:lang w:val="en-GB"/>
        </w:rPr>
        <w:t>-ITD (</w:t>
      </w:r>
      <w:r w:rsidRPr="00A02C48">
        <w:rPr>
          <w:b/>
          <w:bCs/>
          <w:lang w:val="en-GB"/>
        </w:rPr>
        <w:t>A</w:t>
      </w:r>
      <w:r w:rsidRPr="007A1B58">
        <w:rPr>
          <w:lang w:val="en-GB"/>
        </w:rPr>
        <w:t>)</w:t>
      </w:r>
      <w:r>
        <w:rPr>
          <w:lang w:val="en-GB"/>
        </w:rPr>
        <w:t>,</w:t>
      </w:r>
      <w:r w:rsidRPr="007A1B58">
        <w:rPr>
          <w:lang w:val="en-GB"/>
        </w:rPr>
        <w:t xml:space="preserve"> </w:t>
      </w:r>
      <w:r w:rsidRPr="007A1B58">
        <w:rPr>
          <w:i/>
          <w:iCs/>
          <w:lang w:val="en-GB"/>
        </w:rPr>
        <w:t>NPM1</w:t>
      </w:r>
      <w:r w:rsidRPr="007A1B58">
        <w:rPr>
          <w:lang w:val="en-GB"/>
        </w:rPr>
        <w:t xml:space="preserve"> mutations (</w:t>
      </w:r>
      <w:r w:rsidRPr="007A1B58">
        <w:rPr>
          <w:b/>
          <w:bCs/>
          <w:lang w:val="en-GB"/>
        </w:rPr>
        <w:t>B</w:t>
      </w:r>
      <w:r w:rsidRPr="007A1B58">
        <w:rPr>
          <w:lang w:val="en-GB"/>
        </w:rPr>
        <w:t xml:space="preserve">) </w:t>
      </w:r>
      <w:r>
        <w:rPr>
          <w:lang w:val="en-GB"/>
        </w:rPr>
        <w:t xml:space="preserve">and </w:t>
      </w:r>
      <w:r w:rsidRPr="007A1B58">
        <w:rPr>
          <w:lang w:val="en-GB"/>
        </w:rPr>
        <w:t xml:space="preserve">the concomitant presence of </w:t>
      </w:r>
      <w:r w:rsidRPr="007A1B58">
        <w:rPr>
          <w:i/>
          <w:iCs/>
          <w:lang w:val="en-GB"/>
        </w:rPr>
        <w:t>FLT3</w:t>
      </w:r>
      <w:r w:rsidRPr="007A1B58">
        <w:rPr>
          <w:lang w:val="en-GB"/>
        </w:rPr>
        <w:t xml:space="preserve">-ITD and </w:t>
      </w:r>
      <w:r w:rsidRPr="007A1B58">
        <w:rPr>
          <w:i/>
          <w:iCs/>
          <w:lang w:val="en-GB"/>
        </w:rPr>
        <w:t>NPM1</w:t>
      </w:r>
      <w:r w:rsidRPr="007A1B58">
        <w:rPr>
          <w:lang w:val="en-GB"/>
        </w:rPr>
        <w:t xml:space="preserve"> mutations </w:t>
      </w:r>
      <w:r>
        <w:rPr>
          <w:lang w:val="en-GB"/>
        </w:rPr>
        <w:t>(</w:t>
      </w:r>
      <w:r w:rsidRPr="00A02C48">
        <w:rPr>
          <w:b/>
          <w:bCs/>
          <w:lang w:val="en-GB"/>
        </w:rPr>
        <w:t>C</w:t>
      </w:r>
      <w:r>
        <w:rPr>
          <w:lang w:val="en-GB"/>
        </w:rPr>
        <w:t xml:space="preserve">) </w:t>
      </w:r>
      <w:r w:rsidRPr="007A1B58">
        <w:rPr>
          <w:lang w:val="en-GB"/>
        </w:rPr>
        <w:t xml:space="preserve">in M1, M2 and M4 FAB types. </w:t>
      </w:r>
      <w:r w:rsidRPr="007A1B58">
        <w:rPr>
          <w:b/>
          <w:bCs/>
          <w:lang w:val="en-GB"/>
        </w:rPr>
        <w:t>D</w:t>
      </w:r>
      <w:r w:rsidRPr="007A1B58">
        <w:rPr>
          <w:lang w:val="en-GB"/>
        </w:rPr>
        <w:t xml:space="preserve"> – The proportion of </w:t>
      </w:r>
      <w:r w:rsidRPr="007A1B58">
        <w:rPr>
          <w:i/>
          <w:iCs/>
          <w:lang w:val="en-GB"/>
        </w:rPr>
        <w:t>NPM1</w:t>
      </w:r>
      <w:r w:rsidRPr="007A1B58">
        <w:rPr>
          <w:lang w:val="en-GB"/>
        </w:rPr>
        <w:t xml:space="preserve"> mutated cases among </w:t>
      </w:r>
      <w:r w:rsidRPr="007A1B58">
        <w:rPr>
          <w:i/>
          <w:iCs/>
          <w:lang w:val="en-GB"/>
        </w:rPr>
        <w:t>FLT3</w:t>
      </w:r>
      <w:r w:rsidRPr="007A1B58">
        <w:rPr>
          <w:lang w:val="en-GB"/>
        </w:rPr>
        <w:t xml:space="preserve">-ITD+ and </w:t>
      </w:r>
      <w:r w:rsidRPr="007A1B58">
        <w:rPr>
          <w:i/>
          <w:iCs/>
          <w:lang w:val="en-GB"/>
        </w:rPr>
        <w:t>FLT3</w:t>
      </w:r>
      <w:r w:rsidRPr="007A1B58">
        <w:rPr>
          <w:lang w:val="en-GB"/>
        </w:rPr>
        <w:t xml:space="preserve">-ITD- samples in the three analysed FAB types. </w:t>
      </w:r>
      <w:r w:rsidRPr="007A1B58">
        <w:rPr>
          <w:b/>
          <w:bCs/>
          <w:lang w:val="en-GB"/>
        </w:rPr>
        <w:t>E</w:t>
      </w:r>
      <w:r w:rsidRPr="007A1B58">
        <w:rPr>
          <w:lang w:val="en-GB"/>
        </w:rPr>
        <w:t xml:space="preserve"> – The proportion of </w:t>
      </w:r>
      <w:r w:rsidRPr="007A1B58">
        <w:rPr>
          <w:i/>
          <w:iCs/>
          <w:lang w:val="en-GB"/>
        </w:rPr>
        <w:t>FLT3</w:t>
      </w:r>
      <w:r w:rsidRPr="007A1B58">
        <w:rPr>
          <w:lang w:val="en-GB"/>
        </w:rPr>
        <w:t xml:space="preserve">-ITD+ cases among </w:t>
      </w:r>
      <w:r w:rsidRPr="007A1B58">
        <w:rPr>
          <w:i/>
          <w:iCs/>
          <w:lang w:val="en-GB"/>
        </w:rPr>
        <w:t>NPM1</w:t>
      </w:r>
      <w:r w:rsidRPr="007A1B58">
        <w:rPr>
          <w:lang w:val="en-GB"/>
        </w:rPr>
        <w:t xml:space="preserve">+ and </w:t>
      </w:r>
      <w:r w:rsidRPr="007A1B58">
        <w:rPr>
          <w:i/>
          <w:iCs/>
          <w:lang w:val="en-GB"/>
        </w:rPr>
        <w:t>NPM1-</w:t>
      </w:r>
      <w:r w:rsidRPr="007A1B58">
        <w:rPr>
          <w:lang w:val="en-GB"/>
        </w:rPr>
        <w:t xml:space="preserve"> samples in the three analysed FAB types. Fc – fold-change.</w:t>
      </w:r>
    </w:p>
    <w:p w14:paraId="4E69D909" w14:textId="77777777" w:rsidR="00DC2B07" w:rsidRDefault="00DC2B07" w:rsidP="007A1B58">
      <w:pPr>
        <w:jc w:val="both"/>
      </w:pPr>
    </w:p>
    <w:p w14:paraId="0D389F34" w14:textId="77777777" w:rsidR="00DC2B07" w:rsidRDefault="00DC2B07" w:rsidP="007A1B58">
      <w:pPr>
        <w:jc w:val="both"/>
      </w:pPr>
    </w:p>
    <w:p w14:paraId="77C9503A" w14:textId="77777777" w:rsidR="00DC2B07" w:rsidRDefault="00DC2B07" w:rsidP="007A1B58">
      <w:pPr>
        <w:jc w:val="both"/>
      </w:pPr>
    </w:p>
    <w:p w14:paraId="21FBC51B" w14:textId="77777777" w:rsidR="00DC2B07" w:rsidRDefault="00DC2B07" w:rsidP="007A1B58">
      <w:pPr>
        <w:jc w:val="both"/>
      </w:pPr>
    </w:p>
    <w:p w14:paraId="424CB442" w14:textId="77777777" w:rsidR="00DC2B07" w:rsidRDefault="00DC2B07" w:rsidP="007A1B58">
      <w:pPr>
        <w:jc w:val="both"/>
      </w:pPr>
    </w:p>
    <w:p w14:paraId="2C5CB0A0" w14:textId="77777777" w:rsidR="00DC2B07" w:rsidRPr="00DC2B07" w:rsidRDefault="00DC2B07" w:rsidP="00DC2B07">
      <w:pPr>
        <w:jc w:val="both"/>
        <w:rPr>
          <w:lang w:val="en-US"/>
        </w:rPr>
      </w:pPr>
      <w:r w:rsidRPr="007A1B58">
        <w:rPr>
          <w:b/>
          <w:bCs/>
          <w:lang w:val="en-GB"/>
        </w:rPr>
        <w:t>Supplemental Figure S</w:t>
      </w:r>
      <w:r>
        <w:rPr>
          <w:b/>
          <w:bCs/>
          <w:lang w:val="en-GB"/>
        </w:rPr>
        <w:t>5</w:t>
      </w:r>
      <w:r w:rsidRPr="007A1B58">
        <w:rPr>
          <w:lang w:val="en-GB"/>
        </w:rPr>
        <w:t xml:space="preserve">. </w:t>
      </w:r>
      <w:r w:rsidRPr="007A1B58">
        <w:rPr>
          <w:i/>
          <w:iCs/>
          <w:lang w:val="en-GB"/>
        </w:rPr>
        <w:t>FLT3</w:t>
      </w:r>
      <w:r w:rsidRPr="007A1B58">
        <w:rPr>
          <w:lang w:val="en-GB"/>
        </w:rPr>
        <w:t xml:space="preserve">-ITD and </w:t>
      </w:r>
      <w:r w:rsidRPr="007A1B58">
        <w:rPr>
          <w:i/>
          <w:iCs/>
          <w:lang w:val="en-GB"/>
        </w:rPr>
        <w:t>NPM1</w:t>
      </w:r>
      <w:r w:rsidRPr="007A1B58">
        <w:rPr>
          <w:lang w:val="en-GB"/>
        </w:rPr>
        <w:t xml:space="preserve">-associated gene expression in M1, M2 and M4 FAB subtypes. </w:t>
      </w:r>
      <w:r w:rsidRPr="007A1B58">
        <w:rPr>
          <w:b/>
          <w:bCs/>
          <w:lang w:val="en-GB"/>
        </w:rPr>
        <w:t>A</w:t>
      </w:r>
      <w:r w:rsidRPr="007A1B58">
        <w:rPr>
          <w:lang w:val="en-GB"/>
        </w:rPr>
        <w:t xml:space="preserve">, </w:t>
      </w:r>
      <w:r w:rsidRPr="007A1B58">
        <w:rPr>
          <w:b/>
          <w:bCs/>
          <w:lang w:val="en-GB"/>
        </w:rPr>
        <w:t>B</w:t>
      </w:r>
      <w:r>
        <w:rPr>
          <w:b/>
          <w:bCs/>
          <w:lang w:val="en-GB"/>
        </w:rPr>
        <w:t>, C</w:t>
      </w:r>
      <w:r w:rsidRPr="007A1B58">
        <w:rPr>
          <w:b/>
          <w:bCs/>
          <w:lang w:val="en-GB"/>
        </w:rPr>
        <w:t xml:space="preserve"> </w:t>
      </w:r>
      <w:r w:rsidRPr="007A1B58">
        <w:rPr>
          <w:lang w:val="en-GB"/>
        </w:rPr>
        <w:t xml:space="preserve">– Overlap between significantly differentially expressed genes (FDR &lt; 0.05, |log2Fc| &gt; 1.5) in relation to the presence of </w:t>
      </w:r>
      <w:r w:rsidRPr="007A1B58">
        <w:rPr>
          <w:i/>
          <w:iCs/>
          <w:lang w:val="en-GB"/>
        </w:rPr>
        <w:t>FLT3</w:t>
      </w:r>
      <w:r w:rsidRPr="007A1B58">
        <w:rPr>
          <w:lang w:val="en-GB"/>
        </w:rPr>
        <w:t>-ITD (</w:t>
      </w:r>
      <w:r w:rsidRPr="00A02C48">
        <w:rPr>
          <w:b/>
          <w:bCs/>
          <w:lang w:val="en-GB"/>
        </w:rPr>
        <w:t>A</w:t>
      </w:r>
      <w:r w:rsidRPr="007A1B58">
        <w:rPr>
          <w:lang w:val="en-GB"/>
        </w:rPr>
        <w:t>)</w:t>
      </w:r>
      <w:r>
        <w:rPr>
          <w:lang w:val="en-GB"/>
        </w:rPr>
        <w:t>,</w:t>
      </w:r>
      <w:r w:rsidRPr="007A1B58">
        <w:rPr>
          <w:lang w:val="en-GB"/>
        </w:rPr>
        <w:t xml:space="preserve"> </w:t>
      </w:r>
      <w:r w:rsidRPr="007A1B58">
        <w:rPr>
          <w:i/>
          <w:iCs/>
          <w:lang w:val="en-GB"/>
        </w:rPr>
        <w:t>NPM1</w:t>
      </w:r>
      <w:r w:rsidRPr="007A1B58">
        <w:rPr>
          <w:lang w:val="en-GB"/>
        </w:rPr>
        <w:t xml:space="preserve"> mutations (</w:t>
      </w:r>
      <w:r w:rsidRPr="007A1B58">
        <w:rPr>
          <w:b/>
          <w:bCs/>
          <w:lang w:val="en-GB"/>
        </w:rPr>
        <w:t>B</w:t>
      </w:r>
      <w:r w:rsidRPr="007A1B58">
        <w:rPr>
          <w:lang w:val="en-GB"/>
        </w:rPr>
        <w:t xml:space="preserve">) </w:t>
      </w:r>
      <w:r>
        <w:rPr>
          <w:lang w:val="en-GB"/>
        </w:rPr>
        <w:t xml:space="preserve">and </w:t>
      </w:r>
      <w:r w:rsidRPr="007A1B58">
        <w:rPr>
          <w:lang w:val="en-GB"/>
        </w:rPr>
        <w:t xml:space="preserve">the concomitant presence of </w:t>
      </w:r>
      <w:r w:rsidRPr="007A1B58">
        <w:rPr>
          <w:i/>
          <w:iCs/>
          <w:lang w:val="en-GB"/>
        </w:rPr>
        <w:t>FLT3</w:t>
      </w:r>
      <w:r w:rsidRPr="007A1B58">
        <w:rPr>
          <w:lang w:val="en-GB"/>
        </w:rPr>
        <w:t xml:space="preserve">-ITD and </w:t>
      </w:r>
      <w:r w:rsidRPr="007A1B58">
        <w:rPr>
          <w:i/>
          <w:iCs/>
          <w:lang w:val="en-GB"/>
        </w:rPr>
        <w:t>NPM1</w:t>
      </w:r>
      <w:r w:rsidRPr="007A1B58">
        <w:rPr>
          <w:lang w:val="en-GB"/>
        </w:rPr>
        <w:t xml:space="preserve"> mutations </w:t>
      </w:r>
      <w:r>
        <w:rPr>
          <w:lang w:val="en-GB"/>
        </w:rPr>
        <w:t>(</w:t>
      </w:r>
      <w:r w:rsidRPr="00A02C48">
        <w:rPr>
          <w:b/>
          <w:bCs/>
          <w:lang w:val="en-GB"/>
        </w:rPr>
        <w:t>C</w:t>
      </w:r>
      <w:r>
        <w:rPr>
          <w:lang w:val="en-GB"/>
        </w:rPr>
        <w:t xml:space="preserve">) </w:t>
      </w:r>
      <w:r w:rsidRPr="007A1B58">
        <w:rPr>
          <w:lang w:val="en-GB"/>
        </w:rPr>
        <w:t xml:space="preserve">in M1, M2 and M4 FAB types. </w:t>
      </w:r>
      <w:r w:rsidRPr="007A1B58">
        <w:rPr>
          <w:b/>
          <w:bCs/>
          <w:lang w:val="en-GB"/>
        </w:rPr>
        <w:t>D</w:t>
      </w:r>
      <w:r w:rsidRPr="007A1B58">
        <w:rPr>
          <w:lang w:val="en-GB"/>
        </w:rPr>
        <w:t xml:space="preserve"> – The proportion of </w:t>
      </w:r>
      <w:r w:rsidRPr="007A1B58">
        <w:rPr>
          <w:i/>
          <w:iCs/>
          <w:lang w:val="en-GB"/>
        </w:rPr>
        <w:t>NPM1</w:t>
      </w:r>
      <w:r w:rsidRPr="007A1B58">
        <w:rPr>
          <w:lang w:val="en-GB"/>
        </w:rPr>
        <w:t xml:space="preserve"> mutated cases among </w:t>
      </w:r>
      <w:r w:rsidRPr="007A1B58">
        <w:rPr>
          <w:i/>
          <w:iCs/>
          <w:lang w:val="en-GB"/>
        </w:rPr>
        <w:t>FLT3</w:t>
      </w:r>
      <w:r w:rsidRPr="007A1B58">
        <w:rPr>
          <w:lang w:val="en-GB"/>
        </w:rPr>
        <w:t xml:space="preserve">-ITD+ and </w:t>
      </w:r>
      <w:r w:rsidRPr="007A1B58">
        <w:rPr>
          <w:i/>
          <w:iCs/>
          <w:lang w:val="en-GB"/>
        </w:rPr>
        <w:t>FLT3</w:t>
      </w:r>
      <w:r w:rsidRPr="007A1B58">
        <w:rPr>
          <w:lang w:val="en-GB"/>
        </w:rPr>
        <w:t xml:space="preserve">-ITD- samples in the three analysed FAB types. </w:t>
      </w:r>
      <w:r w:rsidRPr="007A1B58">
        <w:rPr>
          <w:b/>
          <w:bCs/>
          <w:lang w:val="en-GB"/>
        </w:rPr>
        <w:t>E</w:t>
      </w:r>
      <w:r w:rsidRPr="007A1B58">
        <w:rPr>
          <w:lang w:val="en-GB"/>
        </w:rPr>
        <w:t xml:space="preserve"> – The proportion of </w:t>
      </w:r>
      <w:r w:rsidRPr="007A1B58">
        <w:rPr>
          <w:i/>
          <w:iCs/>
          <w:lang w:val="en-GB"/>
        </w:rPr>
        <w:t>FLT3</w:t>
      </w:r>
      <w:r w:rsidRPr="007A1B58">
        <w:rPr>
          <w:lang w:val="en-GB"/>
        </w:rPr>
        <w:t xml:space="preserve">-ITD+ cases among </w:t>
      </w:r>
      <w:r w:rsidRPr="007A1B58">
        <w:rPr>
          <w:i/>
          <w:iCs/>
          <w:lang w:val="en-GB"/>
        </w:rPr>
        <w:t>NPM1</w:t>
      </w:r>
      <w:r w:rsidRPr="007A1B58">
        <w:rPr>
          <w:lang w:val="en-GB"/>
        </w:rPr>
        <w:t xml:space="preserve">+ and </w:t>
      </w:r>
      <w:r w:rsidRPr="007A1B58">
        <w:rPr>
          <w:i/>
          <w:iCs/>
          <w:lang w:val="en-GB"/>
        </w:rPr>
        <w:t>NPM1-</w:t>
      </w:r>
      <w:r w:rsidRPr="007A1B58">
        <w:rPr>
          <w:lang w:val="en-GB"/>
        </w:rPr>
        <w:t xml:space="preserve"> samples in the three analysed FAB types. Fc – fold-change.</w:t>
      </w:r>
    </w:p>
    <w:p w14:paraId="128F5B4C" w14:textId="020E28A8" w:rsidR="003F6F5D" w:rsidRPr="007A1B58" w:rsidRDefault="003F6F5D" w:rsidP="007A1B58">
      <w:pPr>
        <w:jc w:val="both"/>
      </w:pPr>
    </w:p>
    <w:p w14:paraId="0981956E" w14:textId="77777777" w:rsidR="00DC2B07" w:rsidRDefault="00DC2B07"/>
    <w:p w14:paraId="562C382A" w14:textId="77777777" w:rsidR="00DC2B07" w:rsidRDefault="00DC2B07"/>
    <w:p w14:paraId="7837FB77" w14:textId="77777777" w:rsidR="00DC2B07" w:rsidRDefault="00DC2B07"/>
    <w:p w14:paraId="2962FACD" w14:textId="77777777" w:rsidR="00DC2B07" w:rsidRDefault="00DC2B07"/>
    <w:p w14:paraId="3A7E4F22" w14:textId="77777777" w:rsidR="00DC2B07" w:rsidRDefault="00DC2B07"/>
    <w:p w14:paraId="13AB7F80" w14:textId="77777777" w:rsidR="00DC2B07" w:rsidRDefault="00DC2B07"/>
    <w:p w14:paraId="78316340" w14:textId="77777777" w:rsidR="00DC2B07" w:rsidRDefault="00DC2B07"/>
    <w:p w14:paraId="5D2AFC4F" w14:textId="77777777" w:rsidR="00DC2B07" w:rsidRDefault="00DC2B07"/>
    <w:p w14:paraId="766DF3C5" w14:textId="77777777" w:rsidR="00DC2B07" w:rsidRDefault="00DC2B07"/>
    <w:p w14:paraId="2D56B9EB" w14:textId="77777777" w:rsidR="00DC2B07" w:rsidRDefault="00DC2B07"/>
    <w:p w14:paraId="19BF05A1" w14:textId="214EA7A6" w:rsidR="00DC2B07" w:rsidRPr="00DC2B07" w:rsidRDefault="00DC2B07" w:rsidP="00DC2B07">
      <w:pPr>
        <w:jc w:val="both"/>
        <w:rPr>
          <w:lang w:val="en-US"/>
        </w:rPr>
      </w:pPr>
      <w:r>
        <w:rPr>
          <w:b/>
          <w:bCs/>
          <w:lang w:val="en-GB"/>
        </w:rPr>
        <w:t>S</w:t>
      </w:r>
      <w:r w:rsidRPr="007A1B58">
        <w:rPr>
          <w:b/>
          <w:bCs/>
          <w:lang w:val="en-GB"/>
        </w:rPr>
        <w:t>upplemental Figure S</w:t>
      </w:r>
      <w:r>
        <w:rPr>
          <w:b/>
          <w:bCs/>
          <w:lang w:val="en-GB"/>
        </w:rPr>
        <w:t>5</w:t>
      </w:r>
      <w:r w:rsidRPr="007A1B58">
        <w:rPr>
          <w:lang w:val="en-GB"/>
        </w:rPr>
        <w:t xml:space="preserve">. </w:t>
      </w:r>
      <w:r w:rsidRPr="007A1B58">
        <w:rPr>
          <w:i/>
          <w:iCs/>
          <w:lang w:val="en-GB"/>
        </w:rPr>
        <w:t>FLT3</w:t>
      </w:r>
      <w:r w:rsidRPr="007A1B58">
        <w:rPr>
          <w:lang w:val="en-GB"/>
        </w:rPr>
        <w:t xml:space="preserve">-ITD and </w:t>
      </w:r>
      <w:r w:rsidRPr="007A1B58">
        <w:rPr>
          <w:i/>
          <w:iCs/>
          <w:lang w:val="en-GB"/>
        </w:rPr>
        <w:t>NPM1</w:t>
      </w:r>
      <w:r w:rsidRPr="007A1B58">
        <w:rPr>
          <w:lang w:val="en-GB"/>
        </w:rPr>
        <w:t xml:space="preserve">-associated gene expression in M1, M2 and M4 FAB subtypes. </w:t>
      </w:r>
      <w:r w:rsidRPr="007A1B58">
        <w:rPr>
          <w:b/>
          <w:bCs/>
          <w:lang w:val="en-GB"/>
        </w:rPr>
        <w:t>A</w:t>
      </w:r>
      <w:r w:rsidRPr="007A1B58">
        <w:rPr>
          <w:lang w:val="en-GB"/>
        </w:rPr>
        <w:t xml:space="preserve">, </w:t>
      </w:r>
      <w:r w:rsidRPr="007A1B58">
        <w:rPr>
          <w:b/>
          <w:bCs/>
          <w:lang w:val="en-GB"/>
        </w:rPr>
        <w:t>B</w:t>
      </w:r>
      <w:r>
        <w:rPr>
          <w:b/>
          <w:bCs/>
          <w:lang w:val="en-GB"/>
        </w:rPr>
        <w:t>, C</w:t>
      </w:r>
      <w:r w:rsidRPr="007A1B58">
        <w:rPr>
          <w:b/>
          <w:bCs/>
          <w:lang w:val="en-GB"/>
        </w:rPr>
        <w:t xml:space="preserve"> </w:t>
      </w:r>
      <w:r w:rsidRPr="007A1B58">
        <w:rPr>
          <w:lang w:val="en-GB"/>
        </w:rPr>
        <w:t xml:space="preserve">– Overlap between significantly differentially expressed genes (FDR &lt; 0.05, |log2Fc| &gt; 1.5) in relation to the presence of </w:t>
      </w:r>
      <w:r w:rsidRPr="007A1B58">
        <w:rPr>
          <w:i/>
          <w:iCs/>
          <w:lang w:val="en-GB"/>
        </w:rPr>
        <w:t>FLT3</w:t>
      </w:r>
      <w:r w:rsidRPr="007A1B58">
        <w:rPr>
          <w:lang w:val="en-GB"/>
        </w:rPr>
        <w:t>-ITD (</w:t>
      </w:r>
      <w:r w:rsidRPr="00A02C48">
        <w:rPr>
          <w:b/>
          <w:bCs/>
          <w:lang w:val="en-GB"/>
        </w:rPr>
        <w:t>A</w:t>
      </w:r>
      <w:r w:rsidRPr="007A1B58">
        <w:rPr>
          <w:lang w:val="en-GB"/>
        </w:rPr>
        <w:t>)</w:t>
      </w:r>
      <w:r>
        <w:rPr>
          <w:lang w:val="en-GB"/>
        </w:rPr>
        <w:t>,</w:t>
      </w:r>
      <w:r w:rsidRPr="007A1B58">
        <w:rPr>
          <w:lang w:val="en-GB"/>
        </w:rPr>
        <w:t xml:space="preserve"> </w:t>
      </w:r>
      <w:r w:rsidRPr="007A1B58">
        <w:rPr>
          <w:i/>
          <w:iCs/>
          <w:lang w:val="en-GB"/>
        </w:rPr>
        <w:t>NPM1</w:t>
      </w:r>
      <w:r w:rsidRPr="007A1B58">
        <w:rPr>
          <w:lang w:val="en-GB"/>
        </w:rPr>
        <w:t xml:space="preserve"> mutations (</w:t>
      </w:r>
      <w:r w:rsidRPr="007A1B58">
        <w:rPr>
          <w:b/>
          <w:bCs/>
          <w:lang w:val="en-GB"/>
        </w:rPr>
        <w:t>B</w:t>
      </w:r>
      <w:r w:rsidRPr="007A1B58">
        <w:rPr>
          <w:lang w:val="en-GB"/>
        </w:rPr>
        <w:t xml:space="preserve">) </w:t>
      </w:r>
      <w:r>
        <w:rPr>
          <w:lang w:val="en-GB"/>
        </w:rPr>
        <w:t xml:space="preserve">and </w:t>
      </w:r>
      <w:r w:rsidRPr="007A1B58">
        <w:rPr>
          <w:lang w:val="en-GB"/>
        </w:rPr>
        <w:t xml:space="preserve">the concomitant presence of </w:t>
      </w:r>
      <w:r w:rsidRPr="007A1B58">
        <w:rPr>
          <w:i/>
          <w:iCs/>
          <w:lang w:val="en-GB"/>
        </w:rPr>
        <w:t>FLT3</w:t>
      </w:r>
      <w:r w:rsidRPr="007A1B58">
        <w:rPr>
          <w:lang w:val="en-GB"/>
        </w:rPr>
        <w:t xml:space="preserve">-ITD and </w:t>
      </w:r>
      <w:r w:rsidRPr="007A1B58">
        <w:rPr>
          <w:i/>
          <w:iCs/>
          <w:lang w:val="en-GB"/>
        </w:rPr>
        <w:t>NPM1</w:t>
      </w:r>
      <w:r w:rsidRPr="007A1B58">
        <w:rPr>
          <w:lang w:val="en-GB"/>
        </w:rPr>
        <w:t xml:space="preserve"> mutations </w:t>
      </w:r>
      <w:r>
        <w:rPr>
          <w:lang w:val="en-GB"/>
        </w:rPr>
        <w:t>(</w:t>
      </w:r>
      <w:r w:rsidRPr="00A02C48">
        <w:rPr>
          <w:b/>
          <w:bCs/>
          <w:lang w:val="en-GB"/>
        </w:rPr>
        <w:t>C</w:t>
      </w:r>
      <w:r>
        <w:rPr>
          <w:lang w:val="en-GB"/>
        </w:rPr>
        <w:t xml:space="preserve">) </w:t>
      </w:r>
      <w:r w:rsidRPr="007A1B58">
        <w:rPr>
          <w:lang w:val="en-GB"/>
        </w:rPr>
        <w:t xml:space="preserve">in M1, M2 and M4 FAB types. </w:t>
      </w:r>
      <w:r w:rsidRPr="007A1B58">
        <w:rPr>
          <w:b/>
          <w:bCs/>
          <w:lang w:val="en-GB"/>
        </w:rPr>
        <w:t>D</w:t>
      </w:r>
      <w:r w:rsidRPr="007A1B58">
        <w:rPr>
          <w:lang w:val="en-GB"/>
        </w:rPr>
        <w:t xml:space="preserve"> – The proportion of </w:t>
      </w:r>
      <w:r w:rsidRPr="007A1B58">
        <w:rPr>
          <w:i/>
          <w:iCs/>
          <w:lang w:val="en-GB"/>
        </w:rPr>
        <w:t>NPM1</w:t>
      </w:r>
      <w:r w:rsidRPr="007A1B58">
        <w:rPr>
          <w:lang w:val="en-GB"/>
        </w:rPr>
        <w:t xml:space="preserve"> mutated cases among </w:t>
      </w:r>
      <w:r w:rsidRPr="007A1B58">
        <w:rPr>
          <w:i/>
          <w:iCs/>
          <w:lang w:val="en-GB"/>
        </w:rPr>
        <w:t>FLT3</w:t>
      </w:r>
      <w:r w:rsidRPr="007A1B58">
        <w:rPr>
          <w:lang w:val="en-GB"/>
        </w:rPr>
        <w:t xml:space="preserve">-ITD+ and </w:t>
      </w:r>
      <w:r w:rsidRPr="007A1B58">
        <w:rPr>
          <w:i/>
          <w:iCs/>
          <w:lang w:val="en-GB"/>
        </w:rPr>
        <w:t>FLT3</w:t>
      </w:r>
      <w:r w:rsidRPr="007A1B58">
        <w:rPr>
          <w:lang w:val="en-GB"/>
        </w:rPr>
        <w:t xml:space="preserve">-ITD- samples in the three analysed FAB types. </w:t>
      </w:r>
      <w:r w:rsidRPr="007A1B58">
        <w:rPr>
          <w:b/>
          <w:bCs/>
          <w:lang w:val="en-GB"/>
        </w:rPr>
        <w:t>E</w:t>
      </w:r>
      <w:r w:rsidRPr="007A1B58">
        <w:rPr>
          <w:lang w:val="en-GB"/>
        </w:rPr>
        <w:t xml:space="preserve"> – The proportion of </w:t>
      </w:r>
      <w:r w:rsidRPr="007A1B58">
        <w:rPr>
          <w:i/>
          <w:iCs/>
          <w:lang w:val="en-GB"/>
        </w:rPr>
        <w:t>FLT3</w:t>
      </w:r>
      <w:r w:rsidRPr="007A1B58">
        <w:rPr>
          <w:lang w:val="en-GB"/>
        </w:rPr>
        <w:t xml:space="preserve">-ITD+ cases among </w:t>
      </w:r>
      <w:r w:rsidRPr="007A1B58">
        <w:rPr>
          <w:i/>
          <w:iCs/>
          <w:lang w:val="en-GB"/>
        </w:rPr>
        <w:t>NPM1</w:t>
      </w:r>
      <w:r w:rsidRPr="007A1B58">
        <w:rPr>
          <w:lang w:val="en-GB"/>
        </w:rPr>
        <w:t xml:space="preserve">+ and </w:t>
      </w:r>
      <w:r w:rsidRPr="007A1B58">
        <w:rPr>
          <w:i/>
          <w:iCs/>
          <w:lang w:val="en-GB"/>
        </w:rPr>
        <w:t>NPM1-</w:t>
      </w:r>
      <w:r w:rsidRPr="007A1B58">
        <w:rPr>
          <w:lang w:val="en-GB"/>
        </w:rPr>
        <w:t xml:space="preserve"> samples in the three analysed FAB types. Fc – fold-change.</w:t>
      </w:r>
    </w:p>
    <w:p w14:paraId="7029814C" w14:textId="13DB46F6" w:rsidR="00DC2B07" w:rsidRDefault="00DC2B07" w:rsidP="00DC2B07">
      <w:pPr>
        <w:jc w:val="both"/>
        <w:rPr>
          <w:b/>
          <w:bCs/>
          <w:lang w:val="en-GB"/>
        </w:rPr>
      </w:pPr>
      <w:r>
        <w:rPr>
          <w:noProof/>
          <w:lang w:eastAsia="nl-NL"/>
        </w:rPr>
        <w:lastRenderedPageBreak/>
        <w:drawing>
          <wp:anchor distT="0" distB="0" distL="114300" distR="114300" simplePos="0" relativeHeight="251661312" behindDoc="0" locked="0" layoutInCell="1" allowOverlap="1" wp14:anchorId="2134659D" wp14:editId="02A28D1B">
            <wp:simplePos x="0" y="0"/>
            <wp:positionH relativeFrom="margin">
              <wp:align>center</wp:align>
            </wp:positionH>
            <wp:positionV relativeFrom="paragraph">
              <wp:posOffset>-247650</wp:posOffset>
            </wp:positionV>
            <wp:extent cx="5546839" cy="787717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546839" cy="7877175"/>
                    </a:xfrm>
                    <a:prstGeom prst="rect">
                      <a:avLst/>
                    </a:prstGeom>
                  </pic:spPr>
                </pic:pic>
              </a:graphicData>
            </a:graphic>
            <wp14:sizeRelH relativeFrom="margin">
              <wp14:pctWidth>0</wp14:pctWidth>
            </wp14:sizeRelH>
            <wp14:sizeRelV relativeFrom="margin">
              <wp14:pctHeight>0</wp14:pctHeight>
            </wp14:sizeRelV>
          </wp:anchor>
        </w:drawing>
      </w:r>
    </w:p>
    <w:p w14:paraId="0C8126BD" w14:textId="77777777" w:rsidR="00DC2B07" w:rsidRDefault="00DC2B07" w:rsidP="00DC2B07">
      <w:pPr>
        <w:jc w:val="both"/>
        <w:rPr>
          <w:b/>
          <w:bCs/>
          <w:lang w:val="en-GB"/>
        </w:rPr>
      </w:pPr>
    </w:p>
    <w:p w14:paraId="17FE43D1" w14:textId="69AAB2C7" w:rsidR="00DC2B07" w:rsidRDefault="00DC2B07" w:rsidP="00DC2B07">
      <w:pPr>
        <w:jc w:val="both"/>
        <w:rPr>
          <w:b/>
          <w:bCs/>
          <w:lang w:val="en-GB"/>
        </w:rPr>
      </w:pPr>
    </w:p>
    <w:p w14:paraId="549959CD" w14:textId="47567FEF" w:rsidR="00DC2B07" w:rsidRDefault="00DC2B07" w:rsidP="00DC2B07">
      <w:pPr>
        <w:jc w:val="both"/>
        <w:rPr>
          <w:b/>
          <w:bCs/>
          <w:lang w:val="en-GB"/>
        </w:rPr>
      </w:pPr>
    </w:p>
    <w:p w14:paraId="5C76D41C" w14:textId="7C99596E" w:rsidR="00DC2B07" w:rsidRDefault="00DC2B07" w:rsidP="00DC2B07">
      <w:pPr>
        <w:jc w:val="both"/>
        <w:rPr>
          <w:b/>
          <w:bCs/>
          <w:lang w:val="en-GB"/>
        </w:rPr>
      </w:pPr>
    </w:p>
    <w:p w14:paraId="2208D596" w14:textId="6EFBA69F" w:rsidR="00DC2B07" w:rsidRDefault="00DC2B07" w:rsidP="00DC2B07">
      <w:pPr>
        <w:jc w:val="both"/>
        <w:rPr>
          <w:b/>
          <w:bCs/>
          <w:lang w:val="en-GB"/>
        </w:rPr>
      </w:pPr>
    </w:p>
    <w:p w14:paraId="47340FC2" w14:textId="19CE3693" w:rsidR="00DC2B07" w:rsidRDefault="00DC2B07" w:rsidP="00DC2B07">
      <w:pPr>
        <w:jc w:val="both"/>
        <w:rPr>
          <w:b/>
          <w:bCs/>
          <w:lang w:val="en-GB"/>
        </w:rPr>
      </w:pPr>
    </w:p>
    <w:p w14:paraId="171055E2" w14:textId="0D3BA94A" w:rsidR="00DC2B07" w:rsidRDefault="00DC2B07" w:rsidP="00DC2B07">
      <w:pPr>
        <w:jc w:val="both"/>
        <w:rPr>
          <w:b/>
          <w:bCs/>
          <w:lang w:val="en-GB"/>
        </w:rPr>
      </w:pPr>
    </w:p>
    <w:p w14:paraId="44DA23F8" w14:textId="134D6C7E" w:rsidR="00DC2B07" w:rsidRDefault="00DC2B07" w:rsidP="00DC2B07">
      <w:pPr>
        <w:jc w:val="both"/>
        <w:rPr>
          <w:b/>
          <w:bCs/>
          <w:lang w:val="en-GB"/>
        </w:rPr>
      </w:pPr>
    </w:p>
    <w:p w14:paraId="1C47DF90" w14:textId="12A5EFC1" w:rsidR="00DC2B07" w:rsidRDefault="00DC2B07" w:rsidP="00DC2B07">
      <w:pPr>
        <w:jc w:val="both"/>
        <w:rPr>
          <w:b/>
          <w:bCs/>
          <w:lang w:val="en-GB"/>
        </w:rPr>
      </w:pPr>
    </w:p>
    <w:p w14:paraId="02EB7178" w14:textId="4714513A" w:rsidR="00DC2B07" w:rsidRDefault="00DC2B07" w:rsidP="00DC2B07">
      <w:pPr>
        <w:jc w:val="both"/>
        <w:rPr>
          <w:b/>
          <w:bCs/>
          <w:lang w:val="en-GB"/>
        </w:rPr>
      </w:pPr>
    </w:p>
    <w:p w14:paraId="503B0928" w14:textId="3F69F376" w:rsidR="00DC2B07" w:rsidRDefault="00DC2B07" w:rsidP="00DC2B07">
      <w:pPr>
        <w:jc w:val="both"/>
        <w:rPr>
          <w:b/>
          <w:bCs/>
          <w:lang w:val="en-GB"/>
        </w:rPr>
      </w:pPr>
    </w:p>
    <w:p w14:paraId="5EADDBC5" w14:textId="13BE0EBC" w:rsidR="00DC2B07" w:rsidRDefault="00DC2B07" w:rsidP="00DC2B07">
      <w:pPr>
        <w:jc w:val="both"/>
        <w:rPr>
          <w:b/>
          <w:bCs/>
          <w:lang w:val="en-GB"/>
        </w:rPr>
      </w:pPr>
    </w:p>
    <w:p w14:paraId="7D47F180" w14:textId="1ECEBCC8" w:rsidR="00DC2B07" w:rsidRDefault="00DC2B07" w:rsidP="00DC2B07">
      <w:pPr>
        <w:jc w:val="both"/>
        <w:rPr>
          <w:b/>
          <w:bCs/>
          <w:lang w:val="en-GB"/>
        </w:rPr>
      </w:pPr>
    </w:p>
    <w:p w14:paraId="7C2D1534" w14:textId="3F0C0F3E" w:rsidR="00DC2B07" w:rsidRDefault="00DC2B07" w:rsidP="00DC2B07">
      <w:pPr>
        <w:jc w:val="both"/>
        <w:rPr>
          <w:b/>
          <w:bCs/>
          <w:lang w:val="en-GB"/>
        </w:rPr>
      </w:pPr>
    </w:p>
    <w:p w14:paraId="4CB193C4" w14:textId="72C6DEB9" w:rsidR="00DC2B07" w:rsidRDefault="00DC2B07" w:rsidP="00DC2B07">
      <w:pPr>
        <w:jc w:val="both"/>
        <w:rPr>
          <w:b/>
          <w:bCs/>
          <w:lang w:val="en-GB"/>
        </w:rPr>
      </w:pPr>
    </w:p>
    <w:p w14:paraId="525B579E" w14:textId="5019C80A" w:rsidR="00DC2B07" w:rsidRDefault="00DC2B07" w:rsidP="00DC2B07">
      <w:pPr>
        <w:jc w:val="both"/>
        <w:rPr>
          <w:b/>
          <w:bCs/>
          <w:lang w:val="en-GB"/>
        </w:rPr>
      </w:pPr>
    </w:p>
    <w:p w14:paraId="081C1974" w14:textId="61FF0BD9" w:rsidR="00DC2B07" w:rsidRDefault="00DC2B07" w:rsidP="00DC2B07">
      <w:pPr>
        <w:jc w:val="both"/>
        <w:rPr>
          <w:b/>
          <w:bCs/>
          <w:lang w:val="en-GB"/>
        </w:rPr>
      </w:pPr>
    </w:p>
    <w:p w14:paraId="10766791" w14:textId="50A31A5D" w:rsidR="00DC2B07" w:rsidRDefault="00DC2B07" w:rsidP="00DC2B07">
      <w:pPr>
        <w:jc w:val="both"/>
        <w:rPr>
          <w:b/>
          <w:bCs/>
          <w:lang w:val="en-GB"/>
        </w:rPr>
      </w:pPr>
    </w:p>
    <w:p w14:paraId="1C374AE9" w14:textId="77777777" w:rsidR="00DC2B07" w:rsidRDefault="00DC2B07" w:rsidP="00DC2B07">
      <w:pPr>
        <w:jc w:val="both"/>
        <w:rPr>
          <w:b/>
          <w:bCs/>
          <w:lang w:val="en-GB"/>
        </w:rPr>
      </w:pPr>
    </w:p>
    <w:p w14:paraId="31E23DF8" w14:textId="2BC2E4E9" w:rsidR="00DC2B07" w:rsidRDefault="00DC2B07" w:rsidP="00DC2B07">
      <w:pPr>
        <w:jc w:val="both"/>
        <w:rPr>
          <w:b/>
          <w:bCs/>
          <w:lang w:val="en-GB"/>
        </w:rPr>
      </w:pPr>
    </w:p>
    <w:p w14:paraId="6ED47F3B" w14:textId="1F32937A" w:rsidR="00DC2B07" w:rsidRDefault="00DC2B07" w:rsidP="00DC2B07">
      <w:pPr>
        <w:jc w:val="both"/>
        <w:rPr>
          <w:b/>
          <w:bCs/>
          <w:lang w:val="en-GB"/>
        </w:rPr>
      </w:pPr>
    </w:p>
    <w:p w14:paraId="72506890" w14:textId="77228233" w:rsidR="00DC2B07" w:rsidRDefault="00DC2B07" w:rsidP="00DC2B07">
      <w:pPr>
        <w:jc w:val="both"/>
        <w:rPr>
          <w:b/>
          <w:bCs/>
          <w:lang w:val="en-GB"/>
        </w:rPr>
      </w:pPr>
    </w:p>
    <w:p w14:paraId="01E9C52F" w14:textId="0A8183F3" w:rsidR="00DC2B07" w:rsidRDefault="00DC2B07" w:rsidP="00DC2B07">
      <w:pPr>
        <w:jc w:val="both"/>
        <w:rPr>
          <w:b/>
          <w:bCs/>
          <w:lang w:val="en-GB"/>
        </w:rPr>
      </w:pPr>
    </w:p>
    <w:p w14:paraId="25AFA877" w14:textId="5D96C8D9" w:rsidR="00DC2B07" w:rsidRDefault="00DC2B07" w:rsidP="00DC2B07">
      <w:pPr>
        <w:jc w:val="both"/>
        <w:rPr>
          <w:b/>
          <w:bCs/>
          <w:lang w:val="en-GB"/>
        </w:rPr>
      </w:pPr>
    </w:p>
    <w:p w14:paraId="7CA412F5" w14:textId="3A4B1AB8" w:rsidR="00DC2B07" w:rsidRDefault="00DC2B07" w:rsidP="00DC2B07">
      <w:pPr>
        <w:jc w:val="both"/>
        <w:rPr>
          <w:b/>
          <w:bCs/>
          <w:lang w:val="en-GB"/>
        </w:rPr>
      </w:pPr>
    </w:p>
    <w:p w14:paraId="6E4CCDBF" w14:textId="6B46C5F0" w:rsidR="00DC2B07" w:rsidRDefault="00DC2B07" w:rsidP="00DC2B07">
      <w:pPr>
        <w:jc w:val="both"/>
        <w:rPr>
          <w:b/>
          <w:bCs/>
          <w:lang w:val="en-GB"/>
        </w:rPr>
      </w:pPr>
    </w:p>
    <w:p w14:paraId="11802AC9" w14:textId="6CE01ADF" w:rsidR="00DC2B07" w:rsidRPr="00DC2B07" w:rsidRDefault="00DC2B07" w:rsidP="00DC2B07">
      <w:pPr>
        <w:jc w:val="both"/>
        <w:rPr>
          <w:lang w:val="en-US"/>
        </w:rPr>
      </w:pPr>
      <w:r>
        <w:rPr>
          <w:b/>
          <w:bCs/>
          <w:lang w:val="en-GB"/>
        </w:rPr>
        <w:t>S</w:t>
      </w:r>
      <w:r w:rsidRPr="007A1B58">
        <w:rPr>
          <w:b/>
          <w:bCs/>
          <w:lang w:val="en-GB"/>
        </w:rPr>
        <w:t>upplemental Figure S</w:t>
      </w:r>
      <w:r>
        <w:rPr>
          <w:b/>
          <w:bCs/>
          <w:lang w:val="en-GB"/>
        </w:rPr>
        <w:t>6</w:t>
      </w:r>
      <w:r w:rsidRPr="007A1B58">
        <w:rPr>
          <w:lang w:val="en-GB"/>
        </w:rPr>
        <w:t xml:space="preserve">. Functional analysis of differentially expressed genes in relation to concomitant </w:t>
      </w:r>
      <w:r w:rsidRPr="007A1B58">
        <w:rPr>
          <w:i/>
          <w:iCs/>
          <w:lang w:val="en-GB"/>
        </w:rPr>
        <w:t>FLT3</w:t>
      </w:r>
      <w:r w:rsidRPr="007A1B58">
        <w:rPr>
          <w:lang w:val="en-GB"/>
        </w:rPr>
        <w:t xml:space="preserve">-ITD and </w:t>
      </w:r>
      <w:r w:rsidRPr="007A1B58">
        <w:rPr>
          <w:i/>
          <w:iCs/>
          <w:lang w:val="en-GB"/>
        </w:rPr>
        <w:t>NPM1</w:t>
      </w:r>
      <w:r w:rsidRPr="007A1B58">
        <w:rPr>
          <w:lang w:val="en-GB"/>
        </w:rPr>
        <w:t xml:space="preserve"> mutations. The figure depicts functional enrichment among significantly upregulated and downregulated genes (FDR &lt; 0.05, |log2Fc| &gt; 1.5) in relation to concomitant </w:t>
      </w:r>
      <w:r w:rsidRPr="007A1B58">
        <w:rPr>
          <w:i/>
          <w:iCs/>
          <w:lang w:val="en-GB"/>
        </w:rPr>
        <w:t>FLT3</w:t>
      </w:r>
      <w:r w:rsidRPr="007A1B58">
        <w:rPr>
          <w:lang w:val="en-GB"/>
        </w:rPr>
        <w:t xml:space="preserve">-ITD and </w:t>
      </w:r>
      <w:r w:rsidRPr="007A1B58">
        <w:rPr>
          <w:i/>
          <w:iCs/>
          <w:lang w:val="en-GB"/>
        </w:rPr>
        <w:t>NPM1</w:t>
      </w:r>
      <w:r w:rsidRPr="007A1B58">
        <w:rPr>
          <w:lang w:val="en-GB"/>
        </w:rPr>
        <w:t xml:space="preserve"> mutations in M1, M2 and M4 FAB subtypes. For each FAB subtype processes and respective genes involved in regulation of differentiation and signalling are highlighted.</w:t>
      </w:r>
    </w:p>
    <w:p w14:paraId="64FAF749" w14:textId="113B7260" w:rsidR="007A1B58" w:rsidRDefault="00DC2B07" w:rsidP="007A1B58">
      <w:pPr>
        <w:jc w:val="both"/>
      </w:pPr>
      <w:r>
        <w:rPr>
          <w:noProof/>
          <w:lang w:eastAsia="nl-NL"/>
        </w:rPr>
        <w:lastRenderedPageBreak/>
        <w:drawing>
          <wp:anchor distT="0" distB="0" distL="114300" distR="114300" simplePos="0" relativeHeight="251662336" behindDoc="0" locked="0" layoutInCell="1" allowOverlap="1" wp14:anchorId="4CF04992" wp14:editId="729AD0D1">
            <wp:simplePos x="0" y="0"/>
            <wp:positionH relativeFrom="column">
              <wp:posOffset>190500</wp:posOffset>
            </wp:positionH>
            <wp:positionV relativeFrom="paragraph">
              <wp:posOffset>64770</wp:posOffset>
            </wp:positionV>
            <wp:extent cx="5381625" cy="4902848"/>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381625" cy="4902848"/>
                    </a:xfrm>
                    <a:prstGeom prst="rect">
                      <a:avLst/>
                    </a:prstGeom>
                  </pic:spPr>
                </pic:pic>
              </a:graphicData>
            </a:graphic>
          </wp:anchor>
        </w:drawing>
      </w:r>
    </w:p>
    <w:p w14:paraId="7172EC99" w14:textId="7D4CBA3C" w:rsidR="00DC2B07" w:rsidRDefault="00DC2B07" w:rsidP="007A1B58">
      <w:pPr>
        <w:jc w:val="both"/>
      </w:pPr>
    </w:p>
    <w:p w14:paraId="2252C042" w14:textId="2A207BE2" w:rsidR="00DC2B07" w:rsidRDefault="00DC2B07" w:rsidP="00DC2B07">
      <w:pPr>
        <w:jc w:val="both"/>
        <w:rPr>
          <w:b/>
          <w:bCs/>
          <w:lang w:val="en-GB"/>
        </w:rPr>
      </w:pPr>
    </w:p>
    <w:p w14:paraId="5FD61E44" w14:textId="2B435006" w:rsidR="00DC2B07" w:rsidRDefault="00DC2B07" w:rsidP="00DC2B07">
      <w:pPr>
        <w:jc w:val="both"/>
        <w:rPr>
          <w:b/>
          <w:bCs/>
          <w:lang w:val="en-GB"/>
        </w:rPr>
      </w:pPr>
    </w:p>
    <w:p w14:paraId="1210E496" w14:textId="77777777" w:rsidR="00DC2B07" w:rsidRDefault="00DC2B07" w:rsidP="00DC2B07">
      <w:pPr>
        <w:jc w:val="both"/>
        <w:rPr>
          <w:b/>
          <w:bCs/>
          <w:lang w:val="en-GB"/>
        </w:rPr>
      </w:pPr>
    </w:p>
    <w:p w14:paraId="089ABE51" w14:textId="49AF0088" w:rsidR="00DC2B07" w:rsidRDefault="00DC2B07" w:rsidP="00DC2B07">
      <w:pPr>
        <w:jc w:val="both"/>
        <w:rPr>
          <w:b/>
          <w:bCs/>
          <w:lang w:val="en-GB"/>
        </w:rPr>
      </w:pPr>
    </w:p>
    <w:p w14:paraId="261DE90C" w14:textId="77777777" w:rsidR="00DC2B07" w:rsidRDefault="00DC2B07" w:rsidP="00DC2B07">
      <w:pPr>
        <w:jc w:val="both"/>
        <w:rPr>
          <w:b/>
          <w:bCs/>
          <w:lang w:val="en-GB"/>
        </w:rPr>
      </w:pPr>
    </w:p>
    <w:p w14:paraId="0C8C80A4" w14:textId="77777777" w:rsidR="00DC2B07" w:rsidRDefault="00DC2B07" w:rsidP="00DC2B07">
      <w:pPr>
        <w:jc w:val="both"/>
        <w:rPr>
          <w:b/>
          <w:bCs/>
          <w:lang w:val="en-GB"/>
        </w:rPr>
      </w:pPr>
    </w:p>
    <w:p w14:paraId="28A499C3" w14:textId="77777777" w:rsidR="00DC2B07" w:rsidRDefault="00DC2B07" w:rsidP="00DC2B07">
      <w:pPr>
        <w:jc w:val="both"/>
        <w:rPr>
          <w:b/>
          <w:bCs/>
          <w:lang w:val="en-GB"/>
        </w:rPr>
      </w:pPr>
    </w:p>
    <w:p w14:paraId="7F775613" w14:textId="77777777" w:rsidR="00DC2B07" w:rsidRDefault="00DC2B07" w:rsidP="00DC2B07">
      <w:pPr>
        <w:jc w:val="both"/>
        <w:rPr>
          <w:b/>
          <w:bCs/>
          <w:lang w:val="en-GB"/>
        </w:rPr>
      </w:pPr>
    </w:p>
    <w:p w14:paraId="5CB73DED" w14:textId="77777777" w:rsidR="00DC2B07" w:rsidRDefault="00DC2B07" w:rsidP="00DC2B07">
      <w:pPr>
        <w:jc w:val="both"/>
        <w:rPr>
          <w:b/>
          <w:bCs/>
          <w:lang w:val="en-GB"/>
        </w:rPr>
      </w:pPr>
    </w:p>
    <w:p w14:paraId="741ADE9C" w14:textId="77777777" w:rsidR="00DC2B07" w:rsidRDefault="00DC2B07" w:rsidP="00DC2B07">
      <w:pPr>
        <w:jc w:val="both"/>
        <w:rPr>
          <w:b/>
          <w:bCs/>
          <w:lang w:val="en-GB"/>
        </w:rPr>
      </w:pPr>
    </w:p>
    <w:p w14:paraId="187569A5" w14:textId="77777777" w:rsidR="00DC2B07" w:rsidRDefault="00DC2B07" w:rsidP="00DC2B07">
      <w:pPr>
        <w:jc w:val="both"/>
        <w:rPr>
          <w:b/>
          <w:bCs/>
          <w:lang w:val="en-GB"/>
        </w:rPr>
      </w:pPr>
    </w:p>
    <w:p w14:paraId="330F8001" w14:textId="77777777" w:rsidR="00DC2B07" w:rsidRDefault="00DC2B07" w:rsidP="00DC2B07">
      <w:pPr>
        <w:jc w:val="both"/>
        <w:rPr>
          <w:b/>
          <w:bCs/>
          <w:lang w:val="en-GB"/>
        </w:rPr>
      </w:pPr>
    </w:p>
    <w:p w14:paraId="498E1C33" w14:textId="77777777" w:rsidR="00DC2B07" w:rsidRDefault="00DC2B07" w:rsidP="00DC2B07">
      <w:pPr>
        <w:jc w:val="both"/>
        <w:rPr>
          <w:b/>
          <w:bCs/>
          <w:lang w:val="en-GB"/>
        </w:rPr>
      </w:pPr>
    </w:p>
    <w:p w14:paraId="7D010C76" w14:textId="77777777" w:rsidR="00DC2B07" w:rsidRDefault="00DC2B07" w:rsidP="00DC2B07">
      <w:pPr>
        <w:jc w:val="both"/>
        <w:rPr>
          <w:b/>
          <w:bCs/>
          <w:lang w:val="en-GB"/>
        </w:rPr>
      </w:pPr>
    </w:p>
    <w:p w14:paraId="793660F5" w14:textId="77777777" w:rsidR="0006625D" w:rsidRDefault="0006625D" w:rsidP="00DC2B07">
      <w:pPr>
        <w:jc w:val="both"/>
        <w:rPr>
          <w:b/>
          <w:bCs/>
          <w:lang w:val="en-GB"/>
        </w:rPr>
      </w:pPr>
    </w:p>
    <w:p w14:paraId="1EC731E8" w14:textId="77777777" w:rsidR="0006625D" w:rsidRDefault="0006625D" w:rsidP="00DC2B07">
      <w:pPr>
        <w:jc w:val="both"/>
        <w:rPr>
          <w:b/>
          <w:bCs/>
          <w:lang w:val="en-GB"/>
        </w:rPr>
      </w:pPr>
    </w:p>
    <w:p w14:paraId="719A8787" w14:textId="77777777" w:rsidR="0006625D" w:rsidRDefault="0006625D" w:rsidP="00DC2B07">
      <w:pPr>
        <w:jc w:val="both"/>
        <w:rPr>
          <w:b/>
          <w:bCs/>
          <w:lang w:val="en-GB"/>
        </w:rPr>
      </w:pPr>
    </w:p>
    <w:p w14:paraId="36D0D7D4" w14:textId="77777777" w:rsidR="0006625D" w:rsidRDefault="0006625D" w:rsidP="00DC2B07">
      <w:pPr>
        <w:jc w:val="both"/>
        <w:rPr>
          <w:b/>
          <w:bCs/>
          <w:lang w:val="en-GB"/>
        </w:rPr>
      </w:pPr>
    </w:p>
    <w:p w14:paraId="7BCE46E4" w14:textId="0FC9410A" w:rsidR="00DC2B07" w:rsidRDefault="00DC2B07" w:rsidP="00DC2B07">
      <w:pPr>
        <w:jc w:val="both"/>
        <w:rPr>
          <w:lang w:val="en-GB"/>
        </w:rPr>
      </w:pPr>
      <w:r w:rsidRPr="007A1B58">
        <w:rPr>
          <w:b/>
          <w:bCs/>
          <w:lang w:val="en-GB"/>
        </w:rPr>
        <w:t>Supplemental Figure S7</w:t>
      </w:r>
      <w:r w:rsidRPr="007A1B58">
        <w:rPr>
          <w:lang w:val="en-GB"/>
        </w:rPr>
        <w:t xml:space="preserve">. Overlap between differential gene expression (DGE) and differential splicing (AS) in relation to concomitant </w:t>
      </w:r>
      <w:r w:rsidRPr="007A1B58">
        <w:rPr>
          <w:i/>
          <w:iCs/>
          <w:lang w:val="en-GB"/>
        </w:rPr>
        <w:t>FLT3</w:t>
      </w:r>
      <w:r w:rsidRPr="007A1B58">
        <w:rPr>
          <w:lang w:val="en-GB"/>
        </w:rPr>
        <w:t xml:space="preserve">-ITD and </w:t>
      </w:r>
      <w:r w:rsidRPr="007A1B58">
        <w:rPr>
          <w:i/>
          <w:iCs/>
          <w:lang w:val="en-GB"/>
        </w:rPr>
        <w:t>NPM1</w:t>
      </w:r>
      <w:r w:rsidRPr="007A1B58">
        <w:rPr>
          <w:lang w:val="en-GB"/>
        </w:rPr>
        <w:t xml:space="preserve"> mutations. The figure illustrates the overlap between significantly differentially spliced (AS, FDR &lt; 0.05, |</w:t>
      </w:r>
      <w:r w:rsidRPr="007A1B58">
        <w:rPr>
          <w:lang w:val="el-GR"/>
        </w:rPr>
        <w:t>Δ</w:t>
      </w:r>
      <w:r w:rsidRPr="007A1B58">
        <w:rPr>
          <w:lang w:val="en-GB"/>
        </w:rPr>
        <w:t>PSI| &gt; 0.1) and significantly differentially expressed (DGE, FDR &lt; 0.05, |log2Fc| &gt; 0.1) genes in the total cohort as well as in M1, M2 and M4 FAB types separately.</w:t>
      </w:r>
    </w:p>
    <w:p w14:paraId="5F19BF59" w14:textId="16608E30" w:rsidR="003F6F5D" w:rsidRDefault="003F6F5D" w:rsidP="007A1B58">
      <w:pPr>
        <w:jc w:val="both"/>
      </w:pPr>
    </w:p>
    <w:p w14:paraId="274706E1" w14:textId="77CAA0F9" w:rsidR="003F6F5D" w:rsidRDefault="003F6F5D" w:rsidP="007A1B58">
      <w:pPr>
        <w:jc w:val="both"/>
      </w:pPr>
    </w:p>
    <w:p w14:paraId="338E55B0" w14:textId="767A03B2" w:rsidR="003F6F5D" w:rsidRDefault="003F6F5D">
      <w:r>
        <w:br w:type="page"/>
      </w:r>
    </w:p>
    <w:p w14:paraId="08EFD13D" w14:textId="69955A35" w:rsidR="0006625D" w:rsidRDefault="0006625D" w:rsidP="0006625D">
      <w:pPr>
        <w:jc w:val="both"/>
        <w:rPr>
          <w:b/>
          <w:bCs/>
          <w:lang w:val="en-GB"/>
        </w:rPr>
      </w:pPr>
      <w:r>
        <w:rPr>
          <w:noProof/>
          <w:lang w:eastAsia="nl-NL"/>
        </w:rPr>
        <w:lastRenderedPageBreak/>
        <w:drawing>
          <wp:inline distT="0" distB="0" distL="0" distR="0" wp14:anchorId="21B2802B" wp14:editId="7223956B">
            <wp:extent cx="5731510" cy="6177280"/>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6177280"/>
                    </a:xfrm>
                    <a:prstGeom prst="rect">
                      <a:avLst/>
                    </a:prstGeom>
                  </pic:spPr>
                </pic:pic>
              </a:graphicData>
            </a:graphic>
          </wp:inline>
        </w:drawing>
      </w:r>
    </w:p>
    <w:p w14:paraId="79CCCC01" w14:textId="77777777" w:rsidR="0006625D" w:rsidRDefault="0006625D" w:rsidP="0006625D">
      <w:pPr>
        <w:jc w:val="both"/>
        <w:rPr>
          <w:b/>
          <w:bCs/>
          <w:lang w:val="en-GB"/>
        </w:rPr>
      </w:pPr>
    </w:p>
    <w:p w14:paraId="6C84EADB" w14:textId="49011B9E" w:rsidR="0006625D" w:rsidRPr="00DC2B07" w:rsidRDefault="0006625D" w:rsidP="0006625D">
      <w:pPr>
        <w:jc w:val="both"/>
        <w:rPr>
          <w:lang w:val="en-US"/>
        </w:rPr>
      </w:pPr>
      <w:r w:rsidRPr="007A1B58">
        <w:rPr>
          <w:b/>
          <w:bCs/>
          <w:lang w:val="en-GB"/>
        </w:rPr>
        <w:t>Supplemental Figure S</w:t>
      </w:r>
      <w:r>
        <w:rPr>
          <w:b/>
          <w:bCs/>
          <w:lang w:val="en-GB"/>
        </w:rPr>
        <w:t>8</w:t>
      </w:r>
      <w:r w:rsidRPr="007A1B58">
        <w:rPr>
          <w:lang w:val="en-GB"/>
        </w:rPr>
        <w:t xml:space="preserve">. Differential splicing of splicing factors and motif enrichment analysis in relation to </w:t>
      </w:r>
      <w:r w:rsidRPr="007A1B58">
        <w:rPr>
          <w:i/>
          <w:iCs/>
          <w:lang w:val="en-GB"/>
        </w:rPr>
        <w:t>FLT3</w:t>
      </w:r>
      <w:r w:rsidRPr="007A1B58">
        <w:rPr>
          <w:lang w:val="en-GB"/>
        </w:rPr>
        <w:t xml:space="preserve">-ITD and </w:t>
      </w:r>
      <w:r w:rsidRPr="007A1B58">
        <w:rPr>
          <w:i/>
          <w:iCs/>
          <w:lang w:val="en-GB"/>
        </w:rPr>
        <w:t>NPM1</w:t>
      </w:r>
      <w:r w:rsidRPr="007A1B58">
        <w:rPr>
          <w:lang w:val="en-GB"/>
        </w:rPr>
        <w:t xml:space="preserve"> mutations. The figure depicts PSI values for selected differentially spliced splicing regulators (FDR &lt; 0.05 and |</w:t>
      </w:r>
      <w:r w:rsidRPr="007A1B58">
        <w:rPr>
          <w:lang w:val="el-GR"/>
        </w:rPr>
        <w:t>Δ</w:t>
      </w:r>
      <w:r w:rsidRPr="007A1B58">
        <w:rPr>
          <w:lang w:val="en-GB"/>
        </w:rPr>
        <w:t xml:space="preserve">PSI| &gt; 0.1) in M1, M2 and M4 FAB types as well as motif enrichment analysis for these splicing regulators performed by rMAPS2. This tools evaluates enrichment of motifs recognized by specific splicing factors in significantly differentially spliced events as compared to the background events (all splicing events detected by rMATS, including non-differential events). The motif enrichment is assessed in the differentially spliced exons as well as immediate upstream and downstream sequences. The motif enrichment score (the left y axis) is depicted by the solid blue (for events with </w:t>
      </w:r>
      <w:r w:rsidRPr="007A1B58">
        <w:rPr>
          <w:lang w:val="el-GR"/>
        </w:rPr>
        <w:t>Δ</w:t>
      </w:r>
      <w:r w:rsidRPr="007A1B58">
        <w:rPr>
          <w:lang w:val="en-GB"/>
        </w:rPr>
        <w:t xml:space="preserve">PSI &lt; 0) and solid red (for events with </w:t>
      </w:r>
      <w:r w:rsidRPr="007A1B58">
        <w:rPr>
          <w:lang w:val="el-GR"/>
        </w:rPr>
        <w:t>Δ</w:t>
      </w:r>
      <w:r w:rsidRPr="007A1B58">
        <w:rPr>
          <w:lang w:val="en-GB"/>
        </w:rPr>
        <w:t xml:space="preserve">PSI &gt; 0) lines. The solid black line indicates motif score for the background events. The negative logarithm of the p-value (right y axis) is depicted by the broken blue (for events with </w:t>
      </w:r>
      <w:r w:rsidRPr="007A1B58">
        <w:rPr>
          <w:lang w:val="el-GR"/>
        </w:rPr>
        <w:t>Δ</w:t>
      </w:r>
      <w:r w:rsidRPr="007A1B58">
        <w:rPr>
          <w:lang w:val="en-GB"/>
        </w:rPr>
        <w:t xml:space="preserve">PSI &lt; 0) and red (for events with </w:t>
      </w:r>
      <w:r w:rsidRPr="007A1B58">
        <w:rPr>
          <w:lang w:val="el-GR"/>
        </w:rPr>
        <w:t>Δ</w:t>
      </w:r>
      <w:r w:rsidRPr="007A1B58">
        <w:rPr>
          <w:lang w:val="en-GB"/>
        </w:rPr>
        <w:t>PSI &gt; 0) lines.</w:t>
      </w:r>
    </w:p>
    <w:p w14:paraId="1F9D7113" w14:textId="6DABEC0B" w:rsidR="003F6F5D" w:rsidRDefault="0006625D" w:rsidP="007A1B58">
      <w:pPr>
        <w:jc w:val="both"/>
      </w:pPr>
      <w:r>
        <w:rPr>
          <w:noProof/>
          <w:lang w:eastAsia="nl-NL"/>
        </w:rPr>
        <w:lastRenderedPageBreak/>
        <w:drawing>
          <wp:anchor distT="0" distB="0" distL="114300" distR="114300" simplePos="0" relativeHeight="251663360" behindDoc="0" locked="0" layoutInCell="1" allowOverlap="1" wp14:anchorId="2A6FE09A" wp14:editId="21995EDE">
            <wp:simplePos x="0" y="0"/>
            <wp:positionH relativeFrom="column">
              <wp:posOffset>706645</wp:posOffset>
            </wp:positionH>
            <wp:positionV relativeFrom="paragraph">
              <wp:posOffset>-247650</wp:posOffset>
            </wp:positionV>
            <wp:extent cx="4960095" cy="751522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rotWithShape="1">
                    <a:blip r:embed="rId14" cstate="print">
                      <a:extLst>
                        <a:ext uri="{28A0092B-C50C-407E-A947-70E740481C1C}">
                          <a14:useLocalDpi xmlns:a14="http://schemas.microsoft.com/office/drawing/2010/main" val="0"/>
                        </a:ext>
                      </a:extLst>
                    </a:blip>
                    <a:srcRect l="50022" t="4436" b="9118"/>
                    <a:stretch/>
                  </pic:blipFill>
                  <pic:spPr bwMode="auto">
                    <a:xfrm>
                      <a:off x="0" y="0"/>
                      <a:ext cx="4961534" cy="75174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7D6D073" w14:textId="77777777" w:rsidR="0006625D" w:rsidRDefault="0006625D">
      <w:pPr>
        <w:rPr>
          <w:noProof/>
          <w:lang w:eastAsia="nl-NL"/>
        </w:rPr>
      </w:pPr>
    </w:p>
    <w:p w14:paraId="33783554" w14:textId="77777777" w:rsidR="0006625D" w:rsidRDefault="0006625D">
      <w:pPr>
        <w:rPr>
          <w:noProof/>
          <w:lang w:eastAsia="nl-NL"/>
        </w:rPr>
      </w:pPr>
    </w:p>
    <w:p w14:paraId="08B68B51" w14:textId="77777777" w:rsidR="0006625D" w:rsidRDefault="0006625D">
      <w:pPr>
        <w:rPr>
          <w:noProof/>
          <w:lang w:eastAsia="nl-NL"/>
        </w:rPr>
      </w:pPr>
    </w:p>
    <w:p w14:paraId="63058EB7" w14:textId="77777777" w:rsidR="0006625D" w:rsidRDefault="0006625D">
      <w:pPr>
        <w:rPr>
          <w:noProof/>
          <w:lang w:eastAsia="nl-NL"/>
        </w:rPr>
      </w:pPr>
    </w:p>
    <w:p w14:paraId="4BD6EF89" w14:textId="77777777" w:rsidR="0006625D" w:rsidRDefault="0006625D">
      <w:pPr>
        <w:rPr>
          <w:noProof/>
          <w:lang w:eastAsia="nl-NL"/>
        </w:rPr>
      </w:pPr>
    </w:p>
    <w:p w14:paraId="1CBE9035" w14:textId="77777777" w:rsidR="0006625D" w:rsidRDefault="0006625D">
      <w:pPr>
        <w:rPr>
          <w:noProof/>
          <w:lang w:eastAsia="nl-NL"/>
        </w:rPr>
      </w:pPr>
    </w:p>
    <w:p w14:paraId="68AB2023" w14:textId="77777777" w:rsidR="0006625D" w:rsidRDefault="0006625D">
      <w:pPr>
        <w:rPr>
          <w:noProof/>
          <w:lang w:eastAsia="nl-NL"/>
        </w:rPr>
      </w:pPr>
    </w:p>
    <w:p w14:paraId="4DD99FEE" w14:textId="77777777" w:rsidR="0006625D" w:rsidRDefault="0006625D">
      <w:pPr>
        <w:rPr>
          <w:noProof/>
          <w:lang w:eastAsia="nl-NL"/>
        </w:rPr>
      </w:pPr>
    </w:p>
    <w:p w14:paraId="2B514D4A" w14:textId="77777777" w:rsidR="0006625D" w:rsidRDefault="0006625D">
      <w:pPr>
        <w:rPr>
          <w:noProof/>
          <w:lang w:eastAsia="nl-NL"/>
        </w:rPr>
      </w:pPr>
    </w:p>
    <w:p w14:paraId="04D63311" w14:textId="77777777" w:rsidR="0006625D" w:rsidRDefault="0006625D">
      <w:pPr>
        <w:rPr>
          <w:noProof/>
          <w:lang w:eastAsia="nl-NL"/>
        </w:rPr>
      </w:pPr>
    </w:p>
    <w:p w14:paraId="6F403BB5" w14:textId="77777777" w:rsidR="0006625D" w:rsidRDefault="0006625D">
      <w:pPr>
        <w:rPr>
          <w:noProof/>
          <w:lang w:eastAsia="nl-NL"/>
        </w:rPr>
      </w:pPr>
    </w:p>
    <w:p w14:paraId="5DB9B738" w14:textId="77777777" w:rsidR="0006625D" w:rsidRDefault="0006625D">
      <w:pPr>
        <w:rPr>
          <w:noProof/>
          <w:lang w:eastAsia="nl-NL"/>
        </w:rPr>
      </w:pPr>
    </w:p>
    <w:p w14:paraId="01A21830" w14:textId="77777777" w:rsidR="0006625D" w:rsidRDefault="0006625D">
      <w:pPr>
        <w:rPr>
          <w:noProof/>
          <w:lang w:eastAsia="nl-NL"/>
        </w:rPr>
      </w:pPr>
    </w:p>
    <w:p w14:paraId="080C96A6" w14:textId="77777777" w:rsidR="0006625D" w:rsidRDefault="0006625D">
      <w:pPr>
        <w:rPr>
          <w:noProof/>
          <w:lang w:eastAsia="nl-NL"/>
        </w:rPr>
      </w:pPr>
    </w:p>
    <w:p w14:paraId="0367394B" w14:textId="77777777" w:rsidR="0006625D" w:rsidRDefault="0006625D">
      <w:pPr>
        <w:rPr>
          <w:noProof/>
          <w:lang w:eastAsia="nl-NL"/>
        </w:rPr>
      </w:pPr>
    </w:p>
    <w:p w14:paraId="36A36F3E" w14:textId="77777777" w:rsidR="0006625D" w:rsidRDefault="0006625D">
      <w:pPr>
        <w:rPr>
          <w:noProof/>
          <w:lang w:eastAsia="nl-NL"/>
        </w:rPr>
      </w:pPr>
    </w:p>
    <w:p w14:paraId="40916D30" w14:textId="77777777" w:rsidR="0006625D" w:rsidRDefault="0006625D">
      <w:pPr>
        <w:rPr>
          <w:noProof/>
          <w:lang w:eastAsia="nl-NL"/>
        </w:rPr>
      </w:pPr>
    </w:p>
    <w:p w14:paraId="0D783A09" w14:textId="77777777" w:rsidR="0006625D" w:rsidRDefault="0006625D">
      <w:pPr>
        <w:rPr>
          <w:noProof/>
          <w:lang w:eastAsia="nl-NL"/>
        </w:rPr>
      </w:pPr>
    </w:p>
    <w:p w14:paraId="0597C128" w14:textId="77777777" w:rsidR="0006625D" w:rsidRDefault="0006625D">
      <w:pPr>
        <w:rPr>
          <w:noProof/>
          <w:lang w:eastAsia="nl-NL"/>
        </w:rPr>
      </w:pPr>
    </w:p>
    <w:p w14:paraId="3F0A6D02" w14:textId="77777777" w:rsidR="0006625D" w:rsidRDefault="0006625D">
      <w:pPr>
        <w:rPr>
          <w:noProof/>
          <w:lang w:eastAsia="nl-NL"/>
        </w:rPr>
      </w:pPr>
    </w:p>
    <w:p w14:paraId="6602A8ED" w14:textId="77777777" w:rsidR="0006625D" w:rsidRDefault="0006625D">
      <w:pPr>
        <w:rPr>
          <w:noProof/>
          <w:lang w:eastAsia="nl-NL"/>
        </w:rPr>
      </w:pPr>
    </w:p>
    <w:p w14:paraId="17937661" w14:textId="77777777" w:rsidR="0006625D" w:rsidRDefault="0006625D">
      <w:pPr>
        <w:rPr>
          <w:noProof/>
          <w:lang w:eastAsia="nl-NL"/>
        </w:rPr>
      </w:pPr>
    </w:p>
    <w:p w14:paraId="3C2D98D3" w14:textId="77777777" w:rsidR="0006625D" w:rsidRDefault="0006625D">
      <w:pPr>
        <w:rPr>
          <w:noProof/>
          <w:lang w:eastAsia="nl-NL"/>
        </w:rPr>
      </w:pPr>
    </w:p>
    <w:p w14:paraId="65384A7E" w14:textId="77777777" w:rsidR="0006625D" w:rsidRDefault="0006625D">
      <w:pPr>
        <w:rPr>
          <w:noProof/>
          <w:lang w:eastAsia="nl-NL"/>
        </w:rPr>
      </w:pPr>
    </w:p>
    <w:p w14:paraId="511CBD53" w14:textId="77777777" w:rsidR="0006625D" w:rsidRDefault="0006625D">
      <w:pPr>
        <w:rPr>
          <w:noProof/>
          <w:lang w:eastAsia="nl-NL"/>
        </w:rPr>
      </w:pPr>
    </w:p>
    <w:p w14:paraId="457FF441" w14:textId="7F56FFB1" w:rsidR="0006625D" w:rsidRPr="00DC2B07" w:rsidRDefault="0006625D" w:rsidP="0006625D">
      <w:pPr>
        <w:jc w:val="both"/>
        <w:rPr>
          <w:lang w:val="en-US"/>
        </w:rPr>
      </w:pPr>
      <w:r w:rsidRPr="007A1B58">
        <w:rPr>
          <w:b/>
          <w:bCs/>
          <w:lang w:val="en-GB"/>
        </w:rPr>
        <w:t>Supplemental Figure S</w:t>
      </w:r>
      <w:r>
        <w:rPr>
          <w:b/>
          <w:bCs/>
          <w:lang w:val="en-GB"/>
        </w:rPr>
        <w:t>9</w:t>
      </w:r>
      <w:r w:rsidRPr="007A1B58">
        <w:rPr>
          <w:lang w:val="en-GB"/>
        </w:rPr>
        <w:t xml:space="preserve">. Analysis of functional domains affected by splicing alterations in relation to </w:t>
      </w:r>
      <w:r w:rsidRPr="007A1B58">
        <w:rPr>
          <w:i/>
          <w:iCs/>
          <w:lang w:val="en-GB"/>
        </w:rPr>
        <w:t>FLT3</w:t>
      </w:r>
      <w:r w:rsidRPr="007A1B58">
        <w:rPr>
          <w:lang w:val="en-GB"/>
        </w:rPr>
        <w:t xml:space="preserve">-ITD and </w:t>
      </w:r>
      <w:r w:rsidRPr="007A1B58">
        <w:rPr>
          <w:i/>
          <w:iCs/>
          <w:lang w:val="en-GB"/>
        </w:rPr>
        <w:t>NPM1</w:t>
      </w:r>
      <w:r w:rsidRPr="007A1B58">
        <w:rPr>
          <w:lang w:val="en-GB"/>
        </w:rPr>
        <w:t xml:space="preserve"> mutations in M1 and M2 samples. Maser package was used to determine whether specific splicing alterations directly affect functional domains in proteins corresponding to the differentially spliced genes. Only significantly differentially spliced events (FDR &lt; 0.05, |</w:t>
      </w:r>
      <w:r w:rsidRPr="007A1B58">
        <w:rPr>
          <w:lang w:val="el-GR"/>
        </w:rPr>
        <w:t>Δ</w:t>
      </w:r>
      <w:r w:rsidRPr="007A1B58">
        <w:rPr>
          <w:lang w:val="en-GB"/>
        </w:rPr>
        <w:t xml:space="preserve">PSI| &gt; 0.1) affecting genes involved in regulation of cell cycle/DNA repair and signalling were evaluated. The panels indicate which differential splicing events affect functional domains as well as the </w:t>
      </w:r>
      <w:r w:rsidRPr="007A1B58">
        <w:rPr>
          <w:lang w:val="el-GR"/>
        </w:rPr>
        <w:t>Δ</w:t>
      </w:r>
      <w:r w:rsidRPr="007A1B58">
        <w:rPr>
          <w:lang w:val="en-GB"/>
        </w:rPr>
        <w:t>PSI values and event type.</w:t>
      </w:r>
    </w:p>
    <w:p w14:paraId="5669D75D" w14:textId="475423A1" w:rsidR="0006625D" w:rsidRDefault="0006625D">
      <w:pPr>
        <w:rPr>
          <w:noProof/>
          <w:lang w:val="en-US" w:eastAsia="nl-NL"/>
        </w:rPr>
      </w:pPr>
      <w:r>
        <w:rPr>
          <w:noProof/>
          <w:lang w:eastAsia="nl-NL"/>
        </w:rPr>
        <w:lastRenderedPageBreak/>
        <w:drawing>
          <wp:anchor distT="0" distB="0" distL="114300" distR="114300" simplePos="0" relativeHeight="251664384" behindDoc="0" locked="0" layoutInCell="1" allowOverlap="1" wp14:anchorId="2EFD867D" wp14:editId="68949162">
            <wp:simplePos x="0" y="0"/>
            <wp:positionH relativeFrom="margin">
              <wp:posOffset>163825</wp:posOffset>
            </wp:positionH>
            <wp:positionV relativeFrom="paragraph">
              <wp:posOffset>-342900</wp:posOffset>
            </wp:positionV>
            <wp:extent cx="5610865" cy="8086725"/>
            <wp:effectExtent l="0" t="0" r="889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rotWithShape="1">
                    <a:blip r:embed="rId15" cstate="print">
                      <a:extLst>
                        <a:ext uri="{28A0092B-C50C-407E-A947-70E740481C1C}">
                          <a14:useLocalDpi xmlns:a14="http://schemas.microsoft.com/office/drawing/2010/main" val="0"/>
                        </a:ext>
                      </a:extLst>
                    </a:blip>
                    <a:srcRect l="38888" b="3531"/>
                    <a:stretch/>
                  </pic:blipFill>
                  <pic:spPr bwMode="auto">
                    <a:xfrm>
                      <a:off x="0" y="0"/>
                      <a:ext cx="5611734" cy="808797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8969A2D" w14:textId="1F100DE2" w:rsidR="0006625D" w:rsidRDefault="0006625D">
      <w:pPr>
        <w:rPr>
          <w:noProof/>
          <w:lang w:val="en-US" w:eastAsia="nl-NL"/>
        </w:rPr>
      </w:pPr>
    </w:p>
    <w:p w14:paraId="1A0E7F21" w14:textId="0B61D4E8" w:rsidR="0006625D" w:rsidRDefault="0006625D">
      <w:pPr>
        <w:rPr>
          <w:noProof/>
          <w:lang w:val="en-US" w:eastAsia="nl-NL"/>
        </w:rPr>
      </w:pPr>
    </w:p>
    <w:p w14:paraId="187626C1" w14:textId="0D1AB91A" w:rsidR="0006625D" w:rsidRDefault="0006625D">
      <w:pPr>
        <w:rPr>
          <w:noProof/>
          <w:lang w:val="en-US" w:eastAsia="nl-NL"/>
        </w:rPr>
      </w:pPr>
    </w:p>
    <w:p w14:paraId="68A52EBC" w14:textId="77777777" w:rsidR="0006625D" w:rsidRDefault="0006625D">
      <w:pPr>
        <w:rPr>
          <w:noProof/>
          <w:lang w:val="en-US" w:eastAsia="nl-NL"/>
        </w:rPr>
      </w:pPr>
    </w:p>
    <w:p w14:paraId="3B7EAB20" w14:textId="77777777" w:rsidR="0006625D" w:rsidRDefault="0006625D">
      <w:pPr>
        <w:rPr>
          <w:noProof/>
          <w:lang w:val="en-US" w:eastAsia="nl-NL"/>
        </w:rPr>
      </w:pPr>
    </w:p>
    <w:p w14:paraId="7401AC69" w14:textId="05BA8055" w:rsidR="0006625D" w:rsidRDefault="0006625D">
      <w:pPr>
        <w:rPr>
          <w:noProof/>
          <w:lang w:val="en-US" w:eastAsia="nl-NL"/>
        </w:rPr>
      </w:pPr>
    </w:p>
    <w:p w14:paraId="1CCF4E33" w14:textId="77777777" w:rsidR="0006625D" w:rsidRDefault="0006625D">
      <w:pPr>
        <w:rPr>
          <w:noProof/>
          <w:lang w:val="en-US" w:eastAsia="nl-NL"/>
        </w:rPr>
      </w:pPr>
    </w:p>
    <w:p w14:paraId="6238E828" w14:textId="77777777" w:rsidR="0006625D" w:rsidRDefault="0006625D">
      <w:pPr>
        <w:rPr>
          <w:noProof/>
          <w:lang w:val="en-US" w:eastAsia="nl-NL"/>
        </w:rPr>
      </w:pPr>
    </w:p>
    <w:p w14:paraId="7F8C08A2" w14:textId="682AA6F6" w:rsidR="0006625D" w:rsidRPr="0006625D" w:rsidRDefault="0006625D">
      <w:pPr>
        <w:rPr>
          <w:noProof/>
          <w:lang w:val="en-US" w:eastAsia="nl-NL"/>
        </w:rPr>
      </w:pPr>
    </w:p>
    <w:p w14:paraId="33FBFF8B" w14:textId="636D79ED" w:rsidR="003F6F5D" w:rsidRDefault="003F6F5D" w:rsidP="007A1B58">
      <w:pPr>
        <w:jc w:val="both"/>
      </w:pPr>
    </w:p>
    <w:p w14:paraId="04D81257" w14:textId="5E8AA523" w:rsidR="0006625D" w:rsidRDefault="0006625D" w:rsidP="0006625D">
      <w:pPr>
        <w:jc w:val="both"/>
        <w:rPr>
          <w:lang w:val="en-GB"/>
        </w:rPr>
      </w:pPr>
    </w:p>
    <w:p w14:paraId="07EE0DAE" w14:textId="62F21832" w:rsidR="0006625D" w:rsidRDefault="0006625D" w:rsidP="0006625D">
      <w:pPr>
        <w:jc w:val="both"/>
        <w:rPr>
          <w:lang w:val="en-GB"/>
        </w:rPr>
      </w:pPr>
    </w:p>
    <w:p w14:paraId="7C972F78" w14:textId="7E924FC3" w:rsidR="0006625D" w:rsidRDefault="0006625D" w:rsidP="0006625D">
      <w:pPr>
        <w:jc w:val="both"/>
        <w:rPr>
          <w:lang w:val="en-GB"/>
        </w:rPr>
      </w:pPr>
    </w:p>
    <w:p w14:paraId="4E0AEA8B" w14:textId="06082D01" w:rsidR="0006625D" w:rsidRDefault="0006625D" w:rsidP="0006625D">
      <w:pPr>
        <w:jc w:val="both"/>
        <w:rPr>
          <w:lang w:val="en-GB"/>
        </w:rPr>
      </w:pPr>
    </w:p>
    <w:p w14:paraId="02B33850" w14:textId="142E47CA" w:rsidR="0006625D" w:rsidRDefault="0006625D" w:rsidP="0006625D">
      <w:pPr>
        <w:jc w:val="both"/>
        <w:rPr>
          <w:lang w:val="en-GB"/>
        </w:rPr>
      </w:pPr>
    </w:p>
    <w:p w14:paraId="4E84C907" w14:textId="28819E05" w:rsidR="0006625D" w:rsidRDefault="0006625D" w:rsidP="0006625D">
      <w:pPr>
        <w:jc w:val="both"/>
        <w:rPr>
          <w:lang w:val="en-GB"/>
        </w:rPr>
      </w:pPr>
    </w:p>
    <w:p w14:paraId="0F97EBE1" w14:textId="5D22AA7D" w:rsidR="0006625D" w:rsidRDefault="0006625D" w:rsidP="0006625D">
      <w:pPr>
        <w:jc w:val="both"/>
        <w:rPr>
          <w:lang w:val="en-GB"/>
        </w:rPr>
      </w:pPr>
    </w:p>
    <w:p w14:paraId="15F35275" w14:textId="7C4410F2" w:rsidR="0006625D" w:rsidRDefault="0006625D" w:rsidP="0006625D">
      <w:pPr>
        <w:jc w:val="both"/>
        <w:rPr>
          <w:lang w:val="en-GB"/>
        </w:rPr>
      </w:pPr>
    </w:p>
    <w:p w14:paraId="5A4B213A" w14:textId="20104436" w:rsidR="0006625D" w:rsidRDefault="0006625D" w:rsidP="0006625D">
      <w:pPr>
        <w:jc w:val="both"/>
        <w:rPr>
          <w:lang w:val="en-GB"/>
        </w:rPr>
      </w:pPr>
    </w:p>
    <w:p w14:paraId="2B159DBD" w14:textId="5806BBFF" w:rsidR="0006625D" w:rsidRDefault="0006625D" w:rsidP="0006625D">
      <w:pPr>
        <w:jc w:val="both"/>
        <w:rPr>
          <w:lang w:val="en-GB"/>
        </w:rPr>
      </w:pPr>
    </w:p>
    <w:p w14:paraId="1566F8E3" w14:textId="5DD6572E" w:rsidR="0006625D" w:rsidRDefault="0006625D" w:rsidP="0006625D">
      <w:pPr>
        <w:jc w:val="both"/>
        <w:rPr>
          <w:lang w:val="en-GB"/>
        </w:rPr>
      </w:pPr>
    </w:p>
    <w:p w14:paraId="02DB61F2" w14:textId="7A8454EA" w:rsidR="0006625D" w:rsidRDefault="0006625D" w:rsidP="0006625D">
      <w:pPr>
        <w:jc w:val="both"/>
        <w:rPr>
          <w:lang w:val="en-GB"/>
        </w:rPr>
      </w:pPr>
    </w:p>
    <w:p w14:paraId="41BA8075" w14:textId="4A88CBF3" w:rsidR="0006625D" w:rsidRDefault="0006625D" w:rsidP="0006625D">
      <w:pPr>
        <w:jc w:val="both"/>
        <w:rPr>
          <w:lang w:val="en-GB"/>
        </w:rPr>
      </w:pPr>
    </w:p>
    <w:p w14:paraId="7D050A3B" w14:textId="27871F78" w:rsidR="0006625D" w:rsidRDefault="0006625D" w:rsidP="0006625D">
      <w:pPr>
        <w:jc w:val="both"/>
        <w:rPr>
          <w:lang w:val="en-GB"/>
        </w:rPr>
      </w:pPr>
    </w:p>
    <w:p w14:paraId="05CF113E" w14:textId="1BB76E44" w:rsidR="0006625D" w:rsidRDefault="0006625D" w:rsidP="0006625D">
      <w:pPr>
        <w:jc w:val="both"/>
        <w:rPr>
          <w:lang w:val="en-GB"/>
        </w:rPr>
      </w:pPr>
    </w:p>
    <w:p w14:paraId="670DE08C" w14:textId="7DC488F3" w:rsidR="0006625D" w:rsidRDefault="0006625D" w:rsidP="0006625D">
      <w:pPr>
        <w:jc w:val="both"/>
        <w:rPr>
          <w:lang w:val="en-GB"/>
        </w:rPr>
      </w:pPr>
    </w:p>
    <w:p w14:paraId="4FE13152" w14:textId="42976E32" w:rsidR="0006625D" w:rsidRDefault="0006625D" w:rsidP="0006625D">
      <w:pPr>
        <w:jc w:val="both"/>
        <w:rPr>
          <w:lang w:val="en-GB"/>
        </w:rPr>
      </w:pPr>
      <w:r w:rsidRPr="007A1B58">
        <w:rPr>
          <w:b/>
          <w:bCs/>
          <w:lang w:val="en-GB"/>
        </w:rPr>
        <w:t>Supplemental Figure S1</w:t>
      </w:r>
      <w:r>
        <w:rPr>
          <w:b/>
          <w:bCs/>
          <w:lang w:val="en-GB"/>
        </w:rPr>
        <w:t>0</w:t>
      </w:r>
      <w:r w:rsidRPr="007A1B58">
        <w:rPr>
          <w:lang w:val="en-GB"/>
        </w:rPr>
        <w:t xml:space="preserve">. Analysis of functional domains affected by splicing alterations in relation to </w:t>
      </w:r>
      <w:r w:rsidRPr="007A1B58">
        <w:rPr>
          <w:i/>
          <w:iCs/>
          <w:lang w:val="en-GB"/>
        </w:rPr>
        <w:t>FLT3</w:t>
      </w:r>
      <w:r w:rsidRPr="007A1B58">
        <w:rPr>
          <w:lang w:val="en-GB"/>
        </w:rPr>
        <w:t xml:space="preserve">-ITD and </w:t>
      </w:r>
      <w:r w:rsidRPr="007A1B58">
        <w:rPr>
          <w:i/>
          <w:iCs/>
          <w:lang w:val="en-GB"/>
        </w:rPr>
        <w:t>NPM1</w:t>
      </w:r>
      <w:r w:rsidRPr="007A1B58">
        <w:rPr>
          <w:lang w:val="en-GB"/>
        </w:rPr>
        <w:t xml:space="preserve"> mutations in M4 samples. Maser package was used to determine whether specific splicing alterations directly affect functional domains in proteins corresponding to the differentially spliced genes. Only significantly differentially spliced events (FDR &lt; 0.05, |</w:t>
      </w:r>
      <w:r w:rsidRPr="007A1B58">
        <w:rPr>
          <w:lang w:val="el-GR"/>
        </w:rPr>
        <w:t>Δ</w:t>
      </w:r>
      <w:r w:rsidRPr="007A1B58">
        <w:rPr>
          <w:lang w:val="en-GB"/>
        </w:rPr>
        <w:t xml:space="preserve">PSI| &gt; 0.1) affecting genes involved in regulation of cell cycle/DNA repair and signalling were evaluated. The panels indicate which differential splicing events affect functional domains as well as the </w:t>
      </w:r>
      <w:r w:rsidRPr="007A1B58">
        <w:rPr>
          <w:lang w:val="el-GR"/>
        </w:rPr>
        <w:t>Δ</w:t>
      </w:r>
      <w:r w:rsidRPr="007A1B58">
        <w:rPr>
          <w:lang w:val="en-GB"/>
        </w:rPr>
        <w:t>PSI values and event type.</w:t>
      </w:r>
    </w:p>
    <w:p w14:paraId="0D2DF0DB" w14:textId="46B79B77" w:rsidR="0006625D" w:rsidRDefault="0006625D" w:rsidP="0006625D">
      <w:pPr>
        <w:jc w:val="both"/>
        <w:rPr>
          <w:lang w:val="en-GB"/>
        </w:rPr>
      </w:pPr>
      <w:r>
        <w:rPr>
          <w:noProof/>
          <w:lang w:eastAsia="nl-NL"/>
        </w:rPr>
        <w:lastRenderedPageBreak/>
        <w:drawing>
          <wp:anchor distT="0" distB="0" distL="114300" distR="114300" simplePos="0" relativeHeight="251665408" behindDoc="0" locked="0" layoutInCell="1" allowOverlap="1" wp14:anchorId="794C3685" wp14:editId="6145ABCB">
            <wp:simplePos x="0" y="0"/>
            <wp:positionH relativeFrom="margin">
              <wp:posOffset>-134620</wp:posOffset>
            </wp:positionH>
            <wp:positionV relativeFrom="paragraph">
              <wp:posOffset>-346075</wp:posOffset>
            </wp:positionV>
            <wp:extent cx="5501631" cy="7896225"/>
            <wp:effectExtent l="0" t="0" r="4445"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rotWithShape="1">
                    <a:blip r:embed="rId16" cstate="print">
                      <a:extLst>
                        <a:ext uri="{28A0092B-C50C-407E-A947-70E740481C1C}">
                          <a14:useLocalDpi xmlns:a14="http://schemas.microsoft.com/office/drawing/2010/main" val="0"/>
                        </a:ext>
                      </a:extLst>
                    </a:blip>
                    <a:srcRect t="4487" r="7600" b="3683"/>
                    <a:stretch/>
                  </pic:blipFill>
                  <pic:spPr bwMode="auto">
                    <a:xfrm>
                      <a:off x="0" y="0"/>
                      <a:ext cx="5501631" cy="7896225"/>
                    </a:xfrm>
                    <a:prstGeom prst="rect">
                      <a:avLst/>
                    </a:prstGeom>
                    <a:ln>
                      <a:noFill/>
                    </a:ln>
                    <a:extLst>
                      <a:ext uri="{53640926-AAD7-44D8-BBD7-CCE9431645EC}">
                        <a14:shadowObscured xmlns:a14="http://schemas.microsoft.com/office/drawing/2010/main"/>
                      </a:ext>
                    </a:extLst>
                  </pic:spPr>
                </pic:pic>
              </a:graphicData>
            </a:graphic>
          </wp:anchor>
        </w:drawing>
      </w:r>
    </w:p>
    <w:p w14:paraId="270EC211" w14:textId="56BC7600" w:rsidR="0006625D" w:rsidRDefault="0006625D" w:rsidP="007A1B58">
      <w:pPr>
        <w:jc w:val="both"/>
      </w:pPr>
    </w:p>
    <w:p w14:paraId="046AE427" w14:textId="77777777" w:rsidR="0006625D" w:rsidRDefault="0006625D" w:rsidP="007A1B58">
      <w:pPr>
        <w:jc w:val="both"/>
        <w:rPr>
          <w:noProof/>
          <w:lang w:eastAsia="nl-NL"/>
        </w:rPr>
      </w:pPr>
    </w:p>
    <w:p w14:paraId="4F454970" w14:textId="334705D5" w:rsidR="0006625D" w:rsidRDefault="0006625D" w:rsidP="007A1B58">
      <w:pPr>
        <w:jc w:val="both"/>
      </w:pPr>
    </w:p>
    <w:p w14:paraId="7A6FC658" w14:textId="27CD80BE" w:rsidR="0006625D" w:rsidRDefault="0006625D" w:rsidP="007A1B58">
      <w:pPr>
        <w:jc w:val="both"/>
      </w:pPr>
    </w:p>
    <w:p w14:paraId="201AE505" w14:textId="77777777" w:rsidR="0006625D" w:rsidRDefault="0006625D" w:rsidP="007A1B58">
      <w:pPr>
        <w:jc w:val="both"/>
      </w:pPr>
    </w:p>
    <w:p w14:paraId="2C579553" w14:textId="29FBDDA2" w:rsidR="0006625D" w:rsidRDefault="0006625D" w:rsidP="007A1B58">
      <w:pPr>
        <w:jc w:val="both"/>
      </w:pPr>
    </w:p>
    <w:p w14:paraId="711D59EE" w14:textId="77777777" w:rsidR="0006625D" w:rsidRDefault="0006625D" w:rsidP="007A1B58">
      <w:pPr>
        <w:jc w:val="both"/>
      </w:pPr>
    </w:p>
    <w:p w14:paraId="1959516D" w14:textId="77777777" w:rsidR="0006625D" w:rsidRDefault="0006625D" w:rsidP="007A1B58">
      <w:pPr>
        <w:jc w:val="both"/>
      </w:pPr>
    </w:p>
    <w:p w14:paraId="27187BE8" w14:textId="77777777" w:rsidR="0006625D" w:rsidRDefault="0006625D" w:rsidP="007A1B58">
      <w:pPr>
        <w:jc w:val="both"/>
      </w:pPr>
    </w:p>
    <w:p w14:paraId="6221FEF0" w14:textId="23D65DD3" w:rsidR="0006625D" w:rsidRDefault="0006625D" w:rsidP="007A1B58">
      <w:pPr>
        <w:jc w:val="both"/>
      </w:pPr>
    </w:p>
    <w:p w14:paraId="688EFE63" w14:textId="77777777" w:rsidR="0006625D" w:rsidRDefault="0006625D" w:rsidP="007A1B58">
      <w:pPr>
        <w:jc w:val="both"/>
      </w:pPr>
    </w:p>
    <w:p w14:paraId="6375B3C5" w14:textId="77777777" w:rsidR="0006625D" w:rsidRDefault="0006625D" w:rsidP="007A1B58">
      <w:pPr>
        <w:jc w:val="both"/>
      </w:pPr>
    </w:p>
    <w:p w14:paraId="4308B668" w14:textId="77777777" w:rsidR="0006625D" w:rsidRDefault="0006625D" w:rsidP="007A1B58">
      <w:pPr>
        <w:jc w:val="both"/>
      </w:pPr>
    </w:p>
    <w:p w14:paraId="00CC76B9" w14:textId="0CF7A9C1" w:rsidR="0006625D" w:rsidRDefault="0006625D" w:rsidP="007A1B58">
      <w:pPr>
        <w:jc w:val="both"/>
      </w:pPr>
    </w:p>
    <w:p w14:paraId="143818E6" w14:textId="7DFBBA6E" w:rsidR="0006625D" w:rsidRDefault="0006625D" w:rsidP="007A1B58">
      <w:pPr>
        <w:jc w:val="both"/>
      </w:pPr>
    </w:p>
    <w:p w14:paraId="3D2C1728" w14:textId="73A66BFA" w:rsidR="0006625D" w:rsidRDefault="0006625D" w:rsidP="007A1B58">
      <w:pPr>
        <w:jc w:val="both"/>
      </w:pPr>
    </w:p>
    <w:p w14:paraId="528958DE" w14:textId="19288122" w:rsidR="0006625D" w:rsidRDefault="0006625D" w:rsidP="007A1B58">
      <w:pPr>
        <w:jc w:val="both"/>
      </w:pPr>
    </w:p>
    <w:p w14:paraId="41EEB770" w14:textId="73910AAB" w:rsidR="0006625D" w:rsidRDefault="0006625D" w:rsidP="007A1B58">
      <w:pPr>
        <w:jc w:val="both"/>
      </w:pPr>
    </w:p>
    <w:p w14:paraId="1E534639" w14:textId="4444A9FB" w:rsidR="0006625D" w:rsidRDefault="0006625D" w:rsidP="007A1B58">
      <w:pPr>
        <w:jc w:val="both"/>
      </w:pPr>
    </w:p>
    <w:p w14:paraId="1939CCBD" w14:textId="6F174795" w:rsidR="0006625D" w:rsidRDefault="0006625D" w:rsidP="007A1B58">
      <w:pPr>
        <w:jc w:val="both"/>
      </w:pPr>
    </w:p>
    <w:p w14:paraId="6B221570" w14:textId="37B8EDE1" w:rsidR="0006625D" w:rsidRDefault="0006625D" w:rsidP="007A1B58">
      <w:pPr>
        <w:jc w:val="both"/>
      </w:pPr>
    </w:p>
    <w:p w14:paraId="4C8AA33C" w14:textId="1121503C" w:rsidR="0006625D" w:rsidRDefault="0006625D" w:rsidP="007A1B58">
      <w:pPr>
        <w:jc w:val="both"/>
      </w:pPr>
    </w:p>
    <w:p w14:paraId="0A3E1E29" w14:textId="6406233F" w:rsidR="0006625D" w:rsidRDefault="0006625D" w:rsidP="007A1B58">
      <w:pPr>
        <w:jc w:val="both"/>
      </w:pPr>
    </w:p>
    <w:p w14:paraId="5A830C24" w14:textId="572C191E" w:rsidR="0006625D" w:rsidRDefault="0006625D" w:rsidP="007A1B58">
      <w:pPr>
        <w:jc w:val="both"/>
      </w:pPr>
    </w:p>
    <w:p w14:paraId="51CC6917" w14:textId="6ABB9C7C" w:rsidR="0006625D" w:rsidRDefault="0006625D" w:rsidP="007A1B58">
      <w:pPr>
        <w:jc w:val="both"/>
      </w:pPr>
    </w:p>
    <w:p w14:paraId="3A6F25FA" w14:textId="17A4F900" w:rsidR="0006625D" w:rsidRDefault="0006625D" w:rsidP="007A1B58">
      <w:pPr>
        <w:jc w:val="both"/>
      </w:pPr>
    </w:p>
    <w:p w14:paraId="4A9F7C38" w14:textId="17F18936" w:rsidR="003F6F5D" w:rsidRPr="0006625D" w:rsidRDefault="0006625D" w:rsidP="007A1B58">
      <w:pPr>
        <w:jc w:val="both"/>
        <w:rPr>
          <w:lang w:val="en-US"/>
        </w:rPr>
      </w:pPr>
      <w:r w:rsidRPr="007A1B58">
        <w:rPr>
          <w:b/>
          <w:bCs/>
          <w:lang w:val="en-GB"/>
        </w:rPr>
        <w:t>Supplemental Figure S</w:t>
      </w:r>
      <w:r>
        <w:rPr>
          <w:b/>
          <w:bCs/>
          <w:lang w:val="en-GB"/>
        </w:rPr>
        <w:t>11</w:t>
      </w:r>
      <w:r w:rsidRPr="007A1B58">
        <w:rPr>
          <w:lang w:val="en-GB"/>
        </w:rPr>
        <w:t>. Validation of selected differential splicing events in an independent sample set. The figure depicts PSI values for selected differential splicing events in our initial discovery cohort (all events with FDR &lt; 0.05 and |</w:t>
      </w:r>
      <w:r w:rsidRPr="007A1B58">
        <w:rPr>
          <w:lang w:val="el-GR"/>
        </w:rPr>
        <w:t>Δ</w:t>
      </w:r>
      <w:r w:rsidRPr="007A1B58">
        <w:rPr>
          <w:lang w:val="en-GB"/>
        </w:rPr>
        <w:t xml:space="preserve">PSI| &gt; 0.1) and an independent validation cohort in M1, M2 and M4 FAB types. </w:t>
      </w:r>
      <w:r w:rsidRPr="007A1B58">
        <w:rPr>
          <w:b/>
          <w:bCs/>
          <w:lang w:val="en-GB"/>
        </w:rPr>
        <w:t>A</w:t>
      </w:r>
      <w:r w:rsidRPr="007A1B58">
        <w:rPr>
          <w:lang w:val="en-GB"/>
        </w:rPr>
        <w:t xml:space="preserve">, </w:t>
      </w:r>
      <w:r w:rsidRPr="007A1B58">
        <w:rPr>
          <w:b/>
          <w:bCs/>
          <w:lang w:val="en-GB"/>
        </w:rPr>
        <w:t>C</w:t>
      </w:r>
      <w:r w:rsidRPr="007A1B58">
        <w:rPr>
          <w:lang w:val="en-GB"/>
        </w:rPr>
        <w:t xml:space="preserve">, </w:t>
      </w:r>
      <w:r w:rsidRPr="007A1B58">
        <w:rPr>
          <w:b/>
          <w:bCs/>
          <w:lang w:val="en-GB"/>
        </w:rPr>
        <w:t>E</w:t>
      </w:r>
      <w:r w:rsidRPr="007A1B58">
        <w:rPr>
          <w:lang w:val="en-GB"/>
        </w:rPr>
        <w:t xml:space="preserve"> – Selected splicing events affecting genes involved in cell cycle regulation and DNA damage response in M1, M2 and M4 FAB types respectively. </w:t>
      </w:r>
      <w:r w:rsidRPr="007A1B58">
        <w:rPr>
          <w:b/>
          <w:bCs/>
          <w:lang w:val="en-GB"/>
        </w:rPr>
        <w:t>B</w:t>
      </w:r>
      <w:r w:rsidRPr="007A1B58">
        <w:rPr>
          <w:lang w:val="en-GB"/>
        </w:rPr>
        <w:t xml:space="preserve">, </w:t>
      </w:r>
      <w:r w:rsidRPr="007A1B58">
        <w:rPr>
          <w:b/>
          <w:bCs/>
          <w:lang w:val="en-GB"/>
        </w:rPr>
        <w:t>D</w:t>
      </w:r>
      <w:r w:rsidRPr="007A1B58">
        <w:rPr>
          <w:lang w:val="en-GB"/>
        </w:rPr>
        <w:t xml:space="preserve">, </w:t>
      </w:r>
      <w:r w:rsidRPr="007A1B58">
        <w:rPr>
          <w:b/>
          <w:bCs/>
          <w:lang w:val="en-GB"/>
        </w:rPr>
        <w:t>F</w:t>
      </w:r>
      <w:r w:rsidRPr="007A1B58">
        <w:rPr>
          <w:lang w:val="en-GB"/>
        </w:rPr>
        <w:t xml:space="preserve"> – Selected splicing events affecting genes involved in signalling pathways in M1, M2 and M4 FAB types respectively.</w:t>
      </w:r>
    </w:p>
    <w:sectPr w:rsidR="003F6F5D" w:rsidRPr="0006625D">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839988" w14:textId="77777777" w:rsidR="009016CC" w:rsidRDefault="009016CC" w:rsidP="007A1B58">
      <w:pPr>
        <w:spacing w:after="0" w:line="240" w:lineRule="auto"/>
      </w:pPr>
      <w:r>
        <w:separator/>
      </w:r>
    </w:p>
  </w:endnote>
  <w:endnote w:type="continuationSeparator" w:id="0">
    <w:p w14:paraId="289510B1" w14:textId="77777777" w:rsidR="009016CC" w:rsidRDefault="009016CC" w:rsidP="007A1B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0324851"/>
      <w:docPartObj>
        <w:docPartGallery w:val="Page Numbers (Bottom of Page)"/>
        <w:docPartUnique/>
      </w:docPartObj>
    </w:sdtPr>
    <w:sdtEndPr>
      <w:rPr>
        <w:noProof/>
      </w:rPr>
    </w:sdtEndPr>
    <w:sdtContent>
      <w:p w14:paraId="29831F73" w14:textId="79AD7F12" w:rsidR="007A1B58" w:rsidRDefault="007A1B58">
        <w:pPr>
          <w:pStyle w:val="Voettekst"/>
          <w:jc w:val="center"/>
        </w:pPr>
        <w:r>
          <w:fldChar w:fldCharType="begin"/>
        </w:r>
        <w:r>
          <w:instrText xml:space="preserve"> PAGE   \* MERGEFORMAT </w:instrText>
        </w:r>
        <w:r>
          <w:fldChar w:fldCharType="separate"/>
        </w:r>
        <w:r w:rsidR="001D722B">
          <w:rPr>
            <w:noProof/>
          </w:rPr>
          <w:t>1</w:t>
        </w:r>
        <w:r>
          <w:rPr>
            <w:noProof/>
          </w:rPr>
          <w:fldChar w:fldCharType="end"/>
        </w:r>
      </w:p>
    </w:sdtContent>
  </w:sdt>
  <w:p w14:paraId="033EB60C" w14:textId="77777777" w:rsidR="007A1B58" w:rsidRDefault="007A1B58">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216828" w14:textId="77777777" w:rsidR="009016CC" w:rsidRDefault="009016CC" w:rsidP="007A1B58">
      <w:pPr>
        <w:spacing w:after="0" w:line="240" w:lineRule="auto"/>
      </w:pPr>
      <w:r>
        <w:separator/>
      </w:r>
    </w:p>
  </w:footnote>
  <w:footnote w:type="continuationSeparator" w:id="0">
    <w:p w14:paraId="0F22C162" w14:textId="77777777" w:rsidR="009016CC" w:rsidRDefault="009016CC" w:rsidP="007A1B5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1B58"/>
    <w:rsid w:val="00021FB1"/>
    <w:rsid w:val="0006625D"/>
    <w:rsid w:val="001D4A3A"/>
    <w:rsid w:val="001D722B"/>
    <w:rsid w:val="001F0DB6"/>
    <w:rsid w:val="0027594B"/>
    <w:rsid w:val="002A1921"/>
    <w:rsid w:val="002B6031"/>
    <w:rsid w:val="00344B0D"/>
    <w:rsid w:val="003F6F5D"/>
    <w:rsid w:val="004C762C"/>
    <w:rsid w:val="005D717D"/>
    <w:rsid w:val="006377EE"/>
    <w:rsid w:val="007A1B58"/>
    <w:rsid w:val="009016CC"/>
    <w:rsid w:val="00A02C48"/>
    <w:rsid w:val="00B50DD7"/>
    <w:rsid w:val="00C40BF5"/>
    <w:rsid w:val="00D93D3A"/>
    <w:rsid w:val="00DC2B07"/>
    <w:rsid w:val="00E4567D"/>
    <w:rsid w:val="00F3232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C9CBA"/>
  <w15:chartTrackingRefBased/>
  <w15:docId w15:val="{953D2D99-42CA-473F-A7F1-08D8271132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7A1B58"/>
    <w:pPr>
      <w:tabs>
        <w:tab w:val="center" w:pos="4513"/>
        <w:tab w:val="right" w:pos="9026"/>
      </w:tabs>
      <w:spacing w:after="0" w:line="240" w:lineRule="auto"/>
    </w:pPr>
  </w:style>
  <w:style w:type="character" w:customStyle="1" w:styleId="KoptekstChar">
    <w:name w:val="Koptekst Char"/>
    <w:basedOn w:val="Standaardalinea-lettertype"/>
    <w:link w:val="Koptekst"/>
    <w:uiPriority w:val="99"/>
    <w:rsid w:val="007A1B58"/>
  </w:style>
  <w:style w:type="paragraph" w:styleId="Voettekst">
    <w:name w:val="footer"/>
    <w:basedOn w:val="Standaard"/>
    <w:link w:val="VoettekstChar"/>
    <w:uiPriority w:val="99"/>
    <w:unhideWhenUsed/>
    <w:rsid w:val="007A1B58"/>
    <w:pPr>
      <w:tabs>
        <w:tab w:val="center" w:pos="4513"/>
        <w:tab w:val="right" w:pos="9026"/>
      </w:tabs>
      <w:spacing w:after="0" w:line="240" w:lineRule="auto"/>
    </w:pPr>
  </w:style>
  <w:style w:type="character" w:customStyle="1" w:styleId="VoettekstChar">
    <w:name w:val="Voettekst Char"/>
    <w:basedOn w:val="Standaardalinea-lettertype"/>
    <w:link w:val="Voettekst"/>
    <w:uiPriority w:val="99"/>
    <w:rsid w:val="007A1B58"/>
  </w:style>
  <w:style w:type="paragraph" w:styleId="Ballontekst">
    <w:name w:val="Balloon Text"/>
    <w:basedOn w:val="Standaard"/>
    <w:link w:val="BallontekstChar"/>
    <w:uiPriority w:val="99"/>
    <w:semiHidden/>
    <w:unhideWhenUsed/>
    <w:rsid w:val="005D717D"/>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5D717D"/>
    <w:rPr>
      <w:rFonts w:ascii="Segoe UI" w:hAnsi="Segoe UI" w:cs="Segoe UI"/>
      <w:sz w:val="18"/>
      <w:szCs w:val="18"/>
    </w:rPr>
  </w:style>
  <w:style w:type="character" w:styleId="Verwijzingopmerking">
    <w:name w:val="annotation reference"/>
    <w:basedOn w:val="Standaardalinea-lettertype"/>
    <w:uiPriority w:val="99"/>
    <w:semiHidden/>
    <w:unhideWhenUsed/>
    <w:rsid w:val="00B50DD7"/>
    <w:rPr>
      <w:sz w:val="16"/>
      <w:szCs w:val="16"/>
    </w:rPr>
  </w:style>
  <w:style w:type="paragraph" w:styleId="Tekstopmerking">
    <w:name w:val="annotation text"/>
    <w:basedOn w:val="Standaard"/>
    <w:link w:val="TekstopmerkingChar"/>
    <w:uiPriority w:val="99"/>
    <w:semiHidden/>
    <w:unhideWhenUsed/>
    <w:rsid w:val="00B50DD7"/>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B50DD7"/>
    <w:rPr>
      <w:sz w:val="20"/>
      <w:szCs w:val="20"/>
    </w:rPr>
  </w:style>
  <w:style w:type="paragraph" w:styleId="Onderwerpvanopmerking">
    <w:name w:val="annotation subject"/>
    <w:basedOn w:val="Tekstopmerking"/>
    <w:next w:val="Tekstopmerking"/>
    <w:link w:val="OnderwerpvanopmerkingChar"/>
    <w:uiPriority w:val="99"/>
    <w:semiHidden/>
    <w:unhideWhenUsed/>
    <w:rsid w:val="00B50DD7"/>
    <w:rPr>
      <w:b/>
      <w:bCs/>
    </w:rPr>
  </w:style>
  <w:style w:type="character" w:customStyle="1" w:styleId="OnderwerpvanopmerkingChar">
    <w:name w:val="Onderwerp van opmerking Char"/>
    <w:basedOn w:val="TekstopmerkingChar"/>
    <w:link w:val="Onderwerpvanopmerking"/>
    <w:uiPriority w:val="99"/>
    <w:semiHidden/>
    <w:rsid w:val="00B50DD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215056">
      <w:bodyDiv w:val="1"/>
      <w:marLeft w:val="0"/>
      <w:marRight w:val="0"/>
      <w:marTop w:val="0"/>
      <w:marBottom w:val="0"/>
      <w:divBdr>
        <w:top w:val="none" w:sz="0" w:space="0" w:color="auto"/>
        <w:left w:val="none" w:sz="0" w:space="0" w:color="auto"/>
        <w:bottom w:val="none" w:sz="0" w:space="0" w:color="auto"/>
        <w:right w:val="none" w:sz="0" w:space="0" w:color="auto"/>
      </w:divBdr>
    </w:div>
    <w:div w:id="398669705">
      <w:bodyDiv w:val="1"/>
      <w:marLeft w:val="0"/>
      <w:marRight w:val="0"/>
      <w:marTop w:val="0"/>
      <w:marBottom w:val="0"/>
      <w:divBdr>
        <w:top w:val="none" w:sz="0" w:space="0" w:color="auto"/>
        <w:left w:val="none" w:sz="0" w:space="0" w:color="auto"/>
        <w:bottom w:val="none" w:sz="0" w:space="0" w:color="auto"/>
        <w:right w:val="none" w:sz="0" w:space="0" w:color="auto"/>
      </w:divBdr>
    </w:div>
    <w:div w:id="573011207">
      <w:bodyDiv w:val="1"/>
      <w:marLeft w:val="0"/>
      <w:marRight w:val="0"/>
      <w:marTop w:val="0"/>
      <w:marBottom w:val="0"/>
      <w:divBdr>
        <w:top w:val="none" w:sz="0" w:space="0" w:color="auto"/>
        <w:left w:val="none" w:sz="0" w:space="0" w:color="auto"/>
        <w:bottom w:val="none" w:sz="0" w:space="0" w:color="auto"/>
        <w:right w:val="none" w:sz="0" w:space="0" w:color="auto"/>
      </w:divBdr>
    </w:div>
    <w:div w:id="742215823">
      <w:bodyDiv w:val="1"/>
      <w:marLeft w:val="0"/>
      <w:marRight w:val="0"/>
      <w:marTop w:val="0"/>
      <w:marBottom w:val="0"/>
      <w:divBdr>
        <w:top w:val="none" w:sz="0" w:space="0" w:color="auto"/>
        <w:left w:val="none" w:sz="0" w:space="0" w:color="auto"/>
        <w:bottom w:val="none" w:sz="0" w:space="0" w:color="auto"/>
        <w:right w:val="none" w:sz="0" w:space="0" w:color="auto"/>
      </w:divBdr>
    </w:div>
    <w:div w:id="1161653901">
      <w:bodyDiv w:val="1"/>
      <w:marLeft w:val="0"/>
      <w:marRight w:val="0"/>
      <w:marTop w:val="0"/>
      <w:marBottom w:val="0"/>
      <w:divBdr>
        <w:top w:val="none" w:sz="0" w:space="0" w:color="auto"/>
        <w:left w:val="none" w:sz="0" w:space="0" w:color="auto"/>
        <w:bottom w:val="none" w:sz="0" w:space="0" w:color="auto"/>
        <w:right w:val="none" w:sz="0" w:space="0" w:color="auto"/>
      </w:divBdr>
    </w:div>
    <w:div w:id="1170830971">
      <w:bodyDiv w:val="1"/>
      <w:marLeft w:val="0"/>
      <w:marRight w:val="0"/>
      <w:marTop w:val="0"/>
      <w:marBottom w:val="0"/>
      <w:divBdr>
        <w:top w:val="none" w:sz="0" w:space="0" w:color="auto"/>
        <w:left w:val="none" w:sz="0" w:space="0" w:color="auto"/>
        <w:bottom w:val="none" w:sz="0" w:space="0" w:color="auto"/>
        <w:right w:val="none" w:sz="0" w:space="0" w:color="auto"/>
      </w:divBdr>
    </w:div>
    <w:div w:id="1183320673">
      <w:bodyDiv w:val="1"/>
      <w:marLeft w:val="0"/>
      <w:marRight w:val="0"/>
      <w:marTop w:val="0"/>
      <w:marBottom w:val="0"/>
      <w:divBdr>
        <w:top w:val="none" w:sz="0" w:space="0" w:color="auto"/>
        <w:left w:val="none" w:sz="0" w:space="0" w:color="auto"/>
        <w:bottom w:val="none" w:sz="0" w:space="0" w:color="auto"/>
        <w:right w:val="none" w:sz="0" w:space="0" w:color="auto"/>
      </w:divBdr>
    </w:div>
    <w:div w:id="1484277490">
      <w:bodyDiv w:val="1"/>
      <w:marLeft w:val="0"/>
      <w:marRight w:val="0"/>
      <w:marTop w:val="0"/>
      <w:marBottom w:val="0"/>
      <w:divBdr>
        <w:top w:val="none" w:sz="0" w:space="0" w:color="auto"/>
        <w:left w:val="none" w:sz="0" w:space="0" w:color="auto"/>
        <w:bottom w:val="none" w:sz="0" w:space="0" w:color="auto"/>
        <w:right w:val="none" w:sz="0" w:space="0" w:color="auto"/>
      </w:divBdr>
    </w:div>
    <w:div w:id="1658000140">
      <w:bodyDiv w:val="1"/>
      <w:marLeft w:val="0"/>
      <w:marRight w:val="0"/>
      <w:marTop w:val="0"/>
      <w:marBottom w:val="0"/>
      <w:divBdr>
        <w:top w:val="none" w:sz="0" w:space="0" w:color="auto"/>
        <w:left w:val="none" w:sz="0" w:space="0" w:color="auto"/>
        <w:bottom w:val="none" w:sz="0" w:space="0" w:color="auto"/>
        <w:right w:val="none" w:sz="0" w:space="0" w:color="auto"/>
      </w:divBdr>
    </w:div>
    <w:div w:id="1837529079">
      <w:bodyDiv w:val="1"/>
      <w:marLeft w:val="0"/>
      <w:marRight w:val="0"/>
      <w:marTop w:val="0"/>
      <w:marBottom w:val="0"/>
      <w:divBdr>
        <w:top w:val="none" w:sz="0" w:space="0" w:color="auto"/>
        <w:left w:val="none" w:sz="0" w:space="0" w:color="auto"/>
        <w:bottom w:val="none" w:sz="0" w:space="0" w:color="auto"/>
        <w:right w:val="none" w:sz="0" w:space="0" w:color="auto"/>
      </w:divBdr>
    </w:div>
    <w:div w:id="1964572925">
      <w:bodyDiv w:val="1"/>
      <w:marLeft w:val="0"/>
      <w:marRight w:val="0"/>
      <w:marTop w:val="0"/>
      <w:marBottom w:val="0"/>
      <w:divBdr>
        <w:top w:val="none" w:sz="0" w:space="0" w:color="auto"/>
        <w:left w:val="none" w:sz="0" w:space="0" w:color="auto"/>
        <w:bottom w:val="none" w:sz="0" w:space="0" w:color="auto"/>
        <w:right w:val="none" w:sz="0" w:space="0" w:color="auto"/>
      </w:divBdr>
    </w:div>
    <w:div w:id="2006547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image" Target="media/image11.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2256</Words>
  <Characters>12411</Characters>
  <Application>Microsoft Office Word</Application>
  <DocSecurity>0</DocSecurity>
  <Lines>103</Lines>
  <Paragraphs>29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Wojtuszkiewicz</dc:creator>
  <cp:keywords/>
  <dc:description/>
  <cp:lastModifiedBy>Cloos, J. (Jacqueline)</cp:lastModifiedBy>
  <cp:revision>2</cp:revision>
  <dcterms:created xsi:type="dcterms:W3CDTF">2021-08-03T16:35:00Z</dcterms:created>
  <dcterms:modified xsi:type="dcterms:W3CDTF">2021-08-03T16:35:00Z</dcterms:modified>
</cp:coreProperties>
</file>