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2DF6" w:rsidRPr="00C42DF6" w:rsidRDefault="00C42DF6" w:rsidP="00C42DF6">
      <w:pPr>
        <w:jc w:val="both"/>
        <w:rPr>
          <w:b/>
          <w:lang w:val="en-US"/>
        </w:rPr>
      </w:pPr>
      <w:r w:rsidRPr="00C42DF6">
        <w:rPr>
          <w:b/>
          <w:lang w:val="en-US"/>
        </w:rPr>
        <w:t>Methods</w:t>
      </w:r>
    </w:p>
    <w:p w:rsidR="00C42DF6" w:rsidRPr="00C42DF6" w:rsidRDefault="00C42DF6" w:rsidP="00C42DF6">
      <w:pPr>
        <w:jc w:val="both"/>
        <w:rPr>
          <w:lang w:val="en-US"/>
        </w:rPr>
      </w:pPr>
      <w:r w:rsidRPr="00C42DF6">
        <w:rPr>
          <w:b/>
          <w:lang w:val="en-US"/>
        </w:rPr>
        <w:t>Cloning and overexpression of GPR</w:t>
      </w:r>
    </w:p>
    <w:p w:rsidR="00C42DF6" w:rsidRPr="00C42DF6" w:rsidRDefault="00C42DF6" w:rsidP="00C42DF6">
      <w:pPr>
        <w:jc w:val="both"/>
        <w:rPr>
          <w:lang w:val="en-US"/>
        </w:rPr>
      </w:pPr>
      <w:r w:rsidRPr="00C42DF6">
        <w:rPr>
          <w:lang w:val="en-US"/>
        </w:rPr>
        <w:t>The wild-type GPR gene (</w:t>
      </w:r>
      <w:proofErr w:type="spellStart"/>
      <w:r w:rsidRPr="00C42DF6">
        <w:rPr>
          <w:lang w:val="en-US"/>
        </w:rPr>
        <w:t>GenBank</w:t>
      </w:r>
      <w:proofErr w:type="spellEnd"/>
      <w:r w:rsidRPr="00C42DF6">
        <w:rPr>
          <w:lang w:val="en-US"/>
        </w:rPr>
        <w:t>: AY601905.1) was cloned and overexpressed in Escherichia coli BL21(DE3) Rosetta2 as described previously20. This yields native-like GPR without signal sequence and without purification tags, corresponding to amino acid residues 19–250 with an N-terminal methionine.</w:t>
      </w:r>
    </w:p>
    <w:p w:rsidR="00C42DF6" w:rsidRPr="00C42DF6" w:rsidRDefault="00C42DF6" w:rsidP="00C42DF6">
      <w:pPr>
        <w:jc w:val="both"/>
        <w:rPr>
          <w:lang w:val="en-US"/>
        </w:rPr>
      </w:pPr>
      <w:r w:rsidRPr="00C42DF6">
        <w:rPr>
          <w:b/>
          <w:lang w:val="en-US"/>
        </w:rPr>
        <w:t>Tag-free purification of GPR</w:t>
      </w:r>
    </w:p>
    <w:p w:rsidR="00C42DF6" w:rsidRPr="00C42DF6" w:rsidRDefault="00C42DF6" w:rsidP="00C42DF6">
      <w:pPr>
        <w:jc w:val="both"/>
        <w:rPr>
          <w:lang w:val="en-US"/>
        </w:rPr>
      </w:pPr>
      <w:r w:rsidRPr="00C42DF6">
        <w:rPr>
          <w:lang w:val="en-US"/>
        </w:rPr>
        <w:t>Tag-free purification of GPR was performed essentially as described previously20. 5-cyclohexyl-1-pentyl-</w:t>
      </w:r>
      <w:r>
        <w:t>β</w:t>
      </w:r>
      <w:r w:rsidRPr="00C42DF6">
        <w:rPr>
          <w:lang w:val="en-US"/>
        </w:rPr>
        <w:t>-D-</w:t>
      </w:r>
      <w:proofErr w:type="spellStart"/>
      <w:r w:rsidRPr="00C42DF6">
        <w:rPr>
          <w:lang w:val="en-US"/>
        </w:rPr>
        <w:t>maltoside</w:t>
      </w:r>
      <w:proofErr w:type="spellEnd"/>
      <w:r w:rsidRPr="00C42DF6">
        <w:rPr>
          <w:lang w:val="en-US"/>
        </w:rPr>
        <w:t xml:space="preserve"> (Cymal-5, </w:t>
      </w:r>
      <w:proofErr w:type="spellStart"/>
      <w:r w:rsidRPr="00C42DF6">
        <w:rPr>
          <w:lang w:val="en-US"/>
        </w:rPr>
        <w:t>Anatrace</w:t>
      </w:r>
      <w:proofErr w:type="spellEnd"/>
      <w:r w:rsidRPr="00C42DF6">
        <w:rPr>
          <w:lang w:val="en-US"/>
        </w:rPr>
        <w:t>) was substituted for 4-cyclohexyl-1-butyl-</w:t>
      </w:r>
      <w:r>
        <w:t>β</w:t>
      </w:r>
      <w:r w:rsidRPr="00C42DF6">
        <w:rPr>
          <w:lang w:val="en-US"/>
        </w:rPr>
        <w:t>-D-</w:t>
      </w:r>
      <w:proofErr w:type="spellStart"/>
      <w:r w:rsidRPr="00C42DF6">
        <w:rPr>
          <w:lang w:val="en-US"/>
        </w:rPr>
        <w:t>maltoside</w:t>
      </w:r>
      <w:proofErr w:type="spellEnd"/>
      <w:r w:rsidRPr="00C42DF6">
        <w:rPr>
          <w:lang w:val="en-US"/>
        </w:rPr>
        <w:t xml:space="preserve"> (Cymal-4, </w:t>
      </w:r>
      <w:proofErr w:type="spellStart"/>
      <w:r w:rsidRPr="00C42DF6">
        <w:rPr>
          <w:lang w:val="en-US"/>
        </w:rPr>
        <w:t>Anatrace</w:t>
      </w:r>
      <w:proofErr w:type="spellEnd"/>
      <w:r w:rsidRPr="00C42DF6">
        <w:rPr>
          <w:lang w:val="en-US"/>
        </w:rPr>
        <w:t xml:space="preserve">) using final concentrations of 3% (w/v) for membrane </w:t>
      </w:r>
      <w:proofErr w:type="spellStart"/>
      <w:r w:rsidRPr="00C42DF6">
        <w:rPr>
          <w:lang w:val="en-US"/>
        </w:rPr>
        <w:t>solubilization</w:t>
      </w:r>
      <w:proofErr w:type="spellEnd"/>
      <w:r w:rsidRPr="00C42DF6">
        <w:rPr>
          <w:lang w:val="en-US"/>
        </w:rPr>
        <w:t xml:space="preserve"> and 0.8% (w/v) for all remaining steps. A detailed description of the experimental procedure and biochemical characterization of the purified protein can be found in the Supplementary Information (subchapter Tag-free Purification of GPR and Fig. S1).</w:t>
      </w:r>
    </w:p>
    <w:p w:rsidR="00C42DF6" w:rsidRPr="00C42DF6" w:rsidRDefault="00C42DF6" w:rsidP="00C42DF6">
      <w:pPr>
        <w:jc w:val="both"/>
        <w:rPr>
          <w:lang w:val="en-US"/>
        </w:rPr>
      </w:pPr>
      <w:proofErr w:type="spellStart"/>
      <w:r w:rsidRPr="00C42DF6">
        <w:rPr>
          <w:b/>
          <w:lang w:val="en-US"/>
        </w:rPr>
        <w:t>Cryo</w:t>
      </w:r>
      <w:proofErr w:type="spellEnd"/>
      <w:r w:rsidRPr="00C42DF6">
        <w:rPr>
          <w:b/>
          <w:lang w:val="en-US"/>
        </w:rPr>
        <w:t>-EM grid preparation and data collection</w:t>
      </w:r>
    </w:p>
    <w:p w:rsidR="00C42DF6" w:rsidRPr="00C42DF6" w:rsidRDefault="00C42DF6" w:rsidP="00C42DF6">
      <w:pPr>
        <w:jc w:val="both"/>
        <w:rPr>
          <w:lang w:val="en-US"/>
        </w:rPr>
      </w:pPr>
      <w:r w:rsidRPr="00C42DF6">
        <w:rPr>
          <w:lang w:val="en-US"/>
        </w:rPr>
        <w:t>Purified GPR (2.5 </w:t>
      </w:r>
      <w:r>
        <w:t>μ</w:t>
      </w:r>
      <w:r w:rsidRPr="00C42DF6">
        <w:rPr>
          <w:lang w:val="en-US"/>
        </w:rPr>
        <w:t xml:space="preserve">L at 3.5 mg/mL) was applied to </w:t>
      </w:r>
      <w:proofErr w:type="spellStart"/>
      <w:r w:rsidRPr="00C42DF6">
        <w:rPr>
          <w:lang w:val="en-US"/>
        </w:rPr>
        <w:t>Quantifoil</w:t>
      </w:r>
      <w:proofErr w:type="spellEnd"/>
      <w:r w:rsidRPr="00C42DF6">
        <w:rPr>
          <w:lang w:val="en-US"/>
        </w:rPr>
        <w:t xml:space="preserve"> R1.2/1.3 300 mesh copper holey-carbon grids that were glow discharged for 30 s at 10 mA and 0.25 mbar. Samples were blotted for 5 s and vitrified in liquid ethane using a </w:t>
      </w:r>
      <w:proofErr w:type="spellStart"/>
      <w:r w:rsidRPr="00C42DF6">
        <w:rPr>
          <w:lang w:val="en-US"/>
        </w:rPr>
        <w:t>Vitrobot</w:t>
      </w:r>
      <w:proofErr w:type="spellEnd"/>
      <w:r w:rsidRPr="00C42DF6">
        <w:rPr>
          <w:lang w:val="en-US"/>
        </w:rPr>
        <w:t xml:space="preserve"> Mark IV (</w:t>
      </w:r>
      <w:proofErr w:type="spellStart"/>
      <w:r w:rsidRPr="00C42DF6">
        <w:rPr>
          <w:lang w:val="en-US"/>
        </w:rPr>
        <w:t>ThermoFisher</w:t>
      </w:r>
      <w:proofErr w:type="spellEnd"/>
      <w:r w:rsidRPr="00C42DF6">
        <w:rPr>
          <w:lang w:val="en-US"/>
        </w:rPr>
        <w:t xml:space="preserve">) at 4 °C and 100% humidity. Data were acquired using SerialEM48 on a Titan </w:t>
      </w:r>
      <w:proofErr w:type="spellStart"/>
      <w:r w:rsidRPr="00C42DF6">
        <w:rPr>
          <w:lang w:val="en-US"/>
        </w:rPr>
        <w:t>Krios</w:t>
      </w:r>
      <w:proofErr w:type="spellEnd"/>
      <w:r w:rsidRPr="00C42DF6">
        <w:rPr>
          <w:lang w:val="en-US"/>
        </w:rPr>
        <w:t xml:space="preserve"> G3 (</w:t>
      </w:r>
      <w:proofErr w:type="spellStart"/>
      <w:r w:rsidRPr="00C42DF6">
        <w:rPr>
          <w:lang w:val="en-US"/>
        </w:rPr>
        <w:t>ThermoFisher</w:t>
      </w:r>
      <w:proofErr w:type="spellEnd"/>
      <w:r w:rsidRPr="00C42DF6">
        <w:rPr>
          <w:lang w:val="en-US"/>
        </w:rPr>
        <w:t>) operated at 300 kV and equipped with a Quantum-K3 direct electron detector (</w:t>
      </w:r>
      <w:proofErr w:type="spellStart"/>
      <w:r w:rsidRPr="00C42DF6">
        <w:rPr>
          <w:lang w:val="en-US"/>
        </w:rPr>
        <w:t>Gatan</w:t>
      </w:r>
      <w:proofErr w:type="spellEnd"/>
      <w:r w:rsidRPr="00C42DF6">
        <w:rPr>
          <w:lang w:val="en-US"/>
        </w:rPr>
        <w:t>). Micrograph movies were recorded in counting mode at a magnification of ×130,000 (corresponding to a calibrated pixel size of 0.645 Å) and a defocus range of −0.9 to −1.9 </w:t>
      </w:r>
      <w:r>
        <w:t>μ</w:t>
      </w:r>
      <w:r w:rsidRPr="00C42DF6">
        <w:rPr>
          <w:lang w:val="en-US"/>
        </w:rPr>
        <w:t>m. A total of 20,307 movies were collected, each comprising 40 frames, with a total dose of 54.23 e−/Å2.</w:t>
      </w:r>
    </w:p>
    <w:p w:rsidR="00C42DF6" w:rsidRPr="00C42DF6" w:rsidRDefault="00C42DF6" w:rsidP="00C42DF6">
      <w:pPr>
        <w:jc w:val="both"/>
        <w:rPr>
          <w:lang w:val="en-US"/>
        </w:rPr>
      </w:pPr>
      <w:r w:rsidRPr="00C42DF6">
        <w:rPr>
          <w:b/>
          <w:lang w:val="en-US"/>
        </w:rPr>
        <w:t>Data processing</w:t>
      </w:r>
    </w:p>
    <w:p w:rsidR="00C42DF6" w:rsidRPr="00C42DF6" w:rsidRDefault="00C42DF6" w:rsidP="00C42DF6">
      <w:pPr>
        <w:jc w:val="both"/>
        <w:rPr>
          <w:lang w:val="en-US"/>
        </w:rPr>
      </w:pPr>
      <w:r w:rsidRPr="00C42DF6">
        <w:rPr>
          <w:lang w:val="en-US"/>
        </w:rPr>
        <w:t xml:space="preserve">The single-particle </w:t>
      </w:r>
      <w:proofErr w:type="spellStart"/>
      <w:r w:rsidRPr="00C42DF6">
        <w:rPr>
          <w:lang w:val="en-US"/>
        </w:rPr>
        <w:t>cryo</w:t>
      </w:r>
      <w:proofErr w:type="spellEnd"/>
      <w:r w:rsidRPr="00C42DF6">
        <w:rPr>
          <w:lang w:val="en-US"/>
        </w:rPr>
        <w:t xml:space="preserve">-EM image processing workflow is summarized in Fig. S11. Dose weighting and beam-induced motion correction of dose-fractionated and gain-corrected movies (2x binned to a pixel size of 1.29 Å) were performed using MotionCor2 (version 1.3.1)49. Contrast transfer function (CTF) parameters were estimated using </w:t>
      </w:r>
      <w:proofErr w:type="spellStart"/>
      <w:r w:rsidRPr="00C42DF6">
        <w:rPr>
          <w:lang w:val="en-US"/>
        </w:rPr>
        <w:t>ctffind</w:t>
      </w:r>
      <w:proofErr w:type="spellEnd"/>
      <w:r w:rsidRPr="00C42DF6">
        <w:rPr>
          <w:lang w:val="en-US"/>
        </w:rPr>
        <w:t xml:space="preserve"> 4.1.1350. From 20,307 micrographs, those with astigmatism greater than 300 Å, figure of merit smaller than 0.05 and maximum CTF resolution worse than 5 Å were rejected, resulting in 17,213 images. Initial particles to generate templates for </w:t>
      </w:r>
      <w:proofErr w:type="spellStart"/>
      <w:r w:rsidRPr="00C42DF6">
        <w:rPr>
          <w:lang w:val="en-US"/>
        </w:rPr>
        <w:t>autopicking</w:t>
      </w:r>
      <w:proofErr w:type="spellEnd"/>
      <w:r w:rsidRPr="00C42DF6">
        <w:rPr>
          <w:lang w:val="en-US"/>
        </w:rPr>
        <w:t xml:space="preserve"> were picked using a Laplacian-of-Gaussian filter in </w:t>
      </w:r>
      <w:proofErr w:type="spellStart"/>
      <w:r w:rsidRPr="00C42DF6">
        <w:rPr>
          <w:lang w:val="en-US"/>
        </w:rPr>
        <w:t>Relion</w:t>
      </w:r>
      <w:proofErr w:type="spellEnd"/>
      <w:r w:rsidRPr="00C42DF6">
        <w:rPr>
          <w:lang w:val="en-US"/>
        </w:rPr>
        <w:t xml:space="preserve"> 3.151,52. Using selected 2D classes as templates, a total of 3,645,628 particles were picked from 17,213 images. Particles were sorted by two rounds of 2D classification to remove low-quality particles and contaminations. 2,005,745 particles were further selected by two rounds of 3D classification using an imposed C5 symmetry. 717,107 particles from classes showing high-resolution features were selected and further processed with per-particle CTF refinement and Bayesian Polishing52. The polished particles were imported in cryoSPARC53 and used to generate an ab initio 3D model that was further refined by homogeneous and subsequent non-uniform refinement. The resulting map was subjected to the PHENIX54,55 density modification tool Resolve Cryo-EM56. The final protein model was achieved by several iterations of manual model building in Coot57, real-space refinement in PHENIX54 and structure validation using MolProbity58. Data collection, model refinement and validation statistics are summarized in Table S2 and analysis of the final </w:t>
      </w:r>
      <w:proofErr w:type="spellStart"/>
      <w:r w:rsidRPr="00C42DF6">
        <w:rPr>
          <w:lang w:val="en-US"/>
        </w:rPr>
        <w:t>cryo</w:t>
      </w:r>
      <w:proofErr w:type="spellEnd"/>
      <w:r w:rsidRPr="00C42DF6">
        <w:rPr>
          <w:lang w:val="en-US"/>
        </w:rPr>
        <w:t xml:space="preserve">-EM density map is shown in Fig. S12. The </w:t>
      </w:r>
      <w:proofErr w:type="spellStart"/>
      <w:r w:rsidRPr="00C42DF6">
        <w:rPr>
          <w:lang w:val="en-US"/>
        </w:rPr>
        <w:t>cryo</w:t>
      </w:r>
      <w:proofErr w:type="spellEnd"/>
      <w:r w:rsidRPr="00C42DF6">
        <w:rPr>
          <w:lang w:val="en-US"/>
        </w:rPr>
        <w:t xml:space="preserve">-EM map and the protein coordinates were deposited in the Electron Microscopy Data Bank (EMD-11955) and Protein Data Bank (PDB-ID: 7B03), respectively. All volume and structural representations were prepared using Chimera v1.1259 or </w:t>
      </w:r>
      <w:proofErr w:type="spellStart"/>
      <w:r w:rsidRPr="00C42DF6">
        <w:rPr>
          <w:lang w:val="en-US"/>
        </w:rPr>
        <w:t>PyMol</w:t>
      </w:r>
      <w:proofErr w:type="spellEnd"/>
      <w:r w:rsidRPr="00C42DF6">
        <w:rPr>
          <w:lang w:val="en-US"/>
        </w:rPr>
        <w:t xml:space="preserve"> v2.3 (The </w:t>
      </w:r>
      <w:proofErr w:type="spellStart"/>
      <w:r w:rsidRPr="00C42DF6">
        <w:rPr>
          <w:lang w:val="en-US"/>
        </w:rPr>
        <w:t>PyMol</w:t>
      </w:r>
      <w:proofErr w:type="spellEnd"/>
      <w:r w:rsidRPr="00C42DF6">
        <w:rPr>
          <w:lang w:val="en-US"/>
        </w:rPr>
        <w:t xml:space="preserve"> Molecular Graphics System, Schrödinger).</w:t>
      </w:r>
    </w:p>
    <w:p w:rsidR="00C42DF6" w:rsidRPr="00C42DF6" w:rsidRDefault="00C42DF6" w:rsidP="00C42DF6">
      <w:pPr>
        <w:jc w:val="both"/>
        <w:rPr>
          <w:lang w:val="en-US"/>
        </w:rPr>
      </w:pPr>
      <w:proofErr w:type="spellStart"/>
      <w:r w:rsidRPr="00C42DF6">
        <w:rPr>
          <w:b/>
          <w:lang w:val="en-US"/>
        </w:rPr>
        <w:lastRenderedPageBreak/>
        <w:t>Photoactivity</w:t>
      </w:r>
      <w:proofErr w:type="spellEnd"/>
      <w:r w:rsidRPr="00C42DF6">
        <w:rPr>
          <w:b/>
          <w:lang w:val="en-US"/>
        </w:rPr>
        <w:t xml:space="preserve"> of GPR mutants</w:t>
      </w:r>
    </w:p>
    <w:p w:rsidR="00C42DF6" w:rsidRPr="00C42DF6" w:rsidRDefault="00C42DF6" w:rsidP="00C42DF6">
      <w:pPr>
        <w:jc w:val="both"/>
        <w:rPr>
          <w:lang w:val="en-US"/>
        </w:rPr>
      </w:pPr>
      <w:r w:rsidRPr="00C42DF6">
        <w:rPr>
          <w:lang w:val="en-US"/>
        </w:rPr>
        <w:t xml:space="preserve">GPR mutants K58A, W59A, Y96F, E143A, S180A, Y209F, Y224F and E246A were prepared using the </w:t>
      </w:r>
      <w:proofErr w:type="spellStart"/>
      <w:r w:rsidRPr="00C42DF6">
        <w:rPr>
          <w:lang w:val="en-US"/>
        </w:rPr>
        <w:t>QuikChange</w:t>
      </w:r>
      <w:proofErr w:type="spellEnd"/>
      <w:r w:rsidRPr="00C42DF6">
        <w:rPr>
          <w:lang w:val="en-US"/>
        </w:rPr>
        <w:t xml:space="preserve"> Lightning Multi Site-Directed Mutagenesis Kit (Agilent). The variants were expressed in E. coli identically to the wild-type protein and as described previously20. Expression levels of the different GPR mutants were quantified (Table S1) and later applied to correct the proton pumping activity (Fig. 4C). To this end, cells were thawed, lysed by sonication (Branson 450 Digital </w:t>
      </w:r>
      <w:proofErr w:type="spellStart"/>
      <w:r w:rsidRPr="00C42DF6">
        <w:rPr>
          <w:lang w:val="en-US"/>
        </w:rPr>
        <w:t>Sonifier</w:t>
      </w:r>
      <w:proofErr w:type="spellEnd"/>
      <w:r w:rsidRPr="00C42DF6">
        <w:rPr>
          <w:lang w:val="en-US"/>
        </w:rPr>
        <w:t xml:space="preserve">) and membranes isolated as described for the wild-type protein (see Supplementary Information). Small aliquots of GPR containing membranes were solubilized in 3% (w/v) Cymal-4 and </w:t>
      </w:r>
      <w:proofErr w:type="spellStart"/>
      <w:r w:rsidRPr="00C42DF6">
        <w:rPr>
          <w:lang w:val="en-US"/>
        </w:rPr>
        <w:t>unsolubilized</w:t>
      </w:r>
      <w:proofErr w:type="spellEnd"/>
      <w:r w:rsidRPr="00C42DF6">
        <w:rPr>
          <w:lang w:val="en-US"/>
        </w:rPr>
        <w:t xml:space="preserve"> material was removed by ultracentrifugation at 100,000 × g and 4 °C for 20 min. The optical density was measured at the retinal absorption maximum of the individual variants (Table S1) using a UV-1600PC spectrophotometer and was used to calculate the GPR concentration. Cells for the functional assay were washed once after expression in 150 </w:t>
      </w:r>
      <w:proofErr w:type="spellStart"/>
      <w:r w:rsidRPr="00C42DF6">
        <w:rPr>
          <w:lang w:val="en-US"/>
        </w:rPr>
        <w:t>mM</w:t>
      </w:r>
      <w:proofErr w:type="spellEnd"/>
      <w:r w:rsidRPr="00C42DF6">
        <w:rPr>
          <w:lang w:val="en-US"/>
        </w:rPr>
        <w:t xml:space="preserve"> </w:t>
      </w:r>
      <w:proofErr w:type="spellStart"/>
      <w:r w:rsidRPr="00C42DF6">
        <w:rPr>
          <w:lang w:val="en-US"/>
        </w:rPr>
        <w:t>NaCl</w:t>
      </w:r>
      <w:proofErr w:type="spellEnd"/>
      <w:r w:rsidRPr="00C42DF6">
        <w:rPr>
          <w:lang w:val="en-US"/>
        </w:rPr>
        <w:t xml:space="preserve"> (adjusted to pH 7.5 with </w:t>
      </w:r>
      <w:proofErr w:type="spellStart"/>
      <w:r w:rsidRPr="00C42DF6">
        <w:rPr>
          <w:lang w:val="en-US"/>
        </w:rPr>
        <w:t>NaOH</w:t>
      </w:r>
      <w:proofErr w:type="spellEnd"/>
      <w:r w:rsidRPr="00C42DF6">
        <w:rPr>
          <w:lang w:val="en-US"/>
        </w:rPr>
        <w:t xml:space="preserve">) and </w:t>
      </w:r>
      <w:proofErr w:type="spellStart"/>
      <w:r w:rsidRPr="00C42DF6">
        <w:rPr>
          <w:lang w:val="en-US"/>
        </w:rPr>
        <w:t>resuspended</w:t>
      </w:r>
      <w:proofErr w:type="spellEnd"/>
      <w:r w:rsidRPr="00C42DF6">
        <w:rPr>
          <w:lang w:val="en-US"/>
        </w:rPr>
        <w:t xml:space="preserve"> to an OD600 of 40. Aliquots of 0.8 mL were supplemented with 0.8 mL 50% (v/v) glycerol, flash-frozen in liquid nitrogen and stored at −80 °C until used. The proton pumping activity of GPR mutants expressed in E. coli was assessed using an established </w:t>
      </w:r>
      <w:proofErr w:type="spellStart"/>
      <w:r w:rsidRPr="00C42DF6">
        <w:rPr>
          <w:lang w:val="en-US"/>
        </w:rPr>
        <w:t>photoactivity</w:t>
      </w:r>
      <w:proofErr w:type="spellEnd"/>
      <w:r w:rsidRPr="00C42DF6">
        <w:rPr>
          <w:lang w:val="en-US"/>
        </w:rPr>
        <w:t xml:space="preserve"> assay12,60. Briefly, cells were thawed and washed twice before </w:t>
      </w:r>
      <w:proofErr w:type="spellStart"/>
      <w:r w:rsidRPr="00C42DF6">
        <w:rPr>
          <w:lang w:val="en-US"/>
        </w:rPr>
        <w:t>resuspending</w:t>
      </w:r>
      <w:proofErr w:type="spellEnd"/>
      <w:r w:rsidRPr="00C42DF6">
        <w:rPr>
          <w:lang w:val="en-US"/>
        </w:rPr>
        <w:t xml:space="preserve"> in 150 </w:t>
      </w:r>
      <w:proofErr w:type="spellStart"/>
      <w:r w:rsidRPr="00C42DF6">
        <w:rPr>
          <w:lang w:val="en-US"/>
        </w:rPr>
        <w:t>mM</w:t>
      </w:r>
      <w:proofErr w:type="spellEnd"/>
      <w:r w:rsidRPr="00C42DF6">
        <w:rPr>
          <w:lang w:val="en-US"/>
        </w:rPr>
        <w:t xml:space="preserve"> </w:t>
      </w:r>
      <w:proofErr w:type="spellStart"/>
      <w:r w:rsidRPr="00C42DF6">
        <w:rPr>
          <w:lang w:val="en-US"/>
        </w:rPr>
        <w:t>NaCl</w:t>
      </w:r>
      <w:proofErr w:type="spellEnd"/>
      <w:r w:rsidRPr="00C42DF6">
        <w:rPr>
          <w:lang w:val="en-US"/>
        </w:rPr>
        <w:t xml:space="preserve"> (adjusted to pH 7.5 with </w:t>
      </w:r>
      <w:proofErr w:type="spellStart"/>
      <w:r w:rsidRPr="00C42DF6">
        <w:rPr>
          <w:lang w:val="en-US"/>
        </w:rPr>
        <w:t>NaOH</w:t>
      </w:r>
      <w:proofErr w:type="spellEnd"/>
      <w:r w:rsidRPr="00C42DF6">
        <w:rPr>
          <w:lang w:val="en-US"/>
        </w:rPr>
        <w:t>). pH changes upon repeated illumination were measured using a micro pH-electrode (</w:t>
      </w:r>
      <w:proofErr w:type="spellStart"/>
      <w:r w:rsidRPr="00C42DF6">
        <w:rPr>
          <w:lang w:val="en-US"/>
        </w:rPr>
        <w:t>InLab</w:t>
      </w:r>
      <w:proofErr w:type="spellEnd"/>
      <w:r w:rsidRPr="00C42DF6">
        <w:rPr>
          <w:lang w:val="en-US"/>
        </w:rPr>
        <w:t xml:space="preserve"> Micro Pro, </w:t>
      </w:r>
      <w:proofErr w:type="spellStart"/>
      <w:r w:rsidRPr="00C42DF6">
        <w:rPr>
          <w:lang w:val="en-US"/>
        </w:rPr>
        <w:t>Mettler</w:t>
      </w:r>
      <w:proofErr w:type="spellEnd"/>
      <w:r w:rsidRPr="00C42DF6">
        <w:rPr>
          <w:lang w:val="en-US"/>
        </w:rPr>
        <w:t xml:space="preserve"> Toledo). Four consecutive cycles of darkness and illumination (8 min each) were recorded. Maximal differences of the proton concentration before and after illumination were averaged and normalized to the wild-type protein. Lastly, activities were corrected for the different expression levels of the GPR variants (Table S1).</w:t>
      </w:r>
    </w:p>
    <w:p w:rsidR="00C42DF6" w:rsidRPr="00C42DF6" w:rsidRDefault="00C42DF6" w:rsidP="00C42DF6">
      <w:pPr>
        <w:jc w:val="both"/>
        <w:rPr>
          <w:lang w:val="en-US"/>
        </w:rPr>
      </w:pPr>
      <w:r w:rsidRPr="00C42DF6">
        <w:rPr>
          <w:b/>
          <w:lang w:val="en-US"/>
        </w:rPr>
        <w:t>Molecular dynamics simulations</w:t>
      </w:r>
    </w:p>
    <w:p w:rsidR="00C42DF6" w:rsidRPr="00C42DF6" w:rsidRDefault="00C42DF6" w:rsidP="00C42DF6">
      <w:pPr>
        <w:jc w:val="both"/>
        <w:rPr>
          <w:lang w:val="en-US"/>
        </w:rPr>
      </w:pPr>
      <w:r w:rsidRPr="00C42DF6">
        <w:rPr>
          <w:lang w:val="en-US"/>
        </w:rPr>
        <w:t xml:space="preserve">Molecular dynamics simulations were carried out in order to characterize the effect of </w:t>
      </w:r>
      <w:proofErr w:type="spellStart"/>
      <w:r w:rsidRPr="00C42DF6">
        <w:rPr>
          <w:lang w:val="en-US"/>
        </w:rPr>
        <w:t>oligomerization</w:t>
      </w:r>
      <w:proofErr w:type="spellEnd"/>
      <w:r w:rsidRPr="00C42DF6">
        <w:rPr>
          <w:lang w:val="en-US"/>
        </w:rPr>
        <w:t xml:space="preserve"> and protonation of E109 and E143 on the dynamics of GPR. The </w:t>
      </w:r>
      <w:proofErr w:type="spellStart"/>
      <w:r w:rsidRPr="00C42DF6">
        <w:rPr>
          <w:lang w:val="en-US"/>
        </w:rPr>
        <w:t>cryo</w:t>
      </w:r>
      <w:proofErr w:type="spellEnd"/>
      <w:r w:rsidRPr="00C42DF6">
        <w:rPr>
          <w:lang w:val="en-US"/>
        </w:rPr>
        <w:t xml:space="preserve">-EM structure of GPR (PDB ID: 7B03) was used as initial model. One monomer and the entire </w:t>
      </w:r>
      <w:proofErr w:type="spellStart"/>
      <w:r w:rsidRPr="00C42DF6">
        <w:rPr>
          <w:lang w:val="en-US"/>
        </w:rPr>
        <w:t>pentamer</w:t>
      </w:r>
      <w:proofErr w:type="spellEnd"/>
      <w:r w:rsidRPr="00C42DF6">
        <w:rPr>
          <w:lang w:val="en-US"/>
        </w:rPr>
        <w:t xml:space="preserve"> were each embedded into a lipid bilayer mimicking a bacterial membrane61 composed of a 3:1 mixture of </w:t>
      </w:r>
      <w:proofErr w:type="spellStart"/>
      <w:r w:rsidRPr="00C42DF6">
        <w:rPr>
          <w:lang w:val="en-US"/>
        </w:rPr>
        <w:t>palmitoyl</w:t>
      </w:r>
      <w:proofErr w:type="spellEnd"/>
      <w:r w:rsidRPr="00C42DF6">
        <w:rPr>
          <w:lang w:val="en-US"/>
        </w:rPr>
        <w:t xml:space="preserve"> </w:t>
      </w:r>
      <w:proofErr w:type="spellStart"/>
      <w:r w:rsidRPr="00C42DF6">
        <w:rPr>
          <w:lang w:val="en-US"/>
        </w:rPr>
        <w:t>oleoyl</w:t>
      </w:r>
      <w:proofErr w:type="spellEnd"/>
      <w:r w:rsidRPr="00C42DF6">
        <w:rPr>
          <w:lang w:val="en-US"/>
        </w:rPr>
        <w:t xml:space="preserve"> phosphatidylethanolamine (POPE) and </w:t>
      </w:r>
      <w:proofErr w:type="spellStart"/>
      <w:r w:rsidRPr="00C42DF6">
        <w:rPr>
          <w:lang w:val="en-US"/>
        </w:rPr>
        <w:t>palmitoyl</w:t>
      </w:r>
      <w:proofErr w:type="spellEnd"/>
      <w:r w:rsidRPr="00C42DF6">
        <w:rPr>
          <w:lang w:val="en-US"/>
        </w:rPr>
        <w:t xml:space="preserve"> </w:t>
      </w:r>
      <w:proofErr w:type="spellStart"/>
      <w:r w:rsidRPr="00C42DF6">
        <w:rPr>
          <w:lang w:val="en-US"/>
        </w:rPr>
        <w:t>oleoyl</w:t>
      </w:r>
      <w:proofErr w:type="spellEnd"/>
      <w:r w:rsidRPr="00C42DF6">
        <w:rPr>
          <w:lang w:val="en-US"/>
        </w:rPr>
        <w:t xml:space="preserve"> </w:t>
      </w:r>
      <w:proofErr w:type="spellStart"/>
      <w:r w:rsidRPr="00C42DF6">
        <w:rPr>
          <w:lang w:val="en-US"/>
        </w:rPr>
        <w:t>phosphatidylglycerol</w:t>
      </w:r>
      <w:proofErr w:type="spellEnd"/>
      <w:r w:rsidRPr="00C42DF6">
        <w:rPr>
          <w:lang w:val="en-US"/>
        </w:rPr>
        <w:t xml:space="preserve"> (POPG). Each system was then solvated by adding a 20 Å water layer on both sides of the membrane and neutralized with 150 </w:t>
      </w:r>
      <w:proofErr w:type="spellStart"/>
      <w:r w:rsidRPr="00C42DF6">
        <w:rPr>
          <w:lang w:val="en-US"/>
        </w:rPr>
        <w:t>mM</w:t>
      </w:r>
      <w:proofErr w:type="spellEnd"/>
      <w:r w:rsidRPr="00C42DF6">
        <w:rPr>
          <w:lang w:val="en-US"/>
        </w:rPr>
        <w:t xml:space="preserve"> </w:t>
      </w:r>
      <w:proofErr w:type="spellStart"/>
      <w:r w:rsidRPr="00C42DF6">
        <w:rPr>
          <w:lang w:val="en-US"/>
        </w:rPr>
        <w:t>NaCl</w:t>
      </w:r>
      <w:proofErr w:type="spellEnd"/>
      <w:r w:rsidRPr="00C42DF6">
        <w:rPr>
          <w:lang w:val="en-US"/>
        </w:rPr>
        <w:t xml:space="preserve">. These systems were initially assembled using the CHARMM-GUI webserver62. The retinal topology63 and the glutamate protonation states were built with the </w:t>
      </w:r>
      <w:proofErr w:type="spellStart"/>
      <w:r w:rsidRPr="00C42DF6">
        <w:rPr>
          <w:lang w:val="en-US"/>
        </w:rPr>
        <w:t>psfgen</w:t>
      </w:r>
      <w:proofErr w:type="spellEnd"/>
      <w:r w:rsidRPr="00C42DF6">
        <w:rPr>
          <w:lang w:val="en-US"/>
        </w:rPr>
        <w:t xml:space="preserve"> plugin of VMD64, using the force field parameters from a previous BPR study65. In total, five systems were assembled with different protonation states for E109 and E143 (Table 1). The protonation states of the remaining </w:t>
      </w:r>
      <w:proofErr w:type="spellStart"/>
      <w:r w:rsidRPr="00C42DF6">
        <w:rPr>
          <w:lang w:val="en-US"/>
        </w:rPr>
        <w:t>ionisable</w:t>
      </w:r>
      <w:proofErr w:type="spellEnd"/>
      <w:r w:rsidRPr="00C42DF6">
        <w:rPr>
          <w:lang w:val="en-US"/>
        </w:rPr>
        <w:t xml:space="preserve"> residues were assigned according to previous MD work on BPR65.</w:t>
      </w:r>
      <w:bookmarkStart w:id="0" w:name="_GoBack"/>
      <w:bookmarkEnd w:id="0"/>
    </w:p>
    <w:p w:rsidR="00DE043E" w:rsidRDefault="00C42DF6" w:rsidP="00C42DF6">
      <w:pPr>
        <w:jc w:val="both"/>
      </w:pPr>
      <w:r w:rsidRPr="00C42DF6">
        <w:rPr>
          <w:lang w:val="en-US"/>
        </w:rPr>
        <w:t xml:space="preserve">The simulations were performed with the CHARMM36 force field66, including CMAP corrections for the protein. The water molecules were described with the TIP3P water67 parameterization. The simulations were carried out with OPENMM molecular engine68 following the minimization and equilibration protocols provided by CHARMM-GUI. The cutoff for non-bonded interactions was set to 12 Å with a switching distance at 10 Å. The periodic electrostatic interactions were computed using particle-mesh Ewald (PME) summation with a grid spacing smaller than 1 Å. Constant temperature of 300 K was imposed by </w:t>
      </w:r>
      <w:proofErr w:type="spellStart"/>
      <w:r w:rsidRPr="00C42DF6">
        <w:rPr>
          <w:lang w:val="en-US"/>
        </w:rPr>
        <w:t>Langevin</w:t>
      </w:r>
      <w:proofErr w:type="spellEnd"/>
      <w:r w:rsidRPr="00C42DF6">
        <w:rPr>
          <w:lang w:val="en-US"/>
        </w:rPr>
        <w:t xml:space="preserve"> dynamics with a damping coefficient of 1.0 ps. Constant pressure of 1 </w:t>
      </w:r>
      <w:proofErr w:type="spellStart"/>
      <w:r w:rsidRPr="00C42DF6">
        <w:rPr>
          <w:lang w:val="en-US"/>
        </w:rPr>
        <w:t>atm</w:t>
      </w:r>
      <w:proofErr w:type="spellEnd"/>
      <w:r w:rsidRPr="00C42DF6">
        <w:rPr>
          <w:lang w:val="en-US"/>
        </w:rPr>
        <w:t xml:space="preserve"> was maintained with Monte Carlo barostat69. The hydrogen mass repartitioning scheme was used to achieve a 4 fs time-step70. The number of replica and simulation timescales of each system are provided in Table 1. The trajectories were </w:t>
      </w:r>
      <w:proofErr w:type="spellStart"/>
      <w:r w:rsidRPr="00C42DF6">
        <w:rPr>
          <w:lang w:val="en-US"/>
        </w:rPr>
        <w:t>analysed</w:t>
      </w:r>
      <w:proofErr w:type="spellEnd"/>
      <w:r w:rsidRPr="00C42DF6">
        <w:rPr>
          <w:lang w:val="en-US"/>
        </w:rPr>
        <w:t xml:space="preserve"> with VMD and an in-house script implemented in </w:t>
      </w:r>
      <w:proofErr w:type="spellStart"/>
      <w:r w:rsidRPr="00C42DF6">
        <w:rPr>
          <w:lang w:val="en-US"/>
        </w:rPr>
        <w:t>tcl</w:t>
      </w:r>
      <w:proofErr w:type="spellEnd"/>
      <w:r w:rsidRPr="00C42DF6">
        <w:rPr>
          <w:lang w:val="en-US"/>
        </w:rPr>
        <w:t xml:space="preserve">. </w:t>
      </w:r>
      <w:r>
        <w:t xml:space="preserve">The </w:t>
      </w:r>
      <w:proofErr w:type="spellStart"/>
      <w:r>
        <w:t>principal</w:t>
      </w:r>
      <w:proofErr w:type="spellEnd"/>
      <w:r>
        <w:t xml:space="preserve"> </w:t>
      </w:r>
      <w:proofErr w:type="spellStart"/>
      <w:r>
        <w:t>component</w:t>
      </w:r>
      <w:proofErr w:type="spellEnd"/>
      <w:r>
        <w:t xml:space="preserve"> </w:t>
      </w:r>
      <w:proofErr w:type="spellStart"/>
      <w:r>
        <w:t>analysis</w:t>
      </w:r>
      <w:proofErr w:type="spellEnd"/>
      <w:r>
        <w:t xml:space="preserve"> was </w:t>
      </w:r>
      <w:proofErr w:type="spellStart"/>
      <w:r>
        <w:t>computed</w:t>
      </w:r>
      <w:proofErr w:type="spellEnd"/>
      <w:r>
        <w:t xml:space="preserve"> </w:t>
      </w:r>
      <w:proofErr w:type="spellStart"/>
      <w:r>
        <w:t>using</w:t>
      </w:r>
      <w:proofErr w:type="spellEnd"/>
      <w:r>
        <w:t xml:space="preserve"> ProDy71.</w:t>
      </w:r>
    </w:p>
    <w:sectPr w:rsidR="00DE043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DF6"/>
    <w:rsid w:val="001136A5"/>
    <w:rsid w:val="0023558C"/>
    <w:rsid w:val="00403BB5"/>
    <w:rsid w:val="006F7B25"/>
    <w:rsid w:val="00A431C8"/>
    <w:rsid w:val="00C42D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A79AA-5473-4480-86A2-A4FE6CB26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2998346">
      <w:bodyDiv w:val="1"/>
      <w:marLeft w:val="0"/>
      <w:marRight w:val="0"/>
      <w:marTop w:val="0"/>
      <w:marBottom w:val="0"/>
      <w:divBdr>
        <w:top w:val="none" w:sz="0" w:space="0" w:color="auto"/>
        <w:left w:val="none" w:sz="0" w:space="0" w:color="auto"/>
        <w:bottom w:val="none" w:sz="0" w:space="0" w:color="auto"/>
        <w:right w:val="none" w:sz="0" w:space="0" w:color="auto"/>
      </w:divBdr>
      <w:divsChild>
        <w:div w:id="141849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1194</Words>
  <Characters>6570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Universität Basel</Company>
  <LinksUpToDate>false</LinksUpToDate>
  <CharactersWithSpaces>7749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Almudena Gallego Gonzalez</dc:creator>
  <cp:keywords/>
  <dc:description/>
  <cp:lastModifiedBy>Almudena Gallego Gonzalez</cp:lastModifiedBy>
  <cp:revision>1</cp:revision>
  <dcterms:created xsi:type="dcterms:W3CDTF">2021-07-14T10:04:00Z</dcterms:created>
  <dcterms:modified xsi:type="dcterms:W3CDTF">2021-07-14T10:06:00Z</dcterms:modified>
</cp:coreProperties>
</file>