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CB019" w14:textId="77777777" w:rsidR="002839B9" w:rsidRPr="002839B9" w:rsidRDefault="002839B9">
      <w:pPr>
        <w:rPr>
          <w:rFonts w:ascii="Arial" w:hAnsi="Arial" w:cs="Arial"/>
        </w:rPr>
      </w:pPr>
      <w:r w:rsidRPr="002839B9">
        <w:rPr>
          <w:rFonts w:ascii="Arial" w:hAnsi="Arial" w:cs="Arial"/>
        </w:rPr>
        <w:t>Experiment #3: Human slip response to worn shoes. Detailed information on this study is available in [1].</w:t>
      </w:r>
    </w:p>
    <w:p w14:paraId="28BCAAA4" w14:textId="77777777" w:rsidR="00B42537" w:rsidRPr="002839B9" w:rsidRDefault="002839B9">
      <w:pPr>
        <w:rPr>
          <w:rFonts w:ascii="Arial" w:hAnsi="Arial" w:cs="Arial"/>
        </w:rPr>
      </w:pPr>
      <w:r w:rsidRPr="002839B9">
        <w:rPr>
          <w:rFonts w:ascii="Arial" w:hAnsi="Arial" w:cs="Arial"/>
        </w:rPr>
        <w:t>Row structure</w:t>
      </w:r>
      <w:r>
        <w:rPr>
          <w:rFonts w:ascii="Arial" w:hAnsi="Arial" w:cs="Arial"/>
        </w:rPr>
        <w:t>:</w:t>
      </w:r>
    </w:p>
    <w:p w14:paraId="68EB1D48" w14:textId="77777777" w:rsidR="002839B9" w:rsidRPr="002839B9" w:rsidRDefault="002839B9">
      <w:pPr>
        <w:rPr>
          <w:rFonts w:ascii="Arial" w:hAnsi="Arial" w:cs="Arial"/>
        </w:rPr>
      </w:pPr>
      <w:r w:rsidRPr="002839B9">
        <w:rPr>
          <w:rFonts w:ascii="Arial" w:hAnsi="Arial" w:cs="Arial"/>
        </w:rPr>
        <w:t>Each row represents a separate participant</w:t>
      </w:r>
    </w:p>
    <w:p w14:paraId="1ECF4CD8" w14:textId="77777777" w:rsidR="002839B9" w:rsidRDefault="002839B9">
      <w:pPr>
        <w:rPr>
          <w:rFonts w:ascii="Arial" w:hAnsi="Arial" w:cs="Arial"/>
        </w:rPr>
      </w:pPr>
      <w:r>
        <w:rPr>
          <w:rFonts w:ascii="Arial" w:hAnsi="Arial" w:cs="Arial"/>
        </w:rPr>
        <w:t>Column Structure:</w:t>
      </w:r>
    </w:p>
    <w:p w14:paraId="11C3AD59" w14:textId="77777777" w:rsidR="002839B9" w:rsidRDefault="002839B9">
      <w:pPr>
        <w:rPr>
          <w:rFonts w:ascii="Arial" w:hAnsi="Arial" w:cs="Arial"/>
        </w:rPr>
      </w:pPr>
      <w:r>
        <w:rPr>
          <w:rFonts w:ascii="Arial" w:hAnsi="Arial" w:cs="Arial"/>
        </w:rPr>
        <w:t xml:space="preserve">Column A </w:t>
      </w:r>
      <w:r w:rsidRPr="006F1323">
        <w:rPr>
          <w:rFonts w:ascii="Arial" w:hAnsi="Arial" w:cs="Arial"/>
        </w:rPr>
        <w:t>(“</w:t>
      </w:r>
      <w:r>
        <w:rPr>
          <w:rFonts w:ascii="Arial" w:hAnsi="Arial" w:cs="Arial"/>
        </w:rPr>
        <w:t>Worn Region Size</w:t>
      </w:r>
      <w:r w:rsidRPr="006F1323">
        <w:rPr>
          <w:rFonts w:ascii="Arial" w:hAnsi="Arial" w:cs="Arial"/>
        </w:rPr>
        <w:t xml:space="preserve"> [mm^2]”) represents the </w:t>
      </w:r>
      <w:r>
        <w:rPr>
          <w:rFonts w:ascii="Arial" w:hAnsi="Arial" w:cs="Arial"/>
        </w:rPr>
        <w:t>product</w:t>
      </w:r>
      <w:r w:rsidRPr="006F1323">
        <w:rPr>
          <w:rFonts w:ascii="Arial" w:hAnsi="Arial" w:cs="Arial"/>
        </w:rPr>
        <w:t xml:space="preserve"> of the </w:t>
      </w:r>
      <w:r>
        <w:rPr>
          <w:rFonts w:ascii="Arial" w:hAnsi="Arial" w:cs="Arial"/>
        </w:rPr>
        <w:t xml:space="preserve">worn region </w:t>
      </w:r>
      <w:r w:rsidRPr="006F1323">
        <w:rPr>
          <w:rFonts w:ascii="Arial" w:hAnsi="Arial" w:cs="Arial"/>
        </w:rPr>
        <w:t>length and width in mm</w:t>
      </w:r>
      <w:r w:rsidRPr="006F1323">
        <w:rPr>
          <w:rFonts w:ascii="Arial" w:hAnsi="Arial" w:cs="Arial"/>
          <w:vertAlign w:val="superscript"/>
        </w:rPr>
        <w:t>2</w:t>
      </w:r>
      <w:r w:rsidRPr="006F1323">
        <w:rPr>
          <w:rFonts w:ascii="Arial" w:hAnsi="Arial" w:cs="Arial"/>
        </w:rPr>
        <w:t xml:space="preserve"> [1].</w:t>
      </w:r>
      <w:r>
        <w:rPr>
          <w:rFonts w:ascii="Arial" w:hAnsi="Arial" w:cs="Arial"/>
        </w:rPr>
        <w:t xml:space="preserve"> </w:t>
      </w:r>
    </w:p>
    <w:p w14:paraId="1ADDEFA0" w14:textId="77777777" w:rsidR="00815A4D" w:rsidRDefault="00815A4D">
      <w:pPr>
        <w:rPr>
          <w:rFonts w:ascii="Arial" w:hAnsi="Arial" w:cs="Arial"/>
        </w:rPr>
      </w:pPr>
      <w:r>
        <w:rPr>
          <w:rFonts w:ascii="Arial" w:hAnsi="Arial" w:cs="Arial"/>
        </w:rPr>
        <w:t xml:space="preserve">Column B (“ACOF”) </w:t>
      </w:r>
      <w:r w:rsidRPr="00CD61C9">
        <w:rPr>
          <w:rFonts w:ascii="Arial" w:hAnsi="Arial" w:cs="Arial"/>
        </w:rPr>
        <w:t xml:space="preserve">represents the shoe average available coefficient of friction from the five slip testing trials </w:t>
      </w:r>
      <w:r>
        <w:rPr>
          <w:rFonts w:ascii="Arial" w:hAnsi="Arial" w:cs="Arial"/>
        </w:rPr>
        <w:t>[1</w:t>
      </w:r>
      <w:r w:rsidRPr="00CD61C9">
        <w:rPr>
          <w:rFonts w:ascii="Arial" w:hAnsi="Arial" w:cs="Arial"/>
        </w:rPr>
        <w:t>].</w:t>
      </w:r>
    </w:p>
    <w:p w14:paraId="4F3E7AC1" w14:textId="77777777" w:rsidR="00815A4D" w:rsidRDefault="00815A4D">
      <w:pPr>
        <w:rPr>
          <w:rFonts w:ascii="Arial" w:hAnsi="Arial" w:cs="Arial"/>
        </w:rPr>
      </w:pPr>
      <w:r>
        <w:rPr>
          <w:rFonts w:ascii="Arial" w:hAnsi="Arial" w:cs="Arial"/>
        </w:rPr>
        <w:t>Column C (“Slip Distance [m]”) represents the slip distance after exposure to the slippery contaminant. This variable was not reported in [1]. The methodological details for calculating this value is reported in [2].</w:t>
      </w:r>
    </w:p>
    <w:p w14:paraId="2AF82FB5" w14:textId="77777777" w:rsidR="00815A4D" w:rsidRDefault="00815A4D">
      <w:pPr>
        <w:rPr>
          <w:rFonts w:ascii="Arial" w:hAnsi="Arial" w:cs="Arial"/>
        </w:rPr>
      </w:pPr>
      <w:r>
        <w:rPr>
          <w:rFonts w:ascii="Arial" w:hAnsi="Arial" w:cs="Arial"/>
        </w:rPr>
        <w:t>Column D (“</w:t>
      </w:r>
      <w:r w:rsidRPr="00815A4D">
        <w:rPr>
          <w:rFonts w:ascii="Arial" w:hAnsi="Arial" w:cs="Arial"/>
        </w:rPr>
        <w:t>Peak Slip Speed [m/s]</w:t>
      </w:r>
      <w:r>
        <w:rPr>
          <w:rFonts w:ascii="Arial" w:hAnsi="Arial" w:cs="Arial"/>
        </w:rPr>
        <w:t>”) represents the peak slipping speed after exposure to the slippery contaminant as reported in [1].</w:t>
      </w:r>
    </w:p>
    <w:p w14:paraId="0E4AF452" w14:textId="77777777" w:rsidR="00815A4D" w:rsidRDefault="00815A4D">
      <w:pPr>
        <w:rPr>
          <w:rFonts w:ascii="Arial" w:hAnsi="Arial" w:cs="Arial"/>
        </w:rPr>
      </w:pPr>
      <w:r>
        <w:rPr>
          <w:rFonts w:ascii="Arial" w:hAnsi="Arial" w:cs="Arial"/>
        </w:rPr>
        <w:t>Column E (“Age”) represents the age of the shoe as reported by the participant. The value “0” represents less than 6 months old, “6” represents between 6 and 12 months old, and “12” indicates more than 12 months.</w:t>
      </w:r>
    </w:p>
    <w:p w14:paraId="6C8B9ECA" w14:textId="77777777" w:rsidR="00815A4D" w:rsidRDefault="00815A4D">
      <w:pPr>
        <w:rPr>
          <w:rFonts w:ascii="Arial" w:hAnsi="Arial" w:cs="Arial"/>
        </w:rPr>
      </w:pPr>
      <w:r>
        <w:rPr>
          <w:rFonts w:ascii="Arial" w:hAnsi="Arial" w:cs="Arial"/>
        </w:rPr>
        <w:t>Column F (“Slip outcome based on slip distance”) represents a binary outcome variable to determine whether the participant experienced a slip. A value of 1 means a slip (Slip Distance [m] &gt; 0.03) and a value of 0 means no slip</w:t>
      </w:r>
      <w:r w:rsidR="007C51E5">
        <w:rPr>
          <w:rFonts w:ascii="Arial" w:hAnsi="Arial" w:cs="Arial"/>
        </w:rPr>
        <w:t xml:space="preserve"> [2]</w:t>
      </w:r>
      <w:r>
        <w:rPr>
          <w:rFonts w:ascii="Arial" w:hAnsi="Arial" w:cs="Arial"/>
        </w:rPr>
        <w:t>.</w:t>
      </w:r>
    </w:p>
    <w:p w14:paraId="4357A3A5" w14:textId="77777777" w:rsidR="00815A4D" w:rsidRDefault="00815A4D">
      <w:pPr>
        <w:rPr>
          <w:rFonts w:ascii="Arial" w:hAnsi="Arial" w:cs="Arial"/>
        </w:rPr>
      </w:pPr>
      <w:r>
        <w:rPr>
          <w:rFonts w:ascii="Arial" w:hAnsi="Arial" w:cs="Arial"/>
        </w:rPr>
        <w:t>Column G (“</w:t>
      </w:r>
      <w:r w:rsidRPr="00815A4D">
        <w:rPr>
          <w:rFonts w:ascii="Arial" w:hAnsi="Arial" w:cs="Arial"/>
        </w:rPr>
        <w:t>Slip outcome based on peak slip speed</w:t>
      </w:r>
      <w:r>
        <w:rPr>
          <w:rFonts w:ascii="Arial" w:hAnsi="Arial" w:cs="Arial"/>
        </w:rPr>
        <w:t>”) represents a binary outcome variable to determine whether the participant experienced a slip. A value of 1 means a slip (</w:t>
      </w:r>
      <w:r w:rsidRPr="00815A4D">
        <w:rPr>
          <w:rFonts w:ascii="Arial" w:hAnsi="Arial" w:cs="Arial"/>
        </w:rPr>
        <w:t>Peak Slip Speed [m/s]</w:t>
      </w:r>
      <w:r>
        <w:rPr>
          <w:rFonts w:ascii="Arial" w:hAnsi="Arial" w:cs="Arial"/>
        </w:rPr>
        <w:t>&gt; 0.2) and a value of 0 means no slip</w:t>
      </w:r>
      <w:r w:rsidR="007C51E5">
        <w:rPr>
          <w:rFonts w:ascii="Arial" w:hAnsi="Arial" w:cs="Arial"/>
        </w:rPr>
        <w:t xml:space="preserve"> [1]</w:t>
      </w:r>
      <w:r>
        <w:rPr>
          <w:rFonts w:ascii="Arial" w:hAnsi="Arial" w:cs="Arial"/>
        </w:rPr>
        <w:t>.</w:t>
      </w:r>
    </w:p>
    <w:p w14:paraId="142DB8F3" w14:textId="77777777" w:rsidR="00815A4D" w:rsidRDefault="007C51E5">
      <w:pPr>
        <w:rPr>
          <w:rFonts w:ascii="Arial" w:hAnsi="Arial" w:cs="Arial"/>
        </w:rPr>
      </w:pPr>
      <w:r>
        <w:rPr>
          <w:rFonts w:ascii="Arial" w:hAnsi="Arial" w:cs="Arial"/>
        </w:rPr>
        <w:t>Column H (“</w:t>
      </w:r>
      <w:r w:rsidRPr="007C51E5">
        <w:rPr>
          <w:rFonts w:ascii="Arial" w:hAnsi="Arial" w:cs="Arial"/>
        </w:rPr>
        <w:t>Peak fluid pressure [kPa]</w:t>
      </w:r>
      <w:r>
        <w:rPr>
          <w:rFonts w:ascii="Arial" w:hAnsi="Arial" w:cs="Arial"/>
        </w:rPr>
        <w:t>”) represents the peak fluid pressure throughout the slip and across the fluid pressure sensors [1].</w:t>
      </w:r>
    </w:p>
    <w:p w14:paraId="391D0B1C" w14:textId="77777777" w:rsidR="007C51E5" w:rsidRDefault="007C51E5">
      <w:pPr>
        <w:rPr>
          <w:rFonts w:ascii="Arial" w:hAnsi="Arial" w:cs="Arial"/>
        </w:rPr>
      </w:pPr>
      <w:r>
        <w:rPr>
          <w:rFonts w:ascii="Arial" w:hAnsi="Arial" w:cs="Arial"/>
        </w:rPr>
        <w:t>Column I (“</w:t>
      </w:r>
      <w:r w:rsidRPr="007C51E5">
        <w:rPr>
          <w:rFonts w:ascii="Arial" w:hAnsi="Arial" w:cs="Arial"/>
        </w:rPr>
        <w:t>Slip Resistant Shoe</w:t>
      </w:r>
      <w:r>
        <w:rPr>
          <w:rFonts w:ascii="Arial" w:hAnsi="Arial" w:cs="Arial"/>
        </w:rPr>
        <w:t>”) represents a binary variable to indicate whether the shoe was considered to be slip-resistant (1) or no slip-resistant (0) as described in [1].</w:t>
      </w:r>
    </w:p>
    <w:p w14:paraId="24E32B7E" w14:textId="77777777" w:rsidR="007F0F80" w:rsidRPr="007F0F80" w:rsidRDefault="007F0F80" w:rsidP="007F0F80">
      <w:pPr>
        <w:rPr>
          <w:rFonts w:ascii="Arial" w:hAnsi="Arial" w:cs="Arial"/>
        </w:rPr>
      </w:pPr>
      <w:r w:rsidRPr="007F0F80">
        <w:rPr>
          <w:rFonts w:ascii="Arial" w:hAnsi="Arial" w:cs="Arial"/>
        </w:rPr>
        <w:t>Column J (“Excluded from analyses?”) indicates whether a variable was excluded from some of the analyses. “Exclude from pressure” indicates that the participant was excluded from all analyses involving fluid pressure data because their foot did not slide over the fluid pressure sensors. "Exclude from ACOF" indicates that the participant was excluded from analyses involving ACOF because of missing data. "none" indicates that none of the data was excluded from the analyses.</w:t>
      </w:r>
    </w:p>
    <w:p w14:paraId="7363E13F" w14:textId="77777777" w:rsidR="002839B9" w:rsidRDefault="002839B9">
      <w:pPr>
        <w:rPr>
          <w:rFonts w:ascii="Arial" w:hAnsi="Arial" w:cs="Arial"/>
          <w:color w:val="222222"/>
          <w:shd w:val="clear" w:color="auto" w:fill="FFFFFF"/>
        </w:rPr>
      </w:pPr>
      <w:r w:rsidRPr="002839B9">
        <w:rPr>
          <w:rFonts w:ascii="Arial" w:hAnsi="Arial" w:cs="Arial"/>
        </w:rPr>
        <w:t xml:space="preserve">[1] </w:t>
      </w:r>
      <w:r w:rsidRPr="002839B9">
        <w:rPr>
          <w:rFonts w:ascii="Arial" w:hAnsi="Arial" w:cs="Arial"/>
          <w:color w:val="222222"/>
          <w:shd w:val="clear" w:color="auto" w:fill="FFFFFF"/>
        </w:rPr>
        <w:t>Sundaram, V.H., Hemler, S.L., Chanda, A., Haight, J.M., Redfern, M.S. and Beschorner, K.E., 2020. Worn region size of shoe outsole impacts human slips: Testing a mechanistic model. </w:t>
      </w:r>
      <w:r w:rsidRPr="002839B9">
        <w:rPr>
          <w:rFonts w:ascii="Arial" w:hAnsi="Arial" w:cs="Arial"/>
          <w:i/>
          <w:iCs/>
          <w:color w:val="222222"/>
          <w:shd w:val="clear" w:color="auto" w:fill="FFFFFF"/>
        </w:rPr>
        <w:t>Journal of Biomechanics</w:t>
      </w:r>
      <w:r w:rsidRPr="002839B9">
        <w:rPr>
          <w:rFonts w:ascii="Arial" w:hAnsi="Arial" w:cs="Arial"/>
          <w:color w:val="222222"/>
          <w:shd w:val="clear" w:color="auto" w:fill="FFFFFF"/>
        </w:rPr>
        <w:t>, p.109797.</w:t>
      </w:r>
    </w:p>
    <w:p w14:paraId="59C51A28" w14:textId="77777777" w:rsidR="00815A4D" w:rsidRPr="002839B9" w:rsidRDefault="00815A4D">
      <w:pPr>
        <w:rPr>
          <w:rFonts w:ascii="Arial" w:hAnsi="Arial" w:cs="Arial"/>
        </w:rPr>
      </w:pPr>
      <w:r>
        <w:rPr>
          <w:rFonts w:ascii="Arial" w:hAnsi="Arial" w:cs="Arial"/>
          <w:color w:val="222222"/>
          <w:shd w:val="clear" w:color="auto" w:fill="FFFFFF"/>
        </w:rPr>
        <w:t xml:space="preserve">[2] </w:t>
      </w:r>
      <w:r>
        <w:rPr>
          <w:rFonts w:ascii="Arial" w:hAnsi="Arial" w:cs="Arial"/>
          <w:color w:val="222222"/>
          <w:sz w:val="20"/>
          <w:szCs w:val="20"/>
          <w:shd w:val="clear" w:color="auto" w:fill="FFFFFF"/>
        </w:rPr>
        <w:t>Iraqi, A., Cham, R., Redfern, M.S. and Beschorner, K.E., 2018. Coefficient of friction testing parameters influence the prediction of human slips. </w:t>
      </w:r>
      <w:r>
        <w:rPr>
          <w:rFonts w:ascii="Arial" w:hAnsi="Arial" w:cs="Arial"/>
          <w:i/>
          <w:iCs/>
          <w:color w:val="222222"/>
          <w:sz w:val="20"/>
          <w:szCs w:val="20"/>
          <w:shd w:val="clear" w:color="auto" w:fill="FFFFFF"/>
        </w:rPr>
        <w:t>Applied ergonomics</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70</w:t>
      </w:r>
      <w:r>
        <w:rPr>
          <w:rFonts w:ascii="Arial" w:hAnsi="Arial" w:cs="Arial"/>
          <w:color w:val="222222"/>
          <w:sz w:val="20"/>
          <w:szCs w:val="20"/>
          <w:shd w:val="clear" w:color="auto" w:fill="FFFFFF"/>
        </w:rPr>
        <w:t>, pp.118-126.</w:t>
      </w:r>
    </w:p>
    <w:sectPr w:rsidR="00815A4D" w:rsidRPr="002839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B9"/>
    <w:rsid w:val="002839B9"/>
    <w:rsid w:val="003E4DA5"/>
    <w:rsid w:val="005954C4"/>
    <w:rsid w:val="00717E04"/>
    <w:rsid w:val="007C51E5"/>
    <w:rsid w:val="007F0F80"/>
    <w:rsid w:val="00815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E90E3"/>
  <w15:chartTrackingRefBased/>
  <w15:docId w15:val="{4F406C9F-07A3-4D41-A228-F0B8165E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67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Beschorner, Kurt E</dc:creator>
  <cp:keywords/>
  <dc:description/>
  <cp:lastModifiedBy>Beschorner, Kurt E</cp:lastModifiedBy>
  <cp:revision>4</cp:revision>
  <dcterms:created xsi:type="dcterms:W3CDTF">2020-12-14T21:18:00Z</dcterms:created>
  <dcterms:modified xsi:type="dcterms:W3CDTF">2021-05-25T14:33:00Z</dcterms:modified>
</cp:coreProperties>
</file>