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Hlk58947418"/>
    <w:bookmarkStart w:id="1" w:name="_Hlk58684393"/>
    <w:p w14:paraId="56B9908B" w14:textId="77777777" w:rsidR="00F56885" w:rsidRPr="00AF5174" w:rsidRDefault="00F56885" w:rsidP="00F56885">
      <w:pPr>
        <w:spacing w:after="0" w:line="240" w:lineRule="auto"/>
        <w:ind w:left="720"/>
        <w:rPr>
          <w:rFonts w:ascii="Bookman Old Style" w:eastAsia="Meiryo" w:hAnsi="Bookman Old Style" w:cs="Utsaah"/>
          <w:b/>
          <w:bCs/>
          <w:color w:val="002060"/>
          <w:lang w:val="fr-FR"/>
        </w:rPr>
      </w:pPr>
      <w:r w:rsidRPr="00AF5174">
        <w:rPr>
          <w:rFonts w:ascii="Calibri" w:eastAsia="Times New Roman" w:hAnsi="Calibri" w:cs="Times New Roman"/>
          <w:noProof/>
        </w:rPr>
        <mc:AlternateContent>
          <mc:Choice Requires="wps">
            <w:drawing>
              <wp:anchor distT="0" distB="0" distL="114300" distR="114300" simplePos="0" relativeHeight="251659264" behindDoc="0" locked="0" layoutInCell="1" allowOverlap="1" wp14:anchorId="4862BD3E" wp14:editId="0F02CA5E">
                <wp:simplePos x="0" y="0"/>
                <wp:positionH relativeFrom="margin">
                  <wp:align>center</wp:align>
                </wp:positionH>
                <wp:positionV relativeFrom="paragraph">
                  <wp:posOffset>18415</wp:posOffset>
                </wp:positionV>
                <wp:extent cx="6589395" cy="635"/>
                <wp:effectExtent l="0" t="19050" r="40005" b="5651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89395" cy="635"/>
                        </a:xfrm>
                        <a:prstGeom prst="straightConnector1">
                          <a:avLst/>
                        </a:prstGeom>
                        <a:noFill/>
                        <a:ln w="63500">
                          <a:solidFill>
                            <a:srgbClr val="9BBB59"/>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shapetype w14:anchorId="3039C04E" id="_x0000_t32" coordsize="21600,21600" o:spt="32" o:oned="t" path="m,l21600,21600e" filled="f">
                <v:path arrowok="t" fillok="f" o:connecttype="none"/>
                <o:lock v:ext="edit" shapetype="t"/>
              </v:shapetype>
              <v:shape id="Straight Arrow Connector 7" o:spid="_x0000_s1026" type="#_x0000_t32" style="position:absolute;margin-left:0;margin-top:1.45pt;width:518.85pt;height:.0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" strokecolor="#9bbb59" strokeweight="5pt">
                <o:lock v:ext="edit" shapetype="f"/>
                <w10:wrap anchorx="margin"/>
              </v:shape>
            </w:pict>
          </mc:Fallback>
        </mc:AlternateContent>
      </w:r>
      <w:bookmarkStart w:id="2" w:name="_Hlk48765837"/>
      <w:bookmarkStart w:id="3" w:name="_Hlk49767095"/>
    </w:p>
    <w:p w14:paraId="27EB00E2" w14:textId="77777777" w:rsidR="00F56885" w:rsidRPr="00AF5174" w:rsidRDefault="00F56885" w:rsidP="00F56885">
      <w:pPr>
        <w:spacing w:after="0" w:line="240" w:lineRule="auto"/>
        <w:ind w:right="-729"/>
        <w:rPr>
          <w:rFonts w:ascii="Bookman Old Style" w:eastAsia="Meiryo" w:hAnsi="Bookman Old Style" w:cs="Utsaah"/>
          <w:b/>
          <w:bCs/>
          <w:color w:val="002060"/>
          <w:lang w:val="fr-FR"/>
        </w:rPr>
      </w:pPr>
      <w:r w:rsidRPr="00AF5174">
        <w:rPr>
          <w:rFonts w:ascii="Calibri" w:eastAsia="Times New Roman" w:hAnsi="Calibri" w:cs="Times New Roman"/>
          <w:noProof/>
        </w:rPr>
        <w:drawing>
          <wp:anchor distT="0" distB="0" distL="114300" distR="114300" simplePos="0" relativeHeight="251660288" behindDoc="0" locked="0" layoutInCell="1" allowOverlap="1" wp14:anchorId="791A3FA0" wp14:editId="7F07E843">
            <wp:simplePos x="0" y="0"/>
            <wp:positionH relativeFrom="column">
              <wp:posOffset>-219075</wp:posOffset>
            </wp:positionH>
            <wp:positionV relativeFrom="paragraph">
              <wp:posOffset>20955</wp:posOffset>
            </wp:positionV>
            <wp:extent cx="1788795" cy="1009650"/>
            <wp:effectExtent l="0" t="0" r="1905" b="0"/>
            <wp:wrapSquare wrapText="right"/>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88795" cy="1009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F5174">
        <w:rPr>
          <w:rFonts w:ascii="Bookman Old Style" w:eastAsia="Meiryo" w:hAnsi="Bookman Old Style" w:cs="Utsaah"/>
          <w:b/>
          <w:bCs/>
          <w:color w:val="002060"/>
          <w:lang w:val="fr-FR"/>
        </w:rPr>
        <w:t xml:space="preserve">      CODEN [USA]: IAJPBB                       ISSN : 2349-7750</w:t>
      </w:r>
    </w:p>
    <w:p w14:paraId="7D8DB683" w14:textId="77777777" w:rsidR="00F56885" w:rsidRPr="00AF5174" w:rsidRDefault="00F56885" w:rsidP="00F56885">
      <w:pPr>
        <w:spacing w:after="0" w:line="240" w:lineRule="auto"/>
        <w:ind w:left="720" w:right="-549"/>
        <w:jc w:val="center"/>
        <w:rPr>
          <w:rFonts w:ascii="Bookman Old Style" w:eastAsia="Meiryo" w:hAnsi="Bookman Old Style" w:cs="Utsaah"/>
          <w:b/>
          <w:bCs/>
          <w:color w:val="A10B61"/>
          <w:lang w:val="fr-FR"/>
        </w:rPr>
      </w:pPr>
    </w:p>
    <w:p w14:paraId="409FCCAE" w14:textId="77777777" w:rsidR="00F56885" w:rsidRPr="00AF5174" w:rsidRDefault="00F56885" w:rsidP="00F56885">
      <w:pPr>
        <w:spacing w:after="0" w:line="240" w:lineRule="auto"/>
        <w:ind w:left="720" w:right="-549"/>
        <w:jc w:val="center"/>
        <w:rPr>
          <w:rFonts w:ascii="Bookman Old Style" w:eastAsia="Meiryo" w:hAnsi="Bookman Old Style" w:cs="Utsaah"/>
          <w:b/>
          <w:bCs/>
          <w:color w:val="A10B61"/>
          <w:lang w:val="fr-FR"/>
        </w:rPr>
      </w:pPr>
      <w:r w:rsidRPr="00AF5174">
        <w:rPr>
          <w:rFonts w:ascii="Bookman Old Style" w:eastAsia="Meiryo" w:hAnsi="Bookman Old Style" w:cs="Utsaah"/>
          <w:b/>
          <w:bCs/>
          <w:color w:val="A10B61"/>
          <w:lang w:val="fr-FR"/>
        </w:rPr>
        <w:t xml:space="preserve"> INDO AMERICAN JOURNAL OF</w:t>
      </w:r>
    </w:p>
    <w:p w14:paraId="4D7C0A40" w14:textId="77777777" w:rsidR="00F56885" w:rsidRPr="00AF5174" w:rsidRDefault="00F56885" w:rsidP="00F56885">
      <w:pPr>
        <w:spacing w:after="0" w:line="240" w:lineRule="auto"/>
        <w:ind w:right="-549"/>
        <w:rPr>
          <w:rFonts w:ascii="Bookman Old Style" w:eastAsia="Meiryo" w:hAnsi="Bookman Old Style" w:cs="Utsaah"/>
          <w:b/>
          <w:bCs/>
          <w:color w:val="A10B61"/>
          <w:lang w:val="fr-FR"/>
        </w:rPr>
      </w:pPr>
      <w:r w:rsidRPr="00AF5174">
        <w:rPr>
          <w:rFonts w:ascii="Bookman Old Style" w:eastAsia="Meiryo" w:hAnsi="Bookman Old Style" w:cs="Utsaah"/>
          <w:b/>
          <w:bCs/>
          <w:color w:val="A10B61"/>
          <w:sz w:val="40"/>
          <w:szCs w:val="40"/>
          <w:lang w:val="fr-FR"/>
        </w:rPr>
        <w:t xml:space="preserve">   PHARMACEUTICAL SCIENCES</w:t>
      </w:r>
    </w:p>
    <w:p w14:paraId="2AA20754" w14:textId="77777777" w:rsidR="00F56885" w:rsidRPr="00AF5174" w:rsidRDefault="00F56885" w:rsidP="00F56885">
      <w:pPr>
        <w:spacing w:after="0" w:line="240" w:lineRule="auto"/>
        <w:ind w:left="450"/>
        <w:jc w:val="center"/>
        <w:rPr>
          <w:rFonts w:ascii="Times New Roman" w:eastAsia="Times New Roman" w:hAnsi="Times New Roman" w:cs="Times New Roman"/>
          <w:b/>
          <w:bCs/>
          <w:color w:val="0070C0"/>
          <w:szCs w:val="24"/>
          <w:shd w:val="clear" w:color="auto" w:fill="F5F5F5"/>
          <w:lang w:val="en-IN"/>
        </w:rPr>
      </w:pPr>
      <w:r w:rsidRPr="00AF5174">
        <w:rPr>
          <w:rFonts w:ascii="Times New Roman" w:eastAsia="Times New Roman" w:hAnsi="Times New Roman" w:cs="Times New Roman"/>
          <w:b/>
          <w:bCs/>
          <w:color w:val="0070C0"/>
          <w:szCs w:val="24"/>
          <w:shd w:val="clear" w:color="auto" w:fill="F5F5F5"/>
          <w:lang w:val="en-IN"/>
        </w:rPr>
        <w:t xml:space="preserve">          SJIF Impact Factor: 7.187  </w:t>
      </w:r>
    </w:p>
    <w:p w14:paraId="24FFDF55" w14:textId="7C17F345" w:rsidR="00F56885" w:rsidRPr="00AF5174" w:rsidRDefault="00FC14A5" w:rsidP="00F56885">
      <w:pPr>
        <w:spacing w:after="0"/>
        <w:jc w:val="center"/>
        <w:rPr>
          <w:rFonts w:ascii="Calibri" w:eastAsia="Times New Roman" w:hAnsi="Calibri" w:cs="Arial"/>
          <w:b/>
          <w:bCs/>
          <w:color w:val="0070C0"/>
        </w:rPr>
      </w:pPr>
      <w:r>
        <w:rPr>
          <w:rFonts w:ascii="Roboto" w:hAnsi="Roboto"/>
          <w:b/>
          <w:bCs/>
          <w:color w:val="333333"/>
          <w:sz w:val="21"/>
          <w:szCs w:val="21"/>
          <w:shd w:val="clear" w:color="auto" w:fill="F5F5F5"/>
        </w:rPr>
        <w:t xml:space="preserve"> </w:t>
      </w:r>
      <w:r w:rsidR="00F56885" w:rsidRPr="00AF5174">
        <w:rPr>
          <w:rFonts w:ascii="Calibri" w:eastAsia="Times New Roman" w:hAnsi="Calibri" w:cs="Arial"/>
          <w:b/>
          <w:bCs/>
          <w:color w:val="0070C0"/>
        </w:rPr>
        <w:t xml:space="preserve">    </w:t>
      </w:r>
    </w:p>
    <w:p w14:paraId="0727941A" w14:textId="77777777" w:rsidR="00F56885" w:rsidRPr="00AF5174" w:rsidRDefault="00F56885" w:rsidP="00F56885">
      <w:pPr>
        <w:spacing w:after="0" w:line="240" w:lineRule="auto"/>
        <w:ind w:left="450"/>
        <w:jc w:val="center"/>
        <w:rPr>
          <w:rFonts w:ascii="Arial" w:eastAsia="Times New Roman" w:hAnsi="Arial" w:cs="Arial"/>
          <w:sz w:val="21"/>
          <w:szCs w:val="21"/>
          <w:lang w:val="en-IN"/>
        </w:rPr>
      </w:pPr>
      <w:r w:rsidRPr="00AF5174">
        <w:rPr>
          <w:rFonts w:ascii="Calibri" w:eastAsia="Times New Roman" w:hAnsi="Calibri" w:cs="Times New Roman"/>
          <w:noProof/>
        </w:rPr>
        <mc:AlternateContent>
          <mc:Choice Requires="wps">
            <w:drawing>
              <wp:anchor distT="0" distB="0" distL="114300" distR="114300" simplePos="0" relativeHeight="251661312" behindDoc="0" locked="0" layoutInCell="1" allowOverlap="1" wp14:anchorId="6D665E61" wp14:editId="0B3F9BD0">
                <wp:simplePos x="0" y="0"/>
                <wp:positionH relativeFrom="margin">
                  <wp:align>center</wp:align>
                </wp:positionH>
                <wp:positionV relativeFrom="paragraph">
                  <wp:posOffset>101600</wp:posOffset>
                </wp:positionV>
                <wp:extent cx="6534150" cy="635"/>
                <wp:effectExtent l="0" t="19050" r="19050" b="37465"/>
                <wp:wrapNone/>
                <wp:docPr id="8" name="Straight Arrow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34150" cy="635"/>
                        </a:xfrm>
                        <a:prstGeom prst="straightConnector1">
                          <a:avLst/>
                        </a:prstGeom>
                        <a:noFill/>
                        <a:ln w="31750">
                          <a:solidFill>
                            <a:srgbClr val="9BBB59"/>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shape w14:anchorId="79F100C2" id="Straight Arrow Connector 8" o:spid="_x0000_s1026" type="#_x0000_t32" style="position:absolute;margin-left:0;margin-top:8pt;width:514.5pt;height:.0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" strokecolor="#9bbb59" strokeweight="2.5pt">
                <o:lock v:ext="edit" shapetype="f"/>
                <w10:wrap anchorx="margin"/>
              </v:shape>
            </w:pict>
          </mc:Fallback>
        </mc:AlternateContent>
      </w:r>
      <w:r w:rsidRPr="00AF5174">
        <w:rPr>
          <w:rFonts w:ascii="Roboto" w:eastAsia="Times New Roman" w:hAnsi="Roboto" w:cs="Arial"/>
          <w:b/>
          <w:bCs/>
          <w:color w:val="0070C0"/>
          <w:sz w:val="21"/>
          <w:szCs w:val="21"/>
          <w:shd w:val="clear" w:color="auto" w:fill="F5F5F5"/>
        </w:rPr>
        <w:t xml:space="preserve">     </w:t>
      </w:r>
    </w:p>
    <w:p w14:paraId="14696338" w14:textId="0E5CCF2D" w:rsidR="00F56885" w:rsidRPr="00AF5174" w:rsidRDefault="00F56885" w:rsidP="00F56885">
      <w:pPr>
        <w:spacing w:after="0" w:line="240" w:lineRule="auto"/>
        <w:ind w:left="450"/>
        <w:textAlignment w:val="baseline"/>
        <w:rPr>
          <w:rFonts w:ascii="Times New Roman" w:eastAsia="Times New Roman" w:hAnsi="Times New Roman" w:cs="Times New Roman"/>
          <w:b/>
          <w:color w:val="0070C0"/>
          <w:szCs w:val="24"/>
          <w:lang w:val="fr-FR"/>
        </w:rPr>
      </w:pPr>
      <w:r w:rsidRPr="00AF5174">
        <w:rPr>
          <w:rFonts w:ascii="Times New Roman" w:eastAsia="Times New Roman" w:hAnsi="Times New Roman" w:cs="Times New Roman"/>
          <w:b/>
          <w:bCs/>
          <w:szCs w:val="24"/>
          <w:lang w:val="fr-FR"/>
        </w:rPr>
        <w:t xml:space="preserve">Avalable online at: </w:t>
      </w:r>
      <w:r>
        <w:fldChar w:fldCharType="begin"/>
      </w:r>
      <w:r>
        <w:instrText xml:space="preserve"> HYPERLINK "http://www.iajps.com" </w:instrText>
      </w:r>
      <w:r>
        <w:fldChar w:fldCharType="separate"/>
      </w:r>
      <w:r w:rsidRPr="00AF5174">
        <w:rPr>
          <w:rFonts w:ascii="Times New Roman" w:eastAsia="Times New Roman" w:hAnsi="Times New Roman" w:cs="Times New Roman"/>
          <w:b/>
          <w:color w:val="0070C0"/>
          <w:szCs w:val="24"/>
          <w:u w:val="single"/>
          <w:lang w:val="fr-FR"/>
        </w:rPr>
        <w:t>http://www.iajps.com</w:t>
      </w:r>
      <w:r>
        <w:rPr>
          <w:rFonts w:ascii="Times New Roman" w:eastAsia="Times New Roman" w:hAnsi="Times New Roman" w:cs="Times New Roman"/>
          <w:b/>
          <w:color w:val="0070C0"/>
          <w:szCs w:val="24"/>
          <w:u w:val="single"/>
          <w:lang w:val="fr-FR"/>
        </w:rPr>
        <w:fldChar w:fldCharType="end"/>
      </w:r>
      <w:r w:rsidRPr="00AF5174">
        <w:rPr>
          <w:rFonts w:ascii="Times New Roman" w:eastAsia="Times New Roman" w:hAnsi="Times New Roman" w:cs="Times New Roman"/>
          <w:b/>
          <w:i/>
          <w:szCs w:val="24"/>
          <w:lang w:val="fr-FR"/>
        </w:rPr>
        <w:t xml:space="preserve">                                               </w:t>
      </w:r>
      <w:r w:rsidR="00EA72BD">
        <w:rPr>
          <w:rFonts w:ascii="Times New Roman" w:eastAsia="Times New Roman" w:hAnsi="Times New Roman" w:cs="Times New Roman"/>
          <w:b/>
          <w:i/>
          <w:szCs w:val="24"/>
          <w:lang w:val="fr-FR"/>
        </w:rPr>
        <w:t xml:space="preserve">    </w:t>
      </w:r>
      <w:r w:rsidRPr="00AF5174">
        <w:rPr>
          <w:rFonts w:ascii="Times New Roman" w:eastAsia="Times New Roman" w:hAnsi="Times New Roman" w:cs="Times New Roman"/>
          <w:b/>
          <w:i/>
          <w:szCs w:val="24"/>
          <w:lang w:val="fr-FR"/>
        </w:rPr>
        <w:t xml:space="preserve">           Re</w:t>
      </w:r>
      <w:r w:rsidR="00EA72BD">
        <w:rPr>
          <w:rFonts w:ascii="Times New Roman" w:eastAsia="Times New Roman" w:hAnsi="Times New Roman" w:cs="Times New Roman"/>
          <w:b/>
          <w:i/>
          <w:szCs w:val="24"/>
          <w:lang w:val="fr-FR"/>
        </w:rPr>
        <w:t>view</w:t>
      </w:r>
      <w:r w:rsidRPr="00AF5174">
        <w:rPr>
          <w:rFonts w:ascii="Times New Roman" w:eastAsia="Times New Roman" w:hAnsi="Times New Roman" w:cs="Times New Roman"/>
          <w:b/>
          <w:i/>
          <w:szCs w:val="24"/>
          <w:lang w:val="fr-FR"/>
        </w:rPr>
        <w:t xml:space="preserve"> Article</w:t>
      </w:r>
    </w:p>
    <w:bookmarkEnd w:id="0"/>
    <w:bookmarkEnd w:id="2"/>
    <w:bookmarkEnd w:id="3"/>
    <w:p w14:paraId="2A10108B" w14:textId="77777777" w:rsidR="00F56885" w:rsidRPr="00AF5174" w:rsidRDefault="00F56885" w:rsidP="00F56885">
      <w:pPr>
        <w:spacing w:after="0" w:line="240" w:lineRule="auto"/>
        <w:rPr>
          <w:rFonts w:ascii="Times New Roman" w:eastAsia="Times New Roman" w:hAnsi="Times New Roman" w:cs="Times New Roman"/>
          <w:lang w:val="en-IN"/>
        </w:rPr>
      </w:pPr>
      <w:r w:rsidRPr="00AF5174">
        <w:rPr>
          <w:rFonts w:ascii="Calibri" w:eastAsia="Times New Roman" w:hAnsi="Calibri" w:cs="Times New Roman"/>
          <w:noProof/>
        </w:rPr>
        <mc:AlternateContent>
          <mc:Choice Requires="wps">
            <w:drawing>
              <wp:anchor distT="0" distB="0" distL="114300" distR="114300" simplePos="0" relativeHeight="251662336" behindDoc="0" locked="0" layoutInCell="1" allowOverlap="1" wp14:anchorId="224935AF" wp14:editId="6D9D3A1C">
                <wp:simplePos x="0" y="0"/>
                <wp:positionH relativeFrom="margin">
                  <wp:align>center</wp:align>
                </wp:positionH>
                <wp:positionV relativeFrom="paragraph">
                  <wp:posOffset>98425</wp:posOffset>
                </wp:positionV>
                <wp:extent cx="6589395" cy="635"/>
                <wp:effectExtent l="0" t="19050" r="40005" b="56515"/>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589395" cy="635"/>
                        </a:xfrm>
                        <a:prstGeom prst="straightConnector1">
                          <a:avLst/>
                        </a:prstGeom>
                        <a:noFill/>
                        <a:ln w="63500">
                          <a:solidFill>
                            <a:srgbClr val="9BBB59"/>
                          </a:solidFill>
                          <a:round/>
                          <a:headEnd/>
                          <a:tailEnd/>
                        </a:ln>
                        <a:effectLst/>
                      </wps:spPr>
                      <wps:bodyPr/>
                    </wps:wsp>
                  </a:graphicData>
                </a:graphic>
                <wp14:sizeRelH relativeFrom="page">
                  <wp14:pctWidth>0</wp14:pctWidth>
                </wp14:sizeRelH>
                <wp14:sizeRelV relativeFrom="page">
                  <wp14:pctHeight>0</wp14:pctHeight>
                </wp14:sizeRelV>
              </wp:anchor>
            </w:drawing>
          </mc:Choice>
          <mc:Fallback>
            <w:pict>
              <v:shape w14:anchorId="099969AD" id="Straight Arrow Connector 9" o:spid="_x0000_s1026" type="#_x0000_t32" style="position:absolute;margin-left:0;margin-top:7.75pt;width:518.85pt;height:.0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" strokecolor="#9bbb59" strokeweight="5pt">
                <o:lock v:ext="edit" shapetype="f"/>
                <w10:wrap anchorx="margin"/>
              </v:shape>
            </w:pict>
          </mc:Fallback>
        </mc:AlternateContent>
      </w:r>
    </w:p>
    <w:bookmarkEnd w:id="1"/>
    <w:p w14:paraId="03AD5B4B" w14:textId="39622DE8" w:rsidR="002A1ECA" w:rsidRPr="00F56885" w:rsidRDefault="00F56885" w:rsidP="00F56885">
      <w:pPr>
        <w:spacing w:after="0" w:line="240" w:lineRule="auto"/>
        <w:jc w:val="center"/>
        <w:rPr>
          <w:rFonts w:asciiTheme="majorBidi" w:hAnsiTheme="majorBidi" w:cstheme="majorBidi"/>
          <w:color w:val="000000" w:themeColor="text1"/>
          <w:sz w:val="32"/>
          <w:szCs w:val="32"/>
        </w:rPr>
      </w:pPr>
      <w:r w:rsidRPr="00F56885">
        <w:rPr>
          <w:rFonts w:asciiTheme="majorBidi" w:hAnsiTheme="majorBidi" w:cstheme="majorBidi"/>
          <w:b/>
          <w:bCs/>
          <w:color w:val="000000" w:themeColor="text1"/>
          <w:sz w:val="32"/>
          <w:szCs w:val="32"/>
        </w:rPr>
        <w:t>MANAGEMENT OF ACUTE ABDOMINAL PAIN</w:t>
      </w:r>
    </w:p>
    <w:p w14:paraId="460C44D6" w14:textId="75050C37" w:rsidR="003F1F42" w:rsidRPr="003F1F42" w:rsidRDefault="002A1ECA" w:rsidP="003F1F42">
      <w:pPr>
        <w:shd w:val="clear" w:color="auto" w:fill="FFFFFF"/>
        <w:spacing w:after="0"/>
        <w:jc w:val="center"/>
        <w:rPr>
          <w:rFonts w:ascii="Arial" w:eastAsia="Times New Roman" w:hAnsi="Arial" w:cs="Arial"/>
          <w:color w:val="222222"/>
          <w:sz w:val="24"/>
          <w:szCs w:val="24"/>
        </w:rPr>
      </w:pPr>
      <w:r w:rsidRPr="003527E1">
        <w:rPr>
          <w:rFonts w:asciiTheme="majorBidi" w:hAnsiTheme="majorBidi" w:cstheme="majorBidi"/>
          <w:b/>
          <w:color w:val="000000" w:themeColor="text1"/>
        </w:rPr>
        <w:t>Dr. Khaled Hassan</w:t>
      </w:r>
      <w:r w:rsidRPr="003527E1">
        <w:rPr>
          <w:rFonts w:asciiTheme="majorBidi" w:hAnsiTheme="majorBidi" w:cstheme="majorBidi"/>
          <w:b/>
          <w:color w:val="000000" w:themeColor="text1"/>
          <w:vertAlign w:val="superscript"/>
        </w:rPr>
        <w:t>1</w:t>
      </w:r>
      <w:r w:rsidRPr="003527E1">
        <w:rPr>
          <w:rFonts w:asciiTheme="majorBidi" w:hAnsiTheme="majorBidi" w:cstheme="majorBidi"/>
          <w:b/>
          <w:color w:val="000000" w:themeColor="text1"/>
        </w:rPr>
        <w:t xml:space="preserve">*, </w:t>
      </w:r>
      <w:r w:rsidRPr="003527E1">
        <w:rPr>
          <w:rFonts w:asciiTheme="majorBidi" w:hAnsiTheme="majorBidi" w:cstheme="majorBidi"/>
          <w:b/>
          <w:bCs/>
          <w:color w:val="000000" w:themeColor="text1"/>
        </w:rPr>
        <w:t>Ahmed Alnakhli</w:t>
      </w:r>
      <w:r w:rsidRPr="003527E1">
        <w:rPr>
          <w:rFonts w:asciiTheme="majorBidi" w:hAnsiTheme="majorBidi" w:cstheme="majorBidi"/>
          <w:b/>
          <w:bCs/>
          <w:color w:val="000000" w:themeColor="text1"/>
          <w:vertAlign w:val="superscript"/>
        </w:rPr>
        <w:t>2</w:t>
      </w:r>
      <w:r w:rsidRPr="003527E1">
        <w:rPr>
          <w:rFonts w:asciiTheme="majorBidi" w:hAnsiTheme="majorBidi" w:cstheme="majorBidi"/>
          <w:b/>
          <w:color w:val="000000" w:themeColor="text1"/>
        </w:rPr>
        <w:t>, Ali Alasmari</w:t>
      </w:r>
      <w:r w:rsidRPr="003527E1">
        <w:rPr>
          <w:rFonts w:asciiTheme="majorBidi" w:hAnsiTheme="majorBidi" w:cstheme="majorBidi"/>
          <w:b/>
          <w:color w:val="000000" w:themeColor="text1"/>
          <w:vertAlign w:val="superscript"/>
        </w:rPr>
        <w:t>2</w:t>
      </w:r>
      <w:r w:rsidRPr="003527E1">
        <w:rPr>
          <w:rFonts w:asciiTheme="majorBidi" w:hAnsiTheme="majorBidi" w:cstheme="majorBidi"/>
          <w:b/>
          <w:color w:val="000000" w:themeColor="text1"/>
        </w:rPr>
        <w:t xml:space="preserve">, </w:t>
      </w:r>
      <w:r w:rsidRPr="003527E1">
        <w:rPr>
          <w:rFonts w:asciiTheme="majorBidi" w:hAnsiTheme="majorBidi" w:cstheme="majorBidi"/>
          <w:b/>
          <w:bCs/>
          <w:color w:val="000000" w:themeColor="text1"/>
          <w:rtl/>
        </w:rPr>
        <w:t>‏</w:t>
      </w:r>
      <w:r w:rsidRPr="003527E1">
        <w:rPr>
          <w:rFonts w:asciiTheme="majorBidi" w:hAnsiTheme="majorBidi" w:cstheme="majorBidi"/>
          <w:b/>
          <w:bCs/>
          <w:color w:val="000000" w:themeColor="text1"/>
        </w:rPr>
        <w:t>Anas Thega</w:t>
      </w:r>
      <w:r w:rsidRPr="003527E1">
        <w:rPr>
          <w:rFonts w:asciiTheme="majorBidi" w:hAnsiTheme="majorBidi" w:cstheme="majorBidi"/>
          <w:b/>
          <w:bCs/>
          <w:color w:val="000000" w:themeColor="text1"/>
          <w:vertAlign w:val="superscript"/>
        </w:rPr>
        <w:t>2</w:t>
      </w:r>
      <w:r w:rsidRPr="003527E1">
        <w:rPr>
          <w:rFonts w:asciiTheme="majorBidi" w:hAnsiTheme="majorBidi" w:cstheme="majorBidi"/>
          <w:b/>
          <w:bCs/>
          <w:color w:val="000000" w:themeColor="text1"/>
        </w:rPr>
        <w:t>,</w:t>
      </w:r>
      <w:r w:rsidRPr="003527E1">
        <w:rPr>
          <w:rFonts w:asciiTheme="majorBidi" w:hAnsiTheme="majorBidi" w:cstheme="majorBidi"/>
          <w:b/>
          <w:color w:val="000000" w:themeColor="text1"/>
        </w:rPr>
        <w:t xml:space="preserve"> </w:t>
      </w:r>
      <w:proofErr w:type="spellStart"/>
      <w:r w:rsidRPr="003527E1">
        <w:rPr>
          <w:rFonts w:asciiTheme="majorBidi" w:hAnsiTheme="majorBidi" w:cstheme="majorBidi"/>
          <w:b/>
          <w:bCs/>
          <w:color w:val="000000" w:themeColor="text1"/>
        </w:rPr>
        <w:t>Osamah</w:t>
      </w:r>
      <w:proofErr w:type="spellEnd"/>
      <w:r w:rsidRPr="003527E1">
        <w:rPr>
          <w:rFonts w:asciiTheme="majorBidi" w:hAnsiTheme="majorBidi" w:cstheme="majorBidi"/>
          <w:b/>
          <w:bCs/>
          <w:color w:val="000000" w:themeColor="text1"/>
        </w:rPr>
        <w:t xml:space="preserve"> Aseeri</w:t>
      </w:r>
      <w:r w:rsidRPr="003527E1">
        <w:rPr>
          <w:rFonts w:asciiTheme="majorBidi" w:hAnsiTheme="majorBidi" w:cstheme="majorBidi"/>
          <w:b/>
          <w:bCs/>
          <w:color w:val="000000" w:themeColor="text1"/>
          <w:vertAlign w:val="superscript"/>
        </w:rPr>
        <w:t>3</w:t>
      </w:r>
      <w:r w:rsidRPr="003527E1">
        <w:rPr>
          <w:rFonts w:asciiTheme="majorBidi" w:hAnsiTheme="majorBidi" w:cstheme="majorBidi"/>
          <w:b/>
          <w:bCs/>
          <w:color w:val="000000" w:themeColor="text1"/>
        </w:rPr>
        <w:t>,</w:t>
      </w:r>
      <w:r w:rsidRPr="003527E1">
        <w:rPr>
          <w:rFonts w:asciiTheme="majorBidi" w:hAnsiTheme="majorBidi" w:cstheme="majorBidi"/>
          <w:b/>
          <w:color w:val="000000" w:themeColor="text1"/>
        </w:rPr>
        <w:t xml:space="preserve"> </w:t>
      </w:r>
      <w:r w:rsidRPr="003527E1">
        <w:rPr>
          <w:rFonts w:asciiTheme="majorBidi" w:hAnsiTheme="majorBidi" w:cstheme="majorBidi"/>
          <w:b/>
          <w:bCs/>
          <w:color w:val="000000" w:themeColor="text1"/>
        </w:rPr>
        <w:t>Saud Almuammar</w:t>
      </w:r>
      <w:r w:rsidRPr="003527E1">
        <w:rPr>
          <w:rFonts w:asciiTheme="majorBidi" w:hAnsiTheme="majorBidi" w:cstheme="majorBidi"/>
          <w:b/>
          <w:bCs/>
          <w:color w:val="000000" w:themeColor="text1"/>
          <w:vertAlign w:val="superscript"/>
        </w:rPr>
        <w:t>4</w:t>
      </w:r>
      <w:r w:rsidRPr="003527E1">
        <w:rPr>
          <w:rFonts w:asciiTheme="majorBidi" w:hAnsiTheme="majorBidi" w:cstheme="majorBidi"/>
          <w:b/>
          <w:bCs/>
          <w:color w:val="000000" w:themeColor="text1"/>
        </w:rPr>
        <w:t>,</w:t>
      </w:r>
      <w:r w:rsidRPr="003527E1">
        <w:rPr>
          <w:rFonts w:asciiTheme="majorBidi" w:hAnsiTheme="majorBidi" w:cstheme="majorBidi"/>
          <w:b/>
          <w:color w:val="000000" w:themeColor="text1"/>
        </w:rPr>
        <w:t xml:space="preserve"> </w:t>
      </w:r>
      <w:r w:rsidRPr="003527E1">
        <w:rPr>
          <w:rFonts w:asciiTheme="majorBidi" w:hAnsiTheme="majorBidi" w:cstheme="majorBidi"/>
          <w:b/>
          <w:bCs/>
          <w:color w:val="000000" w:themeColor="text1"/>
          <w:rtl/>
        </w:rPr>
        <w:t>‏</w:t>
      </w:r>
      <w:r w:rsidRPr="003527E1">
        <w:rPr>
          <w:rFonts w:asciiTheme="majorBidi" w:hAnsiTheme="majorBidi" w:cstheme="majorBidi"/>
          <w:b/>
          <w:bCs/>
          <w:color w:val="000000" w:themeColor="text1"/>
        </w:rPr>
        <w:t>Ibrahim Alazmi</w:t>
      </w:r>
      <w:r w:rsidRPr="003527E1">
        <w:rPr>
          <w:rFonts w:asciiTheme="majorBidi" w:hAnsiTheme="majorBidi" w:cstheme="majorBidi"/>
          <w:b/>
          <w:color w:val="000000" w:themeColor="text1"/>
          <w:vertAlign w:val="superscript"/>
        </w:rPr>
        <w:t>5</w:t>
      </w:r>
      <w:r w:rsidRPr="003527E1">
        <w:rPr>
          <w:rFonts w:asciiTheme="majorBidi" w:hAnsiTheme="majorBidi" w:cstheme="majorBidi"/>
          <w:b/>
          <w:color w:val="000000" w:themeColor="text1"/>
        </w:rPr>
        <w:t>, Ziyad Alharbi</w:t>
      </w:r>
      <w:r w:rsidRPr="003527E1">
        <w:rPr>
          <w:rFonts w:asciiTheme="majorBidi" w:hAnsiTheme="majorBidi" w:cstheme="majorBidi"/>
          <w:b/>
          <w:color w:val="000000" w:themeColor="text1"/>
          <w:vertAlign w:val="superscript"/>
        </w:rPr>
        <w:t>6</w:t>
      </w:r>
      <w:r w:rsidRPr="003527E1">
        <w:rPr>
          <w:rFonts w:asciiTheme="majorBidi" w:hAnsiTheme="majorBidi" w:cstheme="majorBidi"/>
          <w:b/>
          <w:color w:val="000000" w:themeColor="text1"/>
        </w:rPr>
        <w:t>, Batool Alsarhan</w:t>
      </w:r>
      <w:r w:rsidRPr="003527E1">
        <w:rPr>
          <w:rFonts w:asciiTheme="majorBidi" w:hAnsiTheme="majorBidi" w:cstheme="majorBidi"/>
          <w:b/>
          <w:color w:val="000000" w:themeColor="text1"/>
          <w:vertAlign w:val="superscript"/>
        </w:rPr>
        <w:t>7</w:t>
      </w:r>
      <w:r w:rsidRPr="003527E1">
        <w:rPr>
          <w:rFonts w:asciiTheme="majorBidi" w:hAnsiTheme="majorBidi" w:cstheme="majorBidi"/>
          <w:b/>
          <w:color w:val="000000" w:themeColor="text1"/>
        </w:rPr>
        <w:t>, Fahad Amjad bin Hussain</w:t>
      </w:r>
      <w:r w:rsidRPr="003527E1">
        <w:rPr>
          <w:rFonts w:asciiTheme="majorBidi" w:hAnsiTheme="majorBidi" w:cstheme="majorBidi"/>
          <w:b/>
          <w:color w:val="000000" w:themeColor="text1"/>
          <w:vertAlign w:val="superscript"/>
        </w:rPr>
        <w:t>2</w:t>
      </w:r>
      <w:r w:rsidRPr="003527E1">
        <w:rPr>
          <w:rFonts w:asciiTheme="majorBidi" w:hAnsiTheme="majorBidi" w:cstheme="majorBidi"/>
          <w:b/>
          <w:color w:val="000000" w:themeColor="text1"/>
        </w:rPr>
        <w:t>, Abdullah Amjad bin Hussain</w:t>
      </w:r>
      <w:r w:rsidRPr="003527E1">
        <w:rPr>
          <w:rFonts w:asciiTheme="majorBidi" w:hAnsiTheme="majorBidi" w:cstheme="majorBidi"/>
          <w:b/>
          <w:color w:val="000000" w:themeColor="text1"/>
          <w:vertAlign w:val="superscript"/>
        </w:rPr>
        <w:t>2</w:t>
      </w:r>
      <w:r w:rsidRPr="003527E1">
        <w:rPr>
          <w:rFonts w:asciiTheme="majorBidi" w:hAnsiTheme="majorBidi" w:cstheme="majorBidi"/>
          <w:b/>
          <w:color w:val="000000" w:themeColor="text1"/>
        </w:rPr>
        <w:t xml:space="preserve">, </w:t>
      </w:r>
      <w:r w:rsidRPr="003527E1">
        <w:rPr>
          <w:rFonts w:asciiTheme="majorBidi" w:hAnsiTheme="majorBidi" w:cstheme="majorBidi"/>
          <w:b/>
          <w:color w:val="000000" w:themeColor="text1"/>
          <w:rtl/>
        </w:rPr>
        <w:t>‏</w:t>
      </w:r>
      <w:r w:rsidRPr="003527E1">
        <w:rPr>
          <w:rFonts w:asciiTheme="majorBidi" w:hAnsiTheme="majorBidi" w:cstheme="majorBidi"/>
          <w:color w:val="000000" w:themeColor="text1"/>
          <w:rtl/>
        </w:rPr>
        <w:t xml:space="preserve"> </w:t>
      </w:r>
      <w:proofErr w:type="spellStart"/>
      <w:r w:rsidRPr="003527E1">
        <w:rPr>
          <w:rFonts w:asciiTheme="majorBidi" w:hAnsiTheme="majorBidi" w:cstheme="majorBidi"/>
          <w:b/>
          <w:color w:val="000000" w:themeColor="text1"/>
        </w:rPr>
        <w:t>Qusai</w:t>
      </w:r>
      <w:proofErr w:type="spellEnd"/>
      <w:r w:rsidRPr="003527E1">
        <w:rPr>
          <w:rFonts w:asciiTheme="majorBidi" w:hAnsiTheme="majorBidi" w:cstheme="majorBidi"/>
          <w:b/>
          <w:color w:val="000000" w:themeColor="text1"/>
        </w:rPr>
        <w:t xml:space="preserve"> </w:t>
      </w:r>
      <w:proofErr w:type="spellStart"/>
      <w:r w:rsidRPr="003527E1">
        <w:rPr>
          <w:rFonts w:asciiTheme="majorBidi" w:hAnsiTheme="majorBidi" w:cstheme="majorBidi"/>
          <w:b/>
          <w:color w:val="000000" w:themeColor="text1"/>
        </w:rPr>
        <w:t>Abdurazzaq</w:t>
      </w:r>
      <w:proofErr w:type="spellEnd"/>
      <w:r w:rsidRPr="003527E1">
        <w:rPr>
          <w:rFonts w:asciiTheme="majorBidi" w:hAnsiTheme="majorBidi" w:cstheme="majorBidi"/>
          <w:b/>
          <w:color w:val="000000" w:themeColor="text1"/>
        </w:rPr>
        <w:t xml:space="preserve"> Sultan</w:t>
      </w:r>
      <w:r w:rsidRPr="003527E1">
        <w:rPr>
          <w:rFonts w:asciiTheme="majorBidi" w:hAnsiTheme="majorBidi" w:cstheme="majorBidi"/>
          <w:b/>
          <w:color w:val="000000" w:themeColor="text1"/>
          <w:vertAlign w:val="superscript"/>
        </w:rPr>
        <w:t>2</w:t>
      </w:r>
      <w:r w:rsidRPr="003527E1">
        <w:rPr>
          <w:rFonts w:asciiTheme="majorBidi" w:hAnsiTheme="majorBidi" w:cstheme="majorBidi"/>
          <w:b/>
          <w:color w:val="000000" w:themeColor="text1"/>
        </w:rPr>
        <w:t xml:space="preserve">, </w:t>
      </w:r>
      <w:r w:rsidRPr="003527E1">
        <w:rPr>
          <w:rFonts w:asciiTheme="majorBidi" w:hAnsiTheme="majorBidi" w:cstheme="majorBidi"/>
          <w:b/>
          <w:color w:val="000000" w:themeColor="text1"/>
          <w:rtl/>
        </w:rPr>
        <w:t>‏</w:t>
      </w:r>
      <w:r w:rsidRPr="003527E1">
        <w:rPr>
          <w:rFonts w:asciiTheme="majorBidi" w:hAnsiTheme="majorBidi" w:cstheme="majorBidi"/>
          <w:b/>
          <w:color w:val="000000" w:themeColor="text1"/>
        </w:rPr>
        <w:t>Belal Barogaan</w:t>
      </w:r>
      <w:r w:rsidRPr="003527E1">
        <w:rPr>
          <w:rFonts w:asciiTheme="majorBidi" w:hAnsiTheme="majorBidi" w:cstheme="majorBidi"/>
          <w:b/>
          <w:color w:val="000000" w:themeColor="text1"/>
          <w:vertAlign w:val="superscript"/>
        </w:rPr>
        <w:t>2</w:t>
      </w:r>
      <w:r w:rsidRPr="003527E1">
        <w:rPr>
          <w:rFonts w:asciiTheme="majorBidi" w:hAnsiTheme="majorBidi" w:cstheme="majorBidi"/>
          <w:b/>
          <w:color w:val="000000" w:themeColor="text1"/>
        </w:rPr>
        <w:t>, Tariq Alkaabi</w:t>
      </w:r>
      <w:r w:rsidRPr="003527E1">
        <w:rPr>
          <w:rFonts w:asciiTheme="majorBidi" w:hAnsiTheme="majorBidi" w:cstheme="majorBidi"/>
          <w:b/>
          <w:color w:val="000000" w:themeColor="text1"/>
          <w:vertAlign w:val="superscript"/>
        </w:rPr>
        <w:t>2</w:t>
      </w:r>
      <w:r w:rsidRPr="003527E1">
        <w:rPr>
          <w:rFonts w:asciiTheme="majorBidi" w:hAnsiTheme="majorBidi" w:cstheme="majorBidi"/>
          <w:b/>
          <w:color w:val="000000" w:themeColor="text1"/>
        </w:rPr>
        <w:t>, Khaled Alwesabi</w:t>
      </w:r>
      <w:r w:rsidRPr="003527E1">
        <w:rPr>
          <w:rFonts w:asciiTheme="majorBidi" w:hAnsiTheme="majorBidi" w:cstheme="majorBidi"/>
          <w:b/>
          <w:color w:val="000000" w:themeColor="text1"/>
          <w:vertAlign w:val="superscript"/>
        </w:rPr>
        <w:t>6</w:t>
      </w:r>
      <w:r w:rsidRPr="003527E1">
        <w:rPr>
          <w:rFonts w:asciiTheme="majorBidi" w:hAnsiTheme="majorBidi" w:cstheme="majorBidi"/>
          <w:b/>
          <w:color w:val="000000" w:themeColor="text1"/>
        </w:rPr>
        <w:t xml:space="preserve">, Mohamed </w:t>
      </w:r>
      <w:proofErr w:type="spellStart"/>
      <w:r w:rsidRPr="003527E1">
        <w:rPr>
          <w:rFonts w:asciiTheme="majorBidi" w:hAnsiTheme="majorBidi" w:cstheme="majorBidi"/>
          <w:b/>
          <w:color w:val="000000" w:themeColor="text1"/>
        </w:rPr>
        <w:t>Saif</w:t>
      </w:r>
      <w:proofErr w:type="spellEnd"/>
      <w:r w:rsidRPr="003527E1">
        <w:rPr>
          <w:rFonts w:asciiTheme="majorBidi" w:hAnsiTheme="majorBidi" w:cstheme="majorBidi"/>
          <w:b/>
          <w:color w:val="000000" w:themeColor="text1"/>
        </w:rPr>
        <w:t xml:space="preserve"> </w:t>
      </w:r>
      <w:proofErr w:type="spellStart"/>
      <w:r w:rsidRPr="003527E1">
        <w:rPr>
          <w:rFonts w:asciiTheme="majorBidi" w:hAnsiTheme="majorBidi" w:cstheme="majorBidi"/>
          <w:b/>
          <w:color w:val="000000" w:themeColor="text1"/>
        </w:rPr>
        <w:t>Qayed</w:t>
      </w:r>
      <w:proofErr w:type="spellEnd"/>
      <w:r w:rsidRPr="003527E1">
        <w:rPr>
          <w:rFonts w:asciiTheme="majorBidi" w:hAnsiTheme="majorBidi" w:cstheme="majorBidi"/>
          <w:b/>
          <w:color w:val="000000" w:themeColor="text1"/>
        </w:rPr>
        <w:t xml:space="preserve"> Ahmed Obaid</w:t>
      </w:r>
      <w:r w:rsidRPr="003527E1">
        <w:rPr>
          <w:rFonts w:asciiTheme="majorBidi" w:hAnsiTheme="majorBidi" w:cstheme="majorBidi"/>
          <w:b/>
          <w:color w:val="000000" w:themeColor="text1"/>
          <w:vertAlign w:val="superscript"/>
        </w:rPr>
        <w:t>8</w:t>
      </w:r>
      <w:r w:rsidRPr="003527E1">
        <w:rPr>
          <w:rFonts w:asciiTheme="majorBidi" w:hAnsiTheme="majorBidi" w:cstheme="majorBidi"/>
          <w:b/>
          <w:color w:val="000000" w:themeColor="text1"/>
        </w:rPr>
        <w:t xml:space="preserve">, </w:t>
      </w:r>
      <w:proofErr w:type="spellStart"/>
      <w:r w:rsidRPr="003527E1">
        <w:rPr>
          <w:rFonts w:asciiTheme="majorBidi" w:hAnsiTheme="majorBidi" w:cstheme="majorBidi"/>
          <w:b/>
          <w:color w:val="000000" w:themeColor="text1"/>
        </w:rPr>
        <w:t>Hakeema</w:t>
      </w:r>
      <w:proofErr w:type="spellEnd"/>
      <w:r w:rsidRPr="003527E1">
        <w:rPr>
          <w:rFonts w:asciiTheme="majorBidi" w:hAnsiTheme="majorBidi" w:cstheme="majorBidi"/>
          <w:b/>
          <w:color w:val="000000" w:themeColor="text1"/>
        </w:rPr>
        <w:t xml:space="preserve"> Alfaraj</w:t>
      </w:r>
      <w:r w:rsidRPr="003527E1">
        <w:rPr>
          <w:rFonts w:asciiTheme="majorBidi" w:hAnsiTheme="majorBidi" w:cstheme="majorBidi"/>
          <w:b/>
          <w:color w:val="000000" w:themeColor="text1"/>
          <w:vertAlign w:val="superscript"/>
        </w:rPr>
        <w:t>9</w:t>
      </w:r>
      <w:r w:rsidRPr="003527E1">
        <w:rPr>
          <w:rFonts w:asciiTheme="majorBidi" w:hAnsiTheme="majorBidi" w:cstheme="majorBidi"/>
          <w:b/>
          <w:color w:val="000000" w:themeColor="text1"/>
        </w:rPr>
        <w:t>, Ahmed Albakaawi</w:t>
      </w:r>
      <w:r w:rsidRPr="003527E1">
        <w:rPr>
          <w:rFonts w:asciiTheme="majorBidi" w:hAnsiTheme="majorBidi" w:cstheme="majorBidi"/>
          <w:b/>
          <w:color w:val="000000" w:themeColor="text1"/>
          <w:vertAlign w:val="superscript"/>
        </w:rPr>
        <w:t>10</w:t>
      </w:r>
      <w:r w:rsidRPr="003527E1">
        <w:rPr>
          <w:rFonts w:asciiTheme="majorBidi" w:hAnsiTheme="majorBidi" w:cstheme="majorBidi"/>
          <w:b/>
          <w:color w:val="000000" w:themeColor="text1"/>
        </w:rPr>
        <w:t xml:space="preserve">, </w:t>
      </w:r>
      <w:proofErr w:type="spellStart"/>
      <w:r w:rsidRPr="003527E1">
        <w:rPr>
          <w:rFonts w:asciiTheme="majorBidi" w:hAnsiTheme="majorBidi" w:cstheme="majorBidi"/>
          <w:b/>
          <w:color w:val="000000" w:themeColor="text1"/>
        </w:rPr>
        <w:t>Ashwaq</w:t>
      </w:r>
      <w:proofErr w:type="spellEnd"/>
      <w:r w:rsidRPr="003527E1">
        <w:rPr>
          <w:rFonts w:asciiTheme="majorBidi" w:hAnsiTheme="majorBidi" w:cstheme="majorBidi"/>
          <w:b/>
          <w:color w:val="000000" w:themeColor="text1"/>
        </w:rPr>
        <w:t xml:space="preserve"> Albnyah</w:t>
      </w:r>
      <w:r w:rsidRPr="003527E1">
        <w:rPr>
          <w:rFonts w:asciiTheme="majorBidi" w:hAnsiTheme="majorBidi" w:cstheme="majorBidi"/>
          <w:b/>
          <w:color w:val="000000" w:themeColor="text1"/>
          <w:vertAlign w:val="superscript"/>
        </w:rPr>
        <w:t>10</w:t>
      </w:r>
      <w:r w:rsidRPr="003527E1">
        <w:rPr>
          <w:rFonts w:asciiTheme="majorBidi" w:hAnsiTheme="majorBidi" w:cstheme="majorBidi"/>
          <w:b/>
          <w:color w:val="000000" w:themeColor="text1"/>
        </w:rPr>
        <w:t xml:space="preserve">, Reem </w:t>
      </w:r>
      <w:proofErr w:type="spellStart"/>
      <w:r w:rsidRPr="003527E1">
        <w:rPr>
          <w:rFonts w:asciiTheme="majorBidi" w:hAnsiTheme="majorBidi" w:cstheme="majorBidi"/>
          <w:b/>
          <w:color w:val="000000" w:themeColor="text1"/>
        </w:rPr>
        <w:t>Muhammadishag</w:t>
      </w:r>
      <w:proofErr w:type="spellEnd"/>
      <w:r w:rsidRPr="003527E1">
        <w:rPr>
          <w:rFonts w:asciiTheme="majorBidi" w:hAnsiTheme="majorBidi" w:cstheme="majorBidi"/>
          <w:b/>
          <w:color w:val="000000" w:themeColor="text1"/>
        </w:rPr>
        <w:t xml:space="preserve"> A Kamal</w:t>
      </w:r>
      <w:r w:rsidRPr="003527E1">
        <w:rPr>
          <w:rFonts w:asciiTheme="majorBidi" w:hAnsiTheme="majorBidi" w:cstheme="majorBidi"/>
          <w:b/>
          <w:color w:val="000000" w:themeColor="text1"/>
          <w:vertAlign w:val="superscript"/>
        </w:rPr>
        <w:t>11</w:t>
      </w:r>
      <w:r w:rsidRPr="003527E1">
        <w:rPr>
          <w:rFonts w:asciiTheme="majorBidi" w:hAnsiTheme="majorBidi" w:cstheme="majorBidi"/>
          <w:b/>
          <w:color w:val="000000" w:themeColor="text1"/>
        </w:rPr>
        <w:t>, Abdullah Alzahrani</w:t>
      </w:r>
      <w:r w:rsidRPr="003527E1">
        <w:rPr>
          <w:rFonts w:asciiTheme="majorBidi" w:hAnsiTheme="majorBidi" w:cstheme="majorBidi"/>
          <w:b/>
          <w:color w:val="000000" w:themeColor="text1"/>
          <w:vertAlign w:val="superscript"/>
        </w:rPr>
        <w:t>12</w:t>
      </w:r>
      <w:r w:rsidRPr="003527E1">
        <w:rPr>
          <w:rFonts w:asciiTheme="majorBidi" w:hAnsiTheme="majorBidi" w:cstheme="majorBidi"/>
          <w:b/>
          <w:color w:val="000000" w:themeColor="text1"/>
        </w:rPr>
        <w:t>, Noor Alyousef</w:t>
      </w:r>
      <w:r w:rsidRPr="003527E1">
        <w:rPr>
          <w:rFonts w:asciiTheme="majorBidi" w:hAnsiTheme="majorBidi" w:cstheme="majorBidi"/>
          <w:b/>
          <w:color w:val="000000" w:themeColor="text1"/>
          <w:vertAlign w:val="superscript"/>
        </w:rPr>
        <w:t>13</w:t>
      </w:r>
      <w:r w:rsidRPr="003527E1">
        <w:rPr>
          <w:rFonts w:asciiTheme="majorBidi" w:hAnsiTheme="majorBidi" w:cstheme="majorBidi"/>
          <w:b/>
          <w:color w:val="000000" w:themeColor="text1"/>
        </w:rPr>
        <w:t>, Faisal Alassaf</w:t>
      </w:r>
      <w:r w:rsidRPr="003527E1">
        <w:rPr>
          <w:rFonts w:asciiTheme="majorBidi" w:hAnsiTheme="majorBidi" w:cstheme="majorBidi"/>
          <w:b/>
          <w:color w:val="000000" w:themeColor="text1"/>
          <w:vertAlign w:val="superscript"/>
        </w:rPr>
        <w:t>14</w:t>
      </w:r>
      <w:r w:rsidRPr="003527E1">
        <w:rPr>
          <w:rFonts w:asciiTheme="majorBidi" w:hAnsiTheme="majorBidi" w:cstheme="majorBidi"/>
          <w:b/>
          <w:color w:val="000000" w:themeColor="text1"/>
        </w:rPr>
        <w:t>, Zahra Al Mohsen</w:t>
      </w:r>
      <w:r w:rsidRPr="003527E1">
        <w:rPr>
          <w:rFonts w:asciiTheme="majorBidi" w:hAnsiTheme="majorBidi" w:cstheme="majorBidi"/>
          <w:b/>
          <w:color w:val="000000" w:themeColor="text1"/>
          <w:vertAlign w:val="superscript"/>
        </w:rPr>
        <w:t>15</w:t>
      </w:r>
      <w:r w:rsidR="003F1F42">
        <w:rPr>
          <w:rFonts w:asciiTheme="majorBidi" w:hAnsiTheme="majorBidi" w:cstheme="majorBidi"/>
          <w:b/>
          <w:color w:val="000000" w:themeColor="text1"/>
          <w:vertAlign w:val="subscript"/>
        </w:rPr>
        <w:t>,</w:t>
      </w:r>
      <w:r w:rsidR="003F1F42" w:rsidRPr="003F1F42">
        <w:rPr>
          <w:rFonts w:ascii="Arial" w:hAnsi="Arial" w:cs="Arial"/>
          <w:color w:val="222222"/>
        </w:rPr>
        <w:t xml:space="preserve"> </w:t>
      </w:r>
      <w:proofErr w:type="spellStart"/>
      <w:r w:rsidR="003F1F42" w:rsidRPr="003F1F42">
        <w:rPr>
          <w:rFonts w:asciiTheme="majorBidi" w:eastAsia="Times New Roman" w:hAnsiTheme="majorBidi" w:cstheme="majorBidi"/>
          <w:b/>
          <w:bCs/>
          <w:color w:val="222222"/>
        </w:rPr>
        <w:t>Abdullaziz</w:t>
      </w:r>
      <w:proofErr w:type="spellEnd"/>
      <w:r w:rsidR="003F1F42" w:rsidRPr="003F1F42">
        <w:rPr>
          <w:rFonts w:asciiTheme="majorBidi" w:eastAsia="Times New Roman" w:hAnsiTheme="majorBidi" w:cstheme="majorBidi"/>
          <w:b/>
          <w:bCs/>
          <w:color w:val="222222"/>
        </w:rPr>
        <w:t xml:space="preserve"> Mohammed Alghamdi</w:t>
      </w:r>
      <w:r w:rsidR="003F1F42" w:rsidRPr="003F1F42">
        <w:rPr>
          <w:rFonts w:asciiTheme="majorBidi" w:eastAsia="Times New Roman" w:hAnsiTheme="majorBidi" w:cstheme="majorBidi"/>
          <w:color w:val="222222"/>
          <w:vertAlign w:val="superscript"/>
        </w:rPr>
        <w:t>16</w:t>
      </w:r>
    </w:p>
    <w:p w14:paraId="526FCAAE" w14:textId="7EE6D29A" w:rsidR="002A1ECA" w:rsidRPr="003F1F42" w:rsidRDefault="002A1ECA" w:rsidP="00F56885">
      <w:pPr>
        <w:spacing w:after="0" w:line="240" w:lineRule="auto"/>
        <w:jc w:val="center"/>
        <w:rPr>
          <w:rFonts w:asciiTheme="majorBidi" w:hAnsiTheme="majorBidi" w:cstheme="majorBidi"/>
          <w:color w:val="000000" w:themeColor="text1"/>
        </w:rPr>
      </w:pPr>
      <w:r w:rsidRPr="003527E1">
        <w:rPr>
          <w:rFonts w:asciiTheme="majorBidi" w:hAnsiTheme="majorBidi" w:cstheme="majorBidi"/>
          <w:color w:val="000000" w:themeColor="text1"/>
          <w:vertAlign w:val="superscript"/>
        </w:rPr>
        <w:t>1</w:t>
      </w:r>
      <w:r w:rsidRPr="003527E1">
        <w:rPr>
          <w:rFonts w:asciiTheme="majorBidi" w:hAnsiTheme="majorBidi" w:cstheme="majorBidi"/>
          <w:color w:val="000000" w:themeColor="text1"/>
        </w:rPr>
        <w:t>Consultant Family Medicine</w:t>
      </w:r>
      <w:bookmarkStart w:id="4" w:name="_Hlk49521059"/>
      <w:r w:rsidRPr="003527E1">
        <w:rPr>
          <w:rFonts w:asciiTheme="majorBidi" w:hAnsiTheme="majorBidi" w:cstheme="majorBidi"/>
          <w:color w:val="000000" w:themeColor="text1"/>
        </w:rPr>
        <w:t>, Saudi Arabia.</w:t>
      </w:r>
      <w:bookmarkEnd w:id="4"/>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2</w:t>
      </w:r>
      <w:r w:rsidRPr="003527E1">
        <w:rPr>
          <w:rFonts w:asciiTheme="majorBidi" w:hAnsiTheme="majorBidi" w:cstheme="majorBidi"/>
          <w:color w:val="000000" w:themeColor="text1"/>
        </w:rPr>
        <w:t xml:space="preserve">Umm Al </w:t>
      </w:r>
      <w:proofErr w:type="spellStart"/>
      <w:r w:rsidRPr="003527E1">
        <w:rPr>
          <w:rFonts w:asciiTheme="majorBidi" w:hAnsiTheme="majorBidi" w:cstheme="majorBidi"/>
          <w:color w:val="000000" w:themeColor="text1"/>
        </w:rPr>
        <w:t>Qura</w:t>
      </w:r>
      <w:proofErr w:type="spellEnd"/>
      <w:r w:rsidRPr="003527E1">
        <w:rPr>
          <w:rFonts w:asciiTheme="majorBidi" w:hAnsiTheme="majorBidi" w:cstheme="majorBidi"/>
          <w:color w:val="000000" w:themeColor="text1"/>
        </w:rPr>
        <w:t xml:space="preserve"> University,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3</w:t>
      </w:r>
      <w:r w:rsidRPr="003527E1">
        <w:rPr>
          <w:rFonts w:asciiTheme="majorBidi" w:hAnsiTheme="majorBidi" w:cstheme="majorBidi"/>
          <w:color w:val="000000" w:themeColor="text1"/>
        </w:rPr>
        <w:t>King Khalid University,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4</w:t>
      </w:r>
      <w:r w:rsidRPr="003527E1">
        <w:rPr>
          <w:rFonts w:asciiTheme="majorBidi" w:hAnsiTheme="majorBidi" w:cstheme="majorBidi"/>
          <w:color w:val="000000" w:themeColor="text1"/>
        </w:rPr>
        <w:t>Al-Faisal University,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5</w:t>
      </w:r>
      <w:r w:rsidRPr="003527E1">
        <w:rPr>
          <w:rFonts w:asciiTheme="majorBidi" w:hAnsiTheme="majorBidi" w:cstheme="majorBidi"/>
          <w:color w:val="000000" w:themeColor="text1"/>
        </w:rPr>
        <w:t>Aljouf university,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6</w:t>
      </w:r>
      <w:r w:rsidRPr="003527E1">
        <w:rPr>
          <w:rFonts w:asciiTheme="majorBidi" w:hAnsiTheme="majorBidi" w:cstheme="majorBidi"/>
          <w:color w:val="000000" w:themeColor="text1"/>
        </w:rPr>
        <w:t xml:space="preserve">Dar </w:t>
      </w:r>
      <w:proofErr w:type="spellStart"/>
      <w:r w:rsidRPr="003527E1">
        <w:rPr>
          <w:rFonts w:asciiTheme="majorBidi" w:hAnsiTheme="majorBidi" w:cstheme="majorBidi"/>
          <w:color w:val="000000" w:themeColor="text1"/>
        </w:rPr>
        <w:t>Uloom</w:t>
      </w:r>
      <w:proofErr w:type="spellEnd"/>
      <w:r w:rsidRPr="003527E1">
        <w:rPr>
          <w:rFonts w:asciiTheme="majorBidi" w:hAnsiTheme="majorBidi" w:cstheme="majorBidi"/>
          <w:color w:val="000000" w:themeColor="text1"/>
        </w:rPr>
        <w:t xml:space="preserve"> University,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7</w:t>
      </w:r>
      <w:r w:rsidRPr="003527E1">
        <w:rPr>
          <w:rFonts w:asciiTheme="majorBidi" w:hAnsiTheme="majorBidi" w:cstheme="majorBidi"/>
          <w:color w:val="000000" w:themeColor="text1"/>
        </w:rPr>
        <w:t>Alfarabi Colleges,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8</w:t>
      </w:r>
      <w:r w:rsidRPr="003527E1">
        <w:rPr>
          <w:rFonts w:asciiTheme="majorBidi" w:hAnsiTheme="majorBidi" w:cstheme="majorBidi"/>
          <w:color w:val="000000" w:themeColor="text1"/>
        </w:rPr>
        <w:t>Jordan University, Jordan.</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9</w:t>
      </w:r>
      <w:r w:rsidRPr="003527E1">
        <w:rPr>
          <w:rFonts w:asciiTheme="majorBidi" w:hAnsiTheme="majorBidi" w:cstheme="majorBidi"/>
          <w:color w:val="000000" w:themeColor="text1"/>
        </w:rPr>
        <w:t>Arabian Gulf University, Bahrain.</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10</w:t>
      </w:r>
      <w:r w:rsidRPr="003527E1">
        <w:rPr>
          <w:rFonts w:asciiTheme="majorBidi" w:hAnsiTheme="majorBidi" w:cstheme="majorBidi"/>
          <w:color w:val="000000" w:themeColor="text1"/>
        </w:rPr>
        <w:t>University of Hail,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11</w:t>
      </w:r>
      <w:r w:rsidRPr="003527E1">
        <w:rPr>
          <w:rFonts w:asciiTheme="majorBidi" w:hAnsiTheme="majorBidi" w:cstheme="majorBidi"/>
          <w:color w:val="000000" w:themeColor="text1"/>
        </w:rPr>
        <w:t xml:space="preserve">King </w:t>
      </w:r>
      <w:proofErr w:type="spellStart"/>
      <w:r w:rsidRPr="003527E1">
        <w:rPr>
          <w:rFonts w:asciiTheme="majorBidi" w:hAnsiTheme="majorBidi" w:cstheme="majorBidi"/>
          <w:color w:val="000000" w:themeColor="text1"/>
        </w:rPr>
        <w:t>Abdulaziz</w:t>
      </w:r>
      <w:proofErr w:type="spellEnd"/>
      <w:r w:rsidRPr="003527E1">
        <w:rPr>
          <w:rFonts w:asciiTheme="majorBidi" w:hAnsiTheme="majorBidi" w:cstheme="majorBidi"/>
          <w:color w:val="000000" w:themeColor="text1"/>
        </w:rPr>
        <w:t xml:space="preserve"> University,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12</w:t>
      </w:r>
      <w:r w:rsidRPr="003527E1">
        <w:rPr>
          <w:rFonts w:asciiTheme="majorBidi" w:hAnsiTheme="majorBidi" w:cstheme="majorBidi"/>
          <w:color w:val="000000" w:themeColor="text1"/>
        </w:rPr>
        <w:t>Albaha University,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13</w:t>
      </w:r>
      <w:r w:rsidRPr="003527E1">
        <w:rPr>
          <w:rFonts w:asciiTheme="majorBidi" w:hAnsiTheme="majorBidi" w:cstheme="majorBidi"/>
          <w:color w:val="000000" w:themeColor="text1"/>
        </w:rPr>
        <w:t>Buraidah College, Saudi Arabia.</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14</w:t>
      </w:r>
      <w:r w:rsidRPr="003527E1">
        <w:rPr>
          <w:rFonts w:asciiTheme="majorBidi" w:hAnsiTheme="majorBidi" w:cstheme="majorBidi"/>
          <w:color w:val="000000" w:themeColor="text1"/>
        </w:rPr>
        <w:t xml:space="preserve">Universitair </w:t>
      </w:r>
      <w:proofErr w:type="spellStart"/>
      <w:r w:rsidRPr="003527E1">
        <w:rPr>
          <w:rFonts w:asciiTheme="majorBidi" w:hAnsiTheme="majorBidi" w:cstheme="majorBidi"/>
          <w:color w:val="000000" w:themeColor="text1"/>
        </w:rPr>
        <w:t>Medisch</w:t>
      </w:r>
      <w:proofErr w:type="spellEnd"/>
      <w:r w:rsidRPr="003527E1">
        <w:rPr>
          <w:rFonts w:asciiTheme="majorBidi" w:hAnsiTheme="majorBidi" w:cstheme="majorBidi"/>
          <w:color w:val="000000" w:themeColor="text1"/>
        </w:rPr>
        <w:t xml:space="preserve"> Centrum Groningen, Netherlands.</w:t>
      </w:r>
      <w:r w:rsidR="00F56885" w:rsidRPr="003527E1">
        <w:rPr>
          <w:rFonts w:asciiTheme="majorBidi" w:hAnsiTheme="majorBidi" w:cstheme="majorBidi"/>
          <w:color w:val="000000" w:themeColor="text1"/>
        </w:rPr>
        <w:t>,</w:t>
      </w:r>
      <w:r w:rsidRPr="003527E1">
        <w:rPr>
          <w:rFonts w:asciiTheme="majorBidi" w:hAnsiTheme="majorBidi" w:cstheme="majorBidi"/>
          <w:color w:val="000000" w:themeColor="text1"/>
          <w:vertAlign w:val="superscript"/>
        </w:rPr>
        <w:t>15</w:t>
      </w:r>
      <w:r w:rsidRPr="003527E1">
        <w:rPr>
          <w:rFonts w:asciiTheme="majorBidi" w:hAnsiTheme="majorBidi" w:cstheme="majorBidi"/>
          <w:color w:val="000000" w:themeColor="text1"/>
        </w:rPr>
        <w:t>University of Groningen, the Netherlands.</w:t>
      </w:r>
      <w:r w:rsidR="003F1F42">
        <w:rPr>
          <w:rFonts w:asciiTheme="majorBidi" w:hAnsiTheme="majorBidi" w:cstheme="majorBidi"/>
          <w:color w:val="000000" w:themeColor="text1"/>
        </w:rPr>
        <w:t xml:space="preserve">, </w:t>
      </w:r>
      <w:r w:rsidR="003F1F42" w:rsidRPr="003F1F42">
        <w:rPr>
          <w:rFonts w:asciiTheme="majorBidi" w:hAnsiTheme="majorBidi" w:cstheme="majorBidi"/>
          <w:color w:val="000000" w:themeColor="text1"/>
          <w:vertAlign w:val="superscript"/>
        </w:rPr>
        <w:t>16</w:t>
      </w:r>
      <w:r w:rsidR="003F1F42" w:rsidRPr="003F1F42">
        <w:rPr>
          <w:rFonts w:asciiTheme="majorBidi" w:hAnsiTheme="majorBidi" w:cstheme="majorBidi"/>
          <w:color w:val="222222"/>
          <w:shd w:val="clear" w:color="auto" w:fill="FFFFFF"/>
        </w:rPr>
        <w:t>Masaryk University, Czechia.</w:t>
      </w:r>
    </w:p>
    <w:p w14:paraId="62517619" w14:textId="4F197318" w:rsidR="003527E1" w:rsidRPr="003527E1" w:rsidRDefault="003527E1" w:rsidP="003527E1">
      <w:pPr>
        <w:pBdr>
          <w:top w:val="double" w:sz="4" w:space="1" w:color="auto"/>
          <w:left w:val="double" w:sz="4" w:space="4" w:color="auto"/>
          <w:bottom w:val="double" w:sz="4" w:space="1" w:color="auto"/>
          <w:right w:val="double" w:sz="4" w:space="4" w:color="auto"/>
          <w:between w:val="double" w:sz="4" w:space="1" w:color="auto"/>
        </w:pBdr>
        <w:spacing w:after="0" w:line="240" w:lineRule="auto"/>
        <w:jc w:val="center"/>
        <w:rPr>
          <w:rFonts w:ascii="Times New Roman" w:eastAsia="Times New Roman" w:hAnsi="Times New Roman" w:cs="Times New Roman"/>
          <w:szCs w:val="24"/>
        </w:rPr>
      </w:pPr>
      <w:r w:rsidRPr="00AF5174">
        <w:rPr>
          <w:rFonts w:ascii="Times New Roman" w:eastAsia="Times New Roman" w:hAnsi="Times New Roman" w:cs="Arial"/>
          <w:b/>
          <w:szCs w:val="24"/>
        </w:rPr>
        <w:t xml:space="preserve">Article Received: </w:t>
      </w:r>
      <w:r w:rsidRPr="00AF5174">
        <w:rPr>
          <w:rFonts w:ascii="Times New Roman" w:eastAsia="Times New Roman" w:hAnsi="Times New Roman" w:cs="Arial"/>
          <w:bCs/>
          <w:szCs w:val="24"/>
        </w:rPr>
        <w:t xml:space="preserve">November 2020   </w:t>
      </w:r>
      <w:r>
        <w:rPr>
          <w:rFonts w:ascii="Times New Roman" w:eastAsia="Times New Roman" w:hAnsi="Times New Roman" w:cs="Arial"/>
          <w:bCs/>
          <w:szCs w:val="24"/>
        </w:rPr>
        <w:t xml:space="preserve"> </w:t>
      </w:r>
      <w:r w:rsidRPr="00AF5174">
        <w:rPr>
          <w:rFonts w:ascii="Times New Roman" w:eastAsia="Times New Roman" w:hAnsi="Times New Roman" w:cs="Arial"/>
          <w:bCs/>
          <w:szCs w:val="24"/>
        </w:rPr>
        <w:t xml:space="preserve"> </w:t>
      </w:r>
      <w:r>
        <w:rPr>
          <w:rFonts w:ascii="Times New Roman" w:eastAsia="Times New Roman" w:hAnsi="Times New Roman" w:cs="Arial"/>
          <w:bCs/>
          <w:szCs w:val="24"/>
        </w:rPr>
        <w:t xml:space="preserve">     </w:t>
      </w:r>
      <w:r w:rsidRPr="00AF5174">
        <w:rPr>
          <w:rFonts w:ascii="Times New Roman" w:eastAsia="Times New Roman" w:hAnsi="Times New Roman" w:cs="Arial"/>
          <w:bCs/>
          <w:szCs w:val="24"/>
        </w:rPr>
        <w:t xml:space="preserve"> </w:t>
      </w:r>
      <w:r w:rsidRPr="00AF5174">
        <w:rPr>
          <w:rFonts w:ascii="Times New Roman" w:eastAsia="Times New Roman" w:hAnsi="Times New Roman" w:cs="Arial"/>
          <w:b/>
          <w:szCs w:val="24"/>
        </w:rPr>
        <w:t>Accepted:</w:t>
      </w:r>
      <w:r w:rsidRPr="00AF5174">
        <w:rPr>
          <w:rFonts w:ascii="Times New Roman" w:eastAsia="Times New Roman" w:hAnsi="Times New Roman" w:cs="Arial"/>
          <w:szCs w:val="24"/>
        </w:rPr>
        <w:t xml:space="preserve"> </w:t>
      </w:r>
      <w:r w:rsidRPr="00AF5174">
        <w:rPr>
          <w:rFonts w:ascii="Times New Roman" w:eastAsia="Times New Roman" w:hAnsi="Times New Roman" w:cs="Arial"/>
          <w:bCs/>
          <w:szCs w:val="24"/>
        </w:rPr>
        <w:t xml:space="preserve">December </w:t>
      </w:r>
      <w:r w:rsidRPr="00AF5174">
        <w:rPr>
          <w:rFonts w:ascii="Times New Roman" w:eastAsia="Times New Roman" w:hAnsi="Times New Roman" w:cs="Arial"/>
          <w:szCs w:val="24"/>
        </w:rPr>
        <w:t xml:space="preserve">2020   </w:t>
      </w:r>
      <w:r>
        <w:rPr>
          <w:rFonts w:ascii="Times New Roman" w:eastAsia="Times New Roman" w:hAnsi="Times New Roman" w:cs="Arial"/>
          <w:szCs w:val="24"/>
        </w:rPr>
        <w:t xml:space="preserve">         </w:t>
      </w:r>
      <w:r w:rsidRPr="00AF5174">
        <w:rPr>
          <w:rFonts w:ascii="Times New Roman" w:eastAsia="Times New Roman" w:hAnsi="Times New Roman" w:cs="Arial"/>
          <w:szCs w:val="24"/>
        </w:rPr>
        <w:t xml:space="preserve">  </w:t>
      </w:r>
      <w:r w:rsidRPr="00AF5174">
        <w:rPr>
          <w:rFonts w:ascii="Times New Roman" w:eastAsia="Times New Roman" w:hAnsi="Times New Roman" w:cs="Arial"/>
          <w:b/>
          <w:szCs w:val="24"/>
        </w:rPr>
        <w:t xml:space="preserve">Published: </w:t>
      </w:r>
      <w:r w:rsidRPr="00AF5174">
        <w:rPr>
          <w:rFonts w:ascii="Times New Roman" w:eastAsia="Times New Roman" w:hAnsi="Times New Roman" w:cs="Arial"/>
          <w:bCs/>
          <w:szCs w:val="24"/>
        </w:rPr>
        <w:t xml:space="preserve">January </w:t>
      </w:r>
      <w:r w:rsidRPr="00AF5174">
        <w:rPr>
          <w:rFonts w:ascii="Times New Roman" w:eastAsia="Times New Roman" w:hAnsi="Times New Roman" w:cs="Arial"/>
          <w:szCs w:val="24"/>
        </w:rPr>
        <w:t>2021</w:t>
      </w:r>
    </w:p>
    <w:p w14:paraId="30BC7651" w14:textId="2A67E331" w:rsidR="00AE6903" w:rsidRPr="003F1F42" w:rsidRDefault="00024C68" w:rsidP="00F56885">
      <w:pPr>
        <w:pBdr>
          <w:top w:val="double" w:sz="4" w:space="1" w:color="auto"/>
          <w:left w:val="double" w:sz="4" w:space="4" w:color="auto"/>
          <w:bottom w:val="double" w:sz="4" w:space="1" w:color="auto"/>
          <w:right w:val="double" w:sz="4" w:space="4" w:color="auto"/>
        </w:pBdr>
        <w:spacing w:after="0" w:line="240" w:lineRule="auto"/>
        <w:jc w:val="both"/>
        <w:rPr>
          <w:rFonts w:asciiTheme="majorBidi" w:hAnsiTheme="majorBidi" w:cstheme="majorBidi"/>
          <w:b/>
          <w:bCs/>
          <w:sz w:val="18"/>
          <w:szCs w:val="18"/>
          <w:shd w:val="clear" w:color="auto" w:fill="FFFFFF"/>
        </w:rPr>
      </w:pPr>
      <w:r w:rsidRPr="003F1F42">
        <w:rPr>
          <w:rFonts w:asciiTheme="majorBidi" w:hAnsiTheme="majorBidi" w:cstheme="majorBidi"/>
          <w:b/>
          <w:bCs/>
          <w:sz w:val="18"/>
          <w:szCs w:val="18"/>
          <w:shd w:val="clear" w:color="auto" w:fill="FFFFFF"/>
        </w:rPr>
        <w:t>Abstract</w:t>
      </w:r>
      <w:bookmarkStart w:id="5" w:name="_i1"/>
      <w:bookmarkEnd w:id="5"/>
      <w:r w:rsidR="00F56885" w:rsidRPr="003F1F42">
        <w:rPr>
          <w:rFonts w:asciiTheme="majorBidi" w:hAnsiTheme="majorBidi" w:cstheme="majorBidi"/>
          <w:b/>
          <w:bCs/>
          <w:sz w:val="18"/>
          <w:szCs w:val="18"/>
          <w:shd w:val="clear" w:color="auto" w:fill="FFFFFF"/>
        </w:rPr>
        <w:t>:</w:t>
      </w:r>
    </w:p>
    <w:p w14:paraId="0264E5D4" w14:textId="5586D594" w:rsidR="00024C68" w:rsidRPr="003F1F42" w:rsidRDefault="00024C68" w:rsidP="00F56885">
      <w:pPr>
        <w:pBdr>
          <w:top w:val="double" w:sz="4" w:space="1" w:color="auto"/>
          <w:left w:val="double" w:sz="4" w:space="4" w:color="auto"/>
          <w:bottom w:val="double" w:sz="4" w:space="1" w:color="auto"/>
          <w:right w:val="double" w:sz="4" w:space="4" w:color="auto"/>
        </w:pBdr>
        <w:spacing w:after="0" w:line="240" w:lineRule="auto"/>
        <w:jc w:val="both"/>
        <w:rPr>
          <w:rFonts w:asciiTheme="majorBidi" w:hAnsiTheme="majorBidi" w:cstheme="majorBidi"/>
          <w:i/>
          <w:iCs/>
          <w:color w:val="00B050"/>
          <w:sz w:val="18"/>
          <w:szCs w:val="18"/>
        </w:rPr>
      </w:pPr>
      <w:r w:rsidRPr="003F1F42">
        <w:rPr>
          <w:rFonts w:asciiTheme="majorBidi" w:hAnsiTheme="majorBidi" w:cstheme="majorBidi"/>
          <w:b/>
          <w:bCs/>
          <w:i/>
          <w:iCs/>
          <w:color w:val="00B050"/>
          <w:sz w:val="18"/>
          <w:szCs w:val="18"/>
        </w:rPr>
        <w:t>Background</w:t>
      </w:r>
      <w:r w:rsidR="005B2A35" w:rsidRPr="003F1F42">
        <w:rPr>
          <w:rFonts w:asciiTheme="majorBidi" w:hAnsiTheme="majorBidi" w:cstheme="majorBidi"/>
          <w:i/>
          <w:iCs/>
          <w:color w:val="00B050"/>
          <w:sz w:val="18"/>
          <w:szCs w:val="18"/>
        </w:rPr>
        <w:t xml:space="preserve"> </w:t>
      </w:r>
      <w:r w:rsidRPr="003F1F42">
        <w:rPr>
          <w:rFonts w:asciiTheme="majorBidi" w:hAnsiTheme="majorBidi" w:cstheme="majorBidi"/>
          <w:i/>
          <w:iCs/>
          <w:color w:val="00B050"/>
          <w:sz w:val="18"/>
          <w:szCs w:val="18"/>
        </w:rPr>
        <w:t>Acute abdominal pain (AAP) is one of the most common causes of referral to an emergency department (ED), but information about its impact is limited.</w:t>
      </w:r>
    </w:p>
    <w:p w14:paraId="4D601872" w14:textId="123CB933" w:rsidR="00024C68" w:rsidRPr="003F1F42" w:rsidRDefault="00024C68" w:rsidP="00F56885">
      <w:pPr>
        <w:pBdr>
          <w:top w:val="double" w:sz="4" w:space="1" w:color="auto"/>
          <w:left w:val="double" w:sz="4" w:space="4" w:color="auto"/>
          <w:bottom w:val="double" w:sz="4" w:space="1" w:color="auto"/>
          <w:right w:val="double" w:sz="4" w:space="4" w:color="auto"/>
        </w:pBdr>
        <w:spacing w:after="0" w:line="240" w:lineRule="auto"/>
        <w:jc w:val="both"/>
        <w:rPr>
          <w:rFonts w:asciiTheme="majorBidi" w:hAnsiTheme="majorBidi" w:cstheme="majorBidi"/>
          <w:i/>
          <w:iCs/>
          <w:color w:val="00B050"/>
          <w:sz w:val="18"/>
          <w:szCs w:val="18"/>
        </w:rPr>
      </w:pPr>
      <w:bookmarkStart w:id="6" w:name="_i2"/>
      <w:bookmarkEnd w:id="6"/>
      <w:r w:rsidRPr="003F1F42">
        <w:rPr>
          <w:rFonts w:asciiTheme="majorBidi" w:hAnsiTheme="majorBidi" w:cstheme="majorBidi"/>
          <w:b/>
          <w:bCs/>
          <w:i/>
          <w:iCs/>
          <w:color w:val="00B050"/>
          <w:sz w:val="18"/>
          <w:szCs w:val="18"/>
        </w:rPr>
        <w:t>Objectives</w:t>
      </w:r>
      <w:r w:rsidR="005B2A35" w:rsidRPr="003F1F42">
        <w:rPr>
          <w:rFonts w:asciiTheme="majorBidi" w:hAnsiTheme="majorBidi" w:cstheme="majorBidi"/>
          <w:i/>
          <w:iCs/>
          <w:color w:val="00B050"/>
          <w:sz w:val="18"/>
          <w:szCs w:val="18"/>
        </w:rPr>
        <w:t xml:space="preserve"> </w:t>
      </w:r>
      <w:r w:rsidRPr="003F1F42">
        <w:rPr>
          <w:rFonts w:asciiTheme="majorBidi" w:hAnsiTheme="majorBidi" w:cstheme="majorBidi"/>
          <w:i/>
          <w:iCs/>
          <w:color w:val="00B050"/>
          <w:sz w:val="18"/>
          <w:szCs w:val="18"/>
        </w:rPr>
        <w:t>The objectives of this article are to define the prevalence of AAP among ED visits in a large university hospital and analyze its main clinical features.</w:t>
      </w:r>
    </w:p>
    <w:p w14:paraId="03FF533C" w14:textId="26B44F27" w:rsidR="00024C68" w:rsidRPr="003F1F42" w:rsidRDefault="00024C68" w:rsidP="00F56885">
      <w:pPr>
        <w:pBdr>
          <w:top w:val="double" w:sz="4" w:space="1" w:color="auto"/>
          <w:left w:val="double" w:sz="4" w:space="4" w:color="auto"/>
          <w:bottom w:val="double" w:sz="4" w:space="1" w:color="auto"/>
          <w:right w:val="double" w:sz="4" w:space="4" w:color="auto"/>
        </w:pBdr>
        <w:spacing w:after="0" w:line="240" w:lineRule="auto"/>
        <w:jc w:val="both"/>
        <w:rPr>
          <w:rFonts w:asciiTheme="majorBidi" w:hAnsiTheme="majorBidi" w:cstheme="majorBidi"/>
          <w:b/>
          <w:bCs/>
          <w:i/>
          <w:iCs/>
          <w:color w:val="00B050"/>
          <w:sz w:val="18"/>
          <w:szCs w:val="18"/>
        </w:rPr>
      </w:pPr>
      <w:bookmarkStart w:id="7" w:name="_i3"/>
      <w:bookmarkEnd w:id="7"/>
      <w:r w:rsidRPr="003F1F42">
        <w:rPr>
          <w:rFonts w:asciiTheme="majorBidi" w:hAnsiTheme="majorBidi" w:cstheme="majorBidi"/>
          <w:b/>
          <w:bCs/>
          <w:i/>
          <w:iCs/>
          <w:color w:val="00B050"/>
          <w:sz w:val="18"/>
          <w:szCs w:val="18"/>
        </w:rPr>
        <w:t>Methods</w:t>
      </w:r>
      <w:r w:rsidR="005B2A35" w:rsidRPr="003F1F42">
        <w:rPr>
          <w:rFonts w:asciiTheme="majorBidi" w:hAnsiTheme="majorBidi" w:cstheme="majorBidi"/>
          <w:b/>
          <w:bCs/>
          <w:i/>
          <w:iCs/>
          <w:color w:val="00B050"/>
          <w:sz w:val="18"/>
          <w:szCs w:val="18"/>
        </w:rPr>
        <w:t xml:space="preserve"> </w:t>
      </w:r>
      <w:r w:rsidRPr="003F1F42">
        <w:rPr>
          <w:rFonts w:asciiTheme="majorBidi" w:hAnsiTheme="majorBidi" w:cstheme="majorBidi"/>
          <w:i/>
          <w:iCs/>
          <w:color w:val="00B050"/>
          <w:sz w:val="18"/>
          <w:szCs w:val="18"/>
        </w:rPr>
        <w:t xml:space="preserve">All patients admitted at the </w:t>
      </w:r>
      <w:proofErr w:type="spellStart"/>
      <w:r w:rsidRPr="003F1F42">
        <w:rPr>
          <w:rFonts w:asciiTheme="majorBidi" w:hAnsiTheme="majorBidi" w:cstheme="majorBidi"/>
          <w:i/>
          <w:iCs/>
          <w:color w:val="00B050"/>
          <w:sz w:val="18"/>
          <w:szCs w:val="18"/>
        </w:rPr>
        <w:t>Sant’Orsola</w:t>
      </w:r>
      <w:proofErr w:type="spellEnd"/>
      <w:r w:rsidRPr="003F1F42">
        <w:rPr>
          <w:rFonts w:asciiTheme="majorBidi" w:hAnsiTheme="majorBidi" w:cstheme="majorBidi"/>
          <w:i/>
          <w:iCs/>
          <w:color w:val="00B050"/>
          <w:sz w:val="18"/>
          <w:szCs w:val="18"/>
        </w:rPr>
        <w:t>, Malpighi University Hospital of Bologna ED on 12 a priori selected sample days in 2013 were included. General data were recorded for each patient. A total of 192 clinical variables were recorded for each patient with abdominal pain.</w:t>
      </w:r>
    </w:p>
    <w:p w14:paraId="3862E51B" w14:textId="2328CB83" w:rsidR="00024C68" w:rsidRPr="003F1F42" w:rsidRDefault="00024C68" w:rsidP="00F56885">
      <w:pPr>
        <w:pBdr>
          <w:top w:val="double" w:sz="4" w:space="1" w:color="auto"/>
          <w:left w:val="double" w:sz="4" w:space="4" w:color="auto"/>
          <w:bottom w:val="double" w:sz="4" w:space="1" w:color="auto"/>
          <w:right w:val="double" w:sz="4" w:space="4" w:color="auto"/>
        </w:pBdr>
        <w:spacing w:after="0" w:line="240" w:lineRule="auto"/>
        <w:jc w:val="both"/>
        <w:rPr>
          <w:rFonts w:asciiTheme="majorBidi" w:hAnsiTheme="majorBidi" w:cstheme="majorBidi"/>
          <w:i/>
          <w:iCs/>
          <w:color w:val="00B050"/>
          <w:sz w:val="18"/>
          <w:szCs w:val="18"/>
        </w:rPr>
      </w:pPr>
      <w:bookmarkStart w:id="8" w:name="_i4"/>
      <w:bookmarkEnd w:id="8"/>
      <w:r w:rsidRPr="003F1F42">
        <w:rPr>
          <w:rFonts w:asciiTheme="majorBidi" w:hAnsiTheme="majorBidi" w:cstheme="majorBidi"/>
          <w:b/>
          <w:bCs/>
          <w:i/>
          <w:iCs/>
          <w:color w:val="00B050"/>
          <w:sz w:val="18"/>
          <w:szCs w:val="18"/>
        </w:rPr>
        <w:t>Results</w:t>
      </w:r>
      <w:r w:rsidR="00246DF1" w:rsidRPr="003F1F42">
        <w:rPr>
          <w:rFonts w:asciiTheme="majorBidi" w:hAnsiTheme="majorBidi" w:cstheme="majorBidi"/>
          <w:i/>
          <w:iCs/>
          <w:color w:val="00B050"/>
          <w:sz w:val="18"/>
          <w:szCs w:val="18"/>
        </w:rPr>
        <w:t xml:space="preserve"> </w:t>
      </w:r>
      <w:r w:rsidRPr="003F1F42">
        <w:rPr>
          <w:rFonts w:asciiTheme="majorBidi" w:hAnsiTheme="majorBidi" w:cstheme="majorBidi"/>
          <w:i/>
          <w:iCs/>
          <w:color w:val="00B050"/>
          <w:sz w:val="18"/>
          <w:szCs w:val="18"/>
        </w:rPr>
        <w:t>During the observation period the ED assisted 2623 patients with a daily admission rate of 219 ± 20 (mean ± SD). Of these, 239 patients complained of AAP as their chief complaint at entry (prevalence = 9.1%). AAP prevalence was significantly higher in females than in males (10.4% vs. 7.8%; OR = 1.37; p = 0.021) as well as in foreign over Italian patients (13.2% vs. 8.5%; OR = 1.64; p = 0.007). The most frequent ED operative diagnoses were non-specific abdominal pain (n = 86, 36.0%) and gastrointestinal (GI) tract-related pain (n = 79, 33.1%; n = 19 upper GI, n = 60 lower GI).</w:t>
      </w:r>
    </w:p>
    <w:p w14:paraId="157F35AB" w14:textId="50FF2DAC" w:rsidR="00024C68" w:rsidRPr="003F1F42" w:rsidRDefault="00024C68" w:rsidP="00F56885">
      <w:pPr>
        <w:pBdr>
          <w:top w:val="double" w:sz="4" w:space="1" w:color="auto"/>
          <w:left w:val="double" w:sz="4" w:space="4" w:color="auto"/>
          <w:bottom w:val="double" w:sz="4" w:space="1" w:color="auto"/>
          <w:right w:val="double" w:sz="4" w:space="4" w:color="auto"/>
        </w:pBdr>
        <w:spacing w:after="0" w:line="240" w:lineRule="auto"/>
        <w:jc w:val="both"/>
        <w:rPr>
          <w:rFonts w:asciiTheme="majorBidi" w:hAnsiTheme="majorBidi" w:cstheme="majorBidi"/>
          <w:i/>
          <w:iCs/>
          <w:color w:val="00B050"/>
          <w:sz w:val="18"/>
          <w:szCs w:val="18"/>
        </w:rPr>
      </w:pPr>
      <w:bookmarkStart w:id="9" w:name="_i5"/>
      <w:bookmarkEnd w:id="9"/>
      <w:r w:rsidRPr="003F1F42">
        <w:rPr>
          <w:rFonts w:asciiTheme="majorBidi" w:hAnsiTheme="majorBidi" w:cstheme="majorBidi"/>
          <w:b/>
          <w:bCs/>
          <w:i/>
          <w:iCs/>
          <w:color w:val="00B050"/>
          <w:sz w:val="18"/>
          <w:szCs w:val="18"/>
        </w:rPr>
        <w:t>Conclusions</w:t>
      </w:r>
      <w:r w:rsidR="00246DF1" w:rsidRPr="003F1F42">
        <w:rPr>
          <w:rFonts w:asciiTheme="majorBidi" w:hAnsiTheme="majorBidi" w:cstheme="majorBidi"/>
          <w:i/>
          <w:iCs/>
          <w:color w:val="00B050"/>
          <w:sz w:val="18"/>
          <w:szCs w:val="18"/>
        </w:rPr>
        <w:t xml:space="preserve"> </w:t>
      </w:r>
      <w:r w:rsidRPr="003F1F42">
        <w:rPr>
          <w:rFonts w:asciiTheme="majorBidi" w:hAnsiTheme="majorBidi" w:cstheme="majorBidi"/>
          <w:i/>
          <w:iCs/>
          <w:color w:val="00B050"/>
          <w:sz w:val="18"/>
          <w:szCs w:val="18"/>
        </w:rPr>
        <w:t xml:space="preserve">AAP is a common cause of referral at </w:t>
      </w:r>
      <w:proofErr w:type="spellStart"/>
      <w:r w:rsidRPr="003F1F42">
        <w:rPr>
          <w:rFonts w:asciiTheme="majorBidi" w:hAnsiTheme="majorBidi" w:cstheme="majorBidi"/>
          <w:i/>
          <w:iCs/>
          <w:color w:val="00B050"/>
          <w:sz w:val="18"/>
          <w:szCs w:val="18"/>
        </w:rPr>
        <w:t>EDs.</w:t>
      </w:r>
      <w:proofErr w:type="spellEnd"/>
      <w:r w:rsidRPr="003F1F42">
        <w:rPr>
          <w:rFonts w:asciiTheme="majorBidi" w:hAnsiTheme="majorBidi" w:cstheme="majorBidi"/>
          <w:i/>
          <w:iCs/>
          <w:color w:val="00B050"/>
          <w:sz w:val="18"/>
          <w:szCs w:val="18"/>
        </w:rPr>
        <w:t xml:space="preserve"> Despite technological advances, non-specific abdominal pain is still the main operative diagnosis.</w:t>
      </w:r>
    </w:p>
    <w:p w14:paraId="43DC322B" w14:textId="46323886" w:rsidR="00F912B0" w:rsidRPr="003F1F42" w:rsidRDefault="00F912B0" w:rsidP="00F56885">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ajorBidi" w:hAnsiTheme="majorBidi" w:cstheme="majorBidi"/>
          <w:i/>
          <w:iCs/>
          <w:color w:val="00B050"/>
          <w:sz w:val="18"/>
          <w:szCs w:val="18"/>
        </w:rPr>
      </w:pPr>
      <w:r w:rsidRPr="003F1F42">
        <w:rPr>
          <w:rFonts w:asciiTheme="majorBidi" w:hAnsiTheme="majorBidi" w:cstheme="majorBidi"/>
          <w:b/>
          <w:bCs/>
          <w:i/>
          <w:iCs/>
          <w:color w:val="00B050"/>
          <w:sz w:val="18"/>
          <w:szCs w:val="18"/>
        </w:rPr>
        <w:t>Keywords:</w:t>
      </w:r>
      <w:r w:rsidRPr="003F1F42">
        <w:rPr>
          <w:rFonts w:asciiTheme="majorBidi" w:hAnsiTheme="majorBidi" w:cstheme="majorBidi"/>
          <w:i/>
          <w:iCs/>
          <w:color w:val="00B050"/>
          <w:sz w:val="18"/>
          <w:szCs w:val="18"/>
        </w:rPr>
        <w:t xml:space="preserve"> Acute, Abdominal, Pain, Management</w:t>
      </w:r>
    </w:p>
    <w:p w14:paraId="0D2FE395" w14:textId="111AC1EC" w:rsidR="003527E1" w:rsidRPr="00AF5174" w:rsidRDefault="003527E1" w:rsidP="003527E1">
      <w:pPr>
        <w:spacing w:after="0" w:line="240" w:lineRule="auto"/>
        <w:rPr>
          <w:rFonts w:ascii="Times New Roman" w:eastAsia="Times New Roman" w:hAnsi="Times New Roman" w:cs="Times New Roman"/>
          <w:b/>
          <w:color w:val="00B0F0"/>
          <w:szCs w:val="24"/>
          <w:lang w:val="en"/>
        </w:rPr>
      </w:pPr>
      <w:r w:rsidRPr="00AF5174">
        <w:rPr>
          <w:rFonts w:ascii="Calibri" w:eastAsia="Times New Roman" w:hAnsi="Calibri" w:cs="Times New Roman"/>
          <w:noProof/>
        </w:rPr>
        <mc:AlternateContent>
          <mc:Choice Requires="wps">
            <w:drawing>
              <wp:anchor distT="0" distB="0" distL="114300" distR="114300" simplePos="0" relativeHeight="251664384" behindDoc="0" locked="0" layoutInCell="1" allowOverlap="1" wp14:anchorId="69293231" wp14:editId="5706E5CF">
                <wp:simplePos x="0" y="0"/>
                <wp:positionH relativeFrom="column">
                  <wp:posOffset>5213350</wp:posOffset>
                </wp:positionH>
                <wp:positionV relativeFrom="paragraph">
                  <wp:posOffset>52705</wp:posOffset>
                </wp:positionV>
                <wp:extent cx="780415" cy="692150"/>
                <wp:effectExtent l="19050" t="19050" r="38735" b="50800"/>
                <wp:wrapNone/>
                <wp:docPr id="55"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415" cy="692150"/>
                        </a:xfrm>
                        <a:prstGeom prst="rect">
                          <a:avLst/>
                        </a:prstGeom>
                        <a:solidFill>
                          <a:srgbClr val="C0504D"/>
                        </a:solidFill>
                        <a:ln w="38102">
                          <a:solidFill>
                            <a:srgbClr val="F2F2F2"/>
                          </a:solidFill>
                          <a:miter lim="800000"/>
                          <a:headEnd/>
                          <a:tailEnd/>
                        </a:ln>
                        <a:effectLst>
                          <a:outerShdw dist="28400" dir="3806097" algn="tl" rotWithShape="0">
                            <a:srgbClr val="622423"/>
                          </a:outerShdw>
                        </a:effectLst>
                      </wps:spPr>
                      <wps:txbx>
                        <w:txbxContent>
                          <w:p w14:paraId="1CD8057A" w14:textId="77777777" w:rsidR="003527E1" w:rsidRDefault="003527E1" w:rsidP="003527E1">
                            <w:pPr>
                              <w:pStyle w:val="NoSpacing1"/>
                              <w:jc w:val="center"/>
                            </w:pPr>
                            <w:r>
                              <w:rPr>
                                <w:b/>
                              </w:rPr>
                              <w:t>QR</w:t>
                            </w:r>
                            <w:r>
                              <w:rPr>
                                <w:rFonts w:ascii="Trebuchet MS" w:hAnsi="Trebuchet MS"/>
                                <w:b/>
                                <w:sz w:val="21"/>
                                <w:szCs w:val="21"/>
                              </w:rPr>
                              <w:t xml:space="preserve"> code</w:t>
                            </w:r>
                          </w:p>
                          <w:p w14:paraId="2656CC20" w14:textId="77777777" w:rsidR="003527E1" w:rsidRDefault="003527E1" w:rsidP="003527E1">
                            <w:pPr>
                              <w:pStyle w:val="NoSpacing1"/>
                              <w:jc w:val="center"/>
                              <w:rPr>
                                <w:u w:val="single"/>
                              </w:rPr>
                            </w:pPr>
                            <w:r w:rsidRPr="004B6DB9">
                              <w:rPr>
                                <w:noProof/>
                                <w:sz w:val="20"/>
                                <w:szCs w:val="20"/>
                              </w:rPr>
                              <w:drawing>
                                <wp:inline distT="0" distB="0" distL="0" distR="0" wp14:anchorId="2453C9C3" wp14:editId="37BD19DE">
                                  <wp:extent cx="441325" cy="35306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1568" cy="353254"/>
                                          </a:xfrm>
                                          <a:prstGeom prst="rect">
                                            <a:avLst/>
                                          </a:prstGeom>
                                          <a:noFill/>
                                          <a:ln>
                                            <a:noFill/>
                                          </a:ln>
                                        </pic:spPr>
                                      </pic:pic>
                                    </a:graphicData>
                                  </a:graphic>
                                </wp:inline>
                              </w:drawing>
                            </w:r>
                          </w:p>
                          <w:p w14:paraId="6AE1A0F1" w14:textId="77777777" w:rsidR="003527E1" w:rsidRDefault="003527E1" w:rsidP="003527E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293231" id="_x0000_t202" coordsize="21600,21600" o:spt="202" path="m,l,21600r21600,l21600,xe">
                <v:stroke joinstyle="miter"/>
                <v:path gradientshapeok="t" o:connecttype="rect"/>
              </v:shapetype>
              <v:shape id="Text Box 55" o:spid="_x0000_s1026" type="#_x0000_t202" style="position:absolute;margin-left:410.5pt;margin-top:4.15pt;width:61.45pt;height:5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" fillcolor="#c0504d" strokecolor="#f2f2f2" strokeweight="1.0584mm">
                <v:shadow on="t" color="#622423" origin="-.5,-.5" offset=".35281mm,.70561mm"/>
                <v:textbox>
                  <w:txbxContent>
                    <w:p w14:paraId="1CD8057A" w14:textId="77777777" w:rsidR="003527E1" w:rsidRDefault="003527E1" w:rsidP="003527E1">
                      <w:pPr>
                        <w:pStyle w:val="NoSpacing1"/>
                        <w:jc w:val="center"/>
                      </w:pPr>
                      <w:r>
                        <w:rPr>
                          <w:b/>
                        </w:rPr>
                        <w:t>QR</w:t>
                      </w:r>
                      <w:r>
                        <w:rPr>
                          <w:rFonts w:ascii="Trebuchet MS" w:hAnsi="Trebuchet MS"/>
                          <w:b/>
                          <w:sz w:val="21"/>
                          <w:szCs w:val="21"/>
                        </w:rPr>
                        <w:t xml:space="preserve"> code</w:t>
                      </w:r>
                    </w:p>
                    <w:p w14:paraId="2656CC20" w14:textId="77777777" w:rsidR="003527E1" w:rsidRDefault="003527E1" w:rsidP="003527E1">
                      <w:pPr>
                        <w:pStyle w:val="NoSpacing1"/>
                        <w:jc w:val="center"/>
                        <w:rPr>
                          <w:u w:val="single"/>
                        </w:rPr>
                      </w:pPr>
                      <w:r w:rsidRPr="004B6DB9">
                        <w:rPr>
                          <w:noProof/>
                          <w:sz w:val="20"/>
                          <w:szCs w:val="20"/>
                        </w:rPr>
                        <w:drawing>
                          <wp:inline distT="0" distB="0" distL="0" distR="0" wp14:anchorId="2453C9C3" wp14:editId="37BD19DE">
                            <wp:extent cx="441325" cy="35306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1568" cy="353254"/>
                                    </a:xfrm>
                                    <a:prstGeom prst="rect">
                                      <a:avLst/>
                                    </a:prstGeom>
                                    <a:noFill/>
                                    <a:ln>
                                      <a:noFill/>
                                    </a:ln>
                                  </pic:spPr>
                                </pic:pic>
                              </a:graphicData>
                            </a:graphic>
                          </wp:inline>
                        </w:drawing>
                      </w:r>
                    </w:p>
                    <w:p w14:paraId="6AE1A0F1" w14:textId="77777777" w:rsidR="003527E1" w:rsidRDefault="003527E1" w:rsidP="003527E1"/>
                  </w:txbxContent>
                </v:textbox>
              </v:shape>
            </w:pict>
          </mc:Fallback>
        </mc:AlternateContent>
      </w:r>
      <w:r w:rsidRPr="00AF5174">
        <w:rPr>
          <w:rFonts w:ascii="Times New Roman" w:eastAsia="Times New Roman" w:hAnsi="Times New Roman" w:cs="Times New Roman"/>
          <w:sz w:val="20"/>
          <w:szCs w:val="20"/>
        </w:rPr>
        <w:t> </w:t>
      </w:r>
      <w:bookmarkStart w:id="10" w:name="_Hlk54523728"/>
      <w:bookmarkStart w:id="11" w:name="_Hlk58681622"/>
      <w:r w:rsidRPr="00AF5174">
        <w:rPr>
          <w:rFonts w:ascii="Times New Roman" w:eastAsia="Times New Roman" w:hAnsi="Times New Roman" w:cs="Times New Roman"/>
          <w:b/>
          <w:color w:val="00B0F0"/>
          <w:szCs w:val="24"/>
          <w:lang w:val="en"/>
        </w:rPr>
        <w:t xml:space="preserve">Corresponding author: </w:t>
      </w:r>
    </w:p>
    <w:p w14:paraId="013A70AC" w14:textId="091FF253" w:rsidR="003527E1" w:rsidRPr="00AF5174" w:rsidRDefault="003527E1" w:rsidP="003527E1">
      <w:pPr>
        <w:spacing w:after="0" w:line="254" w:lineRule="auto"/>
        <w:rPr>
          <w:rFonts w:ascii="Times New Roman" w:eastAsia="Times New Roman" w:hAnsi="Times New Roman" w:cs="Times New Roman"/>
          <w:b/>
          <w:bCs/>
          <w:sz w:val="24"/>
          <w:szCs w:val="24"/>
        </w:rPr>
      </w:pPr>
      <w:r w:rsidRPr="00AF5174">
        <w:rPr>
          <w:rFonts w:ascii="Times New Roman" w:eastAsia="Times New Roman" w:hAnsi="Times New Roman" w:cs="Times New Roman"/>
          <w:b/>
          <w:bCs/>
          <w:sz w:val="24"/>
          <w:szCs w:val="24"/>
        </w:rPr>
        <w:t xml:space="preserve">Dr </w:t>
      </w:r>
      <w:r w:rsidRPr="003527E1">
        <w:rPr>
          <w:rFonts w:asciiTheme="majorBidi" w:hAnsiTheme="majorBidi" w:cstheme="majorBidi"/>
          <w:b/>
          <w:color w:val="000000" w:themeColor="text1"/>
        </w:rPr>
        <w:t>Khaled Hassan</w:t>
      </w:r>
      <w:r>
        <w:rPr>
          <w:rFonts w:asciiTheme="majorBidi" w:hAnsiTheme="majorBidi" w:cstheme="majorBidi"/>
          <w:b/>
          <w:color w:val="000000" w:themeColor="text1"/>
        </w:rPr>
        <w:t>,</w:t>
      </w:r>
    </w:p>
    <w:p w14:paraId="59B673E9" w14:textId="28BDFCC6" w:rsidR="003527E1" w:rsidRPr="003527E1" w:rsidRDefault="003527E1" w:rsidP="003527E1">
      <w:pPr>
        <w:spacing w:after="0" w:line="254" w:lineRule="auto"/>
        <w:rPr>
          <w:rFonts w:ascii="Times New Roman" w:eastAsia="Times New Roman" w:hAnsi="Times New Roman" w:cs="Arial"/>
          <w:i/>
          <w:iCs/>
          <w:sz w:val="16"/>
          <w:szCs w:val="16"/>
          <w:lang w:val="en-GB"/>
        </w:rPr>
      </w:pPr>
      <w:r w:rsidRPr="003527E1">
        <w:rPr>
          <w:rFonts w:asciiTheme="majorBidi" w:hAnsiTheme="majorBidi" w:cstheme="majorBidi"/>
          <w:i/>
          <w:iCs/>
          <w:color w:val="000000" w:themeColor="text1"/>
        </w:rPr>
        <w:t>Consultant Family Medicine, Saudi Arabia</w:t>
      </w:r>
    </w:p>
    <w:p w14:paraId="47899260" w14:textId="77777777" w:rsidR="003527E1" w:rsidRPr="00AF5174" w:rsidRDefault="003527E1" w:rsidP="003527E1">
      <w:pPr>
        <w:spacing w:after="0" w:line="254" w:lineRule="auto"/>
        <w:rPr>
          <w:rFonts w:ascii="Times New Roman" w:eastAsia="Times New Roman" w:hAnsi="Times New Roman" w:cs="Arial"/>
          <w:i/>
          <w:iCs/>
          <w:lang w:val="en-GB"/>
        </w:rPr>
      </w:pPr>
    </w:p>
    <w:p w14:paraId="30A2CD7F" w14:textId="77777777" w:rsidR="003527E1" w:rsidRDefault="003527E1" w:rsidP="003527E1">
      <w:pPr>
        <w:spacing w:after="0" w:line="240" w:lineRule="auto"/>
        <w:jc w:val="center"/>
        <w:rPr>
          <w:rFonts w:asciiTheme="majorBidi" w:hAnsiTheme="majorBidi" w:cstheme="majorBidi"/>
          <w:b/>
          <w:bCs/>
          <w:color w:val="000000" w:themeColor="text1"/>
          <w:sz w:val="32"/>
          <w:szCs w:val="32"/>
        </w:rPr>
      </w:pPr>
    </w:p>
    <w:p w14:paraId="2B9FAB2D" w14:textId="7306A60C" w:rsidR="003527E1" w:rsidRPr="003527E1" w:rsidRDefault="003527E1" w:rsidP="003527E1">
      <w:pPr>
        <w:pBdr>
          <w:top w:val="double" w:sz="4" w:space="1" w:color="auto"/>
          <w:left w:val="double" w:sz="4" w:space="4" w:color="auto"/>
          <w:bottom w:val="double" w:sz="4" w:space="1" w:color="auto"/>
          <w:right w:val="double" w:sz="4" w:space="4" w:color="auto"/>
        </w:pBdr>
        <w:spacing w:after="0" w:line="240" w:lineRule="auto"/>
        <w:jc w:val="center"/>
        <w:rPr>
          <w:rFonts w:ascii="Times New Roman" w:eastAsia="Times New Roman" w:hAnsi="Times New Roman" w:cs="Times New Roman"/>
          <w:b/>
          <w:bCs/>
          <w:i/>
          <w:sz w:val="20"/>
          <w:szCs w:val="20"/>
        </w:rPr>
      </w:pPr>
      <w:r w:rsidRPr="003527E1">
        <w:rPr>
          <w:rFonts w:ascii="Times New Roman" w:eastAsia="Times New Roman" w:hAnsi="Times New Roman" w:cs="Times New Roman"/>
          <w:bCs/>
          <w:i/>
          <w:spacing w:val="-10"/>
          <w:kern w:val="28"/>
          <w:sz w:val="20"/>
          <w:szCs w:val="20"/>
          <w:lang w:val="fr-FR"/>
        </w:rPr>
        <w:t xml:space="preserve">Please cite this article in press </w:t>
      </w:r>
      <w:r w:rsidRPr="003527E1">
        <w:rPr>
          <w:rFonts w:asciiTheme="majorBidi" w:hAnsiTheme="majorBidi" w:cstheme="majorBidi"/>
          <w:bCs/>
          <w:i/>
          <w:color w:val="000000" w:themeColor="text1"/>
          <w:sz w:val="20"/>
          <w:szCs w:val="20"/>
        </w:rPr>
        <w:t>Khaled Hassan</w:t>
      </w:r>
      <w:r w:rsidRPr="003527E1">
        <w:rPr>
          <w:rFonts w:ascii="Times New Roman" w:eastAsia="Times New Roman" w:hAnsi="Times New Roman" w:cs="Times New Roman"/>
          <w:bCs/>
          <w:i/>
          <w:spacing w:val="-10"/>
          <w:kern w:val="28"/>
          <w:sz w:val="20"/>
          <w:szCs w:val="20"/>
          <w:lang w:val="en-GB"/>
        </w:rPr>
        <w:t xml:space="preserve"> et al</w:t>
      </w:r>
      <w:r w:rsidRPr="003527E1">
        <w:rPr>
          <w:rFonts w:ascii="Times New Roman" w:eastAsia="Times New Roman" w:hAnsi="Times New Roman" w:cs="Times New Roman"/>
          <w:bCs/>
          <w:i/>
          <w:spacing w:val="-10"/>
          <w:kern w:val="28"/>
          <w:sz w:val="20"/>
          <w:szCs w:val="20"/>
          <w:lang w:val="fr-FR"/>
        </w:rPr>
        <w:t>,</w:t>
      </w:r>
      <w:r w:rsidRPr="003527E1">
        <w:rPr>
          <w:rFonts w:ascii="Times New Roman" w:eastAsia="Times New Roman" w:hAnsi="Times New Roman" w:cs="Times New Roman"/>
          <w:i/>
          <w:spacing w:val="-10"/>
          <w:kern w:val="28"/>
          <w:sz w:val="20"/>
          <w:szCs w:val="20"/>
          <w:lang w:val="fr-FR"/>
        </w:rPr>
        <w:t xml:space="preserve"> </w:t>
      </w:r>
      <w:r w:rsidRPr="003527E1">
        <w:rPr>
          <w:rFonts w:asciiTheme="majorBidi" w:hAnsiTheme="majorBidi" w:cstheme="majorBidi"/>
          <w:b/>
          <w:bCs/>
          <w:i/>
          <w:color w:val="000000" w:themeColor="text1"/>
          <w:sz w:val="20"/>
          <w:szCs w:val="20"/>
        </w:rPr>
        <w:t>Management Of Acute Abdominal Pain</w:t>
      </w:r>
      <w:r w:rsidRPr="003527E1">
        <w:rPr>
          <w:rFonts w:ascii="Times New Roman" w:eastAsia="Times New Roman" w:hAnsi="Times New Roman" w:cs="Times New Roman"/>
          <w:b/>
          <w:i/>
          <w:spacing w:val="-10"/>
          <w:kern w:val="28"/>
          <w:sz w:val="20"/>
          <w:szCs w:val="20"/>
          <w:lang w:val="en"/>
        </w:rPr>
        <w:t>.</w:t>
      </w:r>
      <w:r w:rsidRPr="003527E1">
        <w:rPr>
          <w:rFonts w:ascii="Times New Roman" w:eastAsia="Times New Roman" w:hAnsi="Times New Roman" w:cs="Times New Roman"/>
          <w:b/>
          <w:bCs/>
          <w:i/>
          <w:vanish/>
          <w:spacing w:val="-10"/>
          <w:kern w:val="28"/>
          <w:sz w:val="20"/>
          <w:szCs w:val="20"/>
          <w:lang w:val="fr-FR"/>
        </w:rPr>
        <w:t xml:space="preserve"> If there are images in this attachment, they will not be displayed.</w:t>
      </w:r>
      <w:r w:rsidRPr="003527E1">
        <w:rPr>
          <w:rFonts w:ascii="Times New Roman" w:eastAsia="Times New Roman" w:hAnsi="Times New Roman" w:cs="Times New Roman"/>
          <w:b/>
          <w:i/>
          <w:vanish/>
          <w:spacing w:val="-10"/>
          <w:kern w:val="28"/>
          <w:sz w:val="20"/>
          <w:szCs w:val="20"/>
          <w:lang w:val="fr-FR"/>
        </w:rPr>
        <w:t xml:space="preserve">   </w:t>
      </w:r>
      <w:hyperlink r:id="rId11" w:history="1">
        <w:r w:rsidRPr="003527E1">
          <w:rPr>
            <w:rFonts w:ascii="Times New Roman" w:eastAsia="Times New Roman" w:hAnsi="Times New Roman" w:cs="Times New Roman"/>
            <w:b/>
            <w:i/>
            <w:vanish/>
            <w:color w:val="0000FF"/>
            <w:spacing w:val="-10"/>
            <w:kern w:val="28"/>
            <w:sz w:val="20"/>
            <w:szCs w:val="20"/>
            <w:u w:val="single"/>
            <w:lang w:val="fr-FR"/>
          </w:rPr>
          <w:t>Download the original attachment</w:t>
        </w:r>
      </w:hyperlink>
      <w:r w:rsidRPr="003527E1">
        <w:rPr>
          <w:rFonts w:ascii="Times New Roman" w:eastAsia="Times New Roman" w:hAnsi="Times New Roman" w:cs="Times New Roman"/>
          <w:b/>
          <w:i/>
          <w:spacing w:val="-10"/>
          <w:kern w:val="28"/>
          <w:sz w:val="20"/>
          <w:szCs w:val="20"/>
          <w:lang w:val="fr-FR"/>
        </w:rPr>
        <w:t>,</w:t>
      </w:r>
      <w:r w:rsidRPr="003527E1">
        <w:rPr>
          <w:rFonts w:ascii="Times New Roman" w:eastAsia="Times New Roman" w:hAnsi="Times New Roman" w:cs="Times New Roman"/>
          <w:i/>
          <w:spacing w:val="-10"/>
          <w:kern w:val="28"/>
          <w:sz w:val="20"/>
          <w:szCs w:val="20"/>
          <w:lang w:val="fr-FR"/>
        </w:rPr>
        <w:t xml:space="preserve"> </w:t>
      </w:r>
      <w:r w:rsidRPr="003527E1">
        <w:rPr>
          <w:rFonts w:ascii="Times New Roman" w:eastAsia="Times New Roman" w:hAnsi="Times New Roman" w:cs="Times New Roman"/>
          <w:bCs/>
          <w:i/>
          <w:spacing w:val="-10"/>
          <w:kern w:val="28"/>
          <w:sz w:val="20"/>
          <w:szCs w:val="20"/>
          <w:shd w:val="clear" w:color="auto" w:fill="FFFFFF"/>
          <w:lang w:val="fr-FR"/>
        </w:rPr>
        <w:t>Indo Am. J. P. Sci</w:t>
      </w:r>
      <w:r w:rsidRPr="003527E1">
        <w:rPr>
          <w:rFonts w:ascii="Times New Roman" w:eastAsia="Times New Roman" w:hAnsi="Times New Roman" w:cs="Times New Roman"/>
          <w:bCs/>
          <w:i/>
          <w:spacing w:val="-10"/>
          <w:kern w:val="28"/>
          <w:sz w:val="20"/>
          <w:szCs w:val="20"/>
          <w:lang w:val="fr-FR"/>
        </w:rPr>
        <w:t>, 2021; 08(1).</w:t>
      </w:r>
      <w:bookmarkEnd w:id="10"/>
    </w:p>
    <w:bookmarkEnd w:id="11"/>
    <w:p w14:paraId="2776A7AE" w14:textId="77777777" w:rsidR="003527E1" w:rsidRPr="00AF5174" w:rsidRDefault="003527E1" w:rsidP="003527E1">
      <w:pPr>
        <w:spacing w:after="0" w:line="240" w:lineRule="auto"/>
        <w:jc w:val="both"/>
        <w:rPr>
          <w:rFonts w:ascii="Times New Roman" w:eastAsia="Times New Roman" w:hAnsi="Times New Roman" w:cs="Times New Roman"/>
          <w:b/>
          <w:bCs/>
          <w:color w:val="00B050"/>
          <w:sz w:val="20"/>
          <w:szCs w:val="20"/>
        </w:rPr>
        <w:sectPr w:rsidR="003527E1" w:rsidRPr="00AF5174" w:rsidSect="00CF695F">
          <w:headerReference w:type="even" r:id="rId12"/>
          <w:headerReference w:type="default" r:id="rId13"/>
          <w:footerReference w:type="default" r:id="rId14"/>
          <w:headerReference w:type="first" r:id="rId15"/>
          <w:pgSz w:w="12240" w:h="15840" w:code="1"/>
          <w:pgMar w:top="1440" w:right="1440" w:bottom="1440" w:left="1440" w:header="706" w:footer="706" w:gutter="0"/>
          <w:pgNumType w:start="1918"/>
          <w:cols w:space="708"/>
          <w:docGrid w:linePitch="360"/>
        </w:sectPr>
      </w:pPr>
    </w:p>
    <w:p w14:paraId="4C5036A0" w14:textId="77777777" w:rsidR="003527E1" w:rsidRDefault="003527E1" w:rsidP="00F56885">
      <w:pPr>
        <w:spacing w:after="0" w:line="240" w:lineRule="auto"/>
        <w:ind w:right="288"/>
        <w:jc w:val="both"/>
        <w:rPr>
          <w:rFonts w:asciiTheme="majorBidi" w:hAnsiTheme="majorBidi" w:cstheme="majorBidi"/>
          <w:b/>
          <w:bCs/>
          <w:color w:val="00B050"/>
          <w:sz w:val="20"/>
          <w:szCs w:val="20"/>
          <w:shd w:val="clear" w:color="auto" w:fill="FFFFFF"/>
        </w:rPr>
      </w:pPr>
    </w:p>
    <w:p w14:paraId="5A89503D" w14:textId="77777777" w:rsidR="003527E1" w:rsidRDefault="003527E1" w:rsidP="00F56885">
      <w:pPr>
        <w:spacing w:after="0" w:line="240" w:lineRule="auto"/>
        <w:ind w:right="288"/>
        <w:jc w:val="both"/>
        <w:rPr>
          <w:rFonts w:asciiTheme="majorBidi" w:hAnsiTheme="majorBidi" w:cstheme="majorBidi"/>
          <w:b/>
          <w:bCs/>
          <w:color w:val="00B050"/>
          <w:sz w:val="20"/>
          <w:szCs w:val="20"/>
          <w:shd w:val="clear" w:color="auto" w:fill="FFFFFF"/>
        </w:rPr>
      </w:pPr>
    </w:p>
    <w:p w14:paraId="6BF4F616" w14:textId="77777777" w:rsidR="003F1F42" w:rsidRDefault="003F1F42" w:rsidP="00F56885">
      <w:pPr>
        <w:spacing w:after="0" w:line="240" w:lineRule="auto"/>
        <w:ind w:right="288"/>
        <w:jc w:val="both"/>
        <w:rPr>
          <w:rFonts w:asciiTheme="majorBidi" w:hAnsiTheme="majorBidi" w:cstheme="majorBidi"/>
          <w:b/>
          <w:bCs/>
          <w:color w:val="00B050"/>
          <w:sz w:val="20"/>
          <w:szCs w:val="20"/>
          <w:shd w:val="clear" w:color="auto" w:fill="FFFFFF"/>
        </w:rPr>
      </w:pPr>
    </w:p>
    <w:p w14:paraId="7F107661" w14:textId="77777777" w:rsidR="003F1F42" w:rsidRDefault="003F1F42" w:rsidP="00F56885">
      <w:pPr>
        <w:spacing w:after="0" w:line="240" w:lineRule="auto"/>
        <w:ind w:right="288"/>
        <w:jc w:val="both"/>
        <w:rPr>
          <w:rFonts w:asciiTheme="majorBidi" w:hAnsiTheme="majorBidi" w:cstheme="majorBidi"/>
          <w:b/>
          <w:bCs/>
          <w:color w:val="00B050"/>
          <w:sz w:val="20"/>
          <w:szCs w:val="20"/>
          <w:shd w:val="clear" w:color="auto" w:fill="FFFFFF"/>
        </w:rPr>
      </w:pPr>
    </w:p>
    <w:p w14:paraId="09E51724" w14:textId="2F919511" w:rsidR="00C23A00" w:rsidRPr="00F56885" w:rsidRDefault="00F56885" w:rsidP="00F56885">
      <w:pPr>
        <w:spacing w:after="0" w:line="240" w:lineRule="auto"/>
        <w:ind w:right="288"/>
        <w:jc w:val="both"/>
        <w:rPr>
          <w:rFonts w:asciiTheme="majorBidi" w:hAnsiTheme="majorBidi" w:cstheme="majorBidi"/>
          <w:b/>
          <w:bCs/>
          <w:color w:val="00B050"/>
          <w:sz w:val="20"/>
          <w:szCs w:val="20"/>
          <w:shd w:val="clear" w:color="auto" w:fill="FFFFFF"/>
        </w:rPr>
      </w:pPr>
      <w:r w:rsidRPr="00F56885">
        <w:rPr>
          <w:rFonts w:asciiTheme="majorBidi" w:hAnsiTheme="majorBidi" w:cstheme="majorBidi"/>
          <w:b/>
          <w:bCs/>
          <w:color w:val="00B050"/>
          <w:sz w:val="20"/>
          <w:szCs w:val="20"/>
          <w:shd w:val="clear" w:color="auto" w:fill="FFFFFF"/>
        </w:rPr>
        <w:lastRenderedPageBreak/>
        <w:t>INTRODUCTION:</w:t>
      </w:r>
    </w:p>
    <w:p w14:paraId="419D9EBB" w14:textId="19B31E6F" w:rsidR="004F7EEC" w:rsidRPr="00F56885" w:rsidRDefault="004F7EEC"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sz w:val="20"/>
          <w:szCs w:val="20"/>
        </w:rPr>
        <w:t>Acute abdominal pain (AAP) is a medical emergency, characterized by pain arising from the abdominal area, of non-traumatic origin with a maximum duration of five days.</w:t>
      </w:r>
      <w:r w:rsidR="00CC7BCA" w:rsidRPr="00F56885">
        <w:rPr>
          <w:rFonts w:asciiTheme="majorBidi" w:hAnsiTheme="majorBidi" w:cstheme="majorBidi"/>
          <w:sz w:val="20"/>
          <w:szCs w:val="20"/>
        </w:rPr>
        <w:t xml:space="preserve"> (1) </w:t>
      </w:r>
    </w:p>
    <w:p w14:paraId="2787EB28" w14:textId="77777777" w:rsidR="00F56885" w:rsidRDefault="00F56885" w:rsidP="00F56885">
      <w:pPr>
        <w:spacing w:after="0" w:line="240" w:lineRule="auto"/>
        <w:ind w:right="288"/>
        <w:jc w:val="both"/>
        <w:rPr>
          <w:rFonts w:asciiTheme="majorBidi" w:hAnsiTheme="majorBidi" w:cstheme="majorBidi"/>
          <w:sz w:val="20"/>
          <w:szCs w:val="20"/>
        </w:rPr>
      </w:pPr>
    </w:p>
    <w:p w14:paraId="56DF3896" w14:textId="4F9F262A" w:rsidR="004F7EEC" w:rsidRPr="00F56885" w:rsidRDefault="004F7EEC"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sz w:val="20"/>
          <w:szCs w:val="20"/>
        </w:rPr>
        <w:t>It is the most common surgical emergency, one of the most common reasons for referral to an emergency department (ED) and the most common cause for non-trauma-related hospital admissions.</w:t>
      </w:r>
      <w:r w:rsidR="00CC7BCA" w:rsidRPr="00F56885">
        <w:rPr>
          <w:rFonts w:asciiTheme="majorBidi" w:hAnsiTheme="majorBidi" w:cstheme="majorBidi"/>
          <w:sz w:val="20"/>
          <w:szCs w:val="20"/>
        </w:rPr>
        <w:t xml:space="preserve"> (2,3) </w:t>
      </w:r>
    </w:p>
    <w:p w14:paraId="0357853D" w14:textId="77777777" w:rsidR="00F56885" w:rsidRDefault="00F56885" w:rsidP="00F56885">
      <w:pPr>
        <w:spacing w:after="0" w:line="240" w:lineRule="auto"/>
        <w:ind w:right="288"/>
        <w:jc w:val="both"/>
        <w:rPr>
          <w:rFonts w:asciiTheme="majorBidi" w:hAnsiTheme="majorBidi" w:cstheme="majorBidi"/>
          <w:sz w:val="20"/>
          <w:szCs w:val="20"/>
        </w:rPr>
      </w:pPr>
    </w:p>
    <w:p w14:paraId="4C8AA55D" w14:textId="18A4BF9C" w:rsidR="004F7EEC" w:rsidRPr="00F56885" w:rsidRDefault="004F7EEC"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sz w:val="20"/>
          <w:szCs w:val="20"/>
        </w:rPr>
        <w:t>Abdominal pain represents the chief complaint at entry for about 8% of the total ED visits in the United States.</w:t>
      </w:r>
      <w:r w:rsidR="00CC7BCA" w:rsidRPr="00F56885">
        <w:rPr>
          <w:rFonts w:asciiTheme="majorBidi" w:hAnsiTheme="majorBidi" w:cstheme="majorBidi"/>
          <w:sz w:val="20"/>
          <w:szCs w:val="20"/>
        </w:rPr>
        <w:t xml:space="preserve"> (4)</w:t>
      </w:r>
      <w:r w:rsidRPr="00F56885">
        <w:rPr>
          <w:rFonts w:asciiTheme="majorBidi" w:hAnsiTheme="majorBidi" w:cstheme="majorBidi"/>
          <w:sz w:val="20"/>
          <w:szCs w:val="20"/>
        </w:rPr>
        <w:t> It is hard to precisely quantify the number of affected individuals in Italy because of the paucity of epidemiological data in this area of medicine. However, AAP is recognized as one of the leading causes of medical consultation and hospitalization</w:t>
      </w:r>
    </w:p>
    <w:p w14:paraId="797BACE5" w14:textId="77777777" w:rsidR="00F56885" w:rsidRDefault="00F56885" w:rsidP="00F56885">
      <w:pPr>
        <w:spacing w:after="0" w:line="240" w:lineRule="auto"/>
        <w:ind w:right="288"/>
        <w:jc w:val="both"/>
        <w:rPr>
          <w:rFonts w:asciiTheme="majorBidi" w:hAnsiTheme="majorBidi" w:cstheme="majorBidi"/>
          <w:sz w:val="20"/>
          <w:szCs w:val="20"/>
          <w:shd w:val="clear" w:color="auto" w:fill="FFFFFF"/>
        </w:rPr>
      </w:pPr>
    </w:p>
    <w:p w14:paraId="5F060DD0" w14:textId="1C295A58" w:rsidR="00942079" w:rsidRPr="00F56885" w:rsidRDefault="00C23A00"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sz w:val="20"/>
          <w:szCs w:val="20"/>
          <w:shd w:val="clear" w:color="auto" w:fill="FFFFFF"/>
        </w:rPr>
        <w:t>Acute abdominal pain can represent a spectrum of conditions from benign and self-limited disease to surgical emergencies. Evaluating abdominal pain requires an approach that relies on the likelihood of disease, patient history, physical examination, laboratory tests, and imaging studies. The location of pain is a useful starting point and will guide further evaluation. For example, right lower quadrant pain strongly suggests appendicitis. Certain elements of the history and physical examination are helpful (e.g., constipation and abdominal distension strongly suggest bowel obstruction), whereas others are of little value (e.g., anorexia has little predictive value for appendicitis). The American College of Radiology has recommended different imaging studies for assessing abdominal pain based on pain location. Ultrasonography is recommended to assess right upper quadrant pain, and computed tomography is recommended for right and left lower quadrant pain. It is also important to consider special populations such as women, who are at risk of genitourinary disease, which may cause abdominal pain; and the elderly, who may present with atypical symptoms of a disease.</w:t>
      </w:r>
    </w:p>
    <w:p w14:paraId="1B9338F8" w14:textId="77777777" w:rsidR="00F56885" w:rsidRDefault="00F56885" w:rsidP="00F56885">
      <w:pPr>
        <w:spacing w:after="0" w:line="240" w:lineRule="auto"/>
        <w:ind w:right="288"/>
        <w:jc w:val="both"/>
        <w:rPr>
          <w:rFonts w:asciiTheme="majorBidi" w:hAnsiTheme="majorBidi" w:cstheme="majorBidi"/>
          <w:sz w:val="20"/>
          <w:szCs w:val="20"/>
          <w:shd w:val="clear" w:color="auto" w:fill="FFFFFF"/>
        </w:rPr>
      </w:pPr>
    </w:p>
    <w:p w14:paraId="1398A9FD" w14:textId="666A6AE1" w:rsidR="000F76C1" w:rsidRPr="00F56885" w:rsidRDefault="000F76C1"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sz w:val="20"/>
          <w:szCs w:val="20"/>
          <w:shd w:val="clear" w:color="auto" w:fill="FFFFFF"/>
        </w:rPr>
        <w:t>Abdominal pain is a common presentation in the outpatient setting and is challenging to diagnose. Abdominal pain is the presenting complaint in 1.5 percent of office-based visits</w:t>
      </w:r>
      <w:hyperlink r:id="rId16" w:anchor="afp20080401p971-b1" w:history="1">
        <w:r w:rsidRPr="00F56885">
          <w:rPr>
            <w:rStyle w:val="Hyperlink"/>
            <w:rFonts w:asciiTheme="majorBidi" w:hAnsiTheme="majorBidi" w:cstheme="majorBidi"/>
            <w:i/>
            <w:iCs/>
            <w:color w:val="auto"/>
            <w:sz w:val="20"/>
            <w:szCs w:val="20"/>
            <w:shd w:val="clear" w:color="auto" w:fill="FFFFFF"/>
            <w:vertAlign w:val="superscript"/>
          </w:rPr>
          <w:t>1</w:t>
        </w:r>
      </w:hyperlink>
      <w:r w:rsidRPr="00F56885">
        <w:rPr>
          <w:rFonts w:asciiTheme="majorBidi" w:hAnsiTheme="majorBidi" w:cstheme="majorBidi"/>
          <w:sz w:val="20"/>
          <w:szCs w:val="20"/>
          <w:shd w:val="clear" w:color="auto" w:fill="FFFFFF"/>
        </w:rPr>
        <w:t> and in 5 percent of emergency department visits.</w:t>
      </w:r>
      <w:hyperlink r:id="rId17" w:anchor="afp20080401p971-b2" w:history="1">
        <w:r w:rsidRPr="00F56885">
          <w:rPr>
            <w:rStyle w:val="Hyperlink"/>
            <w:rFonts w:asciiTheme="majorBidi" w:hAnsiTheme="majorBidi" w:cstheme="majorBidi"/>
            <w:i/>
            <w:iCs/>
            <w:color w:val="auto"/>
            <w:sz w:val="20"/>
            <w:szCs w:val="20"/>
            <w:shd w:val="clear" w:color="auto" w:fill="FFFFFF"/>
            <w:vertAlign w:val="superscript"/>
          </w:rPr>
          <w:t>2</w:t>
        </w:r>
      </w:hyperlink>
      <w:r w:rsidRPr="00F56885">
        <w:rPr>
          <w:rFonts w:asciiTheme="majorBidi" w:hAnsiTheme="majorBidi" w:cstheme="majorBidi"/>
          <w:sz w:val="20"/>
          <w:szCs w:val="20"/>
          <w:shd w:val="clear" w:color="auto" w:fill="FFFFFF"/>
        </w:rPr>
        <w:t xml:space="preserve"> Although most abdominal pain is benign, as many as 10 percent of patients in the emergency department setting and a lesser percentage in the outpatient setting have a </w:t>
      </w:r>
      <w:r w:rsidRPr="00F56885">
        <w:rPr>
          <w:rFonts w:asciiTheme="majorBidi" w:hAnsiTheme="majorBidi" w:cstheme="majorBidi"/>
          <w:sz w:val="20"/>
          <w:szCs w:val="20"/>
          <w:shd w:val="clear" w:color="auto" w:fill="FFFFFF"/>
        </w:rPr>
        <w:t>severe or life-threatening cause or require surgery.</w:t>
      </w:r>
      <w:r w:rsidR="002A5E35" w:rsidRPr="00F56885">
        <w:rPr>
          <w:rFonts w:asciiTheme="majorBidi" w:hAnsiTheme="majorBidi" w:cstheme="majorBidi"/>
          <w:sz w:val="20"/>
          <w:szCs w:val="20"/>
        </w:rPr>
        <w:t xml:space="preserve"> (2)</w:t>
      </w:r>
      <w:r w:rsidRPr="00F56885">
        <w:rPr>
          <w:rFonts w:asciiTheme="majorBidi" w:hAnsiTheme="majorBidi" w:cstheme="majorBidi"/>
          <w:sz w:val="20"/>
          <w:szCs w:val="20"/>
          <w:shd w:val="clear" w:color="auto" w:fill="FFFFFF"/>
        </w:rPr>
        <w:t> Therefore, a thorough and logical approach to the diagnosis of abdominal pain is necessary</w:t>
      </w:r>
    </w:p>
    <w:p w14:paraId="2790111C" w14:textId="33CE981C" w:rsidR="000F76C1" w:rsidRPr="00F56885" w:rsidRDefault="000F76C1"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sz w:val="20"/>
          <w:szCs w:val="20"/>
          <w:shd w:val="clear" w:color="auto" w:fill="FFFFFF"/>
        </w:rPr>
        <w:t>Abdominal pain is the most common reason for a visit to the emergency department (ED), accounting for 8 million (7%) of the 119 million ED visits in 2006.</w:t>
      </w:r>
      <w:r w:rsidR="00391612" w:rsidRPr="00F56885">
        <w:rPr>
          <w:rFonts w:asciiTheme="majorBidi" w:hAnsiTheme="majorBidi" w:cstheme="majorBidi"/>
          <w:sz w:val="20"/>
          <w:szCs w:val="20"/>
          <w:shd w:val="clear" w:color="auto" w:fill="FFFFFF"/>
        </w:rPr>
        <w:t xml:space="preserve"> (2</w:t>
      </w:r>
      <w:r w:rsidR="00391612" w:rsidRPr="00F56885">
        <w:rPr>
          <w:rFonts w:asciiTheme="majorBidi" w:hAnsiTheme="majorBidi" w:cstheme="majorBidi"/>
          <w:sz w:val="20"/>
          <w:szCs w:val="20"/>
        </w:rPr>
        <w:t xml:space="preserve">) </w:t>
      </w:r>
      <w:hyperlink r:id="rId18" w:anchor="b1-ijgm-5-789" w:history="1"/>
      <w:r w:rsidRPr="00F56885">
        <w:rPr>
          <w:rFonts w:asciiTheme="majorBidi" w:hAnsiTheme="majorBidi" w:cstheme="majorBidi"/>
          <w:sz w:val="20"/>
          <w:szCs w:val="20"/>
          <w:shd w:val="clear" w:color="auto" w:fill="FFFFFF"/>
        </w:rPr>
        <w:t>Obviously, anyone practicing emergency medicine (EM) must be skilled in the assessment of abdominal pain. Although a common presentation, abdominal pain must be approached in a serious manner, as it is often a symptom of serious disease and misdiagnosis may occur. Abdominal pain is the presenting issue in a high percentage of medicolegal actions against both general and pediatric EM physicians.</w:t>
      </w:r>
      <w:r w:rsidR="00CB7BD2" w:rsidRPr="00F56885">
        <w:rPr>
          <w:rFonts w:asciiTheme="majorBidi" w:hAnsiTheme="majorBidi" w:cstheme="majorBidi"/>
          <w:sz w:val="20"/>
          <w:szCs w:val="20"/>
        </w:rPr>
        <w:t xml:space="preserve"> (2,3)</w:t>
      </w:r>
      <w:r w:rsidRPr="00F56885">
        <w:rPr>
          <w:rFonts w:asciiTheme="majorBidi" w:hAnsiTheme="majorBidi" w:cstheme="majorBidi"/>
          <w:sz w:val="20"/>
          <w:szCs w:val="20"/>
          <w:shd w:val="clear" w:color="auto" w:fill="FFFFFF"/>
        </w:rPr>
        <w:t> The modern physician should be humbled by the fact that, despite diagnostic and therapeutic advances (computed tomography [CT], ultrasonography, and laparoscopy), the misdiagnosis rate of the most common surgical emergency, acute appendicitis, has changed little over time</w:t>
      </w:r>
      <w:r w:rsidR="002649A5" w:rsidRPr="00F56885">
        <w:rPr>
          <w:rFonts w:asciiTheme="majorBidi" w:hAnsiTheme="majorBidi" w:cstheme="majorBidi"/>
          <w:sz w:val="20"/>
          <w:szCs w:val="20"/>
          <w:shd w:val="clear" w:color="auto" w:fill="FFFFFF"/>
        </w:rPr>
        <w:t>. (4)</w:t>
      </w:r>
    </w:p>
    <w:p w14:paraId="3F70AC6B" w14:textId="77777777" w:rsidR="00F56885" w:rsidRDefault="00F56885" w:rsidP="00F56885">
      <w:pPr>
        <w:spacing w:after="0" w:line="240" w:lineRule="auto"/>
        <w:ind w:right="288"/>
        <w:jc w:val="both"/>
        <w:rPr>
          <w:rFonts w:asciiTheme="majorBidi" w:hAnsiTheme="majorBidi" w:cstheme="majorBidi"/>
          <w:b/>
          <w:bCs/>
          <w:sz w:val="20"/>
          <w:szCs w:val="20"/>
          <w:shd w:val="clear" w:color="auto" w:fill="FFFFFF"/>
        </w:rPr>
      </w:pPr>
    </w:p>
    <w:p w14:paraId="568C8760" w14:textId="755E585C" w:rsidR="008017D3" w:rsidRPr="00F56885" w:rsidRDefault="008017D3"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shd w:val="clear" w:color="auto" w:fill="FFFFFF"/>
        </w:rPr>
        <w:t>History:</w:t>
      </w:r>
      <w:r w:rsidRPr="00F56885">
        <w:rPr>
          <w:rFonts w:asciiTheme="majorBidi" w:hAnsiTheme="majorBidi" w:cstheme="majorBidi"/>
          <w:sz w:val="20"/>
          <w:szCs w:val="20"/>
          <w:shd w:val="clear" w:color="auto" w:fill="FFFFFF"/>
        </w:rPr>
        <w:t xml:space="preserve"> The clinician should try to obtain as complete a history as possible as this is generally the cornerstone of an accurate diagnosis. The history should include a complete description of the patient’s pain and associated symptoms. Medical, surgical, and social history should also be sought as this may provide important information.</w:t>
      </w:r>
    </w:p>
    <w:p w14:paraId="12D8A472" w14:textId="77777777" w:rsidR="00F56885" w:rsidRDefault="00F56885" w:rsidP="00F56885">
      <w:pPr>
        <w:spacing w:after="0" w:line="240" w:lineRule="auto"/>
        <w:ind w:right="288"/>
        <w:jc w:val="both"/>
        <w:rPr>
          <w:rFonts w:asciiTheme="majorBidi" w:eastAsia="Times New Roman" w:hAnsiTheme="majorBidi" w:cstheme="majorBidi"/>
          <w:b/>
          <w:bCs/>
          <w:sz w:val="20"/>
          <w:szCs w:val="20"/>
        </w:rPr>
      </w:pPr>
    </w:p>
    <w:p w14:paraId="0C1D4B77" w14:textId="60936D65" w:rsidR="005E2804" w:rsidRPr="00F56885" w:rsidRDefault="005E2804" w:rsidP="00F56885">
      <w:pPr>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b/>
          <w:bCs/>
          <w:sz w:val="20"/>
          <w:szCs w:val="20"/>
        </w:rPr>
        <w:t>Assessment of the patient’s pain</w:t>
      </w:r>
      <w:r w:rsidR="001C1416" w:rsidRPr="00F56885">
        <w:rPr>
          <w:rFonts w:asciiTheme="majorBidi" w:eastAsia="Times New Roman" w:hAnsiTheme="majorBidi" w:cstheme="majorBidi"/>
          <w:sz w:val="20"/>
          <w:szCs w:val="20"/>
        </w:rPr>
        <w:t>:</w:t>
      </w:r>
      <w:r w:rsidR="00C46523" w:rsidRPr="00F56885">
        <w:rPr>
          <w:rFonts w:asciiTheme="majorBidi" w:eastAsia="Times New Roman" w:hAnsiTheme="majorBidi" w:cstheme="majorBidi"/>
          <w:sz w:val="20"/>
          <w:szCs w:val="20"/>
        </w:rPr>
        <w:t xml:space="preserve"> </w:t>
      </w:r>
      <w:r w:rsidR="00D05FE1" w:rsidRPr="00F56885">
        <w:rPr>
          <w:rFonts w:asciiTheme="majorBidi" w:eastAsia="Times New Roman" w:hAnsiTheme="majorBidi" w:cstheme="majorBidi"/>
          <w:sz w:val="20"/>
          <w:szCs w:val="20"/>
        </w:rPr>
        <w:t>the</w:t>
      </w:r>
      <w:r w:rsidRPr="00F56885">
        <w:rPr>
          <w:rFonts w:asciiTheme="majorBidi" w:eastAsia="Times New Roman" w:hAnsiTheme="majorBidi" w:cstheme="majorBidi"/>
          <w:sz w:val="20"/>
          <w:szCs w:val="20"/>
        </w:rPr>
        <w:t xml:space="preserve"> classic PQRST mnemonic for a complete pain history is as follows: (P3 – Positional, palliating, and provoking factors, Q – Quality, R3 – Region, radiation, referral, S – Severity, T3 – Temporal factors (time and mode of onset, progression, previous episodes)</w:t>
      </w:r>
      <w:r w:rsidR="00C46523" w:rsidRPr="00F56885">
        <w:rPr>
          <w:rFonts w:asciiTheme="majorBidi" w:eastAsia="Times New Roman" w:hAnsiTheme="majorBidi" w:cstheme="majorBidi"/>
          <w:sz w:val="20"/>
          <w:szCs w:val="20"/>
        </w:rPr>
        <w:t xml:space="preserve">). </w:t>
      </w:r>
    </w:p>
    <w:p w14:paraId="2227A825" w14:textId="77777777" w:rsidR="00F56885" w:rsidRDefault="00F56885" w:rsidP="00F56885">
      <w:pPr>
        <w:spacing w:after="0" w:line="240" w:lineRule="auto"/>
        <w:ind w:right="288"/>
        <w:jc w:val="both"/>
        <w:rPr>
          <w:rFonts w:asciiTheme="majorBidi" w:hAnsiTheme="majorBidi" w:cstheme="majorBidi"/>
          <w:sz w:val="20"/>
          <w:szCs w:val="20"/>
          <w:shd w:val="clear" w:color="auto" w:fill="FFFFFF"/>
        </w:rPr>
      </w:pPr>
    </w:p>
    <w:p w14:paraId="09941D3D" w14:textId="7DC24D97" w:rsidR="00290721" w:rsidRPr="00F56885" w:rsidRDefault="00290721" w:rsidP="00F56885">
      <w:pPr>
        <w:spacing w:after="0" w:line="240" w:lineRule="auto"/>
        <w:ind w:right="288"/>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This mnemonic will help to ensure a thorough history, but rigidly following the above sequence does not allow for a smooth patient interview, so the authors prefer to ask the patient where they feel the pain (location), what kind of pain it is (character), when and how it began (onset), how bad it is (intensity), and where else they feel it, what makes it worse or better, how it has changed over time, and whether they have ever had it before.</w:t>
      </w:r>
    </w:p>
    <w:p w14:paraId="046F9786" w14:textId="77777777" w:rsidR="00F56885" w:rsidRDefault="00F56885" w:rsidP="00F56885">
      <w:pPr>
        <w:spacing w:after="0" w:line="240" w:lineRule="auto"/>
        <w:ind w:right="288"/>
        <w:jc w:val="both"/>
        <w:rPr>
          <w:rFonts w:asciiTheme="majorBidi" w:hAnsiTheme="majorBidi" w:cstheme="majorBidi"/>
          <w:b/>
          <w:bCs/>
          <w:sz w:val="20"/>
          <w:szCs w:val="20"/>
        </w:rPr>
      </w:pPr>
    </w:p>
    <w:p w14:paraId="6F70A463" w14:textId="79FD45E7" w:rsidR="00290721" w:rsidRPr="00F56885" w:rsidRDefault="00290721"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rPr>
        <w:t>Location</w:t>
      </w:r>
      <w:r w:rsidR="005763F7" w:rsidRPr="00F56885">
        <w:rPr>
          <w:rFonts w:asciiTheme="majorBidi" w:hAnsiTheme="majorBidi" w:cstheme="majorBidi"/>
          <w:b/>
          <w:bCs/>
          <w:sz w:val="20"/>
          <w:szCs w:val="20"/>
        </w:rPr>
        <w:t>:</w:t>
      </w:r>
      <w:r w:rsidR="00553ECA" w:rsidRPr="00F56885">
        <w:rPr>
          <w:rFonts w:asciiTheme="majorBidi" w:hAnsiTheme="majorBidi" w:cstheme="majorBidi"/>
          <w:sz w:val="20"/>
          <w:szCs w:val="20"/>
        </w:rPr>
        <w:t xml:space="preserve"> </w:t>
      </w:r>
      <w:r w:rsidRPr="00F56885">
        <w:rPr>
          <w:rFonts w:asciiTheme="majorBidi" w:hAnsiTheme="majorBidi" w:cstheme="majorBidi"/>
          <w:sz w:val="20"/>
          <w:szCs w:val="20"/>
        </w:rPr>
        <w:t xml:space="preserve">Embryology determines where a patient will “feel” visceral pain, which is generally perceived in the midline because afferent impulses from visceral organs are poorly localized. Visceral nociceptors can be stimulated by distention, </w:t>
      </w:r>
      <w:r w:rsidRPr="00F56885">
        <w:rPr>
          <w:rFonts w:asciiTheme="majorBidi" w:hAnsiTheme="majorBidi" w:cstheme="majorBidi"/>
          <w:sz w:val="20"/>
          <w:szCs w:val="20"/>
        </w:rPr>
        <w:lastRenderedPageBreak/>
        <w:t>stretch, vigorous contraction, and ischemia. Pain from foregut structures, which include the stomach, pancreas, liver, biliary system, and the proximal duodenum, will be typically localized to the epigastric region. The rest of the small bowel and the proximal third of the colon including the appendix are midgut structures, and visceral pain associated with these organs is perceived in the periumbilical region. Hindgut structures such as the bladder, and distal two-thirds of the colon, as well as pelvic genitourinary organs usually cause pain in the suprapubic region. Pain is usually reported in the back for retroperitoneal structures such as the aorta and kidneys.</w:t>
      </w:r>
      <w:r w:rsidR="002529B5" w:rsidRPr="00F56885">
        <w:rPr>
          <w:rFonts w:asciiTheme="majorBidi" w:hAnsiTheme="majorBidi" w:cstheme="majorBidi"/>
          <w:sz w:val="20"/>
          <w:szCs w:val="20"/>
        </w:rPr>
        <w:t xml:space="preserve"> (5,6) </w:t>
      </w:r>
    </w:p>
    <w:p w14:paraId="584BA3A7" w14:textId="77777777" w:rsidR="00F56885" w:rsidRDefault="00F56885" w:rsidP="00F56885">
      <w:pPr>
        <w:spacing w:after="0" w:line="240" w:lineRule="auto"/>
        <w:ind w:right="288"/>
        <w:jc w:val="both"/>
        <w:rPr>
          <w:rFonts w:asciiTheme="majorBidi" w:hAnsiTheme="majorBidi" w:cstheme="majorBidi"/>
          <w:b/>
          <w:bCs/>
          <w:sz w:val="20"/>
          <w:szCs w:val="20"/>
        </w:rPr>
      </w:pPr>
    </w:p>
    <w:p w14:paraId="39111886" w14:textId="481492AC" w:rsidR="00290721" w:rsidRPr="00F56885" w:rsidRDefault="00290721"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rPr>
        <w:t>Character</w:t>
      </w:r>
      <w:r w:rsidR="00832553" w:rsidRPr="00F56885">
        <w:rPr>
          <w:rFonts w:asciiTheme="majorBidi" w:hAnsiTheme="majorBidi" w:cstheme="majorBidi"/>
          <w:sz w:val="20"/>
          <w:szCs w:val="20"/>
        </w:rPr>
        <w:t>:</w:t>
      </w:r>
      <w:r w:rsidRPr="00F56885">
        <w:rPr>
          <w:rFonts w:asciiTheme="majorBidi" w:hAnsiTheme="majorBidi" w:cstheme="majorBidi"/>
          <w:sz w:val="20"/>
          <w:szCs w:val="20"/>
        </w:rPr>
        <w:t xml:space="preserve"> Clinicians should seek to distinguish between the dull, poorly localized, aching, or gnawing pain generated by viscerally innervated organs, compared with the characteristically “sharp”, more defined and localized somatic pain caused by irritation of the parietal peritoneum or other somatically innervated structures. Somatic pain is transmitted via the spinal nerves from the parietal peritoneum or mesodermal structures of the abdominal wall. Noxious stimuli to the parietal peritoneum may be inflammatory or chemical in nature (</w:t>
      </w:r>
      <w:proofErr w:type="spellStart"/>
      <w:r w:rsidRPr="00F56885">
        <w:rPr>
          <w:rFonts w:asciiTheme="majorBidi" w:hAnsiTheme="majorBidi" w:cstheme="majorBidi"/>
          <w:sz w:val="20"/>
          <w:szCs w:val="20"/>
        </w:rPr>
        <w:t>eg</w:t>
      </w:r>
      <w:proofErr w:type="spellEnd"/>
      <w:r w:rsidRPr="00F56885">
        <w:rPr>
          <w:rFonts w:asciiTheme="majorBidi" w:hAnsiTheme="majorBidi" w:cstheme="majorBidi"/>
          <w:sz w:val="20"/>
          <w:szCs w:val="20"/>
        </w:rPr>
        <w:t>, blood, infected peritoneal fluid, and gastric contents).</w:t>
      </w:r>
      <w:r w:rsidR="00A05188" w:rsidRPr="00F56885">
        <w:rPr>
          <w:rFonts w:asciiTheme="majorBidi" w:hAnsiTheme="majorBidi" w:cstheme="majorBidi"/>
          <w:sz w:val="20"/>
          <w:szCs w:val="20"/>
        </w:rPr>
        <w:t xml:space="preserve"> (7,8) </w:t>
      </w:r>
    </w:p>
    <w:p w14:paraId="626EBEC5" w14:textId="77777777" w:rsidR="00F56885" w:rsidRDefault="00F56885" w:rsidP="00F56885">
      <w:pPr>
        <w:spacing w:after="0" w:line="240" w:lineRule="auto"/>
        <w:ind w:right="288"/>
        <w:jc w:val="both"/>
        <w:rPr>
          <w:rFonts w:asciiTheme="majorBidi" w:hAnsiTheme="majorBidi" w:cstheme="majorBidi"/>
          <w:b/>
          <w:bCs/>
          <w:sz w:val="20"/>
          <w:szCs w:val="20"/>
        </w:rPr>
      </w:pPr>
    </w:p>
    <w:p w14:paraId="2D727ACB" w14:textId="68D22F55" w:rsidR="00290721" w:rsidRPr="00F56885" w:rsidRDefault="00290721"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rPr>
        <w:t>Onset</w:t>
      </w:r>
      <w:r w:rsidR="00832553" w:rsidRPr="00F56885">
        <w:rPr>
          <w:rFonts w:asciiTheme="majorBidi" w:hAnsiTheme="majorBidi" w:cstheme="majorBidi"/>
          <w:b/>
          <w:bCs/>
          <w:sz w:val="20"/>
          <w:szCs w:val="20"/>
        </w:rPr>
        <w:t>:</w:t>
      </w:r>
      <w:r w:rsidRPr="00F56885">
        <w:rPr>
          <w:rFonts w:asciiTheme="majorBidi" w:hAnsiTheme="majorBidi" w:cstheme="majorBidi"/>
          <w:sz w:val="20"/>
          <w:szCs w:val="20"/>
        </w:rPr>
        <w:t xml:space="preserve"> Acute-onset pain, especially if severe, should prompt immediate concern about a potential intra-abdominal catastrophe. The foremost consideration would be a vascular emergency such as a ruptured abdominal aortic aneurysm (AAA) or aortic dissection. Other considerations for pain of acute onset include a perforated ulcer, volvulus, mesenteric ischemia, and torsion; however, these conditions may also occur without an acute onset. For example, only 47% of elderly patients with a proven perforated ulcer report the acute onset of pain.</w:t>
      </w:r>
      <w:r w:rsidR="00A05188" w:rsidRPr="00F56885">
        <w:rPr>
          <w:rFonts w:asciiTheme="majorBidi" w:hAnsiTheme="majorBidi" w:cstheme="majorBidi"/>
          <w:sz w:val="20"/>
          <w:szCs w:val="20"/>
        </w:rPr>
        <w:t xml:space="preserve"> (8) </w:t>
      </w:r>
      <w:r w:rsidRPr="00F56885">
        <w:rPr>
          <w:rFonts w:asciiTheme="majorBidi" w:hAnsiTheme="majorBidi" w:cstheme="majorBidi"/>
          <w:sz w:val="20"/>
          <w:szCs w:val="20"/>
        </w:rPr>
        <w:t>Likewise, volvulus, particularly of the sigmoid colon, can present with a gradual onset of pain.</w:t>
      </w:r>
      <w:r w:rsidR="00A05188" w:rsidRPr="00F56885">
        <w:rPr>
          <w:rFonts w:asciiTheme="majorBidi" w:hAnsiTheme="majorBidi" w:cstheme="majorBidi"/>
          <w:sz w:val="20"/>
          <w:szCs w:val="20"/>
        </w:rPr>
        <w:t xml:space="preserve"> (9)</w:t>
      </w:r>
      <w:r w:rsidRPr="00F56885">
        <w:rPr>
          <w:rFonts w:asciiTheme="majorBidi" w:hAnsiTheme="majorBidi" w:cstheme="majorBidi"/>
          <w:sz w:val="20"/>
          <w:szCs w:val="20"/>
        </w:rPr>
        <w:t> Serious vascular issues such as mesenteric ischemia may present with a gradual onset of pain. Conversely, one would expect a gradual onset in the setting of an infectious or inflammatory process. Pain that awakens the patient from sleep should be considered serious until proven otherwise</w:t>
      </w:r>
      <w:r w:rsidR="0084166F" w:rsidRPr="00F56885">
        <w:rPr>
          <w:rFonts w:asciiTheme="majorBidi" w:hAnsiTheme="majorBidi" w:cstheme="majorBidi"/>
          <w:sz w:val="20"/>
          <w:szCs w:val="20"/>
        </w:rPr>
        <w:t>. (10)</w:t>
      </w:r>
      <w:r w:rsidRPr="00F56885">
        <w:rPr>
          <w:rFonts w:asciiTheme="majorBidi" w:hAnsiTheme="majorBidi" w:cstheme="majorBidi"/>
          <w:sz w:val="20"/>
          <w:szCs w:val="20"/>
        </w:rPr>
        <w:t> The time of onset establishes the duration of the pain and allows the physician to interpret the current findings in relation to the expected temporal progression of the various causes of abdominal pain.</w:t>
      </w:r>
    </w:p>
    <w:p w14:paraId="18E6069F" w14:textId="77777777" w:rsidR="00F56885" w:rsidRDefault="00F56885" w:rsidP="00F56885">
      <w:pPr>
        <w:spacing w:after="0" w:line="240" w:lineRule="auto"/>
        <w:ind w:right="288"/>
        <w:jc w:val="both"/>
        <w:rPr>
          <w:rFonts w:asciiTheme="majorBidi" w:hAnsiTheme="majorBidi" w:cstheme="majorBidi"/>
          <w:b/>
          <w:bCs/>
          <w:sz w:val="20"/>
          <w:szCs w:val="20"/>
        </w:rPr>
      </w:pPr>
    </w:p>
    <w:p w14:paraId="0F309DA0" w14:textId="4DC1A50F" w:rsidR="000F2AE7" w:rsidRPr="00F56885" w:rsidRDefault="000F2AE7"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rPr>
        <w:t>Intensity</w:t>
      </w:r>
      <w:r w:rsidRPr="00F56885">
        <w:rPr>
          <w:rFonts w:asciiTheme="majorBidi" w:hAnsiTheme="majorBidi" w:cstheme="majorBidi"/>
          <w:sz w:val="20"/>
          <w:szCs w:val="20"/>
        </w:rPr>
        <w:t xml:space="preserve"> Pain that is severe should heighten the concern for a serious underlying cause; however, descriptions of milder pain cannot be relied on to exclude serious illness, especially in older patients who may under-report symptoms.</w:t>
      </w:r>
    </w:p>
    <w:p w14:paraId="1596E19F" w14:textId="77777777" w:rsidR="00F56885" w:rsidRDefault="00F56885" w:rsidP="00F56885">
      <w:pPr>
        <w:spacing w:after="0" w:line="240" w:lineRule="auto"/>
        <w:ind w:right="288"/>
        <w:jc w:val="both"/>
        <w:rPr>
          <w:rFonts w:asciiTheme="majorBidi" w:hAnsiTheme="majorBidi" w:cstheme="majorBidi"/>
          <w:b/>
          <w:bCs/>
          <w:sz w:val="20"/>
          <w:szCs w:val="20"/>
        </w:rPr>
      </w:pPr>
    </w:p>
    <w:p w14:paraId="6DF5B002" w14:textId="4D99852D" w:rsidR="000F2AE7" w:rsidRPr="00F56885" w:rsidRDefault="000F2AE7"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rPr>
        <w:t xml:space="preserve">Patterns </w:t>
      </w:r>
      <w:r w:rsidRPr="00F56885">
        <w:rPr>
          <w:rFonts w:asciiTheme="majorBidi" w:hAnsiTheme="majorBidi" w:cstheme="majorBidi"/>
          <w:sz w:val="20"/>
          <w:szCs w:val="20"/>
        </w:rPr>
        <w:t xml:space="preserve">of radiation and referral of pain </w:t>
      </w:r>
      <w:proofErr w:type="gramStart"/>
      <w:r w:rsidRPr="00F56885">
        <w:rPr>
          <w:rFonts w:asciiTheme="majorBidi" w:hAnsiTheme="majorBidi" w:cstheme="majorBidi"/>
          <w:sz w:val="20"/>
          <w:szCs w:val="20"/>
        </w:rPr>
        <w:t>The</w:t>
      </w:r>
      <w:proofErr w:type="gramEnd"/>
      <w:r w:rsidRPr="00F56885">
        <w:rPr>
          <w:rFonts w:asciiTheme="majorBidi" w:hAnsiTheme="majorBidi" w:cstheme="majorBidi"/>
          <w:sz w:val="20"/>
          <w:szCs w:val="20"/>
        </w:rPr>
        <w:t xml:space="preserve"> neural pathways give rise to predictable patterns of referred pain and radiation. </w:t>
      </w:r>
      <w:proofErr w:type="spellStart"/>
      <w:r w:rsidRPr="00F56885">
        <w:rPr>
          <w:rFonts w:asciiTheme="majorBidi" w:hAnsiTheme="majorBidi" w:cstheme="majorBidi"/>
          <w:sz w:val="20"/>
          <w:szCs w:val="20"/>
        </w:rPr>
        <w:t>Kehr’s</w:t>
      </w:r>
      <w:proofErr w:type="spellEnd"/>
      <w:r w:rsidRPr="00F56885">
        <w:rPr>
          <w:rFonts w:asciiTheme="majorBidi" w:hAnsiTheme="majorBidi" w:cstheme="majorBidi"/>
          <w:sz w:val="20"/>
          <w:szCs w:val="20"/>
        </w:rPr>
        <w:t xml:space="preserve"> sign is a classic example where diaphragmatic irritation, usually from free intraperitoneal blood, causes shoulder pain</w:t>
      </w:r>
      <w:r w:rsidR="00936B88" w:rsidRPr="00F56885">
        <w:rPr>
          <w:rFonts w:asciiTheme="majorBidi" w:hAnsiTheme="majorBidi" w:cstheme="majorBidi"/>
          <w:sz w:val="20"/>
          <w:szCs w:val="20"/>
        </w:rPr>
        <w:t xml:space="preserve">. (11) </w:t>
      </w:r>
      <w:r w:rsidRPr="00F56885">
        <w:rPr>
          <w:rFonts w:asciiTheme="majorBidi" w:hAnsiTheme="majorBidi" w:cstheme="majorBidi"/>
          <w:sz w:val="20"/>
          <w:szCs w:val="20"/>
        </w:rPr>
        <w:t>Any other inflammatory process or organ contiguous to the diaphragm can also cause referred shoulder pain. Another well described example is ipsilateral scapula pain caused by biliary disease. Radiation may also reflect progression of disease such as with continued aortic dissection, or ongoing passage of a ureteral stone. While considering referred pain, it is important to remember that deep musculoskeletal structures (especially of the back) are innervated by visceral sensory fibers with similar qualities to those arising from intra-abdominal organs. These fibers converge in the spinal cord, giving rise to “</w:t>
      </w:r>
      <w:proofErr w:type="spellStart"/>
      <w:r w:rsidRPr="00F56885">
        <w:rPr>
          <w:rFonts w:asciiTheme="majorBidi" w:hAnsiTheme="majorBidi" w:cstheme="majorBidi"/>
          <w:sz w:val="20"/>
          <w:szCs w:val="20"/>
        </w:rPr>
        <w:t>scleratomes</w:t>
      </w:r>
      <w:proofErr w:type="spellEnd"/>
      <w:r w:rsidRPr="00F56885">
        <w:rPr>
          <w:rFonts w:asciiTheme="majorBidi" w:hAnsiTheme="majorBidi" w:cstheme="majorBidi"/>
          <w:sz w:val="20"/>
          <w:szCs w:val="20"/>
        </w:rPr>
        <w:t>”: regions of referral in the abdomen and flanks. Thus, in cases where a patient’s perceived location of symptoms appears to be completely unrevealing on physical exam, a careful assessment of musculoskeletal structures should be made.</w:t>
      </w:r>
      <w:r w:rsidR="003024F5" w:rsidRPr="00F56885">
        <w:rPr>
          <w:rFonts w:asciiTheme="majorBidi" w:hAnsiTheme="majorBidi" w:cstheme="majorBidi"/>
          <w:sz w:val="20"/>
          <w:szCs w:val="20"/>
        </w:rPr>
        <w:t xml:space="preserve"> (12) </w:t>
      </w:r>
    </w:p>
    <w:p w14:paraId="5E12528E" w14:textId="77777777" w:rsidR="000F2AE7" w:rsidRPr="00F56885" w:rsidRDefault="000F2AE7" w:rsidP="00F56885">
      <w:pPr>
        <w:spacing w:after="0" w:line="240" w:lineRule="auto"/>
        <w:ind w:left="567" w:right="288" w:firstLine="567"/>
        <w:jc w:val="both"/>
        <w:rPr>
          <w:rFonts w:asciiTheme="majorBidi" w:hAnsiTheme="majorBidi" w:cstheme="majorBidi"/>
          <w:sz w:val="20"/>
          <w:szCs w:val="20"/>
        </w:rPr>
      </w:pPr>
    </w:p>
    <w:p w14:paraId="48D48F5F" w14:textId="77777777" w:rsidR="00F56885" w:rsidRDefault="000F2AE7"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rPr>
        <w:t>Duration and progression</w:t>
      </w:r>
      <w:r w:rsidRPr="00F56885">
        <w:rPr>
          <w:rFonts w:asciiTheme="majorBidi" w:hAnsiTheme="majorBidi" w:cstheme="majorBidi"/>
          <w:sz w:val="20"/>
          <w:szCs w:val="20"/>
        </w:rPr>
        <w:t xml:space="preserve"> Persistent worsening pain is worrisome, while pain that is improving is typically favorable. Serious causes of abdominal pain generally present early in their course; however, delays in presentation can occur, especially in the elderly. Certain patterns of progression can be diagnostic, such as the migration of pain in appendicitis where the initial distention of the appendix causes a periumbilical visceral pain that shifts to the right lower quadrant once the inflammatory process is detected by the somatic sensors of the parietal peritoneum. Although labeled “colic,” gallbladder pain is generally not paroxysmal, and it almost never lasts less than 1 hour, with an average of 5–16 hours’ duration, and ranging up to 24 hours.</w:t>
      </w:r>
      <w:r w:rsidR="00727948" w:rsidRPr="00F56885">
        <w:rPr>
          <w:rFonts w:asciiTheme="majorBidi" w:hAnsiTheme="majorBidi" w:cstheme="majorBidi"/>
          <w:sz w:val="20"/>
          <w:szCs w:val="20"/>
        </w:rPr>
        <w:t xml:space="preserve"> (13) </w:t>
      </w:r>
      <w:r w:rsidRPr="00F56885">
        <w:rPr>
          <w:rFonts w:asciiTheme="majorBidi" w:hAnsiTheme="majorBidi" w:cstheme="majorBidi"/>
          <w:sz w:val="20"/>
          <w:szCs w:val="20"/>
        </w:rPr>
        <w:t>Small bowel obstruction typically progresses from an intermittent (“colicky”) pain to more constant pain when distention occurs. One would only expect somatic pain (arising from transmural ischemia or perforation contiguous to the parietal peritoneum) late in the course of a bowel obstruction.</w:t>
      </w:r>
    </w:p>
    <w:p w14:paraId="1C824C9B" w14:textId="77777777" w:rsidR="00F56885" w:rsidRDefault="00F56885" w:rsidP="00F56885">
      <w:pPr>
        <w:spacing w:after="0" w:line="240" w:lineRule="auto"/>
        <w:ind w:right="288"/>
        <w:jc w:val="both"/>
        <w:rPr>
          <w:rFonts w:asciiTheme="majorBidi" w:hAnsiTheme="majorBidi" w:cstheme="majorBidi"/>
          <w:b/>
          <w:bCs/>
          <w:sz w:val="20"/>
          <w:szCs w:val="20"/>
        </w:rPr>
      </w:pPr>
    </w:p>
    <w:p w14:paraId="780BC9DA" w14:textId="585A552C" w:rsidR="001B730F" w:rsidRPr="00F56885" w:rsidRDefault="001B730F"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b/>
          <w:bCs/>
          <w:sz w:val="20"/>
          <w:szCs w:val="20"/>
        </w:rPr>
        <w:t>Method:</w:t>
      </w:r>
    </w:p>
    <w:p w14:paraId="613495AD" w14:textId="7AE2271B" w:rsidR="001A5F03" w:rsidRPr="00F56885" w:rsidRDefault="001A5F03" w:rsidP="00F56885">
      <w:pPr>
        <w:spacing w:after="0" w:line="240" w:lineRule="auto"/>
        <w:ind w:right="288"/>
        <w:jc w:val="both"/>
        <w:rPr>
          <w:rFonts w:asciiTheme="majorBidi" w:hAnsiTheme="majorBidi" w:cstheme="majorBidi"/>
          <w:sz w:val="20"/>
          <w:szCs w:val="20"/>
        </w:rPr>
      </w:pPr>
      <w:r w:rsidRPr="00F56885">
        <w:rPr>
          <w:rFonts w:asciiTheme="majorBidi" w:hAnsiTheme="majorBidi" w:cstheme="majorBidi"/>
          <w:sz w:val="20"/>
          <w:szCs w:val="20"/>
        </w:rPr>
        <w:lastRenderedPageBreak/>
        <w:t xml:space="preserve">A web-based search utilizing the advanced characteristics of different databases like PubMed, Google Scholar, Embase, Scopus, and Cochrane electronic databases was carried out. The major </w:t>
      </w:r>
      <w:proofErr w:type="spellStart"/>
      <w:r w:rsidRPr="00F56885">
        <w:rPr>
          <w:rFonts w:asciiTheme="majorBidi" w:hAnsiTheme="majorBidi" w:cstheme="majorBidi"/>
          <w:sz w:val="20"/>
          <w:szCs w:val="20"/>
        </w:rPr>
        <w:t>MeSH</w:t>
      </w:r>
      <w:proofErr w:type="spellEnd"/>
      <w:r w:rsidRPr="00F56885">
        <w:rPr>
          <w:rFonts w:asciiTheme="majorBidi" w:hAnsiTheme="majorBidi" w:cstheme="majorBidi"/>
          <w:sz w:val="20"/>
          <w:szCs w:val="20"/>
        </w:rPr>
        <w:t xml:space="preserve"> and other keywords like Evaluation of Abdominal Pain, Management of Abdominal Pain, Diagnosis of Abdominal Pain, etc., were used to search the databases. The search included the latest studies published from 2010 to 2020, and the search was limited to studies published in English.</w:t>
      </w:r>
    </w:p>
    <w:p w14:paraId="3BC6FE55" w14:textId="77777777" w:rsidR="00F56885" w:rsidRDefault="00F56885" w:rsidP="00F56885">
      <w:pPr>
        <w:pStyle w:val="Heading3"/>
        <w:shd w:val="clear" w:color="auto" w:fill="FFFFFF"/>
        <w:spacing w:before="0" w:beforeAutospacing="0" w:after="0" w:afterAutospacing="0"/>
        <w:ind w:right="288"/>
        <w:jc w:val="both"/>
        <w:rPr>
          <w:rFonts w:asciiTheme="majorBidi" w:hAnsiTheme="majorBidi" w:cstheme="majorBidi"/>
          <w:sz w:val="20"/>
          <w:szCs w:val="20"/>
        </w:rPr>
      </w:pPr>
    </w:p>
    <w:p w14:paraId="6CA853EB" w14:textId="4B98B0E4" w:rsidR="00CF5DE3" w:rsidRPr="00F56885" w:rsidRDefault="00CF5DE3" w:rsidP="00F56885">
      <w:pPr>
        <w:pStyle w:val="Heading3"/>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Patient selection</w:t>
      </w:r>
    </w:p>
    <w:p w14:paraId="10A83F1B" w14:textId="77777777" w:rsidR="00CF5DE3" w:rsidRPr="00F56885" w:rsidRDefault="00CF5DE3"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 xml:space="preserve">The study included all the admissions at the ED of the </w:t>
      </w:r>
      <w:proofErr w:type="spellStart"/>
      <w:r w:rsidRPr="00F56885">
        <w:rPr>
          <w:rFonts w:asciiTheme="majorBidi" w:hAnsiTheme="majorBidi" w:cstheme="majorBidi"/>
          <w:sz w:val="20"/>
          <w:szCs w:val="20"/>
        </w:rPr>
        <w:t>Sant’Orsola</w:t>
      </w:r>
      <w:proofErr w:type="spellEnd"/>
      <w:r w:rsidRPr="00F56885">
        <w:rPr>
          <w:rFonts w:asciiTheme="majorBidi" w:hAnsiTheme="majorBidi" w:cstheme="majorBidi"/>
          <w:sz w:val="20"/>
          <w:szCs w:val="20"/>
        </w:rPr>
        <w:t>, Malpighi University Hospital of Bologna, Italy, on 12 days of the first semester in 2013.</w:t>
      </w:r>
    </w:p>
    <w:p w14:paraId="1BBD4209" w14:textId="77777777" w:rsidR="00F56885" w:rsidRDefault="00F56885"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p>
    <w:p w14:paraId="2189B578" w14:textId="5C17E51C" w:rsidR="00CF5DE3" w:rsidRPr="00F56885" w:rsidRDefault="00CF5DE3"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The group of patients younger than 18 years was left out of the analysis since pediatric patients present with different symptoms due to different disorders.</w:t>
      </w:r>
    </w:p>
    <w:p w14:paraId="441F61E7" w14:textId="77777777" w:rsidR="00F56885" w:rsidRDefault="00F56885"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p>
    <w:p w14:paraId="3B037B16" w14:textId="469B0519" w:rsidR="00CF5DE3" w:rsidRPr="00F56885" w:rsidRDefault="00CF5DE3"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In order to minimize selection bias, the study days were a priori selected as follows:</w:t>
      </w:r>
    </w:p>
    <w:p w14:paraId="0F95C134" w14:textId="77777777" w:rsidR="00CF5DE3" w:rsidRPr="00F56885" w:rsidRDefault="00CF5DE3"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January: a working day (Thursday, 3rd) in the first week and a holiday (Saturday, 19th) in the third week; February: a working day (Wednesday, 13th) in the second week and a working day (Tuesday, 19th) in the third week; March: a holiday (Sunday, 3rd) in the first week and a working day (Monday, 25th) in the last week; April: a working day (Friday, 5th) in the first week and a holiday (Saturday, 13th) in the second week; May: a working day (Wednesday, 8th) in the second week and a working day (Thursday, 16th) in the third week; June: a holiday (Sunday, 2nd) in the first week and a working day (Tuesday, 25th) in the last week.</w:t>
      </w:r>
    </w:p>
    <w:p w14:paraId="7F21A2EE" w14:textId="77777777" w:rsidR="00CF5DE3" w:rsidRPr="00F56885" w:rsidRDefault="00CF5DE3" w:rsidP="00F56885">
      <w:pPr>
        <w:pStyle w:val="Heading3"/>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Study setting</w:t>
      </w:r>
    </w:p>
    <w:p w14:paraId="487489C2" w14:textId="77777777" w:rsidR="00CF5DE3" w:rsidRPr="00F56885" w:rsidRDefault="00CF5DE3"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 xml:space="preserve">The ED is part of </w:t>
      </w:r>
      <w:proofErr w:type="spellStart"/>
      <w:r w:rsidRPr="00F56885">
        <w:rPr>
          <w:rFonts w:asciiTheme="majorBidi" w:hAnsiTheme="majorBidi" w:cstheme="majorBidi"/>
          <w:sz w:val="20"/>
          <w:szCs w:val="20"/>
        </w:rPr>
        <w:t>Sant’Orsola</w:t>
      </w:r>
      <w:proofErr w:type="spellEnd"/>
      <w:r w:rsidRPr="00F56885">
        <w:rPr>
          <w:rFonts w:asciiTheme="majorBidi" w:hAnsiTheme="majorBidi" w:cstheme="majorBidi"/>
          <w:sz w:val="20"/>
          <w:szCs w:val="20"/>
        </w:rPr>
        <w:t>, Malpighi University Hospital of Bologna. It is a large medical center that every year handles approximately 72,000 admitted cases and 400,000 outpatient visits by medical specialists.</w:t>
      </w:r>
    </w:p>
    <w:p w14:paraId="39D5B6B6" w14:textId="77777777" w:rsidR="00CF5DE3" w:rsidRPr="00F56885" w:rsidRDefault="00CF5DE3"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 xml:space="preserve">The ED is divided into three units: 1) a higher intensity unit, in which it is possible to simultaneously manage eight patients with a high degree of severity/risk and four with an extreme degree of severity/risk; 2) a lower intensity unit, where it is possible to manage 10 patients with a mild degree of severity/risk, as well as patients with a moderate degree of severity/risk; and 3) a short-stay observation unit, with nine beds for patients who do not need to be hospitalized, but require some observation time before discharge. </w:t>
      </w:r>
      <w:r w:rsidRPr="00F56885">
        <w:rPr>
          <w:rFonts w:asciiTheme="majorBidi" w:hAnsiTheme="majorBidi" w:cstheme="majorBidi"/>
          <w:sz w:val="20"/>
          <w:szCs w:val="20"/>
        </w:rPr>
        <w:t>The ED staff consists of 31 physicians, 58 nurses and 25 health care support workers, with rotating shifts.</w:t>
      </w:r>
    </w:p>
    <w:p w14:paraId="0F57B0DF" w14:textId="77777777" w:rsidR="00F56885" w:rsidRDefault="00F56885" w:rsidP="00F56885">
      <w:pPr>
        <w:pStyle w:val="Heading3"/>
        <w:shd w:val="clear" w:color="auto" w:fill="FFFFFF"/>
        <w:spacing w:before="0" w:beforeAutospacing="0" w:after="0" w:afterAutospacing="0"/>
        <w:ind w:right="288"/>
        <w:jc w:val="both"/>
        <w:rPr>
          <w:rFonts w:asciiTheme="majorBidi" w:hAnsiTheme="majorBidi" w:cstheme="majorBidi"/>
          <w:sz w:val="20"/>
          <w:szCs w:val="20"/>
        </w:rPr>
      </w:pPr>
    </w:p>
    <w:p w14:paraId="66C25A99" w14:textId="02FBC240" w:rsidR="00CF5DE3" w:rsidRPr="00F56885" w:rsidRDefault="00CF5DE3" w:rsidP="00F56885">
      <w:pPr>
        <w:pStyle w:val="Heading3"/>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Method</w:t>
      </w:r>
      <w:r w:rsidR="00EB52D2" w:rsidRPr="00F56885">
        <w:rPr>
          <w:rFonts w:asciiTheme="majorBidi" w:hAnsiTheme="majorBidi" w:cstheme="majorBidi"/>
          <w:sz w:val="20"/>
          <w:szCs w:val="20"/>
        </w:rPr>
        <w:t xml:space="preserve">ology </w:t>
      </w:r>
      <w:r w:rsidRPr="00F56885">
        <w:rPr>
          <w:rFonts w:asciiTheme="majorBidi" w:hAnsiTheme="majorBidi" w:cstheme="majorBidi"/>
          <w:b w:val="0"/>
          <w:bCs w:val="0"/>
          <w:sz w:val="20"/>
          <w:szCs w:val="20"/>
        </w:rPr>
        <w:t>A standard Excel table was developed to retrospectively collect, on the study days, general data for each ED admission, and specific data for the patients who arrived in the ED with AAP as one of the complaints prompting a search for medical care. Both generic and specific data were obtained from the ED clinical record stored in the ED’s computerized databases. General Data included gender, nationality, year of birth, severity admission code, ambulance arrival and chief complaint for admission. To collect the chief complaints for admission, 28 causes were listed, according to the National Hospital Ambulatory Medical Care Survey (NHAMCS) table,</w:t>
      </w:r>
      <w:hyperlink r:id="rId19" w:history="1">
        <w:r w:rsidRPr="00F56885">
          <w:rPr>
            <w:rStyle w:val="Hyperlink"/>
            <w:rFonts w:asciiTheme="majorBidi" w:hAnsiTheme="majorBidi" w:cstheme="majorBidi"/>
            <w:b w:val="0"/>
            <w:bCs w:val="0"/>
            <w:color w:val="auto"/>
            <w:sz w:val="20"/>
            <w:szCs w:val="20"/>
            <w:vertAlign w:val="superscript"/>
          </w:rPr>
          <w:t>3</w:t>
        </w:r>
      </w:hyperlink>
      <w:r w:rsidRPr="00F56885">
        <w:rPr>
          <w:rFonts w:asciiTheme="majorBidi" w:hAnsiTheme="majorBidi" w:cstheme="majorBidi"/>
          <w:b w:val="0"/>
          <w:bCs w:val="0"/>
          <w:sz w:val="20"/>
          <w:szCs w:val="20"/>
        </w:rPr>
        <w:t> the International Classification of Diseases (ICD-10) and a previously established international coding system.</w:t>
      </w:r>
      <w:hyperlink r:id="rId20" w:history="1">
        <w:r w:rsidRPr="00F56885">
          <w:rPr>
            <w:rStyle w:val="Hyperlink"/>
            <w:rFonts w:asciiTheme="majorBidi" w:hAnsiTheme="majorBidi" w:cstheme="majorBidi"/>
            <w:b w:val="0"/>
            <w:bCs w:val="0"/>
            <w:color w:val="auto"/>
            <w:sz w:val="20"/>
            <w:szCs w:val="20"/>
            <w:vertAlign w:val="superscript"/>
          </w:rPr>
          <w:t>18</w:t>
        </w:r>
      </w:hyperlink>
      <w:r w:rsidRPr="00F56885">
        <w:rPr>
          <w:rFonts w:asciiTheme="majorBidi" w:hAnsiTheme="majorBidi" w:cstheme="majorBidi"/>
          <w:b w:val="0"/>
          <w:bCs w:val="0"/>
          <w:sz w:val="20"/>
          <w:szCs w:val="20"/>
        </w:rPr>
        <w:t> Specific data included 192 clinical attributes that were grouped as follows: vital signs, past and recent history, physical examination, imaging, consultation, blood and urine tests, diagnosis (operative diagnosis of ED physicians), duration of stay and discharge, onsite and prescribed treatments. In this article all the data presented have been sufficiently anonymized and do not contain any personal information about an identifiable living individual. The study was carried out in accordance with the Helsinki Declaration and all patients gave their consent to the handling of their clinical data at entry.</w:t>
      </w:r>
    </w:p>
    <w:p w14:paraId="491A88C8" w14:textId="77777777" w:rsidR="00CF5DE3" w:rsidRPr="00F56885" w:rsidRDefault="00CF5DE3" w:rsidP="00F56885">
      <w:pPr>
        <w:pStyle w:val="Heading3"/>
        <w:shd w:val="clear" w:color="auto" w:fill="FFFFFF"/>
        <w:spacing w:before="0" w:beforeAutospacing="0" w:after="0" w:afterAutospacing="0"/>
        <w:ind w:right="288"/>
        <w:jc w:val="both"/>
        <w:rPr>
          <w:rFonts w:asciiTheme="majorBidi" w:hAnsiTheme="majorBidi" w:cstheme="majorBidi"/>
          <w:b w:val="0"/>
          <w:bCs w:val="0"/>
          <w:sz w:val="20"/>
          <w:szCs w:val="20"/>
        </w:rPr>
      </w:pPr>
      <w:r w:rsidRPr="00F56885">
        <w:rPr>
          <w:rFonts w:asciiTheme="majorBidi" w:hAnsiTheme="majorBidi" w:cstheme="majorBidi"/>
          <w:b w:val="0"/>
          <w:bCs w:val="0"/>
          <w:sz w:val="20"/>
          <w:szCs w:val="20"/>
        </w:rPr>
        <w:t>Statistical analysis</w:t>
      </w:r>
    </w:p>
    <w:p w14:paraId="19FE3B66" w14:textId="77777777" w:rsidR="00CF5DE3" w:rsidRPr="00F56885" w:rsidRDefault="00CF5DE3" w:rsidP="00F56885">
      <w:pPr>
        <w:pStyle w:val="NormalWeb"/>
        <w:shd w:val="clear" w:color="auto" w:fill="FFFFFF"/>
        <w:spacing w:before="0" w:beforeAutospacing="0" w:after="0" w:afterAutospacing="0"/>
        <w:ind w:right="288"/>
        <w:jc w:val="both"/>
        <w:rPr>
          <w:rFonts w:asciiTheme="majorBidi" w:hAnsiTheme="majorBidi" w:cstheme="majorBidi"/>
          <w:sz w:val="20"/>
          <w:szCs w:val="20"/>
        </w:rPr>
      </w:pPr>
      <w:r w:rsidRPr="00F56885">
        <w:rPr>
          <w:rFonts w:asciiTheme="majorBidi" w:hAnsiTheme="majorBidi" w:cstheme="majorBidi"/>
          <w:sz w:val="20"/>
          <w:szCs w:val="20"/>
        </w:rPr>
        <w:t>Absolute and relative frequencies were reported as descriptive statistics of discrete data. Mean and standard deviation (SD) of daily admission rate was computed as well as median and range of age and duration of hospital stay. The Pearson and the linear-by-linear chi-squared tests and the Fisher’s exact test were applied to nominal, ordinal and dichotomous discrete variables, respectively. The odds ratios (ORs) related to the prevalence of AAP were also calculated together with their 95% confidence intervals (CIs). Scale variables were analyzed by means of the Kruskal-Wallis test. The IBM SPSS package (version 21, IBM Co., Armonk, NY, USA) was used to analyze the data. Two-tailed </w:t>
      </w:r>
      <w:r w:rsidRPr="00F56885">
        <w:rPr>
          <w:rFonts w:asciiTheme="majorBidi" w:hAnsiTheme="majorBidi" w:cstheme="majorBidi"/>
          <w:i/>
          <w:iCs/>
          <w:sz w:val="20"/>
          <w:szCs w:val="20"/>
        </w:rPr>
        <w:t>p</w:t>
      </w:r>
      <w:r w:rsidRPr="00F56885">
        <w:rPr>
          <w:rFonts w:asciiTheme="majorBidi" w:hAnsiTheme="majorBidi" w:cstheme="majorBidi"/>
          <w:sz w:val="20"/>
          <w:szCs w:val="20"/>
        </w:rPr>
        <w:t> values less than 0.05 were considered significant.</w:t>
      </w:r>
    </w:p>
    <w:p w14:paraId="47062C96" w14:textId="77777777" w:rsidR="008E0678" w:rsidRPr="00F56885" w:rsidRDefault="008E0678" w:rsidP="00F56885">
      <w:pPr>
        <w:spacing w:after="0" w:line="240" w:lineRule="auto"/>
        <w:ind w:left="567" w:right="288" w:firstLine="567"/>
        <w:jc w:val="both"/>
        <w:rPr>
          <w:rFonts w:asciiTheme="majorBidi" w:hAnsiTheme="majorBidi" w:cstheme="majorBidi"/>
          <w:b/>
          <w:bCs/>
          <w:sz w:val="20"/>
          <w:szCs w:val="20"/>
        </w:rPr>
      </w:pPr>
    </w:p>
    <w:p w14:paraId="1C89A96E" w14:textId="6C1399F5" w:rsidR="006C5F2E" w:rsidRPr="00F56885" w:rsidRDefault="006C5F2E" w:rsidP="00F56885">
      <w:pPr>
        <w:spacing w:after="0" w:line="240" w:lineRule="auto"/>
        <w:ind w:right="288"/>
        <w:jc w:val="both"/>
        <w:rPr>
          <w:rFonts w:asciiTheme="majorBidi" w:hAnsiTheme="majorBidi" w:cstheme="majorBidi"/>
          <w:b/>
          <w:bCs/>
          <w:sz w:val="20"/>
          <w:szCs w:val="20"/>
        </w:rPr>
      </w:pPr>
      <w:r w:rsidRPr="00F56885">
        <w:rPr>
          <w:rFonts w:asciiTheme="majorBidi" w:hAnsiTheme="majorBidi" w:cstheme="majorBidi"/>
          <w:b/>
          <w:bCs/>
          <w:sz w:val="20"/>
          <w:szCs w:val="20"/>
        </w:rPr>
        <w:t>Results:</w:t>
      </w:r>
    </w:p>
    <w:p w14:paraId="129B945D" w14:textId="575643F0" w:rsidR="00940364" w:rsidRPr="00F56885" w:rsidRDefault="00940364" w:rsidP="00F56885">
      <w:pPr>
        <w:spacing w:after="0" w:line="240" w:lineRule="auto"/>
        <w:ind w:right="288"/>
        <w:jc w:val="both"/>
        <w:rPr>
          <w:rFonts w:asciiTheme="majorBidi" w:hAnsiTheme="majorBidi" w:cstheme="majorBidi"/>
          <w:b/>
          <w:bCs/>
          <w:sz w:val="20"/>
          <w:szCs w:val="20"/>
        </w:rPr>
      </w:pPr>
      <w:r w:rsidRPr="00F56885">
        <w:rPr>
          <w:rFonts w:asciiTheme="majorBidi" w:hAnsiTheme="majorBidi" w:cstheme="majorBidi"/>
          <w:sz w:val="20"/>
          <w:szCs w:val="20"/>
          <w:shd w:val="clear" w:color="auto" w:fill="FFFFFF"/>
        </w:rPr>
        <w:t xml:space="preserve">During the 12 days of observation between January and June 2013, the ED of the </w:t>
      </w:r>
      <w:proofErr w:type="spellStart"/>
      <w:r w:rsidRPr="00F56885">
        <w:rPr>
          <w:rFonts w:asciiTheme="majorBidi" w:hAnsiTheme="majorBidi" w:cstheme="majorBidi"/>
          <w:sz w:val="20"/>
          <w:szCs w:val="20"/>
          <w:shd w:val="clear" w:color="auto" w:fill="FFFFFF"/>
        </w:rPr>
        <w:t>Sant’Orsola</w:t>
      </w:r>
      <w:proofErr w:type="spellEnd"/>
      <w:r w:rsidRPr="00F56885">
        <w:rPr>
          <w:rFonts w:asciiTheme="majorBidi" w:hAnsiTheme="majorBidi" w:cstheme="majorBidi"/>
          <w:sz w:val="20"/>
          <w:szCs w:val="20"/>
          <w:shd w:val="clear" w:color="auto" w:fill="FFFFFF"/>
        </w:rPr>
        <w:t xml:space="preserve">, </w:t>
      </w:r>
      <w:r w:rsidRPr="00F56885">
        <w:rPr>
          <w:rFonts w:asciiTheme="majorBidi" w:hAnsiTheme="majorBidi" w:cstheme="majorBidi"/>
          <w:sz w:val="20"/>
          <w:szCs w:val="20"/>
          <w:shd w:val="clear" w:color="auto" w:fill="FFFFFF"/>
        </w:rPr>
        <w:lastRenderedPageBreak/>
        <w:t>Malpighi University Hospital of Bologna assisted 2623 patients, with a mean ± SD daily admission rate of 219 ± 20. Among those patients, 1296 were males and 1327 females (49.4% vs. 50.6%). The median age of the 2623 available patients was 57 years (range 18–104 years). The two largest age groups were the 70–79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375) and the 80–89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405) decades</w:t>
      </w:r>
    </w:p>
    <w:p w14:paraId="6FDDCEE3" w14:textId="77777777" w:rsidR="00F56885" w:rsidRDefault="00F56885" w:rsidP="00F56885">
      <w:pPr>
        <w:spacing w:after="0" w:line="240" w:lineRule="auto"/>
        <w:ind w:right="288"/>
        <w:jc w:val="both"/>
        <w:rPr>
          <w:rFonts w:asciiTheme="majorBidi" w:hAnsiTheme="majorBidi" w:cstheme="majorBidi"/>
          <w:sz w:val="20"/>
          <w:szCs w:val="20"/>
          <w:shd w:val="clear" w:color="auto" w:fill="FFFFFF"/>
        </w:rPr>
      </w:pPr>
    </w:p>
    <w:p w14:paraId="23792EEC" w14:textId="32292784" w:rsidR="00940364" w:rsidRPr="00F56885" w:rsidRDefault="00940364" w:rsidP="00F56885">
      <w:pPr>
        <w:spacing w:after="0" w:line="240" w:lineRule="auto"/>
        <w:ind w:right="288"/>
        <w:jc w:val="both"/>
        <w:rPr>
          <w:rFonts w:asciiTheme="majorBidi" w:hAnsiTheme="majorBidi" w:cstheme="majorBidi"/>
          <w:b/>
          <w:bCs/>
          <w:sz w:val="20"/>
          <w:szCs w:val="20"/>
        </w:rPr>
      </w:pPr>
      <w:r w:rsidRPr="00F56885">
        <w:rPr>
          <w:rFonts w:asciiTheme="majorBidi" w:hAnsiTheme="majorBidi" w:cstheme="majorBidi"/>
          <w:sz w:val="20"/>
          <w:szCs w:val="20"/>
          <w:shd w:val="clear" w:color="auto" w:fill="FFFFFF"/>
        </w:rPr>
        <w:t>The majority of included individuals were native Italians: 2274 patients (86.7%), while the 349 foreign patients (13.2%) were from 50 different nations, with more than half of them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190, 54.4%) originating from Morocco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60, 17.2%), Romania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46, 13.2%), Moldova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26, 7.4%), Pakistan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25, 7.2%), Ukraine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17, 4.9%) and Albania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16, 4.6%).</w:t>
      </w:r>
    </w:p>
    <w:p w14:paraId="3D54CC59" w14:textId="77777777" w:rsidR="00F56885" w:rsidRDefault="00F56885" w:rsidP="00F56885">
      <w:pPr>
        <w:spacing w:after="0" w:line="240" w:lineRule="auto"/>
        <w:ind w:right="288"/>
        <w:jc w:val="both"/>
        <w:rPr>
          <w:rFonts w:asciiTheme="majorBidi" w:hAnsiTheme="majorBidi" w:cstheme="majorBidi"/>
          <w:sz w:val="20"/>
          <w:szCs w:val="20"/>
          <w:shd w:val="clear" w:color="auto" w:fill="FFFFFF"/>
        </w:rPr>
      </w:pPr>
    </w:p>
    <w:p w14:paraId="1AAA43FD" w14:textId="2B56D5CC" w:rsidR="00940364" w:rsidRPr="00F56885" w:rsidRDefault="00940364" w:rsidP="00F56885">
      <w:pPr>
        <w:spacing w:after="0" w:line="240" w:lineRule="auto"/>
        <w:ind w:right="288"/>
        <w:jc w:val="both"/>
        <w:rPr>
          <w:rFonts w:asciiTheme="majorBidi" w:hAnsiTheme="majorBidi" w:cstheme="majorBidi"/>
          <w:b/>
          <w:bCs/>
          <w:sz w:val="20"/>
          <w:szCs w:val="20"/>
        </w:rPr>
      </w:pPr>
      <w:r w:rsidRPr="00F56885">
        <w:rPr>
          <w:rFonts w:asciiTheme="majorBidi" w:hAnsiTheme="majorBidi" w:cstheme="majorBidi"/>
          <w:sz w:val="20"/>
          <w:szCs w:val="20"/>
          <w:shd w:val="clear" w:color="auto" w:fill="FFFFFF"/>
        </w:rPr>
        <w:t>Upon arrival at the ED, the majority of patients were given a moderate degree of severity/risk: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1526, 58.2%), the second largest group received a high degree of severity/risk (770, 29.4%), whereas a minority received either a mild (250, 9.5%) or an extreme degree of severity/risk: (77, 2.9%). Only a third of the patients (938, 35.8%) were referred at ED by ambulance. Of these, 496 (52.9%) were attributed a high or extreme degree of severity/risk.</w:t>
      </w:r>
    </w:p>
    <w:p w14:paraId="1A04CDFC"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0BF64FA6" w14:textId="51B14DDC" w:rsidR="00940364" w:rsidRPr="00F56885" w:rsidRDefault="00940364"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The patients who underwent abdominal X-ray turned out to show a pathological alteration in 53 cases (63.1%), the majority of which were represented by ileal loop distension. Nevertheless, 27 cases had to also undergo an abdominal US, and eight cases a CT.</w:t>
      </w:r>
    </w:p>
    <w:p w14:paraId="49890450"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035A5339" w14:textId="0FBC655B" w:rsidR="00940364" w:rsidRPr="00F56885" w:rsidRDefault="00940364"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The CT performed showed a pathological alteration in 34 cases (87.2%) that significantly contributed to the diagnosis. As a matter of fact, among the patients who underwent CT, only 11 cases (28.2%) received an unspecific diagnosis.</w:t>
      </w:r>
    </w:p>
    <w:p w14:paraId="3BD767AE"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3B3762DC" w14:textId="67D6F08E" w:rsidR="00940364" w:rsidRPr="00F56885" w:rsidRDefault="00940364"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As for abdominal US, it revealed an organic disease potentially responsible for AAP in 57 cases (52.8%), and 33 patients (31.4%) who underwent US received an unspecific diagnosis.</w:t>
      </w:r>
    </w:p>
    <w:p w14:paraId="035ED325"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56D871C1" w14:textId="28774A01" w:rsidR="00940364" w:rsidRPr="00F56885" w:rsidRDefault="00940364"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Among the patients who underwent other imaging techniques, the vast majority (</w:t>
      </w:r>
      <w:r w:rsidRPr="00F56885">
        <w:rPr>
          <w:rFonts w:asciiTheme="majorBidi" w:eastAsia="Times New Roman" w:hAnsiTheme="majorBidi" w:cstheme="majorBidi"/>
          <w:i/>
          <w:iCs/>
          <w:sz w:val="20"/>
          <w:szCs w:val="20"/>
        </w:rPr>
        <w:t>n</w:t>
      </w:r>
      <w:r w:rsidRPr="00F56885">
        <w:rPr>
          <w:rFonts w:asciiTheme="majorBidi" w:eastAsia="Times New Roman" w:hAnsiTheme="majorBidi" w:cstheme="majorBidi"/>
          <w:sz w:val="20"/>
          <w:szCs w:val="20"/>
        </w:rPr>
        <w:t> = 83, 94.3%) had chest X-rays, and in 71 cases (86.5%) no new findings were discovered.</w:t>
      </w:r>
    </w:p>
    <w:p w14:paraId="44926607" w14:textId="2917A0ED" w:rsidR="00940364" w:rsidRPr="00F56885" w:rsidRDefault="00940364" w:rsidP="00F56885">
      <w:pPr>
        <w:spacing w:after="0" w:line="240" w:lineRule="auto"/>
        <w:ind w:left="567" w:right="288" w:firstLine="567"/>
        <w:jc w:val="both"/>
        <w:rPr>
          <w:rFonts w:asciiTheme="majorBidi" w:hAnsiTheme="majorBidi" w:cstheme="majorBidi"/>
          <w:b/>
          <w:bCs/>
          <w:sz w:val="20"/>
          <w:szCs w:val="20"/>
        </w:rPr>
      </w:pPr>
    </w:p>
    <w:p w14:paraId="0A856750" w14:textId="3288FD35" w:rsidR="00940364" w:rsidRPr="00F56885" w:rsidRDefault="00940364" w:rsidP="00F56885">
      <w:pPr>
        <w:spacing w:after="0" w:line="240" w:lineRule="auto"/>
        <w:ind w:right="288"/>
        <w:jc w:val="both"/>
        <w:rPr>
          <w:rFonts w:asciiTheme="majorBidi" w:hAnsiTheme="majorBidi" w:cstheme="majorBidi"/>
          <w:b/>
          <w:bCs/>
          <w:sz w:val="20"/>
          <w:szCs w:val="20"/>
        </w:rPr>
      </w:pPr>
      <w:r w:rsidRPr="00F56885">
        <w:rPr>
          <w:rFonts w:asciiTheme="majorBidi" w:hAnsiTheme="majorBidi" w:cstheme="majorBidi"/>
          <w:sz w:val="20"/>
          <w:szCs w:val="20"/>
          <w:shd w:val="clear" w:color="auto" w:fill="FFFFFF"/>
        </w:rPr>
        <w:t>The majority of AAP patients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xml:space="preserve"> = 153, 64.0%) were discharged to a general practitioner’s care, whereas 86 patients were hospitalized. The most </w:t>
      </w:r>
      <w:r w:rsidRPr="00F56885">
        <w:rPr>
          <w:rFonts w:asciiTheme="majorBidi" w:hAnsiTheme="majorBidi" w:cstheme="majorBidi"/>
          <w:sz w:val="20"/>
          <w:szCs w:val="20"/>
          <w:shd w:val="clear" w:color="auto" w:fill="FFFFFF"/>
        </w:rPr>
        <w:t>frequent hospital wards to which patients were sent were internal medicine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38, 44.2%), gastroenterology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15, 17.4%) and emergency surgery (</w:t>
      </w:r>
      <w:r w:rsidRPr="00F56885">
        <w:rPr>
          <w:rFonts w:asciiTheme="majorBidi" w:hAnsiTheme="majorBidi" w:cstheme="majorBidi"/>
          <w:i/>
          <w:iCs/>
          <w:sz w:val="20"/>
          <w:szCs w:val="20"/>
          <w:shd w:val="clear" w:color="auto" w:fill="FFFFFF"/>
        </w:rPr>
        <w:t>n</w:t>
      </w:r>
      <w:r w:rsidRPr="00F56885">
        <w:rPr>
          <w:rFonts w:asciiTheme="majorBidi" w:hAnsiTheme="majorBidi" w:cstheme="majorBidi"/>
          <w:sz w:val="20"/>
          <w:szCs w:val="20"/>
          <w:shd w:val="clear" w:color="auto" w:fill="FFFFFF"/>
        </w:rPr>
        <w:t> = 13, 15.1%)</w:t>
      </w:r>
    </w:p>
    <w:p w14:paraId="0AF677F5" w14:textId="77777777" w:rsidR="00F56885" w:rsidRDefault="00F56885" w:rsidP="00F56885">
      <w:pPr>
        <w:spacing w:after="0" w:line="240" w:lineRule="auto"/>
        <w:ind w:right="288"/>
        <w:jc w:val="both"/>
        <w:rPr>
          <w:rFonts w:asciiTheme="majorBidi" w:hAnsiTheme="majorBidi" w:cstheme="majorBidi"/>
          <w:b/>
          <w:bCs/>
          <w:sz w:val="20"/>
          <w:szCs w:val="20"/>
        </w:rPr>
      </w:pPr>
    </w:p>
    <w:p w14:paraId="4C66B19F" w14:textId="43603F37" w:rsidR="00940364" w:rsidRPr="00F56885" w:rsidRDefault="00F56885" w:rsidP="00F56885">
      <w:pPr>
        <w:spacing w:after="0" w:line="240" w:lineRule="auto"/>
        <w:ind w:right="288"/>
        <w:jc w:val="both"/>
        <w:rPr>
          <w:rFonts w:asciiTheme="majorBidi" w:hAnsiTheme="majorBidi" w:cstheme="majorBidi"/>
          <w:b/>
          <w:bCs/>
          <w:color w:val="00B050"/>
          <w:sz w:val="20"/>
          <w:szCs w:val="20"/>
        </w:rPr>
      </w:pPr>
      <w:r w:rsidRPr="00F56885">
        <w:rPr>
          <w:rFonts w:asciiTheme="majorBidi" w:hAnsiTheme="majorBidi" w:cstheme="majorBidi"/>
          <w:b/>
          <w:bCs/>
          <w:color w:val="00B050"/>
          <w:sz w:val="20"/>
          <w:szCs w:val="20"/>
        </w:rPr>
        <w:t>CONCLUSION:</w:t>
      </w:r>
    </w:p>
    <w:p w14:paraId="60D1AF53" w14:textId="610118C7" w:rsidR="00D246E6" w:rsidRPr="00F56885" w:rsidRDefault="00D246E6"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AAP is one of the most frequent causes of referral to the ED of a large university hospital in Italy. The observed prevalence of 9.1% is consistent with previously published data. A lower prevalence was reported in previous studies in which patients with urinary symptoms or flank pain were excluded from the diagnosis of acute abdominal pain</w:t>
      </w:r>
      <w:r w:rsidR="006A7845" w:rsidRPr="00F56885">
        <w:rPr>
          <w:rFonts w:asciiTheme="majorBidi" w:eastAsia="Times New Roman" w:hAnsiTheme="majorBidi" w:cstheme="majorBidi"/>
          <w:sz w:val="20"/>
          <w:szCs w:val="20"/>
        </w:rPr>
        <w:t xml:space="preserve">. (3) </w:t>
      </w:r>
    </w:p>
    <w:p w14:paraId="4ED28F8A"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673FFF4E" w14:textId="793058FB" w:rsidR="00D246E6" w:rsidRPr="00F56885" w:rsidRDefault="00D246E6"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Other results of our study describing clinical activities of our ED are consistent with data from other countries. Patients older than 70 years represent the largest referred group in Italy as well as in other countries.</w:t>
      </w:r>
      <w:hyperlink r:id="rId21" w:history="1">
        <w:r w:rsidRPr="00F56885">
          <w:rPr>
            <w:rFonts w:asciiTheme="majorBidi" w:eastAsia="Times New Roman" w:hAnsiTheme="majorBidi" w:cstheme="majorBidi"/>
            <w:sz w:val="20"/>
            <w:szCs w:val="20"/>
            <w:u w:val="single"/>
            <w:vertAlign w:val="superscript"/>
          </w:rPr>
          <w:t>19</w:t>
        </w:r>
      </w:hyperlink>
      <w:r w:rsidRPr="00F56885">
        <w:rPr>
          <w:rFonts w:asciiTheme="majorBidi" w:eastAsia="Times New Roman" w:hAnsiTheme="majorBidi" w:cstheme="majorBidi"/>
          <w:sz w:val="20"/>
          <w:szCs w:val="20"/>
          <w:vertAlign w:val="superscript"/>
        </w:rPr>
        <w:t>–</w:t>
      </w:r>
      <w:hyperlink r:id="rId22" w:history="1">
        <w:r w:rsidRPr="00F56885">
          <w:rPr>
            <w:rFonts w:asciiTheme="majorBidi" w:eastAsia="Times New Roman" w:hAnsiTheme="majorBidi" w:cstheme="majorBidi"/>
            <w:sz w:val="20"/>
            <w:szCs w:val="20"/>
            <w:u w:val="single"/>
            <w:vertAlign w:val="superscript"/>
          </w:rPr>
          <w:t>21</w:t>
        </w:r>
      </w:hyperlink>
      <w:r w:rsidRPr="00F56885">
        <w:rPr>
          <w:rFonts w:asciiTheme="majorBidi" w:eastAsia="Times New Roman" w:hAnsiTheme="majorBidi" w:cstheme="majorBidi"/>
          <w:sz w:val="20"/>
          <w:szCs w:val="20"/>
        </w:rPr>
        <w:t> Also, the majority of AAP patients were given a moderate or high degree of severity/risk at our ED similarly to patients seen in other hospitals.</w:t>
      </w:r>
      <w:hyperlink r:id="rId23" w:history="1">
        <w:r w:rsidRPr="00F56885">
          <w:rPr>
            <w:rFonts w:asciiTheme="majorBidi" w:eastAsia="Times New Roman" w:hAnsiTheme="majorBidi" w:cstheme="majorBidi"/>
            <w:sz w:val="20"/>
            <w:szCs w:val="20"/>
            <w:u w:val="single"/>
            <w:vertAlign w:val="superscript"/>
          </w:rPr>
          <w:t>19</w:t>
        </w:r>
      </w:hyperlink>
      <w:r w:rsidRPr="00F56885">
        <w:rPr>
          <w:rFonts w:asciiTheme="majorBidi" w:eastAsia="Times New Roman" w:hAnsiTheme="majorBidi" w:cstheme="majorBidi"/>
          <w:sz w:val="20"/>
          <w:szCs w:val="20"/>
          <w:vertAlign w:val="superscript"/>
        </w:rPr>
        <w:t>–</w:t>
      </w:r>
      <w:hyperlink r:id="rId24" w:history="1">
        <w:r w:rsidRPr="00F56885">
          <w:rPr>
            <w:rFonts w:asciiTheme="majorBidi" w:eastAsia="Times New Roman" w:hAnsiTheme="majorBidi" w:cstheme="majorBidi"/>
            <w:sz w:val="20"/>
            <w:szCs w:val="20"/>
            <w:u w:val="single"/>
            <w:vertAlign w:val="superscript"/>
          </w:rPr>
          <w:t>21</w:t>
        </w:r>
      </w:hyperlink>
      <w:r w:rsidRPr="00F56885">
        <w:rPr>
          <w:rFonts w:asciiTheme="majorBidi" w:eastAsia="Times New Roman" w:hAnsiTheme="majorBidi" w:cstheme="majorBidi"/>
          <w:sz w:val="20"/>
          <w:szCs w:val="20"/>
        </w:rPr>
        <w:t> Demographics data reveal that age and gender distribution among AAP patients is similar worldwide. They tend to be relatively young patients, with a prevalence of females, ranging from 51%</w:t>
      </w:r>
      <w:r w:rsidR="00EA53CD" w:rsidRPr="00F56885">
        <w:rPr>
          <w:rFonts w:asciiTheme="majorBidi" w:hAnsiTheme="majorBidi" w:cstheme="majorBidi"/>
          <w:sz w:val="20"/>
          <w:szCs w:val="20"/>
        </w:rPr>
        <w:t xml:space="preserve"> (20</w:t>
      </w:r>
      <w:r w:rsidR="007D51B2" w:rsidRPr="00F56885">
        <w:rPr>
          <w:rFonts w:asciiTheme="majorBidi" w:hAnsiTheme="majorBidi" w:cstheme="majorBidi"/>
          <w:sz w:val="20"/>
          <w:szCs w:val="20"/>
        </w:rPr>
        <w:t xml:space="preserve">) </w:t>
      </w:r>
      <w:r w:rsidR="007D51B2" w:rsidRPr="00F56885">
        <w:rPr>
          <w:rFonts w:asciiTheme="majorBidi" w:eastAsia="Times New Roman" w:hAnsiTheme="majorBidi" w:cstheme="majorBidi"/>
          <w:sz w:val="20"/>
          <w:szCs w:val="20"/>
        </w:rPr>
        <w:t>to</w:t>
      </w:r>
      <w:r w:rsidRPr="00F56885">
        <w:rPr>
          <w:rFonts w:asciiTheme="majorBidi" w:eastAsia="Times New Roman" w:hAnsiTheme="majorBidi" w:cstheme="majorBidi"/>
          <w:sz w:val="20"/>
          <w:szCs w:val="20"/>
        </w:rPr>
        <w:t xml:space="preserve"> 65%</w:t>
      </w:r>
      <w:r w:rsidR="00EA53CD" w:rsidRPr="00F56885">
        <w:rPr>
          <w:rFonts w:asciiTheme="majorBidi" w:hAnsiTheme="majorBidi" w:cstheme="majorBidi"/>
          <w:sz w:val="20"/>
          <w:szCs w:val="20"/>
        </w:rPr>
        <w:t xml:space="preserve"> (19)</w:t>
      </w:r>
      <w:r w:rsidR="007A1DA9" w:rsidRPr="00F56885">
        <w:rPr>
          <w:rFonts w:asciiTheme="majorBidi" w:hAnsiTheme="majorBidi" w:cstheme="majorBidi"/>
          <w:sz w:val="20"/>
          <w:szCs w:val="20"/>
        </w:rPr>
        <w:t xml:space="preserve"> </w:t>
      </w:r>
      <w:r w:rsidRPr="00F56885">
        <w:rPr>
          <w:rFonts w:asciiTheme="majorBidi" w:eastAsia="Times New Roman" w:hAnsiTheme="majorBidi" w:cstheme="majorBidi"/>
          <w:sz w:val="20"/>
          <w:szCs w:val="20"/>
        </w:rPr>
        <w:t>and with a high hospital admission rate, ranging from 25%</w:t>
      </w:r>
      <w:hyperlink r:id="rId25" w:history="1">
        <w:r w:rsidRPr="00F56885">
          <w:rPr>
            <w:rFonts w:asciiTheme="majorBidi" w:eastAsia="Times New Roman" w:hAnsiTheme="majorBidi" w:cstheme="majorBidi"/>
            <w:sz w:val="20"/>
            <w:szCs w:val="20"/>
            <w:u w:val="single"/>
            <w:vertAlign w:val="superscript"/>
          </w:rPr>
          <w:t>19</w:t>
        </w:r>
      </w:hyperlink>
      <w:r w:rsidRPr="00F56885">
        <w:rPr>
          <w:rFonts w:asciiTheme="majorBidi" w:eastAsia="Times New Roman" w:hAnsiTheme="majorBidi" w:cstheme="majorBidi"/>
          <w:sz w:val="20"/>
          <w:szCs w:val="20"/>
        </w:rPr>
        <w:t> to 35%.</w:t>
      </w:r>
      <w:r w:rsidR="007A1DA9" w:rsidRPr="00F56885">
        <w:rPr>
          <w:rFonts w:asciiTheme="majorBidi" w:hAnsiTheme="majorBidi" w:cstheme="majorBidi"/>
          <w:sz w:val="20"/>
          <w:szCs w:val="20"/>
        </w:rPr>
        <w:t xml:space="preserve"> (21)</w:t>
      </w:r>
    </w:p>
    <w:p w14:paraId="699A8047"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1D3252B7" w14:textId="455F06F3" w:rsidR="00D246E6" w:rsidRPr="00F56885" w:rsidRDefault="00D246E6"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A large proportion of cases of AAP remain classified as non-specified abdominal pain, in all published series ranging from 15.5% at the Institute of Surgery of La Sapienza, Roma, Italy, 21.1% at the Virginia Hospital, United States, 36.0% in our ED and up to 39.9% at the Department of Surgery, Royal Devon, United Kingdom.</w:t>
      </w:r>
      <w:r w:rsidR="003A207E" w:rsidRPr="00F56885">
        <w:rPr>
          <w:rFonts w:asciiTheme="majorBidi" w:hAnsiTheme="majorBidi" w:cstheme="majorBidi"/>
          <w:sz w:val="20"/>
          <w:szCs w:val="20"/>
        </w:rPr>
        <w:t xml:space="preserve"> (20-21)</w:t>
      </w:r>
      <w:r w:rsidR="003A207E" w:rsidRPr="00F56885">
        <w:rPr>
          <w:rFonts w:asciiTheme="majorBidi" w:eastAsia="Times New Roman" w:hAnsiTheme="majorBidi" w:cstheme="majorBidi"/>
          <w:sz w:val="20"/>
          <w:szCs w:val="20"/>
        </w:rPr>
        <w:t xml:space="preserve"> </w:t>
      </w:r>
    </w:p>
    <w:p w14:paraId="5F63B8FB"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2E9C083B" w14:textId="74EDBC75" w:rsidR="00D246E6" w:rsidRPr="00F56885" w:rsidRDefault="00D246E6"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Our data about resource utilization deserve some further considerations: the rates of abdominal X-ray, US and CT performed poorly reflect current international guidelines indications:</w:t>
      </w:r>
      <w:hyperlink r:id="rId26" w:history="1">
        <w:r w:rsidRPr="00F56885">
          <w:rPr>
            <w:rFonts w:asciiTheme="majorBidi" w:eastAsia="Times New Roman" w:hAnsiTheme="majorBidi" w:cstheme="majorBidi"/>
            <w:sz w:val="20"/>
            <w:szCs w:val="20"/>
            <w:u w:val="single"/>
            <w:vertAlign w:val="superscript"/>
          </w:rPr>
          <w:t>3</w:t>
        </w:r>
      </w:hyperlink>
      <w:r w:rsidRPr="00F56885">
        <w:rPr>
          <w:rFonts w:asciiTheme="majorBidi" w:eastAsia="Times New Roman" w:hAnsiTheme="majorBidi" w:cstheme="majorBidi"/>
          <w:sz w:val="20"/>
          <w:szCs w:val="20"/>
        </w:rPr>
        <w:t xml:space="preserve"> In our ED X-ray still remains more frequently (35.1%) used than CT (16.3%) despite a lower diagnostic yield. Chest X-ray appears to be overprescribed, since a large number of AAP patients had undergone this procedure without new findings being discovered. On the other hand, the treatment management at our ED seems to reflect current international guidelines given the significant difference of specific drug use among the different diagnostic groups and the little use of antibiotics that probably started after admission on the ward. Despite technological advances, AAP diagnosis and treatment still represents a major clinical challenge </w:t>
      </w:r>
      <w:r w:rsidRPr="00F56885">
        <w:rPr>
          <w:rFonts w:asciiTheme="majorBidi" w:eastAsia="Times New Roman" w:hAnsiTheme="majorBidi" w:cstheme="majorBidi"/>
          <w:sz w:val="20"/>
          <w:szCs w:val="20"/>
        </w:rPr>
        <w:lastRenderedPageBreak/>
        <w:t>for ED doctors. It would be a good practice, for future research works, to keep collecting data about AAP patients.</w:t>
      </w:r>
      <w:r w:rsidR="00B76BD1" w:rsidRPr="00F56885">
        <w:rPr>
          <w:rFonts w:asciiTheme="majorBidi" w:hAnsiTheme="majorBidi" w:cstheme="majorBidi"/>
          <w:sz w:val="20"/>
          <w:szCs w:val="20"/>
        </w:rPr>
        <w:t xml:space="preserve"> (24)</w:t>
      </w:r>
      <w:r w:rsidR="00B76BD1" w:rsidRPr="00F56885">
        <w:rPr>
          <w:rFonts w:asciiTheme="majorBidi" w:eastAsia="Times New Roman" w:hAnsiTheme="majorBidi" w:cstheme="majorBidi"/>
          <w:sz w:val="20"/>
          <w:szCs w:val="20"/>
        </w:rPr>
        <w:t xml:space="preserve"> </w:t>
      </w:r>
    </w:p>
    <w:p w14:paraId="08D88187" w14:textId="77777777" w:rsidR="00F56885" w:rsidRDefault="00F56885" w:rsidP="00F56885">
      <w:pPr>
        <w:shd w:val="clear" w:color="auto" w:fill="FFFFFF"/>
        <w:spacing w:after="0" w:line="240" w:lineRule="auto"/>
        <w:ind w:right="288"/>
        <w:jc w:val="both"/>
        <w:rPr>
          <w:rFonts w:asciiTheme="majorBidi" w:eastAsia="Times New Roman" w:hAnsiTheme="majorBidi" w:cstheme="majorBidi"/>
          <w:sz w:val="20"/>
          <w:szCs w:val="20"/>
        </w:rPr>
      </w:pPr>
    </w:p>
    <w:p w14:paraId="32F4796E" w14:textId="5E65F799" w:rsidR="00D246E6" w:rsidRPr="00F56885" w:rsidRDefault="00D246E6" w:rsidP="00F56885">
      <w:pPr>
        <w:shd w:val="clear" w:color="auto" w:fill="FFFFFF"/>
        <w:spacing w:after="0" w:line="240" w:lineRule="auto"/>
        <w:ind w:right="288"/>
        <w:jc w:val="both"/>
        <w:rPr>
          <w:rFonts w:asciiTheme="majorBidi" w:eastAsia="Times New Roman" w:hAnsiTheme="majorBidi" w:cstheme="majorBidi"/>
          <w:sz w:val="20"/>
          <w:szCs w:val="20"/>
        </w:rPr>
      </w:pPr>
      <w:r w:rsidRPr="00F56885">
        <w:rPr>
          <w:rFonts w:asciiTheme="majorBidi" w:eastAsia="Times New Roman" w:hAnsiTheme="majorBidi" w:cstheme="majorBidi"/>
          <w:sz w:val="20"/>
          <w:szCs w:val="20"/>
        </w:rPr>
        <w:t xml:space="preserve">This may provide the opportunity to find more correlations between the patient’s presentation, imaging data, laboratory test results and the actual diagnosis, in order to define a less invasive and less expensive workup for AAP patients seen in </w:t>
      </w:r>
      <w:proofErr w:type="spellStart"/>
      <w:r w:rsidRPr="00F56885">
        <w:rPr>
          <w:rFonts w:asciiTheme="majorBidi" w:eastAsia="Times New Roman" w:hAnsiTheme="majorBidi" w:cstheme="majorBidi"/>
          <w:sz w:val="20"/>
          <w:szCs w:val="20"/>
        </w:rPr>
        <w:t>EDs.</w:t>
      </w:r>
      <w:proofErr w:type="spellEnd"/>
    </w:p>
    <w:p w14:paraId="443ABA70" w14:textId="77777777" w:rsidR="000074C9" w:rsidRDefault="000074C9" w:rsidP="00F56885">
      <w:pPr>
        <w:shd w:val="clear" w:color="auto" w:fill="FFFFFF"/>
        <w:spacing w:after="0" w:line="240" w:lineRule="auto"/>
        <w:ind w:left="567" w:right="288"/>
        <w:jc w:val="both"/>
        <w:rPr>
          <w:rFonts w:asciiTheme="majorBidi" w:eastAsia="Times New Roman" w:hAnsiTheme="majorBidi" w:cstheme="majorBidi"/>
          <w:sz w:val="20"/>
          <w:szCs w:val="20"/>
        </w:rPr>
      </w:pPr>
    </w:p>
    <w:p w14:paraId="455CE65A" w14:textId="2DCD143F" w:rsidR="00E44043" w:rsidRPr="00F56885" w:rsidRDefault="00F56885" w:rsidP="00F56885">
      <w:pPr>
        <w:shd w:val="clear" w:color="auto" w:fill="FFFFFF"/>
        <w:spacing w:after="0" w:line="240" w:lineRule="auto"/>
        <w:ind w:right="288"/>
        <w:jc w:val="both"/>
        <w:rPr>
          <w:rFonts w:asciiTheme="majorBidi" w:eastAsia="Times New Roman" w:hAnsiTheme="majorBidi" w:cstheme="majorBidi"/>
          <w:b/>
          <w:bCs/>
          <w:color w:val="00B050"/>
          <w:sz w:val="20"/>
          <w:szCs w:val="20"/>
        </w:rPr>
      </w:pPr>
      <w:r w:rsidRPr="00F56885">
        <w:rPr>
          <w:rFonts w:asciiTheme="majorBidi" w:eastAsia="Times New Roman" w:hAnsiTheme="majorBidi" w:cstheme="majorBidi"/>
          <w:b/>
          <w:bCs/>
          <w:color w:val="00B050"/>
          <w:sz w:val="20"/>
          <w:szCs w:val="20"/>
        </w:rPr>
        <w:t>REFERENCES:</w:t>
      </w:r>
    </w:p>
    <w:p w14:paraId="7FF66095" w14:textId="76E81C4F" w:rsidR="00E44043" w:rsidRPr="00F56885" w:rsidRDefault="00914A17"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proofErr w:type="spellStart"/>
      <w:r w:rsidRPr="00F56885">
        <w:rPr>
          <w:rFonts w:asciiTheme="majorBidi" w:hAnsiTheme="majorBidi" w:cstheme="majorBidi"/>
          <w:sz w:val="20"/>
          <w:szCs w:val="20"/>
          <w:shd w:val="clear" w:color="auto" w:fill="FFFFFF"/>
        </w:rPr>
        <w:t>Gans</w:t>
      </w:r>
      <w:proofErr w:type="spellEnd"/>
      <w:r w:rsidRPr="00F56885">
        <w:rPr>
          <w:rFonts w:asciiTheme="majorBidi" w:hAnsiTheme="majorBidi" w:cstheme="majorBidi"/>
          <w:sz w:val="20"/>
          <w:szCs w:val="20"/>
          <w:shd w:val="clear" w:color="auto" w:fill="FFFFFF"/>
        </w:rPr>
        <w:t xml:space="preserve">, S. L., Pols, M. A., Stoker, J., </w:t>
      </w:r>
      <w:proofErr w:type="spellStart"/>
      <w:r w:rsidRPr="00F56885">
        <w:rPr>
          <w:rFonts w:asciiTheme="majorBidi" w:hAnsiTheme="majorBidi" w:cstheme="majorBidi"/>
          <w:sz w:val="20"/>
          <w:szCs w:val="20"/>
          <w:shd w:val="clear" w:color="auto" w:fill="FFFFFF"/>
        </w:rPr>
        <w:t>Boermeester</w:t>
      </w:r>
      <w:proofErr w:type="spellEnd"/>
      <w:r w:rsidRPr="00F56885">
        <w:rPr>
          <w:rFonts w:asciiTheme="majorBidi" w:hAnsiTheme="majorBidi" w:cstheme="majorBidi"/>
          <w:sz w:val="20"/>
          <w:szCs w:val="20"/>
          <w:shd w:val="clear" w:color="auto" w:fill="FFFFFF"/>
        </w:rPr>
        <w:t>, M. A., &amp; Expert Steering Group. (2015). Guideline for the diagnostic pathway in patients with acute abdominal pain. Digestive surgery, 32(1), 23-31.</w:t>
      </w:r>
    </w:p>
    <w:p w14:paraId="41930AC5" w14:textId="62B682AB" w:rsidR="00914A17" w:rsidRPr="00F56885" w:rsidRDefault="00176559"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proofErr w:type="spellStart"/>
      <w:r w:rsidRPr="00F56885">
        <w:rPr>
          <w:rFonts w:asciiTheme="majorBidi" w:hAnsiTheme="majorBidi" w:cstheme="majorBidi"/>
          <w:sz w:val="20"/>
          <w:szCs w:val="20"/>
          <w:shd w:val="clear" w:color="auto" w:fill="FFFFFF"/>
        </w:rPr>
        <w:t>Trentzsch</w:t>
      </w:r>
      <w:proofErr w:type="spellEnd"/>
      <w:r w:rsidRPr="00F56885">
        <w:rPr>
          <w:rFonts w:asciiTheme="majorBidi" w:hAnsiTheme="majorBidi" w:cstheme="majorBidi"/>
          <w:sz w:val="20"/>
          <w:szCs w:val="20"/>
          <w:shd w:val="clear" w:color="auto" w:fill="FFFFFF"/>
        </w:rPr>
        <w:t xml:space="preserve">, H., Werner, J., &amp; </w:t>
      </w:r>
      <w:proofErr w:type="spellStart"/>
      <w:r w:rsidRPr="00F56885">
        <w:rPr>
          <w:rFonts w:asciiTheme="majorBidi" w:hAnsiTheme="majorBidi" w:cstheme="majorBidi"/>
          <w:sz w:val="20"/>
          <w:szCs w:val="20"/>
          <w:shd w:val="clear" w:color="auto" w:fill="FFFFFF"/>
        </w:rPr>
        <w:t>Jauch</w:t>
      </w:r>
      <w:proofErr w:type="spellEnd"/>
      <w:r w:rsidRPr="00F56885">
        <w:rPr>
          <w:rFonts w:asciiTheme="majorBidi" w:hAnsiTheme="majorBidi" w:cstheme="majorBidi"/>
          <w:sz w:val="20"/>
          <w:szCs w:val="20"/>
          <w:shd w:val="clear" w:color="auto" w:fill="FFFFFF"/>
        </w:rPr>
        <w:t>, K. W. (2011). Acute abdominal pain in the emergency department-a clinical algorithm for adult patients. </w:t>
      </w:r>
      <w:proofErr w:type="spellStart"/>
      <w:r w:rsidRPr="00F56885">
        <w:rPr>
          <w:rFonts w:asciiTheme="majorBidi" w:hAnsiTheme="majorBidi" w:cstheme="majorBidi"/>
          <w:sz w:val="20"/>
          <w:szCs w:val="20"/>
          <w:shd w:val="clear" w:color="auto" w:fill="FFFFFF"/>
        </w:rPr>
        <w:t>Zentralblatt</w:t>
      </w:r>
      <w:proofErr w:type="spellEnd"/>
      <w:r w:rsidRPr="00F56885">
        <w:rPr>
          <w:rFonts w:asciiTheme="majorBidi" w:hAnsiTheme="majorBidi" w:cstheme="majorBidi"/>
          <w:sz w:val="20"/>
          <w:szCs w:val="20"/>
          <w:shd w:val="clear" w:color="auto" w:fill="FFFFFF"/>
        </w:rPr>
        <w:t xml:space="preserve"> fur </w:t>
      </w:r>
      <w:proofErr w:type="spellStart"/>
      <w:r w:rsidRPr="00F56885">
        <w:rPr>
          <w:rFonts w:asciiTheme="majorBidi" w:hAnsiTheme="majorBidi" w:cstheme="majorBidi"/>
          <w:sz w:val="20"/>
          <w:szCs w:val="20"/>
          <w:shd w:val="clear" w:color="auto" w:fill="FFFFFF"/>
        </w:rPr>
        <w:t>Chirurgie</w:t>
      </w:r>
      <w:proofErr w:type="spellEnd"/>
      <w:r w:rsidRPr="00F56885">
        <w:rPr>
          <w:rFonts w:asciiTheme="majorBidi" w:hAnsiTheme="majorBidi" w:cstheme="majorBidi"/>
          <w:sz w:val="20"/>
          <w:szCs w:val="20"/>
          <w:shd w:val="clear" w:color="auto" w:fill="FFFFFF"/>
        </w:rPr>
        <w:t>, 136(2), 118.</w:t>
      </w:r>
    </w:p>
    <w:p w14:paraId="0EBFD3CF" w14:textId="758EAA22" w:rsidR="00176559" w:rsidRPr="00F56885" w:rsidRDefault="00176559"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Macaluso, C. R., &amp; McNamara, R. M. (2012). Evaluation and management of acute abdominal pain in the emergency department. International journal of general medicine, 5, 789.</w:t>
      </w:r>
    </w:p>
    <w:p w14:paraId="7D21C6C5" w14:textId="011B67E6"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Centers for Disease Control and Prevention (CDC. (2006). National Center for Health Statistics (NCHS). National Health and Nutrition Examination Survey Questionnaire (or Examination Protocol, or Laboratory Protocol). http://www. </w:t>
      </w:r>
      <w:proofErr w:type="spellStart"/>
      <w:r w:rsidRPr="00F56885">
        <w:rPr>
          <w:rFonts w:asciiTheme="majorBidi" w:hAnsiTheme="majorBidi" w:cstheme="majorBidi"/>
          <w:sz w:val="20"/>
          <w:szCs w:val="20"/>
          <w:shd w:val="clear" w:color="auto" w:fill="FFFFFF"/>
        </w:rPr>
        <w:t>cdc</w:t>
      </w:r>
      <w:proofErr w:type="spellEnd"/>
      <w:r w:rsidRPr="00F56885">
        <w:rPr>
          <w:rFonts w:asciiTheme="majorBidi" w:hAnsiTheme="majorBidi" w:cstheme="majorBidi"/>
          <w:sz w:val="20"/>
          <w:szCs w:val="20"/>
          <w:shd w:val="clear" w:color="auto" w:fill="FFFFFF"/>
        </w:rPr>
        <w:t>. gov/</w:t>
      </w:r>
      <w:proofErr w:type="spellStart"/>
      <w:r w:rsidRPr="00F56885">
        <w:rPr>
          <w:rFonts w:asciiTheme="majorBidi" w:hAnsiTheme="majorBidi" w:cstheme="majorBidi"/>
          <w:sz w:val="20"/>
          <w:szCs w:val="20"/>
          <w:shd w:val="clear" w:color="auto" w:fill="FFFFFF"/>
        </w:rPr>
        <w:t>nchs</w:t>
      </w:r>
      <w:proofErr w:type="spellEnd"/>
      <w:r w:rsidRPr="00F56885">
        <w:rPr>
          <w:rFonts w:asciiTheme="majorBidi" w:hAnsiTheme="majorBidi" w:cstheme="majorBidi"/>
          <w:sz w:val="20"/>
          <w:szCs w:val="20"/>
          <w:shd w:val="clear" w:color="auto" w:fill="FFFFFF"/>
        </w:rPr>
        <w:t>/</w:t>
      </w:r>
      <w:proofErr w:type="spellStart"/>
      <w:r w:rsidRPr="00F56885">
        <w:rPr>
          <w:rFonts w:asciiTheme="majorBidi" w:hAnsiTheme="majorBidi" w:cstheme="majorBidi"/>
          <w:sz w:val="20"/>
          <w:szCs w:val="20"/>
          <w:shd w:val="clear" w:color="auto" w:fill="FFFFFF"/>
        </w:rPr>
        <w:t>nhanes</w:t>
      </w:r>
      <w:proofErr w:type="spellEnd"/>
      <w:r w:rsidRPr="00F56885">
        <w:rPr>
          <w:rFonts w:asciiTheme="majorBidi" w:hAnsiTheme="majorBidi" w:cstheme="majorBidi"/>
          <w:sz w:val="20"/>
          <w:szCs w:val="20"/>
          <w:shd w:val="clear" w:color="auto" w:fill="FFFFFF"/>
        </w:rPr>
        <w:t>. htm.</w:t>
      </w:r>
    </w:p>
    <w:p w14:paraId="136D871F" w14:textId="23EFE69F"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proofErr w:type="spellStart"/>
      <w:r w:rsidRPr="00F56885">
        <w:rPr>
          <w:rFonts w:asciiTheme="majorBidi" w:hAnsiTheme="majorBidi" w:cstheme="majorBidi"/>
          <w:sz w:val="20"/>
          <w:szCs w:val="20"/>
          <w:shd w:val="clear" w:color="auto" w:fill="FFFFFF"/>
        </w:rPr>
        <w:t>Rosmini</w:t>
      </w:r>
      <w:proofErr w:type="spellEnd"/>
      <w:r w:rsidRPr="00F56885">
        <w:rPr>
          <w:rFonts w:asciiTheme="majorBidi" w:hAnsiTheme="majorBidi" w:cstheme="majorBidi"/>
          <w:sz w:val="20"/>
          <w:szCs w:val="20"/>
          <w:shd w:val="clear" w:color="auto" w:fill="FFFFFF"/>
        </w:rPr>
        <w:t xml:space="preserve">, F., </w:t>
      </w:r>
      <w:proofErr w:type="spellStart"/>
      <w:r w:rsidRPr="00F56885">
        <w:rPr>
          <w:rFonts w:asciiTheme="majorBidi" w:hAnsiTheme="majorBidi" w:cstheme="majorBidi"/>
          <w:sz w:val="20"/>
          <w:szCs w:val="20"/>
          <w:shd w:val="clear" w:color="auto" w:fill="FFFFFF"/>
        </w:rPr>
        <w:t>Andreozzi</w:t>
      </w:r>
      <w:proofErr w:type="spellEnd"/>
      <w:r w:rsidRPr="00F56885">
        <w:rPr>
          <w:rFonts w:asciiTheme="majorBidi" w:hAnsiTheme="majorBidi" w:cstheme="majorBidi"/>
          <w:sz w:val="20"/>
          <w:szCs w:val="20"/>
          <w:shd w:val="clear" w:color="auto" w:fill="FFFFFF"/>
        </w:rPr>
        <w:t xml:space="preserve">, S., &amp; Ferrigno, L. (2006). Centro Nazionale di </w:t>
      </w:r>
      <w:proofErr w:type="spellStart"/>
      <w:r w:rsidRPr="00F56885">
        <w:rPr>
          <w:rFonts w:asciiTheme="majorBidi" w:hAnsiTheme="majorBidi" w:cstheme="majorBidi"/>
          <w:sz w:val="20"/>
          <w:szCs w:val="20"/>
          <w:shd w:val="clear" w:color="auto" w:fill="FFFFFF"/>
        </w:rPr>
        <w:t>Epidemiologia</w:t>
      </w:r>
      <w:proofErr w:type="spellEnd"/>
      <w:r w:rsidRPr="00F56885">
        <w:rPr>
          <w:rFonts w:asciiTheme="majorBidi" w:hAnsiTheme="majorBidi" w:cstheme="majorBidi"/>
          <w:sz w:val="20"/>
          <w:szCs w:val="20"/>
          <w:shd w:val="clear" w:color="auto" w:fill="FFFFFF"/>
        </w:rPr>
        <w:t xml:space="preserve">, </w:t>
      </w:r>
      <w:proofErr w:type="spellStart"/>
      <w:r w:rsidRPr="00F56885">
        <w:rPr>
          <w:rFonts w:asciiTheme="majorBidi" w:hAnsiTheme="majorBidi" w:cstheme="majorBidi"/>
          <w:sz w:val="20"/>
          <w:szCs w:val="20"/>
          <w:shd w:val="clear" w:color="auto" w:fill="FFFFFF"/>
        </w:rPr>
        <w:t>Sorveglianza</w:t>
      </w:r>
      <w:proofErr w:type="spellEnd"/>
      <w:r w:rsidRPr="00F56885">
        <w:rPr>
          <w:rFonts w:asciiTheme="majorBidi" w:hAnsiTheme="majorBidi" w:cstheme="majorBidi"/>
          <w:sz w:val="20"/>
          <w:szCs w:val="20"/>
          <w:shd w:val="clear" w:color="auto" w:fill="FFFFFF"/>
        </w:rPr>
        <w:t xml:space="preserve"> e </w:t>
      </w:r>
      <w:proofErr w:type="spellStart"/>
      <w:r w:rsidRPr="00F56885">
        <w:rPr>
          <w:rFonts w:asciiTheme="majorBidi" w:hAnsiTheme="majorBidi" w:cstheme="majorBidi"/>
          <w:sz w:val="20"/>
          <w:szCs w:val="20"/>
          <w:shd w:val="clear" w:color="auto" w:fill="FFFFFF"/>
        </w:rPr>
        <w:t>Promozione</w:t>
      </w:r>
      <w:proofErr w:type="spellEnd"/>
      <w:r w:rsidRPr="00F56885">
        <w:rPr>
          <w:rFonts w:asciiTheme="majorBidi" w:hAnsiTheme="majorBidi" w:cstheme="majorBidi"/>
          <w:sz w:val="20"/>
          <w:szCs w:val="20"/>
          <w:shd w:val="clear" w:color="auto" w:fill="FFFFFF"/>
        </w:rPr>
        <w:t xml:space="preserve"> </w:t>
      </w:r>
      <w:proofErr w:type="spellStart"/>
      <w:r w:rsidRPr="00F56885">
        <w:rPr>
          <w:rFonts w:asciiTheme="majorBidi" w:hAnsiTheme="majorBidi" w:cstheme="majorBidi"/>
          <w:sz w:val="20"/>
          <w:szCs w:val="20"/>
          <w:shd w:val="clear" w:color="auto" w:fill="FFFFFF"/>
        </w:rPr>
        <w:t>della</w:t>
      </w:r>
      <w:proofErr w:type="spellEnd"/>
      <w:r w:rsidRPr="00F56885">
        <w:rPr>
          <w:rFonts w:asciiTheme="majorBidi" w:hAnsiTheme="majorBidi" w:cstheme="majorBidi"/>
          <w:sz w:val="20"/>
          <w:szCs w:val="20"/>
          <w:shd w:val="clear" w:color="auto" w:fill="FFFFFF"/>
        </w:rPr>
        <w:t xml:space="preserve"> Salute.</w:t>
      </w:r>
    </w:p>
    <w:p w14:paraId="456F3143" w14:textId="6F921643"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Longo, F., &amp; Ricci, A. (2017). La </w:t>
      </w:r>
      <w:proofErr w:type="spellStart"/>
      <w:r w:rsidRPr="00F56885">
        <w:rPr>
          <w:rFonts w:asciiTheme="majorBidi" w:hAnsiTheme="majorBidi" w:cstheme="majorBidi"/>
          <w:sz w:val="20"/>
          <w:szCs w:val="20"/>
          <w:shd w:val="clear" w:color="auto" w:fill="FFFFFF"/>
        </w:rPr>
        <w:t>sanità</w:t>
      </w:r>
      <w:proofErr w:type="spellEnd"/>
      <w:r w:rsidRPr="00F56885">
        <w:rPr>
          <w:rFonts w:asciiTheme="majorBidi" w:hAnsiTheme="majorBidi" w:cstheme="majorBidi"/>
          <w:sz w:val="20"/>
          <w:szCs w:val="20"/>
          <w:shd w:val="clear" w:color="auto" w:fill="FFFFFF"/>
        </w:rPr>
        <w:t xml:space="preserve"> </w:t>
      </w:r>
      <w:proofErr w:type="spellStart"/>
      <w:r w:rsidRPr="00F56885">
        <w:rPr>
          <w:rFonts w:asciiTheme="majorBidi" w:hAnsiTheme="majorBidi" w:cstheme="majorBidi"/>
          <w:sz w:val="20"/>
          <w:szCs w:val="20"/>
          <w:shd w:val="clear" w:color="auto" w:fill="FFFFFF"/>
        </w:rPr>
        <w:t>italiana</w:t>
      </w:r>
      <w:proofErr w:type="spellEnd"/>
      <w:r w:rsidRPr="00F56885">
        <w:rPr>
          <w:rFonts w:asciiTheme="majorBidi" w:hAnsiTheme="majorBidi" w:cstheme="majorBidi"/>
          <w:sz w:val="20"/>
          <w:szCs w:val="20"/>
          <w:shd w:val="clear" w:color="auto" w:fill="FFFFFF"/>
        </w:rPr>
        <w:t xml:space="preserve"> a </w:t>
      </w:r>
      <w:proofErr w:type="spellStart"/>
      <w:r w:rsidRPr="00F56885">
        <w:rPr>
          <w:rFonts w:asciiTheme="majorBidi" w:hAnsiTheme="majorBidi" w:cstheme="majorBidi"/>
          <w:sz w:val="20"/>
          <w:szCs w:val="20"/>
          <w:shd w:val="clear" w:color="auto" w:fill="FFFFFF"/>
        </w:rPr>
        <w:t>metà</w:t>
      </w:r>
      <w:proofErr w:type="spellEnd"/>
      <w:r w:rsidRPr="00F56885">
        <w:rPr>
          <w:rFonts w:asciiTheme="majorBidi" w:hAnsiTheme="majorBidi" w:cstheme="majorBidi"/>
          <w:sz w:val="20"/>
          <w:szCs w:val="20"/>
          <w:shd w:val="clear" w:color="auto" w:fill="FFFFFF"/>
        </w:rPr>
        <w:t xml:space="preserve"> del </w:t>
      </w:r>
      <w:proofErr w:type="spellStart"/>
      <w:r w:rsidRPr="00F56885">
        <w:rPr>
          <w:rFonts w:asciiTheme="majorBidi" w:hAnsiTheme="majorBidi" w:cstheme="majorBidi"/>
          <w:sz w:val="20"/>
          <w:szCs w:val="20"/>
          <w:shd w:val="clear" w:color="auto" w:fill="FFFFFF"/>
        </w:rPr>
        <w:t>guado</w:t>
      </w:r>
      <w:proofErr w:type="spellEnd"/>
      <w:r w:rsidRPr="00F56885">
        <w:rPr>
          <w:rFonts w:asciiTheme="majorBidi" w:hAnsiTheme="majorBidi" w:cstheme="majorBidi"/>
          <w:sz w:val="20"/>
          <w:szCs w:val="20"/>
          <w:shd w:val="clear" w:color="auto" w:fill="FFFFFF"/>
        </w:rPr>
        <w:t xml:space="preserve">: </w:t>
      </w:r>
      <w:proofErr w:type="spellStart"/>
      <w:r w:rsidRPr="00F56885">
        <w:rPr>
          <w:rFonts w:asciiTheme="majorBidi" w:hAnsiTheme="majorBidi" w:cstheme="majorBidi"/>
          <w:sz w:val="20"/>
          <w:szCs w:val="20"/>
          <w:shd w:val="clear" w:color="auto" w:fill="FFFFFF"/>
        </w:rPr>
        <w:t>quali</w:t>
      </w:r>
      <w:proofErr w:type="spellEnd"/>
      <w:r w:rsidRPr="00F56885">
        <w:rPr>
          <w:rFonts w:asciiTheme="majorBidi" w:hAnsiTheme="majorBidi" w:cstheme="majorBidi"/>
          <w:sz w:val="20"/>
          <w:szCs w:val="20"/>
          <w:shd w:val="clear" w:color="auto" w:fill="FFFFFF"/>
        </w:rPr>
        <w:t xml:space="preserve"> </w:t>
      </w:r>
      <w:proofErr w:type="spellStart"/>
      <w:proofErr w:type="gramStart"/>
      <w:r w:rsidRPr="00F56885">
        <w:rPr>
          <w:rFonts w:asciiTheme="majorBidi" w:hAnsiTheme="majorBidi" w:cstheme="majorBidi"/>
          <w:sz w:val="20"/>
          <w:szCs w:val="20"/>
          <w:shd w:val="clear" w:color="auto" w:fill="FFFFFF"/>
        </w:rPr>
        <w:t>direzioni</w:t>
      </w:r>
      <w:proofErr w:type="spellEnd"/>
      <w:r w:rsidRPr="00F56885">
        <w:rPr>
          <w:rFonts w:asciiTheme="majorBidi" w:hAnsiTheme="majorBidi" w:cstheme="majorBidi"/>
          <w:sz w:val="20"/>
          <w:szCs w:val="20"/>
          <w:shd w:val="clear" w:color="auto" w:fill="FFFFFF"/>
        </w:rPr>
        <w:t>?.</w:t>
      </w:r>
      <w:proofErr w:type="gramEnd"/>
    </w:p>
    <w:p w14:paraId="526CF61C" w14:textId="2350933E"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proofErr w:type="spellStart"/>
      <w:r w:rsidRPr="00F56885">
        <w:rPr>
          <w:rFonts w:asciiTheme="majorBidi" w:hAnsiTheme="majorBidi" w:cstheme="majorBidi"/>
          <w:sz w:val="20"/>
          <w:szCs w:val="20"/>
          <w:shd w:val="clear" w:color="auto" w:fill="FFFFFF"/>
        </w:rPr>
        <w:t>Olshaker</w:t>
      </w:r>
      <w:proofErr w:type="spellEnd"/>
      <w:r w:rsidRPr="00F56885">
        <w:rPr>
          <w:rFonts w:asciiTheme="majorBidi" w:hAnsiTheme="majorBidi" w:cstheme="majorBidi"/>
          <w:sz w:val="20"/>
          <w:szCs w:val="20"/>
          <w:shd w:val="clear" w:color="auto" w:fill="FFFFFF"/>
        </w:rPr>
        <w:t>, J. S. (2009). Managing emergency department overcrowding. Emergency Medicine Clinics, 27(4), 593-603.</w:t>
      </w:r>
    </w:p>
    <w:p w14:paraId="652D71A9" w14:textId="471B3A07"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Di Somma, S., Paladino, L., Vaughan, L., </w:t>
      </w:r>
      <w:proofErr w:type="spellStart"/>
      <w:r w:rsidRPr="00F56885">
        <w:rPr>
          <w:rFonts w:asciiTheme="majorBidi" w:hAnsiTheme="majorBidi" w:cstheme="majorBidi"/>
          <w:sz w:val="20"/>
          <w:szCs w:val="20"/>
          <w:shd w:val="clear" w:color="auto" w:fill="FFFFFF"/>
        </w:rPr>
        <w:t>Lalle</w:t>
      </w:r>
      <w:proofErr w:type="spellEnd"/>
      <w:r w:rsidRPr="00F56885">
        <w:rPr>
          <w:rFonts w:asciiTheme="majorBidi" w:hAnsiTheme="majorBidi" w:cstheme="majorBidi"/>
          <w:sz w:val="20"/>
          <w:szCs w:val="20"/>
          <w:shd w:val="clear" w:color="auto" w:fill="FFFFFF"/>
        </w:rPr>
        <w:t xml:space="preserve">, I., </w:t>
      </w:r>
      <w:proofErr w:type="spellStart"/>
      <w:r w:rsidRPr="00F56885">
        <w:rPr>
          <w:rFonts w:asciiTheme="majorBidi" w:hAnsiTheme="majorBidi" w:cstheme="majorBidi"/>
          <w:sz w:val="20"/>
          <w:szCs w:val="20"/>
          <w:shd w:val="clear" w:color="auto" w:fill="FFFFFF"/>
        </w:rPr>
        <w:t>Magrini</w:t>
      </w:r>
      <w:proofErr w:type="spellEnd"/>
      <w:r w:rsidRPr="00F56885">
        <w:rPr>
          <w:rFonts w:asciiTheme="majorBidi" w:hAnsiTheme="majorBidi" w:cstheme="majorBidi"/>
          <w:sz w:val="20"/>
          <w:szCs w:val="20"/>
          <w:shd w:val="clear" w:color="auto" w:fill="FFFFFF"/>
        </w:rPr>
        <w:t xml:space="preserve">, L., &amp; </w:t>
      </w:r>
      <w:proofErr w:type="spellStart"/>
      <w:r w:rsidRPr="00F56885">
        <w:rPr>
          <w:rFonts w:asciiTheme="majorBidi" w:hAnsiTheme="majorBidi" w:cstheme="majorBidi"/>
          <w:sz w:val="20"/>
          <w:szCs w:val="20"/>
          <w:shd w:val="clear" w:color="auto" w:fill="FFFFFF"/>
        </w:rPr>
        <w:t>Magnanti</w:t>
      </w:r>
      <w:proofErr w:type="spellEnd"/>
      <w:r w:rsidRPr="00F56885">
        <w:rPr>
          <w:rFonts w:asciiTheme="majorBidi" w:hAnsiTheme="majorBidi" w:cstheme="majorBidi"/>
          <w:sz w:val="20"/>
          <w:szCs w:val="20"/>
          <w:shd w:val="clear" w:color="auto" w:fill="FFFFFF"/>
        </w:rPr>
        <w:t>, M. (2015). Overcrowding in emergency department: an international issue. Internal and emergency medicine, 10(2), 171-175.</w:t>
      </w:r>
    </w:p>
    <w:p w14:paraId="7A8E07E4" w14:textId="36B50F1A"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Pitts, S. R., Carrier, E. R., Rich, E. C., &amp; </w:t>
      </w:r>
      <w:proofErr w:type="spellStart"/>
      <w:r w:rsidRPr="00F56885">
        <w:rPr>
          <w:rFonts w:asciiTheme="majorBidi" w:hAnsiTheme="majorBidi" w:cstheme="majorBidi"/>
          <w:sz w:val="20"/>
          <w:szCs w:val="20"/>
          <w:shd w:val="clear" w:color="auto" w:fill="FFFFFF"/>
        </w:rPr>
        <w:t>Kellermann</w:t>
      </w:r>
      <w:proofErr w:type="spellEnd"/>
      <w:r w:rsidRPr="00F56885">
        <w:rPr>
          <w:rFonts w:asciiTheme="majorBidi" w:hAnsiTheme="majorBidi" w:cstheme="majorBidi"/>
          <w:sz w:val="20"/>
          <w:szCs w:val="20"/>
          <w:shd w:val="clear" w:color="auto" w:fill="FFFFFF"/>
        </w:rPr>
        <w:t>, A. L. (2010). Where Americans get acute care: increasingly, it’s not at their doctor’s office. Health affairs, 29(9), 1620-1629.</w:t>
      </w:r>
    </w:p>
    <w:p w14:paraId="5B112CAA" w14:textId="17B92252"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Pitts, S. R., </w:t>
      </w:r>
      <w:proofErr w:type="spellStart"/>
      <w:r w:rsidRPr="00F56885">
        <w:rPr>
          <w:rFonts w:asciiTheme="majorBidi" w:hAnsiTheme="majorBidi" w:cstheme="majorBidi"/>
          <w:sz w:val="20"/>
          <w:szCs w:val="20"/>
          <w:shd w:val="clear" w:color="auto" w:fill="FFFFFF"/>
        </w:rPr>
        <w:t>Vaughns</w:t>
      </w:r>
      <w:proofErr w:type="spellEnd"/>
      <w:r w:rsidRPr="00F56885">
        <w:rPr>
          <w:rFonts w:asciiTheme="majorBidi" w:hAnsiTheme="majorBidi" w:cstheme="majorBidi"/>
          <w:sz w:val="20"/>
          <w:szCs w:val="20"/>
          <w:shd w:val="clear" w:color="auto" w:fill="FFFFFF"/>
        </w:rPr>
        <w:t xml:space="preserve">, F. L., </w:t>
      </w:r>
      <w:proofErr w:type="spellStart"/>
      <w:r w:rsidRPr="00F56885">
        <w:rPr>
          <w:rFonts w:asciiTheme="majorBidi" w:hAnsiTheme="majorBidi" w:cstheme="majorBidi"/>
          <w:sz w:val="20"/>
          <w:szCs w:val="20"/>
          <w:shd w:val="clear" w:color="auto" w:fill="FFFFFF"/>
        </w:rPr>
        <w:t>Gautreau</w:t>
      </w:r>
      <w:proofErr w:type="spellEnd"/>
      <w:r w:rsidRPr="00F56885">
        <w:rPr>
          <w:rFonts w:asciiTheme="majorBidi" w:hAnsiTheme="majorBidi" w:cstheme="majorBidi"/>
          <w:sz w:val="20"/>
          <w:szCs w:val="20"/>
          <w:shd w:val="clear" w:color="auto" w:fill="FFFFFF"/>
        </w:rPr>
        <w:t xml:space="preserve">, M. A., </w:t>
      </w:r>
      <w:proofErr w:type="spellStart"/>
      <w:r w:rsidRPr="00F56885">
        <w:rPr>
          <w:rFonts w:asciiTheme="majorBidi" w:hAnsiTheme="majorBidi" w:cstheme="majorBidi"/>
          <w:sz w:val="20"/>
          <w:szCs w:val="20"/>
          <w:shd w:val="clear" w:color="auto" w:fill="FFFFFF"/>
        </w:rPr>
        <w:t>Cogdell</w:t>
      </w:r>
      <w:proofErr w:type="spellEnd"/>
      <w:r w:rsidRPr="00F56885">
        <w:rPr>
          <w:rFonts w:asciiTheme="majorBidi" w:hAnsiTheme="majorBidi" w:cstheme="majorBidi"/>
          <w:sz w:val="20"/>
          <w:szCs w:val="20"/>
          <w:shd w:val="clear" w:color="auto" w:fill="FFFFFF"/>
        </w:rPr>
        <w:t>, M. W., &amp; Meisel, Z. (2014). A cross‐sectional study of emergency department boarding practices in the United States. Academic Emergency Medicine, 21(5), 497-503.</w:t>
      </w:r>
    </w:p>
    <w:p w14:paraId="34666042" w14:textId="144A9D60"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d'Arcy, L. P., Stearns, S. C., Domino, M. E., Hanson, L. C., &amp; Weinberger, M. (2013). Is geriatric care associated with less emergency department </w:t>
      </w:r>
      <w:proofErr w:type="gramStart"/>
      <w:r w:rsidRPr="00F56885">
        <w:rPr>
          <w:rFonts w:asciiTheme="majorBidi" w:hAnsiTheme="majorBidi" w:cstheme="majorBidi"/>
          <w:sz w:val="20"/>
          <w:szCs w:val="20"/>
          <w:shd w:val="clear" w:color="auto" w:fill="FFFFFF"/>
        </w:rPr>
        <w:t>use?.</w:t>
      </w:r>
      <w:proofErr w:type="gramEnd"/>
      <w:r w:rsidRPr="00F56885">
        <w:rPr>
          <w:rFonts w:asciiTheme="majorBidi" w:hAnsiTheme="majorBidi" w:cstheme="majorBidi"/>
          <w:sz w:val="20"/>
          <w:szCs w:val="20"/>
          <w:shd w:val="clear" w:color="auto" w:fill="FFFFFF"/>
        </w:rPr>
        <w:t> Journal of the American Geriatrics Society, 61(1), 4-11.</w:t>
      </w:r>
    </w:p>
    <w:p w14:paraId="0D841A69" w14:textId="29CC824B"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proofErr w:type="spellStart"/>
      <w:r w:rsidRPr="00F56885">
        <w:rPr>
          <w:rFonts w:asciiTheme="majorBidi" w:hAnsiTheme="majorBidi" w:cstheme="majorBidi"/>
          <w:sz w:val="20"/>
          <w:szCs w:val="20"/>
          <w:shd w:val="clear" w:color="auto" w:fill="FFFFFF"/>
        </w:rPr>
        <w:t>Khangura</w:t>
      </w:r>
      <w:proofErr w:type="spellEnd"/>
      <w:r w:rsidRPr="00F56885">
        <w:rPr>
          <w:rFonts w:asciiTheme="majorBidi" w:hAnsiTheme="majorBidi" w:cstheme="majorBidi"/>
          <w:sz w:val="20"/>
          <w:szCs w:val="20"/>
          <w:shd w:val="clear" w:color="auto" w:fill="FFFFFF"/>
        </w:rPr>
        <w:t xml:space="preserve">, J. K., </w:t>
      </w:r>
      <w:proofErr w:type="spellStart"/>
      <w:r w:rsidRPr="00F56885">
        <w:rPr>
          <w:rFonts w:asciiTheme="majorBidi" w:hAnsiTheme="majorBidi" w:cstheme="majorBidi"/>
          <w:sz w:val="20"/>
          <w:szCs w:val="20"/>
          <w:shd w:val="clear" w:color="auto" w:fill="FFFFFF"/>
        </w:rPr>
        <w:t>Flodgren</w:t>
      </w:r>
      <w:proofErr w:type="spellEnd"/>
      <w:r w:rsidRPr="00F56885">
        <w:rPr>
          <w:rFonts w:asciiTheme="majorBidi" w:hAnsiTheme="majorBidi" w:cstheme="majorBidi"/>
          <w:sz w:val="20"/>
          <w:szCs w:val="20"/>
          <w:shd w:val="clear" w:color="auto" w:fill="FFFFFF"/>
        </w:rPr>
        <w:t xml:space="preserve">, G., </w:t>
      </w:r>
      <w:proofErr w:type="spellStart"/>
      <w:r w:rsidRPr="00F56885">
        <w:rPr>
          <w:rFonts w:asciiTheme="majorBidi" w:hAnsiTheme="majorBidi" w:cstheme="majorBidi"/>
          <w:sz w:val="20"/>
          <w:szCs w:val="20"/>
          <w:shd w:val="clear" w:color="auto" w:fill="FFFFFF"/>
        </w:rPr>
        <w:t>Perera</w:t>
      </w:r>
      <w:proofErr w:type="spellEnd"/>
      <w:r w:rsidRPr="00F56885">
        <w:rPr>
          <w:rFonts w:asciiTheme="majorBidi" w:hAnsiTheme="majorBidi" w:cstheme="majorBidi"/>
          <w:sz w:val="20"/>
          <w:szCs w:val="20"/>
          <w:shd w:val="clear" w:color="auto" w:fill="FFFFFF"/>
        </w:rPr>
        <w:t>, R., Rowe, B. H., &amp; Shepperd, S. (2012). Primary care professionals providing non‐urgent care in hospital emergency departments. Cochrane Database of Systematic Reviews, (11).</w:t>
      </w:r>
    </w:p>
    <w:p w14:paraId="25AF3C2F" w14:textId="683E4583"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Finn, J. C., </w:t>
      </w:r>
      <w:proofErr w:type="spellStart"/>
      <w:r w:rsidRPr="00F56885">
        <w:rPr>
          <w:rFonts w:asciiTheme="majorBidi" w:hAnsiTheme="majorBidi" w:cstheme="majorBidi"/>
          <w:sz w:val="20"/>
          <w:szCs w:val="20"/>
          <w:shd w:val="clear" w:color="auto" w:fill="FFFFFF"/>
        </w:rPr>
        <w:t>Fatovich</w:t>
      </w:r>
      <w:proofErr w:type="spellEnd"/>
      <w:r w:rsidRPr="00F56885">
        <w:rPr>
          <w:rFonts w:asciiTheme="majorBidi" w:hAnsiTheme="majorBidi" w:cstheme="majorBidi"/>
          <w:sz w:val="20"/>
          <w:szCs w:val="20"/>
          <w:shd w:val="clear" w:color="auto" w:fill="FFFFFF"/>
        </w:rPr>
        <w:t xml:space="preserve">, D. M., </w:t>
      </w:r>
      <w:proofErr w:type="spellStart"/>
      <w:r w:rsidRPr="00F56885">
        <w:rPr>
          <w:rFonts w:asciiTheme="majorBidi" w:hAnsiTheme="majorBidi" w:cstheme="majorBidi"/>
          <w:sz w:val="20"/>
          <w:szCs w:val="20"/>
          <w:shd w:val="clear" w:color="auto" w:fill="FFFFFF"/>
        </w:rPr>
        <w:t>Arendts</w:t>
      </w:r>
      <w:proofErr w:type="spellEnd"/>
      <w:r w:rsidRPr="00F56885">
        <w:rPr>
          <w:rFonts w:asciiTheme="majorBidi" w:hAnsiTheme="majorBidi" w:cstheme="majorBidi"/>
          <w:sz w:val="20"/>
          <w:szCs w:val="20"/>
          <w:shd w:val="clear" w:color="auto" w:fill="FFFFFF"/>
        </w:rPr>
        <w:t xml:space="preserve">, G., Mountain, D., </w:t>
      </w:r>
      <w:proofErr w:type="spellStart"/>
      <w:r w:rsidRPr="00F56885">
        <w:rPr>
          <w:rFonts w:asciiTheme="majorBidi" w:hAnsiTheme="majorBidi" w:cstheme="majorBidi"/>
          <w:sz w:val="20"/>
          <w:szCs w:val="20"/>
          <w:shd w:val="clear" w:color="auto" w:fill="FFFFFF"/>
        </w:rPr>
        <w:t>Tohira</w:t>
      </w:r>
      <w:proofErr w:type="spellEnd"/>
      <w:r w:rsidRPr="00F56885">
        <w:rPr>
          <w:rFonts w:asciiTheme="majorBidi" w:hAnsiTheme="majorBidi" w:cstheme="majorBidi"/>
          <w:sz w:val="20"/>
          <w:szCs w:val="20"/>
          <w:shd w:val="clear" w:color="auto" w:fill="FFFFFF"/>
        </w:rPr>
        <w:t>, H., Williams, T. A., ... &amp; Jacobs, I. G. (2013). Evidence-based paramedic models of care to reduce unnecessary emergency department attendance–feasibility and safety. BMC Emergency medicine, 13(1), 1-6.</w:t>
      </w:r>
    </w:p>
    <w:p w14:paraId="37FDB0EB" w14:textId="7E01E936"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Yen, K., &amp; Gorelick, M. H. (2007). Strategies to improve flow in the pediatric emergency department. Pediatric emergency care, 23(10), 745-749.</w:t>
      </w:r>
    </w:p>
    <w:p w14:paraId="2A5CC9C9" w14:textId="7C4B3907"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Ruger, J. P., Richter, C. J., </w:t>
      </w:r>
      <w:proofErr w:type="spellStart"/>
      <w:r w:rsidRPr="00F56885">
        <w:rPr>
          <w:rFonts w:asciiTheme="majorBidi" w:hAnsiTheme="majorBidi" w:cstheme="majorBidi"/>
          <w:sz w:val="20"/>
          <w:szCs w:val="20"/>
          <w:shd w:val="clear" w:color="auto" w:fill="FFFFFF"/>
        </w:rPr>
        <w:t>Spitznagel</w:t>
      </w:r>
      <w:proofErr w:type="spellEnd"/>
      <w:r w:rsidRPr="00F56885">
        <w:rPr>
          <w:rFonts w:asciiTheme="majorBidi" w:hAnsiTheme="majorBidi" w:cstheme="majorBidi"/>
          <w:sz w:val="20"/>
          <w:szCs w:val="20"/>
          <w:shd w:val="clear" w:color="auto" w:fill="FFFFFF"/>
        </w:rPr>
        <w:t>, E. L., &amp; Lewis, L. M. (2004). Analysis of costs, length of stay, and utilization of emergency department services by frequent users: implications for health policy. Academic Emergency Medicine, 11(12), 1311-1317.</w:t>
      </w:r>
    </w:p>
    <w:p w14:paraId="6CD7C796" w14:textId="0E52BFCD"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Cairns, C. B., &amp; Glickman, S. W. (2012). Time makes a difference to everyone, everywhere: the need for effective regionalization of emergency and critical care. Annals of emergency medicine, 60(5), 638-640.</w:t>
      </w:r>
    </w:p>
    <w:p w14:paraId="1794E714" w14:textId="5591FE26"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color w:val="333333"/>
          <w:sz w:val="20"/>
          <w:szCs w:val="20"/>
          <w:shd w:val="clear" w:color="auto" w:fill="FFFFFF"/>
        </w:rPr>
        <w:t xml:space="preserve">Peck, JS, </w:t>
      </w:r>
      <w:proofErr w:type="spellStart"/>
      <w:r w:rsidRPr="00F56885">
        <w:rPr>
          <w:rFonts w:asciiTheme="majorBidi" w:hAnsiTheme="majorBidi" w:cstheme="majorBidi"/>
          <w:color w:val="333333"/>
          <w:sz w:val="20"/>
          <w:szCs w:val="20"/>
          <w:shd w:val="clear" w:color="auto" w:fill="FFFFFF"/>
        </w:rPr>
        <w:t>Benneyan</w:t>
      </w:r>
      <w:proofErr w:type="spellEnd"/>
      <w:r w:rsidRPr="00F56885">
        <w:rPr>
          <w:rFonts w:asciiTheme="majorBidi" w:hAnsiTheme="majorBidi" w:cstheme="majorBidi"/>
          <w:color w:val="333333"/>
          <w:sz w:val="20"/>
          <w:szCs w:val="20"/>
          <w:shd w:val="clear" w:color="auto" w:fill="FFFFFF"/>
        </w:rPr>
        <w:t>, JC, Nightingale, DJ. </w:t>
      </w:r>
      <w:r w:rsidRPr="00F56885">
        <w:rPr>
          <w:rStyle w:val="nlmarticle-title"/>
          <w:rFonts w:asciiTheme="majorBidi" w:hAnsiTheme="majorBidi" w:cstheme="majorBidi"/>
          <w:color w:val="333333"/>
          <w:sz w:val="20"/>
          <w:szCs w:val="20"/>
          <w:shd w:val="clear" w:color="auto" w:fill="FFFFFF"/>
        </w:rPr>
        <w:t>Predicting emergency department inpatient admissions to improve same-day patient flow</w:t>
      </w:r>
      <w:r w:rsidRPr="00F56885">
        <w:rPr>
          <w:rFonts w:asciiTheme="majorBidi" w:hAnsiTheme="majorBidi" w:cstheme="majorBidi"/>
          <w:color w:val="333333"/>
          <w:sz w:val="20"/>
          <w:szCs w:val="20"/>
          <w:shd w:val="clear" w:color="auto" w:fill="FFFFFF"/>
        </w:rPr>
        <w:t xml:space="preserve">. </w:t>
      </w:r>
      <w:proofErr w:type="spellStart"/>
      <w:r w:rsidRPr="00F56885">
        <w:rPr>
          <w:rFonts w:asciiTheme="majorBidi" w:hAnsiTheme="majorBidi" w:cstheme="majorBidi"/>
          <w:color w:val="333333"/>
          <w:sz w:val="20"/>
          <w:szCs w:val="20"/>
          <w:shd w:val="clear" w:color="auto" w:fill="FFFFFF"/>
        </w:rPr>
        <w:t>Acad</w:t>
      </w:r>
      <w:proofErr w:type="spellEnd"/>
      <w:r w:rsidRPr="00F56885">
        <w:rPr>
          <w:rFonts w:asciiTheme="majorBidi" w:hAnsiTheme="majorBidi" w:cstheme="majorBidi"/>
          <w:color w:val="333333"/>
          <w:sz w:val="20"/>
          <w:szCs w:val="20"/>
          <w:shd w:val="clear" w:color="auto" w:fill="FFFFFF"/>
        </w:rPr>
        <w:t xml:space="preserve"> </w:t>
      </w:r>
      <w:proofErr w:type="spellStart"/>
      <w:r w:rsidRPr="00F56885">
        <w:rPr>
          <w:rFonts w:asciiTheme="majorBidi" w:hAnsiTheme="majorBidi" w:cstheme="majorBidi"/>
          <w:color w:val="333333"/>
          <w:sz w:val="20"/>
          <w:szCs w:val="20"/>
          <w:shd w:val="clear" w:color="auto" w:fill="FFFFFF"/>
        </w:rPr>
        <w:t>Emerg</w:t>
      </w:r>
      <w:proofErr w:type="spellEnd"/>
      <w:r w:rsidRPr="00F56885">
        <w:rPr>
          <w:rFonts w:asciiTheme="majorBidi" w:hAnsiTheme="majorBidi" w:cstheme="majorBidi"/>
          <w:color w:val="333333"/>
          <w:sz w:val="20"/>
          <w:szCs w:val="20"/>
          <w:shd w:val="clear" w:color="auto" w:fill="FFFFFF"/>
        </w:rPr>
        <w:t xml:space="preserve"> Med </w:t>
      </w:r>
      <w:r w:rsidRPr="00F56885">
        <w:rPr>
          <w:rStyle w:val="nlmyear"/>
          <w:rFonts w:asciiTheme="majorBidi" w:hAnsiTheme="majorBidi" w:cstheme="majorBidi"/>
          <w:color w:val="333333"/>
          <w:sz w:val="20"/>
          <w:szCs w:val="20"/>
          <w:shd w:val="clear" w:color="auto" w:fill="FFFFFF"/>
        </w:rPr>
        <w:t>2012</w:t>
      </w:r>
      <w:r w:rsidRPr="00F56885">
        <w:rPr>
          <w:rFonts w:asciiTheme="majorBidi" w:hAnsiTheme="majorBidi" w:cstheme="majorBidi"/>
          <w:color w:val="333333"/>
          <w:sz w:val="20"/>
          <w:szCs w:val="20"/>
          <w:shd w:val="clear" w:color="auto" w:fill="FFFFFF"/>
        </w:rPr>
        <w:t>; 19: </w:t>
      </w:r>
      <w:r w:rsidRPr="00F56885">
        <w:rPr>
          <w:rStyle w:val="nlmfpage"/>
          <w:rFonts w:asciiTheme="majorBidi" w:hAnsiTheme="majorBidi" w:cstheme="majorBidi"/>
          <w:color w:val="333333"/>
          <w:sz w:val="20"/>
          <w:szCs w:val="20"/>
          <w:shd w:val="clear" w:color="auto" w:fill="FFFFFF"/>
        </w:rPr>
        <w:t>E1045</w:t>
      </w:r>
      <w:r w:rsidRPr="00F56885">
        <w:rPr>
          <w:rFonts w:asciiTheme="majorBidi" w:hAnsiTheme="majorBidi" w:cstheme="majorBidi"/>
          <w:color w:val="333333"/>
          <w:sz w:val="20"/>
          <w:szCs w:val="20"/>
          <w:shd w:val="clear" w:color="auto" w:fill="FFFFFF"/>
        </w:rPr>
        <w:t>–</w:t>
      </w:r>
      <w:r w:rsidRPr="00F56885">
        <w:rPr>
          <w:rStyle w:val="nlmlpage"/>
          <w:rFonts w:asciiTheme="majorBidi" w:hAnsiTheme="majorBidi" w:cstheme="majorBidi"/>
          <w:color w:val="333333"/>
          <w:sz w:val="20"/>
          <w:szCs w:val="20"/>
          <w:shd w:val="clear" w:color="auto" w:fill="FFFFFF"/>
        </w:rPr>
        <w:t>E1054</w:t>
      </w:r>
      <w:r w:rsidRPr="00F56885">
        <w:rPr>
          <w:rFonts w:asciiTheme="majorBidi" w:hAnsiTheme="majorBidi" w:cstheme="majorBidi"/>
          <w:color w:val="333333"/>
          <w:sz w:val="20"/>
          <w:szCs w:val="20"/>
          <w:shd w:val="clear" w:color="auto" w:fill="FFFFFF"/>
        </w:rPr>
        <w:t>.</w:t>
      </w:r>
    </w:p>
    <w:p w14:paraId="5CCFDA69" w14:textId="172778EC"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proofErr w:type="spellStart"/>
      <w:r w:rsidRPr="00F56885">
        <w:rPr>
          <w:rFonts w:asciiTheme="majorBidi" w:hAnsiTheme="majorBidi" w:cstheme="majorBidi"/>
          <w:sz w:val="20"/>
          <w:szCs w:val="20"/>
          <w:shd w:val="clear" w:color="auto" w:fill="FFFFFF"/>
        </w:rPr>
        <w:t>Aronsky</w:t>
      </w:r>
      <w:proofErr w:type="spellEnd"/>
      <w:r w:rsidRPr="00F56885">
        <w:rPr>
          <w:rFonts w:asciiTheme="majorBidi" w:hAnsiTheme="majorBidi" w:cstheme="majorBidi"/>
          <w:sz w:val="20"/>
          <w:szCs w:val="20"/>
          <w:shd w:val="clear" w:color="auto" w:fill="FFFFFF"/>
        </w:rPr>
        <w:t xml:space="preserve">, D., Kendall, D., Merkley, K., James, B. C., &amp; </w:t>
      </w:r>
      <w:proofErr w:type="spellStart"/>
      <w:r w:rsidRPr="00F56885">
        <w:rPr>
          <w:rFonts w:asciiTheme="majorBidi" w:hAnsiTheme="majorBidi" w:cstheme="majorBidi"/>
          <w:sz w:val="20"/>
          <w:szCs w:val="20"/>
          <w:shd w:val="clear" w:color="auto" w:fill="FFFFFF"/>
        </w:rPr>
        <w:t>Haug</w:t>
      </w:r>
      <w:proofErr w:type="spellEnd"/>
      <w:r w:rsidRPr="00F56885">
        <w:rPr>
          <w:rFonts w:asciiTheme="majorBidi" w:hAnsiTheme="majorBidi" w:cstheme="majorBidi"/>
          <w:sz w:val="20"/>
          <w:szCs w:val="20"/>
          <w:shd w:val="clear" w:color="auto" w:fill="FFFFFF"/>
        </w:rPr>
        <w:t>, P. J. (2001). A comprehensive set of coded chief complaints for the emergency department. Academic Emergency Medicine, 8(10), 980-989.</w:t>
      </w:r>
    </w:p>
    <w:p w14:paraId="6056BC04" w14:textId="313E870F"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Hastings, R. S., &amp; Powers, R. D. (2011). Abdominal pain in the ED: a </w:t>
      </w:r>
      <w:proofErr w:type="gramStart"/>
      <w:r w:rsidRPr="00F56885">
        <w:rPr>
          <w:rFonts w:asciiTheme="majorBidi" w:hAnsiTheme="majorBidi" w:cstheme="majorBidi"/>
          <w:sz w:val="20"/>
          <w:szCs w:val="20"/>
          <w:shd w:val="clear" w:color="auto" w:fill="FFFFFF"/>
        </w:rPr>
        <w:t>35 year</w:t>
      </w:r>
      <w:proofErr w:type="gramEnd"/>
      <w:r w:rsidRPr="00F56885">
        <w:rPr>
          <w:rFonts w:asciiTheme="majorBidi" w:hAnsiTheme="majorBidi" w:cstheme="majorBidi"/>
          <w:sz w:val="20"/>
          <w:szCs w:val="20"/>
          <w:shd w:val="clear" w:color="auto" w:fill="FFFFFF"/>
        </w:rPr>
        <w:t xml:space="preserve"> retrospective. The American journal of emergency medicine, 29(7), 711-716.</w:t>
      </w:r>
    </w:p>
    <w:p w14:paraId="46D028C9" w14:textId="64D38A76" w:rsidR="00C14E15"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proofErr w:type="spellStart"/>
      <w:r w:rsidRPr="00F56885">
        <w:rPr>
          <w:rFonts w:asciiTheme="majorBidi" w:hAnsiTheme="majorBidi" w:cstheme="majorBidi"/>
          <w:sz w:val="20"/>
          <w:szCs w:val="20"/>
          <w:shd w:val="clear" w:color="auto" w:fill="FFFFFF"/>
        </w:rPr>
        <w:t>Caterino</w:t>
      </w:r>
      <w:proofErr w:type="spellEnd"/>
      <w:r w:rsidRPr="00F56885">
        <w:rPr>
          <w:rFonts w:asciiTheme="majorBidi" w:hAnsiTheme="majorBidi" w:cstheme="majorBidi"/>
          <w:sz w:val="20"/>
          <w:szCs w:val="20"/>
          <w:shd w:val="clear" w:color="auto" w:fill="FFFFFF"/>
        </w:rPr>
        <w:t xml:space="preserve">, S., </w:t>
      </w:r>
      <w:proofErr w:type="spellStart"/>
      <w:r w:rsidRPr="00F56885">
        <w:rPr>
          <w:rFonts w:asciiTheme="majorBidi" w:hAnsiTheme="majorBidi" w:cstheme="majorBidi"/>
          <w:sz w:val="20"/>
          <w:szCs w:val="20"/>
          <w:shd w:val="clear" w:color="auto" w:fill="FFFFFF"/>
        </w:rPr>
        <w:t>Cavallini</w:t>
      </w:r>
      <w:proofErr w:type="spellEnd"/>
      <w:r w:rsidRPr="00F56885">
        <w:rPr>
          <w:rFonts w:asciiTheme="majorBidi" w:hAnsiTheme="majorBidi" w:cstheme="majorBidi"/>
          <w:sz w:val="20"/>
          <w:szCs w:val="20"/>
          <w:shd w:val="clear" w:color="auto" w:fill="FFFFFF"/>
        </w:rPr>
        <w:t xml:space="preserve">, M., </w:t>
      </w:r>
      <w:proofErr w:type="spellStart"/>
      <w:r w:rsidRPr="00F56885">
        <w:rPr>
          <w:rFonts w:asciiTheme="majorBidi" w:hAnsiTheme="majorBidi" w:cstheme="majorBidi"/>
          <w:sz w:val="20"/>
          <w:szCs w:val="20"/>
          <w:shd w:val="clear" w:color="auto" w:fill="FFFFFF"/>
        </w:rPr>
        <w:t>Meli</w:t>
      </w:r>
      <w:proofErr w:type="spellEnd"/>
      <w:r w:rsidRPr="00F56885">
        <w:rPr>
          <w:rFonts w:asciiTheme="majorBidi" w:hAnsiTheme="majorBidi" w:cstheme="majorBidi"/>
          <w:sz w:val="20"/>
          <w:szCs w:val="20"/>
          <w:shd w:val="clear" w:color="auto" w:fill="FFFFFF"/>
        </w:rPr>
        <w:t xml:space="preserve">, C., </w:t>
      </w:r>
      <w:proofErr w:type="spellStart"/>
      <w:r w:rsidRPr="00F56885">
        <w:rPr>
          <w:rFonts w:asciiTheme="majorBidi" w:hAnsiTheme="majorBidi" w:cstheme="majorBidi"/>
          <w:sz w:val="20"/>
          <w:szCs w:val="20"/>
          <w:shd w:val="clear" w:color="auto" w:fill="FFFFFF"/>
        </w:rPr>
        <w:t>Murante</w:t>
      </w:r>
      <w:proofErr w:type="spellEnd"/>
      <w:r w:rsidRPr="00F56885">
        <w:rPr>
          <w:rFonts w:asciiTheme="majorBidi" w:hAnsiTheme="majorBidi" w:cstheme="majorBidi"/>
          <w:sz w:val="20"/>
          <w:szCs w:val="20"/>
          <w:shd w:val="clear" w:color="auto" w:fill="FFFFFF"/>
        </w:rPr>
        <w:t xml:space="preserve">, G., </w:t>
      </w:r>
      <w:proofErr w:type="spellStart"/>
      <w:r w:rsidRPr="00F56885">
        <w:rPr>
          <w:rFonts w:asciiTheme="majorBidi" w:hAnsiTheme="majorBidi" w:cstheme="majorBidi"/>
          <w:sz w:val="20"/>
          <w:szCs w:val="20"/>
          <w:shd w:val="clear" w:color="auto" w:fill="FFFFFF"/>
        </w:rPr>
        <w:t>Schiffino</w:t>
      </w:r>
      <w:proofErr w:type="spellEnd"/>
      <w:r w:rsidRPr="00F56885">
        <w:rPr>
          <w:rFonts w:asciiTheme="majorBidi" w:hAnsiTheme="majorBidi" w:cstheme="majorBidi"/>
          <w:sz w:val="20"/>
          <w:szCs w:val="20"/>
          <w:shd w:val="clear" w:color="auto" w:fill="FFFFFF"/>
        </w:rPr>
        <w:t xml:space="preserve">, L., </w:t>
      </w:r>
      <w:proofErr w:type="spellStart"/>
      <w:r w:rsidRPr="00F56885">
        <w:rPr>
          <w:rFonts w:asciiTheme="majorBidi" w:hAnsiTheme="majorBidi" w:cstheme="majorBidi"/>
          <w:sz w:val="20"/>
          <w:szCs w:val="20"/>
          <w:shd w:val="clear" w:color="auto" w:fill="FFFFFF"/>
        </w:rPr>
        <w:t>Lotito</w:t>
      </w:r>
      <w:proofErr w:type="spellEnd"/>
      <w:r w:rsidRPr="00F56885">
        <w:rPr>
          <w:rFonts w:asciiTheme="majorBidi" w:hAnsiTheme="majorBidi" w:cstheme="majorBidi"/>
          <w:sz w:val="20"/>
          <w:szCs w:val="20"/>
          <w:shd w:val="clear" w:color="auto" w:fill="FFFFFF"/>
        </w:rPr>
        <w:t xml:space="preserve">, S., &amp; </w:t>
      </w:r>
      <w:proofErr w:type="spellStart"/>
      <w:r w:rsidRPr="00F56885">
        <w:rPr>
          <w:rFonts w:asciiTheme="majorBidi" w:hAnsiTheme="majorBidi" w:cstheme="majorBidi"/>
          <w:sz w:val="20"/>
          <w:szCs w:val="20"/>
          <w:shd w:val="clear" w:color="auto" w:fill="FFFFFF"/>
        </w:rPr>
        <w:t>Toncher</w:t>
      </w:r>
      <w:proofErr w:type="spellEnd"/>
      <w:r w:rsidRPr="00F56885">
        <w:rPr>
          <w:rFonts w:asciiTheme="majorBidi" w:hAnsiTheme="majorBidi" w:cstheme="majorBidi"/>
          <w:sz w:val="20"/>
          <w:szCs w:val="20"/>
          <w:shd w:val="clear" w:color="auto" w:fill="FFFFFF"/>
        </w:rPr>
        <w:t>, F. (1997). Acute abdominal pain in emergency surgery. Clinical epidemiologic study of 450 patients. </w:t>
      </w:r>
      <w:proofErr w:type="spellStart"/>
      <w:r w:rsidRPr="00F56885">
        <w:rPr>
          <w:rFonts w:asciiTheme="majorBidi" w:hAnsiTheme="majorBidi" w:cstheme="majorBidi"/>
          <w:sz w:val="20"/>
          <w:szCs w:val="20"/>
          <w:shd w:val="clear" w:color="auto" w:fill="FFFFFF"/>
        </w:rPr>
        <w:t>Annali</w:t>
      </w:r>
      <w:proofErr w:type="spellEnd"/>
      <w:r w:rsidRPr="00F56885">
        <w:rPr>
          <w:rFonts w:asciiTheme="majorBidi" w:hAnsiTheme="majorBidi" w:cstheme="majorBidi"/>
          <w:sz w:val="20"/>
          <w:szCs w:val="20"/>
          <w:shd w:val="clear" w:color="auto" w:fill="FFFFFF"/>
        </w:rPr>
        <w:t xml:space="preserve"> </w:t>
      </w:r>
      <w:proofErr w:type="spellStart"/>
      <w:r w:rsidRPr="00F56885">
        <w:rPr>
          <w:rFonts w:asciiTheme="majorBidi" w:hAnsiTheme="majorBidi" w:cstheme="majorBidi"/>
          <w:sz w:val="20"/>
          <w:szCs w:val="20"/>
          <w:shd w:val="clear" w:color="auto" w:fill="FFFFFF"/>
        </w:rPr>
        <w:t>Italiani</w:t>
      </w:r>
      <w:proofErr w:type="spellEnd"/>
      <w:r w:rsidRPr="00F56885">
        <w:rPr>
          <w:rFonts w:asciiTheme="majorBidi" w:hAnsiTheme="majorBidi" w:cstheme="majorBidi"/>
          <w:sz w:val="20"/>
          <w:szCs w:val="20"/>
          <w:shd w:val="clear" w:color="auto" w:fill="FFFFFF"/>
        </w:rPr>
        <w:t xml:space="preserve"> di </w:t>
      </w:r>
      <w:proofErr w:type="spellStart"/>
      <w:r w:rsidRPr="00F56885">
        <w:rPr>
          <w:rFonts w:asciiTheme="majorBidi" w:hAnsiTheme="majorBidi" w:cstheme="majorBidi"/>
          <w:sz w:val="20"/>
          <w:szCs w:val="20"/>
          <w:shd w:val="clear" w:color="auto" w:fill="FFFFFF"/>
        </w:rPr>
        <w:t>Chirurgia</w:t>
      </w:r>
      <w:proofErr w:type="spellEnd"/>
      <w:r w:rsidRPr="00F56885">
        <w:rPr>
          <w:rFonts w:asciiTheme="majorBidi" w:hAnsiTheme="majorBidi" w:cstheme="majorBidi"/>
          <w:sz w:val="20"/>
          <w:szCs w:val="20"/>
          <w:shd w:val="clear" w:color="auto" w:fill="FFFFFF"/>
        </w:rPr>
        <w:t>, 68(6), 807-17.</w:t>
      </w:r>
    </w:p>
    <w:p w14:paraId="4664B5DD" w14:textId="77777777" w:rsidR="00AD5934" w:rsidRPr="00F56885" w:rsidRDefault="00C14E15"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Irvin, T. T. (1989). Abdominal pain: a surgical audit of 1190 emergency admissions. British Journal of Surgery, 76(11), 1121-1125.</w:t>
      </w:r>
    </w:p>
    <w:p w14:paraId="24545468" w14:textId="77777777" w:rsidR="00AD5934" w:rsidRPr="00F56885" w:rsidRDefault="00AD5934"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Brewer, R. J., Golden, G. T., Hitch, D. C., Rudolf, L. E., &amp; Wangensteen, S. L. (1976). Abdominal </w:t>
      </w:r>
      <w:r w:rsidRPr="00F56885">
        <w:rPr>
          <w:rFonts w:asciiTheme="majorBidi" w:hAnsiTheme="majorBidi" w:cstheme="majorBidi"/>
          <w:sz w:val="20"/>
          <w:szCs w:val="20"/>
          <w:shd w:val="clear" w:color="auto" w:fill="FFFFFF"/>
        </w:rPr>
        <w:lastRenderedPageBreak/>
        <w:t>pain: an analysis of 1,000 consecutive cases in a university hospital emergency room. The American journal of surgery, 131(2), 219-223.</w:t>
      </w:r>
    </w:p>
    <w:p w14:paraId="009CA598" w14:textId="77777777" w:rsidR="00AD5934" w:rsidRPr="00F56885" w:rsidRDefault="00AD5934"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Brewer, R. J., Golden, G. T., Hitch, D. C., Rudolf, L. E., &amp; Wangensteen, S. L. (1976). Abdominal pain: an analysis of 1,000 consecutive cases in a university hospital emergency room. The American journal of surgery, 131(2), 219-223.</w:t>
      </w:r>
    </w:p>
    <w:p w14:paraId="63D40E20" w14:textId="61AB3853" w:rsidR="00AD5934" w:rsidRPr="00F56885" w:rsidRDefault="00AD5934" w:rsidP="00F56885">
      <w:pPr>
        <w:pStyle w:val="Quote"/>
        <w:numPr>
          <w:ilvl w:val="0"/>
          <w:numId w:val="3"/>
        </w:numPr>
        <w:spacing w:before="0" w:after="0" w:line="240" w:lineRule="auto"/>
        <w:ind w:left="360" w:right="6"/>
        <w:jc w:val="both"/>
        <w:rPr>
          <w:rFonts w:asciiTheme="majorBidi" w:eastAsia="Times New Roman" w:hAnsiTheme="majorBidi" w:cstheme="majorBidi"/>
          <w:sz w:val="20"/>
          <w:szCs w:val="20"/>
        </w:rPr>
      </w:pPr>
      <w:r w:rsidRPr="00F56885">
        <w:rPr>
          <w:rFonts w:asciiTheme="majorBidi" w:hAnsiTheme="majorBidi" w:cstheme="majorBidi"/>
          <w:sz w:val="20"/>
          <w:szCs w:val="20"/>
          <w:shd w:val="clear" w:color="auto" w:fill="FFFFFF"/>
        </w:rPr>
        <w:t xml:space="preserve">Powers, R. D., &amp; </w:t>
      </w:r>
      <w:proofErr w:type="spellStart"/>
      <w:r w:rsidRPr="00F56885">
        <w:rPr>
          <w:rFonts w:asciiTheme="majorBidi" w:hAnsiTheme="majorBidi" w:cstheme="majorBidi"/>
          <w:sz w:val="20"/>
          <w:szCs w:val="20"/>
          <w:shd w:val="clear" w:color="auto" w:fill="FFFFFF"/>
        </w:rPr>
        <w:t>Guertler</w:t>
      </w:r>
      <w:proofErr w:type="spellEnd"/>
      <w:r w:rsidRPr="00F56885">
        <w:rPr>
          <w:rFonts w:asciiTheme="majorBidi" w:hAnsiTheme="majorBidi" w:cstheme="majorBidi"/>
          <w:sz w:val="20"/>
          <w:szCs w:val="20"/>
          <w:shd w:val="clear" w:color="auto" w:fill="FFFFFF"/>
        </w:rPr>
        <w:t>, A. T. (1995). Abdominal pain in the ED: stability and change over 20 years. The American journal of emergency medicine, 13(3), 301-303.</w:t>
      </w:r>
    </w:p>
    <w:p w14:paraId="1E7B63B3" w14:textId="77777777" w:rsidR="006C5F2E" w:rsidRPr="00F56885" w:rsidRDefault="006C5F2E" w:rsidP="00F56885">
      <w:pPr>
        <w:spacing w:after="0" w:line="240" w:lineRule="auto"/>
        <w:ind w:right="288"/>
        <w:jc w:val="both"/>
        <w:rPr>
          <w:rFonts w:asciiTheme="majorBidi" w:hAnsiTheme="majorBidi" w:cstheme="majorBidi"/>
          <w:sz w:val="20"/>
          <w:szCs w:val="20"/>
        </w:rPr>
      </w:pPr>
    </w:p>
    <w:sectPr w:rsidR="006C5F2E" w:rsidRPr="00F56885" w:rsidSect="00F56885">
      <w:type w:val="continuous"/>
      <w:pgSz w:w="12240" w:h="15840" w:code="1"/>
      <w:pgMar w:top="1440" w:right="1440" w:bottom="1440" w:left="1440" w:header="706" w:footer="706"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7D2263" w14:textId="77777777" w:rsidR="00DF77C4" w:rsidRDefault="00DF77C4" w:rsidP="000074C9">
      <w:pPr>
        <w:spacing w:after="0" w:line="240" w:lineRule="auto"/>
      </w:pPr>
      <w:r>
        <w:separator/>
      </w:r>
    </w:p>
  </w:endnote>
  <w:endnote w:type="continuationSeparator" w:id="0">
    <w:p w14:paraId="06896657" w14:textId="77777777" w:rsidR="00DF77C4" w:rsidRDefault="00DF77C4" w:rsidP="000074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Bookman Old Style">
    <w:altName w:val="Bookman Old Style"/>
    <w:charset w:val="00"/>
    <w:family w:val="roman"/>
    <w:pitch w:val="variable"/>
    <w:sig w:usb0="00000287" w:usb1="00000000" w:usb2="00000000" w:usb3="00000000" w:csb0="0000009F" w:csb1="00000000"/>
  </w:font>
  <w:font w:name="Meiryo">
    <w:charset w:val="80"/>
    <w:family w:val="swiss"/>
    <w:pitch w:val="variable"/>
    <w:sig w:usb0="E00002FF" w:usb1="6AC7FFFF" w:usb2="08000012" w:usb3="00000000" w:csb0="0002009F" w:csb1="00000000"/>
  </w:font>
  <w:font w:name="Utsaah">
    <w:charset w:val="00"/>
    <w:family w:val="swiss"/>
    <w:pitch w:val="variable"/>
    <w:sig w:usb0="00008003" w:usb1="00000000" w:usb2="00000000" w:usb3="00000000" w:csb0="00000001" w:csb1="00000000"/>
  </w:font>
  <w:font w:name="Roboto">
    <w:altName w:val="Arial"/>
    <w:charset w:val="00"/>
    <w:family w:val="auto"/>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C8A910" w14:textId="77777777" w:rsidR="003527E1" w:rsidRPr="001B691F" w:rsidRDefault="003527E1" w:rsidP="001B691F">
    <w:pPr>
      <w:pStyle w:val="Footer"/>
    </w:pPr>
    <w:r>
      <w:rPr>
        <w:noProof/>
      </w:rPr>
      <mc:AlternateContent>
        <mc:Choice Requires="wpg">
          <w:drawing>
            <wp:anchor distT="0" distB="0" distL="114300" distR="114300" simplePos="0" relativeHeight="251659264" behindDoc="0" locked="0" layoutInCell="1" allowOverlap="1" wp14:anchorId="7267994B" wp14:editId="0B70C2CB">
              <wp:simplePos x="0" y="0"/>
              <wp:positionH relativeFrom="page">
                <wp:posOffset>244475</wp:posOffset>
              </wp:positionH>
              <wp:positionV relativeFrom="line">
                <wp:posOffset>-167005</wp:posOffset>
              </wp:positionV>
              <wp:extent cx="7366635" cy="347345"/>
              <wp:effectExtent l="6350" t="13970" r="8890" b="10160"/>
              <wp:wrapTopAndBottom/>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66635" cy="347345"/>
                        <a:chOff x="0" y="0"/>
                        <a:chExt cx="11601" cy="547"/>
                      </a:xfrm>
                    </wpg:grpSpPr>
                    <wps:wsp>
                      <wps:cNvPr id="4" name="Rectangle 9"/>
                      <wps:cNvSpPr>
                        <a:spLocks noChangeArrowheads="1"/>
                      </wps:cNvSpPr>
                      <wps:spPr bwMode="auto">
                        <a:xfrm>
                          <a:off x="53" y="53"/>
                          <a:ext cx="9346" cy="432"/>
                        </a:xfrm>
                        <a:prstGeom prst="rect">
                          <a:avLst/>
                        </a:prstGeom>
                        <a:solidFill>
                          <a:srgbClr val="94363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DE60781" w14:textId="77777777" w:rsidR="003527E1" w:rsidRDefault="003527E1" w:rsidP="001B691F">
                            <w:pPr>
                              <w:pStyle w:val="Footer"/>
                            </w:pPr>
                            <w:r>
                              <w:rPr>
                                <w:rFonts w:ascii="Bookman Old Style" w:hAnsi="Bookman Old Style"/>
                                <w:spacing w:val="60"/>
                              </w:rPr>
                              <w:t>www.iajps.com</w:t>
                            </w:r>
                          </w:p>
                          <w:p w14:paraId="3CBAB2CF" w14:textId="77777777" w:rsidR="003527E1" w:rsidRDefault="003527E1" w:rsidP="001B691F">
                            <w:pPr>
                              <w:pStyle w:val="Header"/>
                              <w:rPr>
                                <w:color w:val="FFFFFF"/>
                              </w:rPr>
                            </w:pPr>
                          </w:p>
                          <w:p w14:paraId="616A8BF5" w14:textId="77777777" w:rsidR="003527E1" w:rsidRDefault="003527E1" w:rsidP="001B691F">
                            <w:pPr>
                              <w:rPr>
                                <w:color w:val="FFFFFF"/>
                              </w:rPr>
                            </w:pPr>
                          </w:p>
                        </w:txbxContent>
                      </wps:txbx>
                      <wps:bodyPr rot="0" vert="horz" wrap="square" lIns="91440" tIns="45720" rIns="91440" bIns="45720" anchor="t" anchorCtr="0" upright="1">
                        <a:noAutofit/>
                      </wps:bodyPr>
                    </wps:wsp>
                    <wps:wsp>
                      <wps:cNvPr id="5" name="Rectangle 10"/>
                      <wps:cNvSpPr>
                        <a:spLocks noChangeArrowheads="1"/>
                      </wps:cNvSpPr>
                      <wps:spPr bwMode="auto">
                        <a:xfrm>
                          <a:off x="9442" y="53"/>
                          <a:ext cx="2102" cy="432"/>
                        </a:xfrm>
                        <a:prstGeom prst="rect">
                          <a:avLst/>
                        </a:prstGeom>
                        <a:solidFill>
                          <a:srgbClr val="943634"/>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D6A976" w14:textId="77777777" w:rsidR="003527E1" w:rsidRDefault="003527E1" w:rsidP="001B691F">
                            <w:pPr>
                              <w:pStyle w:val="Footer"/>
                            </w:pPr>
                            <w:r>
                              <w:rPr>
                                <w:rFonts w:ascii="Bookman Old Style" w:hAnsi="Bookman Old Style"/>
                                <w:color w:val="FFFFFF"/>
                              </w:rPr>
                              <w:t xml:space="preserve">Page </w:t>
                            </w:r>
                            <w:r>
                              <w:rPr>
                                <w:rFonts w:ascii="Bookman Old Style" w:hAnsi="Bookman Old Style"/>
                                <w:color w:val="FFFFFF"/>
                              </w:rPr>
                              <w:fldChar w:fldCharType="begin"/>
                            </w:r>
                            <w:r>
                              <w:rPr>
                                <w:rFonts w:ascii="Bookman Old Style" w:hAnsi="Bookman Old Style"/>
                                <w:color w:val="FFFFFF"/>
                              </w:rPr>
                              <w:instrText xml:space="preserve"> PAGE </w:instrText>
                            </w:r>
                            <w:r>
                              <w:rPr>
                                <w:rFonts w:ascii="Bookman Old Style" w:hAnsi="Bookman Old Style"/>
                                <w:color w:val="FFFFFF"/>
                              </w:rPr>
                              <w:fldChar w:fldCharType="separate"/>
                            </w:r>
                            <w:r>
                              <w:rPr>
                                <w:rFonts w:ascii="Bookman Old Style" w:hAnsi="Bookman Old Style"/>
                                <w:noProof/>
                                <w:color w:val="FFFFFF"/>
                              </w:rPr>
                              <w:t>747</w:t>
                            </w:r>
                            <w:r>
                              <w:rPr>
                                <w:rFonts w:ascii="Bookman Old Style" w:hAnsi="Bookman Old Style"/>
                                <w:color w:val="FFFFFF"/>
                              </w:rPr>
                              <w:fldChar w:fldCharType="end"/>
                            </w:r>
                          </w:p>
                          <w:p w14:paraId="642FF0B4" w14:textId="77777777" w:rsidR="003527E1" w:rsidRDefault="003527E1" w:rsidP="001B691F"/>
                        </w:txbxContent>
                      </wps:txbx>
                      <wps:bodyPr rot="0" vert="horz" wrap="square" lIns="91440" tIns="45720" rIns="91440" bIns="45720" anchor="t" anchorCtr="0" upright="1">
                        <a:noAutofit/>
                      </wps:bodyPr>
                    </wps:wsp>
                    <wps:wsp>
                      <wps:cNvPr id="6" name="Rectangle 11"/>
                      <wps:cNvSpPr>
                        <a:spLocks noChangeArrowheads="1"/>
                      </wps:cNvSpPr>
                      <wps:spPr bwMode="auto">
                        <a:xfrm>
                          <a:off x="0" y="0"/>
                          <a:ext cx="11601" cy="547"/>
                        </a:xfrm>
                        <a:prstGeom prst="rect">
                          <a:avLst/>
                        </a:prstGeom>
                        <a:noFill/>
                        <a:ln w="9528">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267994B" id="Group 3" o:spid="_x0000_s1027" style="position:absolute;margin-left:19.25pt;margin-top:-13.15pt;width:580.05pt;height:27.35pt;z-index:251659264;mso-position-horizontal-relative:page;mso-position-vertical-relative:line"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">
              <v:rect id="Rectangle 9" o:spid="_x0000_s1028" style="position:absolute;left:53;top:53;width:9346;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" fillcolor="#943634" stroked="f">
                <v:textbox>
                  <w:txbxContent>
                    <w:p w14:paraId="3DE60781" w14:textId="77777777" w:rsidR="003527E1" w:rsidRDefault="003527E1" w:rsidP="001B691F">
                      <w:pPr>
                        <w:pStyle w:val="Footer"/>
                      </w:pPr>
                      <w:r>
                        <w:rPr>
                          <w:rFonts w:ascii="Bookman Old Style" w:hAnsi="Bookman Old Style"/>
                          <w:spacing w:val="60"/>
                        </w:rPr>
                        <w:t>www.iajps.com</w:t>
                      </w:r>
                    </w:p>
                    <w:p w14:paraId="3CBAB2CF" w14:textId="77777777" w:rsidR="003527E1" w:rsidRDefault="003527E1" w:rsidP="001B691F">
                      <w:pPr>
                        <w:pStyle w:val="Header"/>
                        <w:rPr>
                          <w:color w:val="FFFFFF"/>
                        </w:rPr>
                      </w:pPr>
                    </w:p>
                    <w:p w14:paraId="616A8BF5" w14:textId="77777777" w:rsidR="003527E1" w:rsidRDefault="003527E1" w:rsidP="001B691F">
                      <w:pPr>
                        <w:rPr>
                          <w:color w:val="FFFFFF"/>
                        </w:rPr>
                      </w:pPr>
                    </w:p>
                  </w:txbxContent>
                </v:textbox>
              </v:rect>
              <v:rect id="Rectangle 10" o:spid="_x0000_s1029" style="position:absolute;left:9442;top:53;width:2102;height:4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" fillcolor="#943634" stroked="f">
                <v:textbox>
                  <w:txbxContent>
                    <w:p w14:paraId="36D6A976" w14:textId="77777777" w:rsidR="003527E1" w:rsidRDefault="003527E1" w:rsidP="001B691F">
                      <w:pPr>
                        <w:pStyle w:val="Footer"/>
                      </w:pPr>
                      <w:r>
                        <w:rPr>
                          <w:rFonts w:ascii="Bookman Old Style" w:hAnsi="Bookman Old Style"/>
                          <w:color w:val="FFFFFF"/>
                        </w:rPr>
                        <w:t xml:space="preserve">Page </w:t>
                      </w:r>
                      <w:r>
                        <w:rPr>
                          <w:rFonts w:ascii="Bookman Old Style" w:hAnsi="Bookman Old Style"/>
                          <w:color w:val="FFFFFF"/>
                        </w:rPr>
                        <w:fldChar w:fldCharType="begin"/>
                      </w:r>
                      <w:r>
                        <w:rPr>
                          <w:rFonts w:ascii="Bookman Old Style" w:hAnsi="Bookman Old Style"/>
                          <w:color w:val="FFFFFF"/>
                        </w:rPr>
                        <w:instrText xml:space="preserve"> PAGE </w:instrText>
                      </w:r>
                      <w:r>
                        <w:rPr>
                          <w:rFonts w:ascii="Bookman Old Style" w:hAnsi="Bookman Old Style"/>
                          <w:color w:val="FFFFFF"/>
                        </w:rPr>
                        <w:fldChar w:fldCharType="separate"/>
                      </w:r>
                      <w:r>
                        <w:rPr>
                          <w:rFonts w:ascii="Bookman Old Style" w:hAnsi="Bookman Old Style"/>
                          <w:noProof/>
                          <w:color w:val="FFFFFF"/>
                        </w:rPr>
                        <w:t>747</w:t>
                      </w:r>
                      <w:r>
                        <w:rPr>
                          <w:rFonts w:ascii="Bookman Old Style" w:hAnsi="Bookman Old Style"/>
                          <w:color w:val="FFFFFF"/>
                        </w:rPr>
                        <w:fldChar w:fldCharType="end"/>
                      </w:r>
                    </w:p>
                    <w:p w14:paraId="642FF0B4" w14:textId="77777777" w:rsidR="003527E1" w:rsidRDefault="003527E1" w:rsidP="001B691F"/>
                  </w:txbxContent>
                </v:textbox>
              </v:rect>
              <v:rect id="Rectangle 11" o:spid="_x0000_s1030" style="position:absolute;width:11601;height: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" filled="f" strokeweight=".26467mm">
                <v:textbox inset="0,0,0,0"/>
              </v:rect>
              <w10:wrap type="topAndBottom" anchorx="page" anchory="line"/>
            </v:group>
          </w:pict>
        </mc:Fallback>
      </mc:AlternateContent>
    </w:r>
    <w:bookmarkStart w:id="35" w:name="_Hlk55329060"/>
    <w:bookmarkStart w:id="36" w:name="_Hlk55329061"/>
    <w:bookmarkStart w:id="37" w:name="_Hlk55329921"/>
    <w:bookmarkStart w:id="38" w:name="_Hlk55329922"/>
    <w:bookmarkStart w:id="39" w:name="_Hlk55330576"/>
    <w:bookmarkStart w:id="40" w:name="_Hlk55330577"/>
    <w:bookmarkStart w:id="41" w:name="_Hlk55331106"/>
    <w:bookmarkStart w:id="42" w:name="_Hlk55331107"/>
    <w:bookmarkStart w:id="43" w:name="_Hlk55331486"/>
    <w:bookmarkStart w:id="44" w:name="_Hlk55331487"/>
    <w:bookmarkStart w:id="45" w:name="_Hlk55332105"/>
    <w:bookmarkStart w:id="46" w:name="_Hlk55332106"/>
    <w:bookmarkStart w:id="47" w:name="_Hlk55332545"/>
    <w:bookmarkStart w:id="48" w:name="_Hlk55332546"/>
    <w:bookmarkStart w:id="49" w:name="_Hlk55332981"/>
    <w:bookmarkStart w:id="50" w:name="_Hlk55332982"/>
    <w:bookmarkStart w:id="51" w:name="_Hlk55333430"/>
    <w:bookmarkStart w:id="52" w:name="_Hlk55333431"/>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F62835" w14:textId="77777777" w:rsidR="00DF77C4" w:rsidRDefault="00DF77C4" w:rsidP="000074C9">
      <w:pPr>
        <w:spacing w:after="0" w:line="240" w:lineRule="auto"/>
      </w:pPr>
      <w:r>
        <w:separator/>
      </w:r>
    </w:p>
  </w:footnote>
  <w:footnote w:type="continuationSeparator" w:id="0">
    <w:p w14:paraId="75B7D5F9" w14:textId="77777777" w:rsidR="00DF77C4" w:rsidRDefault="00DF77C4" w:rsidP="000074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005C9E" w14:textId="77777777" w:rsidR="003527E1" w:rsidRDefault="003527E1">
    <w:pPr>
      <w:spacing w:after="0"/>
      <w:ind w:right="945"/>
      <w:jc w:val="right"/>
    </w:pPr>
    <w:r>
      <w:fldChar w:fldCharType="begin"/>
    </w:r>
    <w:r>
      <w:instrText xml:space="preserve"> PAGE   \* MERGEFORMAT </w:instrText>
    </w:r>
    <w:r>
      <w:fldChar w:fldCharType="separate"/>
    </w:r>
    <w:r>
      <w:t>i</w:t>
    </w:r>
    <w:r>
      <w:fldChar w:fldCharType="end"/>
    </w:r>
  </w:p>
  <w:p w14:paraId="28EDD03F" w14:textId="77777777" w:rsidR="003527E1" w:rsidRDefault="003527E1">
    <w:pPr>
      <w:spacing w:after="0"/>
      <w:ind w:left="42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4C739E" w14:textId="7EBA5D9A" w:rsidR="003527E1" w:rsidRPr="00EC4C99" w:rsidRDefault="003527E1" w:rsidP="003527E1">
    <w:pPr>
      <w:spacing w:after="0"/>
      <w:rPr>
        <w:rFonts w:ascii="Times New Roman" w:hAnsi="Times New Roman"/>
        <w:color w:val="0070C0"/>
        <w:szCs w:val="24"/>
      </w:rPr>
    </w:pPr>
    <w:bookmarkStart w:id="12" w:name="_Hlk30366848"/>
    <w:bookmarkStart w:id="13" w:name="_Hlk30366847"/>
    <w:bookmarkStart w:id="14" w:name="_Hlk30365614"/>
    <w:bookmarkStart w:id="15" w:name="_Hlk30365613"/>
    <w:bookmarkStart w:id="16" w:name="_Hlk46303711"/>
    <w:bookmarkStart w:id="17" w:name="_Hlk55329015"/>
    <w:bookmarkStart w:id="18" w:name="_Hlk55329016"/>
    <w:bookmarkStart w:id="19" w:name="_Hlk55329909"/>
    <w:bookmarkStart w:id="20" w:name="_Hlk55329910"/>
    <w:bookmarkStart w:id="21" w:name="_Hlk55330569"/>
    <w:bookmarkStart w:id="22" w:name="_Hlk55330570"/>
    <w:bookmarkStart w:id="23" w:name="_Hlk55331112"/>
    <w:bookmarkStart w:id="24" w:name="_Hlk55331113"/>
    <w:bookmarkStart w:id="25" w:name="_Hlk55331476"/>
    <w:bookmarkStart w:id="26" w:name="_Hlk55331477"/>
    <w:bookmarkStart w:id="27" w:name="_Hlk55332093"/>
    <w:bookmarkStart w:id="28" w:name="_Hlk55332094"/>
    <w:bookmarkStart w:id="29" w:name="_Hlk55332537"/>
    <w:bookmarkStart w:id="30" w:name="_Hlk55332538"/>
    <w:bookmarkStart w:id="31" w:name="_Hlk55332974"/>
    <w:bookmarkStart w:id="32" w:name="_Hlk55332975"/>
    <w:bookmarkStart w:id="33" w:name="_Hlk55333358"/>
    <w:bookmarkStart w:id="34" w:name="_Hlk55333359"/>
    <w:r>
      <w:rPr>
        <w:rFonts w:ascii="Times New Roman" w:hAnsi="Times New Roman"/>
        <w:b/>
        <w:bCs/>
        <w:color w:val="0070C0"/>
        <w:szCs w:val="24"/>
      </w:rPr>
      <w:t>IAJPS 2021, 08 (1), 1</w:t>
    </w:r>
    <w:r w:rsidR="00CF695F">
      <w:rPr>
        <w:rFonts w:ascii="Times New Roman" w:hAnsi="Times New Roman"/>
        <w:b/>
        <w:bCs/>
        <w:color w:val="0070C0"/>
        <w:szCs w:val="24"/>
      </w:rPr>
      <w:t>918</w:t>
    </w:r>
    <w:r>
      <w:rPr>
        <w:rFonts w:ascii="Times New Roman" w:hAnsi="Times New Roman"/>
        <w:b/>
        <w:bCs/>
        <w:color w:val="0070C0"/>
        <w:szCs w:val="24"/>
      </w:rPr>
      <w:t>-1</w:t>
    </w:r>
    <w:r w:rsidR="00CF695F">
      <w:rPr>
        <w:rFonts w:ascii="Times New Roman" w:hAnsi="Times New Roman"/>
        <w:b/>
        <w:bCs/>
        <w:color w:val="0070C0"/>
        <w:szCs w:val="24"/>
      </w:rPr>
      <w:t>924</w:t>
    </w:r>
    <w:r>
      <w:rPr>
        <w:rFonts w:ascii="Times New Roman" w:hAnsi="Times New Roman"/>
        <w:b/>
        <w:bCs/>
        <w:color w:val="0070C0"/>
        <w:szCs w:val="24"/>
      </w:rPr>
      <w:t xml:space="preserve">                           </w:t>
    </w:r>
    <w:r w:rsidRPr="003527E1">
      <w:rPr>
        <w:rFonts w:asciiTheme="majorBidi" w:hAnsiTheme="majorBidi" w:cstheme="majorBidi"/>
        <w:b/>
        <w:color w:val="0070C0"/>
      </w:rPr>
      <w:t>Khaled Hassan</w:t>
    </w:r>
    <w:r w:rsidRPr="003527E1">
      <w:rPr>
        <w:rFonts w:ascii="Times New Roman" w:hAnsi="Times New Roman"/>
        <w:b/>
        <w:i/>
        <w:iCs/>
        <w:color w:val="0070C0"/>
        <w:szCs w:val="24"/>
      </w:rPr>
      <w:t xml:space="preserve"> </w:t>
    </w:r>
    <w:r w:rsidRPr="00656F8A">
      <w:rPr>
        <w:rFonts w:ascii="Times New Roman" w:hAnsi="Times New Roman"/>
        <w:b/>
        <w:i/>
        <w:iCs/>
        <w:color w:val="0070C0"/>
        <w:szCs w:val="24"/>
      </w:rPr>
      <w:t xml:space="preserve">et </w:t>
    </w:r>
    <w:r>
      <w:rPr>
        <w:rFonts w:ascii="Times New Roman" w:hAnsi="Times New Roman"/>
        <w:b/>
        <w:i/>
        <w:iCs/>
        <w:color w:val="0070C0"/>
        <w:szCs w:val="24"/>
      </w:rPr>
      <w:t>al</w:t>
    </w:r>
    <w:r>
      <w:rPr>
        <w:rFonts w:ascii="Times New Roman" w:hAnsi="Times New Roman"/>
        <w:b/>
        <w:bCs/>
        <w:color w:val="0070C0"/>
        <w:szCs w:val="24"/>
      </w:rPr>
      <w:t xml:space="preserve">                            ISSN 2349-7750</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229CF8" w14:textId="77777777" w:rsidR="003527E1" w:rsidRDefault="003527E1">
    <w:pPr>
      <w:spacing w:after="0"/>
      <w:ind w:right="945"/>
      <w:jc w:val="right"/>
    </w:pPr>
    <w:r>
      <w:fldChar w:fldCharType="begin"/>
    </w:r>
    <w:r>
      <w:instrText xml:space="preserve"> PAGE   \* MERGEFORMAT </w:instrText>
    </w:r>
    <w:r>
      <w:fldChar w:fldCharType="separate"/>
    </w:r>
    <w:r>
      <w:t>i</w:t>
    </w:r>
    <w:r>
      <w:fldChar w:fldCharType="end"/>
    </w:r>
  </w:p>
  <w:p w14:paraId="22EC981C" w14:textId="77777777" w:rsidR="003527E1" w:rsidRDefault="003527E1">
    <w:pPr>
      <w:spacing w:after="0"/>
      <w:ind w:left="428"/>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991BBE"/>
    <w:multiLevelType w:val="multilevel"/>
    <w:tmpl w:val="FBD4B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F025A05"/>
    <w:multiLevelType w:val="hybridMultilevel"/>
    <w:tmpl w:val="776CCBE6"/>
    <w:lvl w:ilvl="0" w:tplc="0409000F">
      <w:start w:val="1"/>
      <w:numFmt w:val="decimal"/>
      <w:lvlText w:val="%1."/>
      <w:lvlJc w:val="left"/>
      <w:pPr>
        <w:ind w:left="1584" w:hanging="360"/>
      </w:p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2" w15:restartNumberingAfterBreak="0">
    <w:nsid w:val="25B97230"/>
    <w:multiLevelType w:val="hybridMultilevel"/>
    <w:tmpl w:val="1E420CDE"/>
    <w:lvl w:ilvl="0" w:tplc="36BE721C">
      <w:start w:val="1"/>
      <w:numFmt w:val="decimal"/>
      <w:lvlText w:val="%1."/>
      <w:lvlJc w:val="left"/>
      <w:pPr>
        <w:ind w:left="927" w:hanging="360"/>
      </w:pPr>
      <w:rPr>
        <w:rFonts w:ascii="Arial" w:eastAsiaTheme="minorHAnsi" w:hAnsi="Arial" w:cs="Arial" w:hint="default"/>
        <w:color w:val="222222"/>
        <w:sz w:val="2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A00"/>
    <w:rsid w:val="000074C9"/>
    <w:rsid w:val="00024C68"/>
    <w:rsid w:val="000E37AD"/>
    <w:rsid w:val="000F2AE7"/>
    <w:rsid w:val="000F76C1"/>
    <w:rsid w:val="00176559"/>
    <w:rsid w:val="0018383E"/>
    <w:rsid w:val="001A5F03"/>
    <w:rsid w:val="001B730F"/>
    <w:rsid w:val="001C1416"/>
    <w:rsid w:val="001D33CF"/>
    <w:rsid w:val="00246DF1"/>
    <w:rsid w:val="002529B5"/>
    <w:rsid w:val="002542C9"/>
    <w:rsid w:val="002649A5"/>
    <w:rsid w:val="00290721"/>
    <w:rsid w:val="002A1ECA"/>
    <w:rsid w:val="002A5E35"/>
    <w:rsid w:val="003024F5"/>
    <w:rsid w:val="003527E1"/>
    <w:rsid w:val="00391612"/>
    <w:rsid w:val="003A207E"/>
    <w:rsid w:val="003B711A"/>
    <w:rsid w:val="003C787C"/>
    <w:rsid w:val="003F1F42"/>
    <w:rsid w:val="004319A2"/>
    <w:rsid w:val="004F4811"/>
    <w:rsid w:val="004F7EEC"/>
    <w:rsid w:val="00537513"/>
    <w:rsid w:val="00544993"/>
    <w:rsid w:val="00553ECA"/>
    <w:rsid w:val="005563BC"/>
    <w:rsid w:val="005763F7"/>
    <w:rsid w:val="005A3AD0"/>
    <w:rsid w:val="005B2A35"/>
    <w:rsid w:val="005E2804"/>
    <w:rsid w:val="00614CE8"/>
    <w:rsid w:val="006A4F32"/>
    <w:rsid w:val="006A7845"/>
    <w:rsid w:val="006C5F2E"/>
    <w:rsid w:val="007009EB"/>
    <w:rsid w:val="007202AD"/>
    <w:rsid w:val="00727948"/>
    <w:rsid w:val="00752992"/>
    <w:rsid w:val="00773D43"/>
    <w:rsid w:val="00775821"/>
    <w:rsid w:val="0078436C"/>
    <w:rsid w:val="007A1DA9"/>
    <w:rsid w:val="007C4568"/>
    <w:rsid w:val="007C7402"/>
    <w:rsid w:val="007D51B2"/>
    <w:rsid w:val="007F73FF"/>
    <w:rsid w:val="008017D3"/>
    <w:rsid w:val="00821107"/>
    <w:rsid w:val="00832553"/>
    <w:rsid w:val="0084166F"/>
    <w:rsid w:val="00865A3D"/>
    <w:rsid w:val="008D3FE5"/>
    <w:rsid w:val="008E0678"/>
    <w:rsid w:val="008F1C2F"/>
    <w:rsid w:val="00914A17"/>
    <w:rsid w:val="00936B88"/>
    <w:rsid w:val="00940364"/>
    <w:rsid w:val="00942079"/>
    <w:rsid w:val="00980432"/>
    <w:rsid w:val="00980AE3"/>
    <w:rsid w:val="009846A1"/>
    <w:rsid w:val="009E552D"/>
    <w:rsid w:val="00A05188"/>
    <w:rsid w:val="00AD0674"/>
    <w:rsid w:val="00AD5934"/>
    <w:rsid w:val="00AE6903"/>
    <w:rsid w:val="00B01458"/>
    <w:rsid w:val="00B40CB7"/>
    <w:rsid w:val="00B61346"/>
    <w:rsid w:val="00B7657A"/>
    <w:rsid w:val="00B76BD1"/>
    <w:rsid w:val="00C14E15"/>
    <w:rsid w:val="00C16AE0"/>
    <w:rsid w:val="00C23A00"/>
    <w:rsid w:val="00C24A7C"/>
    <w:rsid w:val="00C46523"/>
    <w:rsid w:val="00C9241D"/>
    <w:rsid w:val="00C97A18"/>
    <w:rsid w:val="00CB7BD2"/>
    <w:rsid w:val="00CC7BCA"/>
    <w:rsid w:val="00CF1FF6"/>
    <w:rsid w:val="00CF5DE3"/>
    <w:rsid w:val="00CF695F"/>
    <w:rsid w:val="00D05FE1"/>
    <w:rsid w:val="00D246E6"/>
    <w:rsid w:val="00D67A7C"/>
    <w:rsid w:val="00D9546F"/>
    <w:rsid w:val="00DF77C4"/>
    <w:rsid w:val="00E22CB8"/>
    <w:rsid w:val="00E42D3D"/>
    <w:rsid w:val="00E44043"/>
    <w:rsid w:val="00EA53CD"/>
    <w:rsid w:val="00EA72BD"/>
    <w:rsid w:val="00EB52D2"/>
    <w:rsid w:val="00EC2CB4"/>
    <w:rsid w:val="00F1243E"/>
    <w:rsid w:val="00F56885"/>
    <w:rsid w:val="00F912B0"/>
    <w:rsid w:val="00FC14A5"/>
    <w:rsid w:val="00FF6E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9E2B28"/>
  <w15:chartTrackingRefBased/>
  <w15:docId w15:val="{526F69AB-9FDA-40B2-9205-55CEEC5787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024C6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5E2804"/>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29072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F76C1"/>
    <w:rPr>
      <w:color w:val="0000FF"/>
      <w:u w:val="single"/>
    </w:rPr>
  </w:style>
  <w:style w:type="character" w:customStyle="1" w:styleId="Heading3Char">
    <w:name w:val="Heading 3 Char"/>
    <w:basedOn w:val="DefaultParagraphFont"/>
    <w:link w:val="Heading3"/>
    <w:uiPriority w:val="9"/>
    <w:rsid w:val="005E2804"/>
    <w:rPr>
      <w:rFonts w:ascii="Times New Roman" w:eastAsia="Times New Roman" w:hAnsi="Times New Roman" w:cs="Times New Roman"/>
      <w:b/>
      <w:bCs/>
      <w:sz w:val="27"/>
      <w:szCs w:val="27"/>
    </w:rPr>
  </w:style>
  <w:style w:type="paragraph" w:customStyle="1" w:styleId="p">
    <w:name w:val="p"/>
    <w:basedOn w:val="Normal"/>
    <w:rsid w:val="005E280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5E280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4Char">
    <w:name w:val="Heading 4 Char"/>
    <w:basedOn w:val="DefaultParagraphFont"/>
    <w:link w:val="Heading4"/>
    <w:uiPriority w:val="9"/>
    <w:rsid w:val="00290721"/>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semiHidden/>
    <w:rsid w:val="00024C68"/>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0074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74C9"/>
  </w:style>
  <w:style w:type="paragraph" w:styleId="Footer">
    <w:name w:val="footer"/>
    <w:basedOn w:val="Normal"/>
    <w:link w:val="FooterChar"/>
    <w:uiPriority w:val="99"/>
    <w:unhideWhenUsed/>
    <w:rsid w:val="000074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74C9"/>
  </w:style>
  <w:style w:type="paragraph" w:styleId="ListParagraph">
    <w:name w:val="List Paragraph"/>
    <w:basedOn w:val="Normal"/>
    <w:uiPriority w:val="34"/>
    <w:qFormat/>
    <w:rsid w:val="00914A17"/>
    <w:pPr>
      <w:ind w:left="720"/>
      <w:contextualSpacing/>
    </w:pPr>
  </w:style>
  <w:style w:type="character" w:customStyle="1" w:styleId="nlmarticle-title">
    <w:name w:val="nlm_article-title"/>
    <w:basedOn w:val="DefaultParagraphFont"/>
    <w:rsid w:val="00C14E15"/>
  </w:style>
  <w:style w:type="character" w:customStyle="1" w:styleId="nlmyear">
    <w:name w:val="nlm_year"/>
    <w:basedOn w:val="DefaultParagraphFont"/>
    <w:rsid w:val="00C14E15"/>
  </w:style>
  <w:style w:type="character" w:customStyle="1" w:styleId="nlmfpage">
    <w:name w:val="nlm_fpage"/>
    <w:basedOn w:val="DefaultParagraphFont"/>
    <w:rsid w:val="00C14E15"/>
  </w:style>
  <w:style w:type="character" w:customStyle="1" w:styleId="nlmlpage">
    <w:name w:val="nlm_lpage"/>
    <w:basedOn w:val="DefaultParagraphFont"/>
    <w:rsid w:val="00C14E15"/>
  </w:style>
  <w:style w:type="paragraph" w:styleId="Quote">
    <w:name w:val="Quote"/>
    <w:basedOn w:val="Normal"/>
    <w:next w:val="Normal"/>
    <w:link w:val="QuoteChar"/>
    <w:uiPriority w:val="29"/>
    <w:qFormat/>
    <w:rsid w:val="007C7402"/>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sid w:val="007C7402"/>
    <w:rPr>
      <w:i/>
      <w:iCs/>
      <w:color w:val="404040" w:themeColor="text1" w:themeTint="BF"/>
    </w:rPr>
  </w:style>
  <w:style w:type="paragraph" w:customStyle="1" w:styleId="NoSpacing1">
    <w:name w:val="No Spacing1"/>
    <w:next w:val="NoSpacing"/>
    <w:uiPriority w:val="1"/>
    <w:qFormat/>
    <w:rsid w:val="003527E1"/>
    <w:pPr>
      <w:spacing w:after="0" w:line="240" w:lineRule="auto"/>
    </w:pPr>
    <w:rPr>
      <w:rFonts w:eastAsia="Times New Roman" w:cs="Times New Roman"/>
    </w:rPr>
  </w:style>
  <w:style w:type="paragraph" w:styleId="NoSpacing">
    <w:name w:val="No Spacing"/>
    <w:uiPriority w:val="1"/>
    <w:qFormat/>
    <w:rsid w:val="003527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272146">
      <w:bodyDiv w:val="1"/>
      <w:marLeft w:val="0"/>
      <w:marRight w:val="0"/>
      <w:marTop w:val="0"/>
      <w:marBottom w:val="0"/>
      <w:divBdr>
        <w:top w:val="none" w:sz="0" w:space="0" w:color="auto"/>
        <w:left w:val="none" w:sz="0" w:space="0" w:color="auto"/>
        <w:bottom w:val="none" w:sz="0" w:space="0" w:color="auto"/>
        <w:right w:val="none" w:sz="0" w:space="0" w:color="auto"/>
      </w:divBdr>
    </w:div>
    <w:div w:id="173887068">
      <w:bodyDiv w:val="1"/>
      <w:marLeft w:val="0"/>
      <w:marRight w:val="0"/>
      <w:marTop w:val="0"/>
      <w:marBottom w:val="0"/>
      <w:divBdr>
        <w:top w:val="none" w:sz="0" w:space="0" w:color="auto"/>
        <w:left w:val="none" w:sz="0" w:space="0" w:color="auto"/>
        <w:bottom w:val="none" w:sz="0" w:space="0" w:color="auto"/>
        <w:right w:val="none" w:sz="0" w:space="0" w:color="auto"/>
      </w:divBdr>
    </w:div>
    <w:div w:id="437068958">
      <w:bodyDiv w:val="1"/>
      <w:marLeft w:val="0"/>
      <w:marRight w:val="0"/>
      <w:marTop w:val="0"/>
      <w:marBottom w:val="0"/>
      <w:divBdr>
        <w:top w:val="none" w:sz="0" w:space="0" w:color="auto"/>
        <w:left w:val="none" w:sz="0" w:space="0" w:color="auto"/>
        <w:bottom w:val="none" w:sz="0" w:space="0" w:color="auto"/>
        <w:right w:val="none" w:sz="0" w:space="0" w:color="auto"/>
      </w:divBdr>
    </w:div>
    <w:div w:id="609972655">
      <w:bodyDiv w:val="1"/>
      <w:marLeft w:val="0"/>
      <w:marRight w:val="0"/>
      <w:marTop w:val="0"/>
      <w:marBottom w:val="0"/>
      <w:divBdr>
        <w:top w:val="none" w:sz="0" w:space="0" w:color="auto"/>
        <w:left w:val="none" w:sz="0" w:space="0" w:color="auto"/>
        <w:bottom w:val="none" w:sz="0" w:space="0" w:color="auto"/>
        <w:right w:val="none" w:sz="0" w:space="0" w:color="auto"/>
      </w:divBdr>
      <w:divsChild>
        <w:div w:id="556625912">
          <w:marLeft w:val="0"/>
          <w:marRight w:val="0"/>
          <w:marTop w:val="0"/>
          <w:marBottom w:val="0"/>
          <w:divBdr>
            <w:top w:val="none" w:sz="0" w:space="0" w:color="auto"/>
            <w:left w:val="none" w:sz="0" w:space="0" w:color="auto"/>
            <w:bottom w:val="none" w:sz="0" w:space="0" w:color="auto"/>
            <w:right w:val="none" w:sz="0" w:space="0" w:color="auto"/>
          </w:divBdr>
        </w:div>
      </w:divsChild>
    </w:div>
    <w:div w:id="809251667">
      <w:bodyDiv w:val="1"/>
      <w:marLeft w:val="0"/>
      <w:marRight w:val="0"/>
      <w:marTop w:val="0"/>
      <w:marBottom w:val="0"/>
      <w:divBdr>
        <w:top w:val="none" w:sz="0" w:space="0" w:color="auto"/>
        <w:left w:val="none" w:sz="0" w:space="0" w:color="auto"/>
        <w:bottom w:val="none" w:sz="0" w:space="0" w:color="auto"/>
        <w:right w:val="none" w:sz="0" w:space="0" w:color="auto"/>
      </w:divBdr>
      <w:divsChild>
        <w:div w:id="402223643">
          <w:marLeft w:val="0"/>
          <w:marRight w:val="0"/>
          <w:marTop w:val="0"/>
          <w:marBottom w:val="0"/>
          <w:divBdr>
            <w:top w:val="none" w:sz="0" w:space="0" w:color="auto"/>
            <w:left w:val="none" w:sz="0" w:space="0" w:color="auto"/>
            <w:bottom w:val="none" w:sz="0" w:space="0" w:color="auto"/>
            <w:right w:val="none" w:sz="0" w:space="0" w:color="auto"/>
          </w:divBdr>
        </w:div>
        <w:div w:id="1581790483">
          <w:marLeft w:val="0"/>
          <w:marRight w:val="0"/>
          <w:marTop w:val="0"/>
          <w:marBottom w:val="0"/>
          <w:divBdr>
            <w:top w:val="none" w:sz="0" w:space="0" w:color="auto"/>
            <w:left w:val="none" w:sz="0" w:space="0" w:color="auto"/>
            <w:bottom w:val="none" w:sz="0" w:space="0" w:color="auto"/>
            <w:right w:val="none" w:sz="0" w:space="0" w:color="auto"/>
          </w:divBdr>
          <w:divsChild>
            <w:div w:id="1102871291">
              <w:marLeft w:val="0"/>
              <w:marRight w:val="0"/>
              <w:marTop w:val="0"/>
              <w:marBottom w:val="0"/>
              <w:divBdr>
                <w:top w:val="none" w:sz="0" w:space="0" w:color="auto"/>
                <w:left w:val="none" w:sz="0" w:space="0" w:color="auto"/>
                <w:bottom w:val="none" w:sz="0" w:space="0" w:color="auto"/>
                <w:right w:val="none" w:sz="0" w:space="0" w:color="auto"/>
              </w:divBdr>
              <w:divsChild>
                <w:div w:id="298465305">
                  <w:marLeft w:val="0"/>
                  <w:marRight w:val="0"/>
                  <w:marTop w:val="0"/>
                  <w:marBottom w:val="0"/>
                  <w:divBdr>
                    <w:top w:val="none" w:sz="0" w:space="0" w:color="auto"/>
                    <w:left w:val="none" w:sz="0" w:space="0" w:color="auto"/>
                    <w:bottom w:val="none" w:sz="0" w:space="0" w:color="auto"/>
                    <w:right w:val="none" w:sz="0" w:space="0" w:color="auto"/>
                  </w:divBdr>
                </w:div>
              </w:divsChild>
            </w:div>
            <w:div w:id="205991110">
              <w:marLeft w:val="0"/>
              <w:marRight w:val="0"/>
              <w:marTop w:val="0"/>
              <w:marBottom w:val="0"/>
              <w:divBdr>
                <w:top w:val="none" w:sz="0" w:space="0" w:color="auto"/>
                <w:left w:val="none" w:sz="0" w:space="0" w:color="auto"/>
                <w:bottom w:val="none" w:sz="0" w:space="0" w:color="auto"/>
                <w:right w:val="none" w:sz="0" w:space="0" w:color="auto"/>
              </w:divBdr>
              <w:divsChild>
                <w:div w:id="554125287">
                  <w:marLeft w:val="0"/>
                  <w:marRight w:val="0"/>
                  <w:marTop w:val="0"/>
                  <w:marBottom w:val="0"/>
                  <w:divBdr>
                    <w:top w:val="none" w:sz="0" w:space="0" w:color="auto"/>
                    <w:left w:val="none" w:sz="0" w:space="0" w:color="auto"/>
                    <w:bottom w:val="none" w:sz="0" w:space="0" w:color="auto"/>
                    <w:right w:val="none" w:sz="0" w:space="0" w:color="auto"/>
                  </w:divBdr>
                </w:div>
              </w:divsChild>
            </w:div>
            <w:div w:id="179122688">
              <w:marLeft w:val="0"/>
              <w:marRight w:val="0"/>
              <w:marTop w:val="0"/>
              <w:marBottom w:val="0"/>
              <w:divBdr>
                <w:top w:val="none" w:sz="0" w:space="0" w:color="auto"/>
                <w:left w:val="none" w:sz="0" w:space="0" w:color="auto"/>
                <w:bottom w:val="none" w:sz="0" w:space="0" w:color="auto"/>
                <w:right w:val="none" w:sz="0" w:space="0" w:color="auto"/>
              </w:divBdr>
              <w:divsChild>
                <w:div w:id="955869608">
                  <w:marLeft w:val="0"/>
                  <w:marRight w:val="0"/>
                  <w:marTop w:val="0"/>
                  <w:marBottom w:val="0"/>
                  <w:divBdr>
                    <w:top w:val="none" w:sz="0" w:space="0" w:color="auto"/>
                    <w:left w:val="none" w:sz="0" w:space="0" w:color="auto"/>
                    <w:bottom w:val="none" w:sz="0" w:space="0" w:color="auto"/>
                    <w:right w:val="none" w:sz="0" w:space="0" w:color="auto"/>
                  </w:divBdr>
                </w:div>
              </w:divsChild>
            </w:div>
            <w:div w:id="1621447560">
              <w:marLeft w:val="0"/>
              <w:marRight w:val="0"/>
              <w:marTop w:val="0"/>
              <w:marBottom w:val="0"/>
              <w:divBdr>
                <w:top w:val="none" w:sz="0" w:space="0" w:color="auto"/>
                <w:left w:val="none" w:sz="0" w:space="0" w:color="auto"/>
                <w:bottom w:val="none" w:sz="0" w:space="0" w:color="auto"/>
                <w:right w:val="none" w:sz="0" w:space="0" w:color="auto"/>
              </w:divBdr>
              <w:divsChild>
                <w:div w:id="986517527">
                  <w:marLeft w:val="0"/>
                  <w:marRight w:val="0"/>
                  <w:marTop w:val="0"/>
                  <w:marBottom w:val="0"/>
                  <w:divBdr>
                    <w:top w:val="none" w:sz="0" w:space="0" w:color="auto"/>
                    <w:left w:val="none" w:sz="0" w:space="0" w:color="auto"/>
                    <w:bottom w:val="none" w:sz="0" w:space="0" w:color="auto"/>
                    <w:right w:val="none" w:sz="0" w:space="0" w:color="auto"/>
                  </w:divBdr>
                </w:div>
              </w:divsChild>
            </w:div>
            <w:div w:id="1577473609">
              <w:marLeft w:val="0"/>
              <w:marRight w:val="0"/>
              <w:marTop w:val="0"/>
              <w:marBottom w:val="0"/>
              <w:divBdr>
                <w:top w:val="none" w:sz="0" w:space="0" w:color="auto"/>
                <w:left w:val="none" w:sz="0" w:space="0" w:color="auto"/>
                <w:bottom w:val="none" w:sz="0" w:space="0" w:color="auto"/>
                <w:right w:val="none" w:sz="0" w:space="0" w:color="auto"/>
              </w:divBdr>
              <w:divsChild>
                <w:div w:id="92546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019782">
      <w:bodyDiv w:val="1"/>
      <w:marLeft w:val="0"/>
      <w:marRight w:val="0"/>
      <w:marTop w:val="0"/>
      <w:marBottom w:val="0"/>
      <w:divBdr>
        <w:top w:val="none" w:sz="0" w:space="0" w:color="auto"/>
        <w:left w:val="none" w:sz="0" w:space="0" w:color="auto"/>
        <w:bottom w:val="none" w:sz="0" w:space="0" w:color="auto"/>
        <w:right w:val="none" w:sz="0" w:space="0" w:color="auto"/>
      </w:divBdr>
    </w:div>
    <w:div w:id="1274707915">
      <w:bodyDiv w:val="1"/>
      <w:marLeft w:val="0"/>
      <w:marRight w:val="0"/>
      <w:marTop w:val="0"/>
      <w:marBottom w:val="0"/>
      <w:divBdr>
        <w:top w:val="none" w:sz="0" w:space="0" w:color="auto"/>
        <w:left w:val="none" w:sz="0" w:space="0" w:color="auto"/>
        <w:bottom w:val="none" w:sz="0" w:space="0" w:color="auto"/>
        <w:right w:val="none" w:sz="0" w:space="0" w:color="auto"/>
      </w:divBdr>
    </w:div>
    <w:div w:id="1286546190">
      <w:bodyDiv w:val="1"/>
      <w:marLeft w:val="0"/>
      <w:marRight w:val="0"/>
      <w:marTop w:val="0"/>
      <w:marBottom w:val="0"/>
      <w:divBdr>
        <w:top w:val="none" w:sz="0" w:space="0" w:color="auto"/>
        <w:left w:val="none" w:sz="0" w:space="0" w:color="auto"/>
        <w:bottom w:val="none" w:sz="0" w:space="0" w:color="auto"/>
        <w:right w:val="none" w:sz="0" w:space="0" w:color="auto"/>
      </w:divBdr>
    </w:div>
    <w:div w:id="1399867918">
      <w:bodyDiv w:val="1"/>
      <w:marLeft w:val="0"/>
      <w:marRight w:val="0"/>
      <w:marTop w:val="0"/>
      <w:marBottom w:val="0"/>
      <w:divBdr>
        <w:top w:val="none" w:sz="0" w:space="0" w:color="auto"/>
        <w:left w:val="none" w:sz="0" w:space="0" w:color="auto"/>
        <w:bottom w:val="none" w:sz="0" w:space="0" w:color="auto"/>
        <w:right w:val="none" w:sz="0" w:space="0" w:color="auto"/>
      </w:divBdr>
    </w:div>
    <w:div w:id="1520775281">
      <w:bodyDiv w:val="1"/>
      <w:marLeft w:val="0"/>
      <w:marRight w:val="0"/>
      <w:marTop w:val="0"/>
      <w:marBottom w:val="0"/>
      <w:divBdr>
        <w:top w:val="none" w:sz="0" w:space="0" w:color="auto"/>
        <w:left w:val="none" w:sz="0" w:space="0" w:color="auto"/>
        <w:bottom w:val="none" w:sz="0" w:space="0" w:color="auto"/>
        <w:right w:val="none" w:sz="0" w:space="0" w:color="auto"/>
      </w:divBdr>
    </w:div>
    <w:div w:id="1524441544">
      <w:bodyDiv w:val="1"/>
      <w:marLeft w:val="0"/>
      <w:marRight w:val="0"/>
      <w:marTop w:val="0"/>
      <w:marBottom w:val="0"/>
      <w:divBdr>
        <w:top w:val="none" w:sz="0" w:space="0" w:color="auto"/>
        <w:left w:val="none" w:sz="0" w:space="0" w:color="auto"/>
        <w:bottom w:val="none" w:sz="0" w:space="0" w:color="auto"/>
        <w:right w:val="none" w:sz="0" w:space="0" w:color="auto"/>
      </w:divBdr>
    </w:div>
    <w:div w:id="1692759503">
      <w:bodyDiv w:val="1"/>
      <w:marLeft w:val="0"/>
      <w:marRight w:val="0"/>
      <w:marTop w:val="0"/>
      <w:marBottom w:val="0"/>
      <w:divBdr>
        <w:top w:val="none" w:sz="0" w:space="0" w:color="auto"/>
        <w:left w:val="none" w:sz="0" w:space="0" w:color="auto"/>
        <w:bottom w:val="none" w:sz="0" w:space="0" w:color="auto"/>
        <w:right w:val="none" w:sz="0" w:space="0" w:color="auto"/>
      </w:divBdr>
      <w:divsChild>
        <w:div w:id="576137748">
          <w:marLeft w:val="0"/>
          <w:marRight w:val="0"/>
          <w:marTop w:val="0"/>
          <w:marBottom w:val="0"/>
          <w:divBdr>
            <w:top w:val="none" w:sz="0" w:space="0" w:color="auto"/>
            <w:left w:val="none" w:sz="0" w:space="0" w:color="auto"/>
            <w:bottom w:val="none" w:sz="0" w:space="0" w:color="auto"/>
            <w:right w:val="none" w:sz="0" w:space="0" w:color="auto"/>
          </w:divBdr>
          <w:divsChild>
            <w:div w:id="1986347690">
              <w:marLeft w:val="300"/>
              <w:marRight w:val="0"/>
              <w:marTop w:val="0"/>
              <w:marBottom w:val="0"/>
              <w:divBdr>
                <w:top w:val="none" w:sz="0" w:space="0" w:color="auto"/>
                <w:left w:val="none" w:sz="0" w:space="0" w:color="auto"/>
                <w:bottom w:val="none" w:sz="0" w:space="0" w:color="auto"/>
                <w:right w:val="none" w:sz="0" w:space="0" w:color="auto"/>
              </w:divBdr>
            </w:div>
          </w:divsChild>
        </w:div>
        <w:div w:id="1077285590">
          <w:marLeft w:val="0"/>
          <w:marRight w:val="0"/>
          <w:marTop w:val="0"/>
          <w:marBottom w:val="0"/>
          <w:divBdr>
            <w:top w:val="none" w:sz="0" w:space="0" w:color="auto"/>
            <w:left w:val="none" w:sz="0" w:space="0" w:color="auto"/>
            <w:bottom w:val="none" w:sz="0" w:space="0" w:color="auto"/>
            <w:right w:val="none" w:sz="0" w:space="0" w:color="auto"/>
          </w:divBdr>
          <w:divsChild>
            <w:div w:id="1183739760">
              <w:marLeft w:val="300"/>
              <w:marRight w:val="0"/>
              <w:marTop w:val="0"/>
              <w:marBottom w:val="0"/>
              <w:divBdr>
                <w:top w:val="none" w:sz="0" w:space="0" w:color="auto"/>
                <w:left w:val="none" w:sz="0" w:space="0" w:color="auto"/>
                <w:bottom w:val="none" w:sz="0" w:space="0" w:color="auto"/>
                <w:right w:val="none" w:sz="0" w:space="0" w:color="auto"/>
              </w:divBdr>
            </w:div>
          </w:divsChild>
        </w:div>
        <w:div w:id="843057895">
          <w:marLeft w:val="0"/>
          <w:marRight w:val="0"/>
          <w:marTop w:val="0"/>
          <w:marBottom w:val="0"/>
          <w:divBdr>
            <w:top w:val="none" w:sz="0" w:space="0" w:color="auto"/>
            <w:left w:val="none" w:sz="0" w:space="0" w:color="auto"/>
            <w:bottom w:val="none" w:sz="0" w:space="0" w:color="auto"/>
            <w:right w:val="none" w:sz="0" w:space="0" w:color="auto"/>
          </w:divBdr>
          <w:divsChild>
            <w:div w:id="840241451">
              <w:marLeft w:val="300"/>
              <w:marRight w:val="0"/>
              <w:marTop w:val="0"/>
              <w:marBottom w:val="0"/>
              <w:divBdr>
                <w:top w:val="none" w:sz="0" w:space="0" w:color="auto"/>
                <w:left w:val="none" w:sz="0" w:space="0" w:color="auto"/>
                <w:bottom w:val="none" w:sz="0" w:space="0" w:color="auto"/>
                <w:right w:val="none" w:sz="0" w:space="0" w:color="auto"/>
              </w:divBdr>
            </w:div>
          </w:divsChild>
        </w:div>
        <w:div w:id="6442339">
          <w:marLeft w:val="0"/>
          <w:marRight w:val="0"/>
          <w:marTop w:val="0"/>
          <w:marBottom w:val="0"/>
          <w:divBdr>
            <w:top w:val="none" w:sz="0" w:space="0" w:color="auto"/>
            <w:left w:val="none" w:sz="0" w:space="0" w:color="auto"/>
            <w:bottom w:val="none" w:sz="0" w:space="0" w:color="auto"/>
            <w:right w:val="none" w:sz="0" w:space="0" w:color="auto"/>
          </w:divBdr>
          <w:divsChild>
            <w:div w:id="1546916482">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 w:id="189700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s://www.ncbi.nlm.nih.gov/pmc/articles/PMC3468117/" TargetMode="External"/><Relationship Id="rId26" Type="http://schemas.openxmlformats.org/officeDocument/2006/relationships/hyperlink" Target="https://journals.sagepub.com/doi/full/10.1177/2050640615606012" TargetMode="External"/><Relationship Id="rId3" Type="http://schemas.openxmlformats.org/officeDocument/2006/relationships/styles" Target="styles.xml"/><Relationship Id="rId21" Type="http://schemas.openxmlformats.org/officeDocument/2006/relationships/hyperlink" Target="https://journals.sagepub.com/doi/full/10.1177/2050640615606012" TargetMode="Externa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https://www.aafp.org/afp/2008/0401/p971.html?printable=afp" TargetMode="External"/><Relationship Id="rId25" Type="http://schemas.openxmlformats.org/officeDocument/2006/relationships/hyperlink" Target="https://journals.sagepub.com/doi/full/10.1177/2050640615606012" TargetMode="External"/><Relationship Id="rId2" Type="http://schemas.openxmlformats.org/officeDocument/2006/relationships/numbering" Target="numbering.xml"/><Relationship Id="rId16" Type="http://schemas.openxmlformats.org/officeDocument/2006/relationships/hyperlink" Target="https://www.aafp.org/afp/2008/0401/p971.html?printable=afp" TargetMode="External"/><Relationship Id="rId20" Type="http://schemas.openxmlformats.org/officeDocument/2006/relationships/hyperlink" Target="https://journals.sagepub.com/doi/full/10.1177/2050640615606012"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il-attachment.googleusercontent.com/attachment/u/0/?view=att&amp;th=15e807a5f616fb64&amp;attid=0.1&amp;disp=attd&amp;realattid=file0&amp;" TargetMode="External"/><Relationship Id="rId24" Type="http://schemas.openxmlformats.org/officeDocument/2006/relationships/hyperlink" Target="https://journals.sagepub.com/doi/full/10.1177/2050640615606012" TargetMode="Externa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journals.sagepub.com/doi/full/10.1177/2050640615606012" TargetMode="External"/><Relationship Id="rId28" Type="http://schemas.openxmlformats.org/officeDocument/2006/relationships/theme" Target="theme/theme1.xml"/><Relationship Id="rId10" Type="http://schemas.openxmlformats.org/officeDocument/2006/relationships/image" Target="media/image20.jpeg"/><Relationship Id="rId19" Type="http://schemas.openxmlformats.org/officeDocument/2006/relationships/hyperlink" Target="https://journals.sagepub.com/doi/full/10.1177/2050640615606012"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hyperlink" Target="https://journals.sagepub.com/doi/full/10.1177/2050640615606012" TargetMode="External"/><Relationship Id="rId27"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14A59D-CB01-45A3-A3E6-F6350CF42F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7</Pages>
  <Words>4180</Words>
  <Characters>23827</Characters>
  <Application>Microsoft Office Word</Application>
  <DocSecurity>0</DocSecurity>
  <Lines>198</Lines>
  <Paragraphs>55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27952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adlan</dc:creator>
  <cp:keywords/>
  <dc:description/>
  <cp:lastModifiedBy>baru rao</cp:lastModifiedBy>
  <cp:revision>105</cp:revision>
  <dcterms:created xsi:type="dcterms:W3CDTF">2021-01-16T17:59:00Z</dcterms:created>
  <dcterms:modified xsi:type="dcterms:W3CDTF">2021-01-20T15:54:00Z</dcterms:modified>
</cp:coreProperties>
</file>