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9E832" w14:textId="587F3581" w:rsidR="00D37E71" w:rsidRDefault="00770887">
      <w:r>
        <w:t>Appendix S2</w:t>
      </w:r>
    </w:p>
    <w:p w14:paraId="60F7D717" w14:textId="3563D566" w:rsidR="00770887" w:rsidRDefault="00770887" w:rsidP="00770887">
      <w:pPr>
        <w:pStyle w:val="NoSpacing"/>
        <w:rPr>
          <w:i/>
          <w:iCs/>
        </w:rPr>
      </w:pPr>
      <w:r>
        <w:t xml:space="preserve">Shelby C. McClelland, Keith </w:t>
      </w:r>
      <w:proofErr w:type="spellStart"/>
      <w:r>
        <w:t>Paustian</w:t>
      </w:r>
      <w:proofErr w:type="spellEnd"/>
      <w:r>
        <w:t xml:space="preserve">, and Meagan E. </w:t>
      </w:r>
      <w:proofErr w:type="spellStart"/>
      <w:r>
        <w:t>Schipanski</w:t>
      </w:r>
      <w:proofErr w:type="spellEnd"/>
      <w:r>
        <w:t xml:space="preserve">. </w:t>
      </w:r>
      <w:r w:rsidRPr="009E0DDA">
        <w:t xml:space="preserve">Management of cover crops </w:t>
      </w:r>
      <w:r>
        <w:t xml:space="preserve">in temperate climates </w:t>
      </w:r>
      <w:r w:rsidRPr="009E0DDA">
        <w:t>influences soil organic carbon stocks – A meta-analysis</w:t>
      </w:r>
      <w:r>
        <w:t xml:space="preserve">. </w:t>
      </w:r>
      <w:r>
        <w:rPr>
          <w:i/>
          <w:iCs/>
        </w:rPr>
        <w:t>Ecological Applications.</w:t>
      </w:r>
    </w:p>
    <w:p w14:paraId="51FE78A7" w14:textId="2A678D44" w:rsidR="00770887" w:rsidRDefault="00770887" w:rsidP="00770887">
      <w:pPr>
        <w:pStyle w:val="NoSpacing"/>
      </w:pPr>
    </w:p>
    <w:p w14:paraId="61A32113" w14:textId="6681E42E" w:rsidR="00770887" w:rsidRDefault="00770887" w:rsidP="00770887">
      <w:pPr>
        <w:pStyle w:val="NoSpacing"/>
      </w:pPr>
      <w:r>
        <w:rPr>
          <w:noProof/>
        </w:rPr>
        <w:drawing>
          <wp:inline distT="0" distB="0" distL="0" distR="0" wp14:anchorId="0D93080C" wp14:editId="0D9349C6">
            <wp:extent cx="5943600" cy="4196080"/>
            <wp:effectExtent l="0" t="0" r="0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7bJackKnifepubfinalUPDATE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B9BD8" w14:textId="255272DC" w:rsidR="00770887" w:rsidRDefault="00770887" w:rsidP="00770887">
      <w:pPr>
        <w:pStyle w:val="NoSpacing"/>
      </w:pPr>
      <w:r>
        <w:t xml:space="preserve">Figure S1. The results of the sensitivity analysis, which was completed using a </w:t>
      </w:r>
      <w:proofErr w:type="spellStart"/>
      <w:r>
        <w:t>Jacknife</w:t>
      </w:r>
      <w:proofErr w:type="spellEnd"/>
      <w:r>
        <w:t xml:space="preserve"> technique. The solid black line represents the overall </w:t>
      </w:r>
      <w:proofErr w:type="spellStart"/>
      <w:r>
        <w:t>lnRR</w:t>
      </w:r>
      <w:proofErr w:type="spellEnd"/>
      <w:r>
        <w:t xml:space="preserve"> and the blue dashed lines the lower and upper 95% confidence interval of the overall </w:t>
      </w:r>
      <w:proofErr w:type="spellStart"/>
      <w:r>
        <w:t>lnRR</w:t>
      </w:r>
      <w:proofErr w:type="spellEnd"/>
      <w:r>
        <w:t xml:space="preserve"> (prior to publication removal). The solid black line represents a null effect. Recomputed </w:t>
      </w:r>
      <w:proofErr w:type="spellStart"/>
      <w:r>
        <w:t>lnRR</w:t>
      </w:r>
      <w:proofErr w:type="spellEnd"/>
      <w:r>
        <w:t xml:space="preserve"> and 95% confidence intervals that do not cross zero were considered significant. </w:t>
      </w:r>
    </w:p>
    <w:p w14:paraId="670D2CC6" w14:textId="7F7B9360" w:rsidR="00CF2CC6" w:rsidRDefault="00CF2CC6" w:rsidP="00770887">
      <w:pPr>
        <w:pStyle w:val="NoSpacing"/>
      </w:pPr>
    </w:p>
    <w:p w14:paraId="42D1B5D9" w14:textId="023A15EF" w:rsidR="00CF2CC6" w:rsidRDefault="00CF2CC6">
      <w:r>
        <w:br w:type="page"/>
      </w:r>
    </w:p>
    <w:p w14:paraId="09682BF9" w14:textId="0802804E" w:rsidR="00CF2CC6" w:rsidRPr="00770887" w:rsidRDefault="00CF2CC6" w:rsidP="00770887">
      <w:pPr>
        <w:pStyle w:val="NoSpacing"/>
      </w:pPr>
      <w:r>
        <w:rPr>
          <w:noProof/>
        </w:rPr>
        <w:lastRenderedPageBreak/>
        <w:drawing>
          <wp:inline distT="0" distB="0" distL="0" distR="0" wp14:anchorId="6300E635" wp14:editId="7E5C49FD">
            <wp:extent cx="6429764" cy="4543425"/>
            <wp:effectExtent l="0" t="0" r="9525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putationSensitivityAnalysis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684" cy="455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471BA" w14:textId="04D466C0" w:rsidR="00770887" w:rsidRDefault="00CF2CC6">
      <w:r>
        <w:t xml:space="preserve">Figure S2. The results of the imputation sensitivity analysis. </w:t>
      </w:r>
      <w:r>
        <w:t xml:space="preserve">The solid black line represents the overall </w:t>
      </w:r>
      <w:proofErr w:type="spellStart"/>
      <w:r>
        <w:t>lnRR</w:t>
      </w:r>
      <w:proofErr w:type="spellEnd"/>
      <w:r>
        <w:t xml:space="preserve"> and the blue dashed lines the lower and upper 95% confidence interval of the overall </w:t>
      </w:r>
      <w:proofErr w:type="spellStart"/>
      <w:r>
        <w:t>lnRR</w:t>
      </w:r>
      <w:proofErr w:type="spellEnd"/>
      <w:r>
        <w:t xml:space="preserve"> (</w:t>
      </w:r>
      <w:r>
        <w:t>at each level of imputed variance</w:t>
      </w:r>
      <w:r>
        <w:t xml:space="preserve">). The solid black line represents a null effect. Recomputed </w:t>
      </w:r>
      <w:proofErr w:type="spellStart"/>
      <w:r>
        <w:t>lnRR</w:t>
      </w:r>
      <w:proofErr w:type="spellEnd"/>
      <w:r>
        <w:t xml:space="preserve"> and 95% confidence intervals that do not cross zero were considered significant.</w:t>
      </w:r>
    </w:p>
    <w:sectPr w:rsidR="00770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87"/>
    <w:rsid w:val="001C4031"/>
    <w:rsid w:val="00770887"/>
    <w:rsid w:val="00CF2CC6"/>
    <w:rsid w:val="00D37E71"/>
    <w:rsid w:val="00EE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C81A0"/>
  <w15:chartTrackingRefBased/>
  <w15:docId w15:val="{68A76390-5C19-4E67-9FC0-4E009E58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0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7088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70887"/>
  </w:style>
  <w:style w:type="paragraph" w:styleId="BalloonText">
    <w:name w:val="Balloon Text"/>
    <w:basedOn w:val="Normal"/>
    <w:link w:val="BalloonTextChar"/>
    <w:uiPriority w:val="99"/>
    <w:semiHidden/>
    <w:unhideWhenUsed/>
    <w:rsid w:val="00770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McClelland</dc:creator>
  <cp:keywords/>
  <dc:description/>
  <cp:lastModifiedBy>Shelby McClelland</cp:lastModifiedBy>
  <cp:revision>2</cp:revision>
  <dcterms:created xsi:type="dcterms:W3CDTF">2020-05-27T20:44:00Z</dcterms:created>
  <dcterms:modified xsi:type="dcterms:W3CDTF">2020-06-21T18:05:00Z</dcterms:modified>
</cp:coreProperties>
</file>