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B7D" w:rsidRDefault="003F5E1D" w:rsidP="007B3B7D">
      <w:pPr>
        <w:jc w:val="center"/>
        <w:rPr>
          <w:b/>
        </w:rPr>
      </w:pPr>
      <w:r>
        <w:rPr>
          <w:b/>
        </w:rPr>
        <w:t>Module 6</w:t>
      </w:r>
      <w:r w:rsidR="007B3B7D">
        <w:rPr>
          <w:b/>
        </w:rPr>
        <w:t xml:space="preserve"> / Chapter 4 – Key Terms</w:t>
      </w:r>
    </w:p>
    <w:p w:rsidR="007B3B7D" w:rsidRPr="007B3B7D" w:rsidRDefault="007B3B7D" w:rsidP="007B3B7D">
      <w:pPr>
        <w:pStyle w:val="ListParagraph"/>
        <w:numPr>
          <w:ilvl w:val="0"/>
          <w:numId w:val="1"/>
        </w:numPr>
        <w:rPr>
          <w:b/>
        </w:rPr>
      </w:pPr>
      <w:r w:rsidRPr="007B3B7D">
        <w:rPr>
          <w:b/>
        </w:rPr>
        <w:t xml:space="preserve">Acquisition cost </w:t>
      </w:r>
      <w:proofErr w:type="gramStart"/>
      <w:r>
        <w:t>A</w:t>
      </w:r>
      <w:proofErr w:type="gramEnd"/>
      <w:r>
        <w:t xml:space="preserve"> cost class that includes </w:t>
      </w:r>
      <w:r w:rsidRPr="00360464">
        <w:t>“</w:t>
      </w:r>
      <w:r>
        <w:t>t</w:t>
      </w:r>
      <w:r w:rsidRPr="00360464">
        <w:t xml:space="preserve">he </w:t>
      </w:r>
      <w:r>
        <w:t xml:space="preserve">total cost to procure, install, and put into operation a system, product, or special piece of infrastructure. These are the costs associated with planning, designing, engineering, testing, manufacturing, and deploying/installing a system </w:t>
      </w:r>
      <w:bookmarkStart w:id="0" w:name="_GoBack"/>
      <w:bookmarkEnd w:id="0"/>
      <w:r>
        <w:t>or process.”</w:t>
      </w:r>
      <w:sdt>
        <w:sdtPr>
          <w:id w:val="1976403843"/>
          <w:citation/>
        </w:sdtPr>
        <w:sdtEndPr/>
        <w:sdtContent>
          <w:r>
            <w:fldChar w:fldCharType="begin"/>
          </w:r>
          <w:r>
            <w:rPr>
              <w:noProof/>
            </w:rPr>
            <w:instrText xml:space="preserve">CITATION Par11 \p 144 \t  \l 1033 </w:instrText>
          </w:r>
          <w:r>
            <w:fldChar w:fldCharType="separate"/>
          </w:r>
          <w:r>
            <w:rPr>
              <w:noProof/>
            </w:rPr>
            <w:t xml:space="preserve"> (Parnell, Driscoll, &amp; Henderson, 2011, p. 144)</w:t>
          </w:r>
          <w:r>
            <w:fldChar w:fldCharType="end"/>
          </w:r>
        </w:sdtContent>
      </w:sdt>
    </w:p>
    <w:p w:rsidR="007B3B7D" w:rsidRPr="007B3B7D" w:rsidRDefault="007B3B7D" w:rsidP="007B3B7D">
      <w:pPr>
        <w:pStyle w:val="ListParagraph"/>
        <w:numPr>
          <w:ilvl w:val="0"/>
          <w:numId w:val="1"/>
        </w:numPr>
        <w:rPr>
          <w:b/>
        </w:rPr>
      </w:pPr>
      <w:r w:rsidRPr="007B3B7D">
        <w:rPr>
          <w:b/>
        </w:rPr>
        <w:t xml:space="preserve">Affordability  </w:t>
      </w:r>
      <w:r w:rsidRPr="0068072B">
        <w:t>The degree to which the resources being allocated to a capability relative to other uses of those resources reflects (</w:t>
      </w:r>
      <w:proofErr w:type="spellStart"/>
      <w:r w:rsidRPr="0068072B">
        <w:t>i</w:t>
      </w:r>
      <w:proofErr w:type="spellEnd"/>
      <w:r w:rsidRPr="0068072B">
        <w:t>) the importance, urgency, and satisfaction of mission, strategic investment, and organizational needs, and (ii) a prudent balance of performance, cost, and schedule constraints consistent with the time phased availability (technical, market, and fiscal) of budgeted resources.</w:t>
      </w:r>
    </w:p>
    <w:p w:rsidR="007B3B7D" w:rsidRDefault="007B3B7D" w:rsidP="007B3B7D">
      <w:pPr>
        <w:pStyle w:val="ListParagraph"/>
        <w:numPr>
          <w:ilvl w:val="0"/>
          <w:numId w:val="1"/>
        </w:numPr>
      </w:pPr>
      <w:r w:rsidRPr="007B3B7D">
        <w:rPr>
          <w:b/>
        </w:rPr>
        <w:t xml:space="preserve">Affordability </w:t>
      </w:r>
      <w:proofErr w:type="gramStart"/>
      <w:r w:rsidRPr="007B3B7D">
        <w:rPr>
          <w:b/>
        </w:rPr>
        <w:t>Analysis</w:t>
      </w:r>
      <w:r>
        <w:t xml:space="preserve">  A</w:t>
      </w:r>
      <w:proofErr w:type="gramEnd"/>
      <w:r>
        <w:t xml:space="preserve"> process and assessment that supports resource allocation decision-making.  It identifies and quantifies the performance expectations of stakeholders, assigns value to those expectations, and measures the life cycle cost of alternatives relative to both opportunity costs and resourcing actions or plans.</w:t>
      </w:r>
    </w:p>
    <w:p w:rsidR="007B3B7D" w:rsidRPr="005B4491" w:rsidRDefault="007B3B7D" w:rsidP="007B3B7D">
      <w:pPr>
        <w:pStyle w:val="ListParagraph"/>
        <w:numPr>
          <w:ilvl w:val="0"/>
          <w:numId w:val="1"/>
        </w:numPr>
      </w:pPr>
      <w:r w:rsidRPr="007B3B7D">
        <w:rPr>
          <w:b/>
        </w:rPr>
        <w:t>Cash flow (CF)</w:t>
      </w:r>
      <w:r w:rsidRPr="005B4491">
        <w:t xml:space="preserve"> </w:t>
      </w:r>
      <w:r w:rsidRPr="007B3B7D">
        <w:rPr>
          <w:lang w:val="en"/>
        </w:rPr>
        <w:t xml:space="preserve">The annual summation of revenues and expenditures for a business, project, or financial product. </w:t>
      </w:r>
    </w:p>
    <w:p w:rsidR="007B3B7D" w:rsidRPr="007B3B7D" w:rsidRDefault="007B3B7D" w:rsidP="007B3B7D">
      <w:pPr>
        <w:pStyle w:val="ListParagraph"/>
        <w:numPr>
          <w:ilvl w:val="0"/>
          <w:numId w:val="1"/>
        </w:numPr>
        <w:rPr>
          <w:b/>
        </w:rPr>
      </w:pPr>
      <w:r w:rsidRPr="007B3B7D">
        <w:rPr>
          <w:b/>
        </w:rPr>
        <w:t>Cost analysis</w:t>
      </w:r>
      <w:r w:rsidRPr="007B3B7D">
        <w:rPr>
          <w:b/>
        </w:rPr>
        <w:fldChar w:fldCharType="begin"/>
      </w:r>
      <w:r>
        <w:instrText xml:space="preserve"> XE "</w:instrText>
      </w:r>
      <w:r w:rsidRPr="005B31BC">
        <w:instrText>Cost analysis</w:instrText>
      </w:r>
      <w:r>
        <w:instrText xml:space="preserve">" </w:instrText>
      </w:r>
      <w:r w:rsidRPr="007B3B7D">
        <w:rPr>
          <w:b/>
        </w:rPr>
        <w:fldChar w:fldCharType="end"/>
      </w:r>
      <w:r w:rsidRPr="007B3B7D">
        <w:rPr>
          <w:b/>
        </w:rPr>
        <w:t xml:space="preserve"> </w:t>
      </w:r>
      <w:proofErr w:type="gramStart"/>
      <w:r w:rsidRPr="005B4491">
        <w:t>The</w:t>
      </w:r>
      <w:proofErr w:type="gramEnd"/>
      <w:r w:rsidRPr="005B4491">
        <w:t xml:space="preserve"> review and evaluation of the separate cost elements and profit or fee in an </w:t>
      </w:r>
      <w:proofErr w:type="spellStart"/>
      <w:r w:rsidRPr="005B4491">
        <w:t>offeror’s</w:t>
      </w:r>
      <w:proofErr w:type="spellEnd"/>
      <w:r w:rsidRPr="005B4491">
        <w:t xml:space="preserve"> or contractor’s proposal to determine a fair and reasonable price or to determine cost realism. Cost analysis includes the application of judgment to determine how well the proposed costs represent </w:t>
      </w:r>
      <w:proofErr w:type="gramStart"/>
      <w:r w:rsidRPr="005B4491">
        <w:t>what the cost of the contract should be, assuming reasonable economy and efficiency</w:t>
      </w:r>
      <w:proofErr w:type="gramEnd"/>
      <w:r w:rsidRPr="005B4491">
        <w:t>.</w:t>
      </w:r>
      <w:sdt>
        <w:sdtPr>
          <w:id w:val="1444727658"/>
          <w:citation/>
        </w:sdtPr>
        <w:sdtEndPr/>
        <w:sdtContent>
          <w:r w:rsidRPr="005B4491">
            <w:fldChar w:fldCharType="begin"/>
          </w:r>
          <w:r w:rsidRPr="005B4491">
            <w:instrText xml:space="preserve"> CITATION Cos14 \l 1033 </w:instrText>
          </w:r>
          <w:r w:rsidRPr="005B4491">
            <w:fldChar w:fldCharType="separate"/>
          </w:r>
          <w:r>
            <w:rPr>
              <w:noProof/>
            </w:rPr>
            <w:t xml:space="preserve"> (Cost Analysis, 2014)</w:t>
          </w:r>
          <w:r w:rsidRPr="005B4491">
            <w:fldChar w:fldCharType="end"/>
          </w:r>
        </w:sdtContent>
      </w:sdt>
    </w:p>
    <w:p w:rsidR="007B3B7D" w:rsidRPr="007B3B7D" w:rsidRDefault="007B3B7D" w:rsidP="007B3B7D">
      <w:pPr>
        <w:pStyle w:val="ListParagraph"/>
        <w:numPr>
          <w:ilvl w:val="0"/>
          <w:numId w:val="1"/>
        </w:numPr>
        <w:rPr>
          <w:b/>
        </w:rPr>
      </w:pPr>
      <w:r w:rsidRPr="007B3B7D">
        <w:rPr>
          <w:b/>
        </w:rPr>
        <w:t>Cost</w:t>
      </w:r>
      <w:r w:rsidRPr="005B4491">
        <w:t xml:space="preserve"> Any term that refers to organizational resource</w:t>
      </w:r>
      <w:r>
        <w:t xml:space="preserve"> that </w:t>
      </w:r>
      <w:proofErr w:type="gramStart"/>
      <w:r>
        <w:t>would be expended</w:t>
      </w:r>
      <w:proofErr w:type="gramEnd"/>
      <w:r>
        <w:t xml:space="preserve"> for a program/product</w:t>
      </w:r>
      <w:r w:rsidRPr="005B4491">
        <w:t>. Examples include but are not limited to funds, dollars, hours, professional service years, and facility space.</w:t>
      </w:r>
      <w:r w:rsidRPr="007B3B7D">
        <w:rPr>
          <w:b/>
        </w:rPr>
        <w:t xml:space="preserve"> </w:t>
      </w:r>
      <w:sdt>
        <w:sdtPr>
          <w:rPr>
            <w:b/>
          </w:rPr>
          <w:id w:val="-993337620"/>
          <w:citation/>
        </w:sdtPr>
        <w:sdtEndPr/>
        <w:sdtContent>
          <w:r w:rsidRPr="007B3B7D">
            <w:rPr>
              <w:b/>
            </w:rPr>
            <w:fldChar w:fldCharType="begin"/>
          </w:r>
          <w:r w:rsidRPr="005B4491">
            <w:rPr>
              <w:noProof/>
            </w:rPr>
            <w:instrText xml:space="preserve">CITATION Par11 \p 143 \t  \l 1033 </w:instrText>
          </w:r>
          <w:r w:rsidRPr="007B3B7D">
            <w:rPr>
              <w:b/>
            </w:rPr>
            <w:fldChar w:fldCharType="separate"/>
          </w:r>
          <w:r>
            <w:rPr>
              <w:noProof/>
            </w:rPr>
            <w:t>(Parnell, Driscoll, &amp; Henderson, 2011, p. 143)</w:t>
          </w:r>
          <w:r w:rsidRPr="007B3B7D">
            <w:rPr>
              <w:b/>
            </w:rPr>
            <w:fldChar w:fldCharType="end"/>
          </w:r>
        </w:sdtContent>
      </w:sdt>
    </w:p>
    <w:p w:rsidR="007B3B7D" w:rsidRPr="007B3B7D" w:rsidRDefault="007B3B7D" w:rsidP="007B3B7D">
      <w:pPr>
        <w:pStyle w:val="ListParagraph"/>
        <w:numPr>
          <w:ilvl w:val="0"/>
          <w:numId w:val="1"/>
        </w:numPr>
        <w:rPr>
          <w:b/>
        </w:rPr>
      </w:pPr>
      <w:r w:rsidRPr="007B3B7D">
        <w:rPr>
          <w:b/>
        </w:rPr>
        <w:t>Cost estimation</w:t>
      </w:r>
      <w:r w:rsidRPr="007B3B7D">
        <w:rPr>
          <w:b/>
        </w:rPr>
        <w:fldChar w:fldCharType="begin"/>
      </w:r>
      <w:r>
        <w:instrText xml:space="preserve"> XE "</w:instrText>
      </w:r>
      <w:r w:rsidRPr="007B3B7D">
        <w:rPr>
          <w:szCs w:val="24"/>
        </w:rPr>
        <w:instrText>Cost estimation</w:instrText>
      </w:r>
      <w:r>
        <w:instrText xml:space="preserve">" </w:instrText>
      </w:r>
      <w:r w:rsidRPr="007B3B7D">
        <w:rPr>
          <w:b/>
        </w:rPr>
        <w:fldChar w:fldCharType="end"/>
      </w:r>
      <w:r w:rsidRPr="007B3B7D">
        <w:rPr>
          <w:b/>
        </w:rPr>
        <w:t xml:space="preserve"> or estimate </w:t>
      </w:r>
      <w:proofErr w:type="gramStart"/>
      <w:r w:rsidRPr="005B4491">
        <w:t>A</w:t>
      </w:r>
      <w:proofErr w:type="gramEnd"/>
      <w:r w:rsidRPr="005B4491">
        <w:t xml:space="preserve"> assessment and forecast of the cost of a hardware, software and/or services.</w:t>
      </w:r>
      <w:sdt>
        <w:sdtPr>
          <w:id w:val="1776058466"/>
          <w:citation/>
        </w:sdtPr>
        <w:sdtEndPr/>
        <w:sdtContent>
          <w:r w:rsidRPr="005B4491">
            <w:fldChar w:fldCharType="begin"/>
          </w:r>
          <w:r w:rsidRPr="005B4491">
            <w:instrText xml:space="preserve"> CITATION Wil11 \l 1033 </w:instrText>
          </w:r>
          <w:r w:rsidRPr="005B4491">
            <w:fldChar w:fldCharType="separate"/>
          </w:r>
          <w:r>
            <w:rPr>
              <w:noProof/>
            </w:rPr>
            <w:t xml:space="preserve"> (Williams &amp; Barber, 2011)</w:t>
          </w:r>
          <w:r w:rsidRPr="005B4491">
            <w:fldChar w:fldCharType="end"/>
          </w:r>
        </w:sdtContent>
      </w:sdt>
      <w:r w:rsidRPr="005B4491">
        <w:t xml:space="preserve">  </w:t>
      </w:r>
    </w:p>
    <w:p w:rsidR="007B3B7D" w:rsidRPr="007B3B7D" w:rsidRDefault="007B3B7D" w:rsidP="007B3B7D">
      <w:pPr>
        <w:pStyle w:val="ListParagraph"/>
        <w:numPr>
          <w:ilvl w:val="0"/>
          <w:numId w:val="1"/>
        </w:numPr>
        <w:rPr>
          <w:b/>
        </w:rPr>
      </w:pPr>
      <w:r w:rsidRPr="007B3B7D">
        <w:rPr>
          <w:b/>
        </w:rPr>
        <w:t>Cost objective</w:t>
      </w:r>
      <w:r w:rsidRPr="007B3B7D">
        <w:rPr>
          <w:b/>
        </w:rPr>
        <w:fldChar w:fldCharType="begin"/>
      </w:r>
      <w:r>
        <w:instrText xml:space="preserve"> XE "</w:instrText>
      </w:r>
      <w:r w:rsidRPr="007B3B7D">
        <w:rPr>
          <w:b/>
        </w:rPr>
        <w:instrText>Cost objective</w:instrText>
      </w:r>
      <w:r>
        <w:instrText xml:space="preserve">" </w:instrText>
      </w:r>
      <w:r w:rsidRPr="007B3B7D">
        <w:rPr>
          <w:b/>
        </w:rPr>
        <w:fldChar w:fldCharType="end"/>
      </w:r>
      <w:r w:rsidRPr="007B3B7D">
        <w:rPr>
          <w:b/>
        </w:rPr>
        <w:t xml:space="preserve"> </w:t>
      </w:r>
      <w:r w:rsidRPr="005B4491">
        <w:t xml:space="preserve">One of the numerous possible objectives in a value hierarchy, it is often represented as a mathematical </w:t>
      </w:r>
      <w:proofErr w:type="gramStart"/>
      <w:r w:rsidRPr="005B4491">
        <w:t>value which</w:t>
      </w:r>
      <w:proofErr w:type="gramEnd"/>
      <w:r w:rsidRPr="005B4491">
        <w:t xml:space="preserve"> </w:t>
      </w:r>
      <w:r>
        <w:t xml:space="preserve">the </w:t>
      </w:r>
      <w:r w:rsidRPr="005B4491">
        <w:t>organization seeks to minimize</w:t>
      </w:r>
      <w:r w:rsidRPr="005B4491">
        <w:rPr>
          <w:noProof/>
        </w:rPr>
        <w:t xml:space="preserve">. </w:t>
      </w:r>
      <w:r>
        <w:rPr>
          <w:noProof/>
        </w:rPr>
        <w:t>Treated</w:t>
      </w:r>
      <w:r w:rsidRPr="005B4491">
        <w:rPr>
          <w:noProof/>
        </w:rPr>
        <w:t xml:space="preserve"> as a separate value and normalized per unit in a tradespace facilitates its presentation to decision makers.  </w:t>
      </w:r>
      <w:sdt>
        <w:sdtPr>
          <w:rPr>
            <w:noProof/>
          </w:rPr>
          <w:id w:val="-2128065801"/>
          <w:citation/>
        </w:sdtPr>
        <w:sdtEndPr/>
        <w:sdtContent>
          <w:r w:rsidRPr="005B4491">
            <w:rPr>
              <w:noProof/>
            </w:rPr>
            <w:fldChar w:fldCharType="begin"/>
          </w:r>
          <w:r w:rsidRPr="007B3B7D">
            <w:rPr>
              <w:rFonts w:cs="Helvetica"/>
            </w:rPr>
            <w:instrText xml:space="preserve">CITATION Par13 \p 141 \l 1033 </w:instrText>
          </w:r>
          <w:r w:rsidRPr="005B4491">
            <w:rPr>
              <w:noProof/>
            </w:rPr>
            <w:fldChar w:fldCharType="separate"/>
          </w:r>
          <w:r w:rsidRPr="007B3B7D">
            <w:rPr>
              <w:rFonts w:cs="Helvetica"/>
              <w:noProof/>
            </w:rPr>
            <w:t>(Parnell G. B., 2013, p. 141)</w:t>
          </w:r>
          <w:r w:rsidRPr="005B4491">
            <w:rPr>
              <w:noProof/>
            </w:rPr>
            <w:fldChar w:fldCharType="end"/>
          </w:r>
        </w:sdtContent>
      </w:sdt>
    </w:p>
    <w:p w:rsidR="007B3B7D" w:rsidRPr="007B3B7D" w:rsidRDefault="007B3B7D" w:rsidP="007B3B7D">
      <w:pPr>
        <w:pStyle w:val="ListParagraph"/>
        <w:numPr>
          <w:ilvl w:val="0"/>
          <w:numId w:val="1"/>
        </w:numPr>
        <w:rPr>
          <w:b/>
        </w:rPr>
      </w:pPr>
      <w:r w:rsidRPr="007B3B7D">
        <w:rPr>
          <w:b/>
        </w:rPr>
        <w:t>Direct</w:t>
      </w:r>
      <w:r w:rsidRPr="007B3B7D">
        <w:rPr>
          <w:b/>
        </w:rPr>
        <w:fldChar w:fldCharType="begin"/>
      </w:r>
      <w:r>
        <w:instrText xml:space="preserve"> XE "</w:instrText>
      </w:r>
      <w:r w:rsidRPr="007B3B7D">
        <w:rPr>
          <w:i/>
        </w:rPr>
        <w:instrText>Direct Costs</w:instrText>
      </w:r>
      <w:r>
        <w:instrText xml:space="preserve">" </w:instrText>
      </w:r>
      <w:r w:rsidRPr="007B3B7D">
        <w:rPr>
          <w:b/>
        </w:rPr>
        <w:fldChar w:fldCharType="end"/>
      </w:r>
      <w:r w:rsidRPr="007B3B7D">
        <w:rPr>
          <w:b/>
        </w:rPr>
        <w:t xml:space="preserve"> cost </w:t>
      </w:r>
      <w:proofErr w:type="gramStart"/>
      <w:r w:rsidRPr="005B4491">
        <w:t>A</w:t>
      </w:r>
      <w:proofErr w:type="gramEnd"/>
      <w:r w:rsidRPr="005B4491">
        <w:t xml:space="preserve"> cost class that includes costs “that are associated with a specific system, end item, product, process, or service.” These costs </w:t>
      </w:r>
      <w:proofErr w:type="gramStart"/>
      <w:r w:rsidRPr="005B4491">
        <w:t>can be subdivided</w:t>
      </w:r>
      <w:proofErr w:type="gramEnd"/>
      <w:r w:rsidRPr="005B4491">
        <w:t xml:space="preserve"> into “direct labor, material, or expenses.”</w:t>
      </w:r>
      <w:r w:rsidRPr="007B3B7D">
        <w:rPr>
          <w:b/>
        </w:rPr>
        <w:t xml:space="preserve"> </w:t>
      </w:r>
      <w:sdt>
        <w:sdtPr>
          <w:rPr>
            <w:b/>
          </w:rPr>
          <w:id w:val="1156271905"/>
          <w:citation/>
        </w:sdtPr>
        <w:sdtEndPr/>
        <w:sdtContent>
          <w:r w:rsidRPr="007B3B7D">
            <w:rPr>
              <w:b/>
            </w:rPr>
            <w:fldChar w:fldCharType="begin"/>
          </w:r>
          <w:r w:rsidRPr="005B4491">
            <w:rPr>
              <w:noProof/>
            </w:rPr>
            <w:instrText xml:space="preserve">CITATION Par11 \p 144 \t  \l 1033 </w:instrText>
          </w:r>
          <w:r w:rsidRPr="007B3B7D">
            <w:rPr>
              <w:b/>
            </w:rPr>
            <w:fldChar w:fldCharType="separate"/>
          </w:r>
          <w:r>
            <w:rPr>
              <w:noProof/>
            </w:rPr>
            <w:t>(Parnell, Driscoll, &amp; Henderson, 2011, p. 144)</w:t>
          </w:r>
          <w:r w:rsidRPr="007B3B7D">
            <w:rPr>
              <w:b/>
            </w:rPr>
            <w:fldChar w:fldCharType="end"/>
          </w:r>
        </w:sdtContent>
      </w:sdt>
    </w:p>
    <w:p w:rsidR="007B3B7D" w:rsidRPr="007B3B7D" w:rsidRDefault="007B3B7D" w:rsidP="007B3B7D">
      <w:pPr>
        <w:pStyle w:val="ListParagraph"/>
        <w:numPr>
          <w:ilvl w:val="0"/>
          <w:numId w:val="1"/>
        </w:numPr>
        <w:rPr>
          <w:b/>
        </w:rPr>
      </w:pPr>
      <w:r w:rsidRPr="007B3B7D">
        <w:rPr>
          <w:b/>
        </w:rPr>
        <w:t xml:space="preserve">Fixed cost </w:t>
      </w:r>
      <w:proofErr w:type="gramStart"/>
      <w:r w:rsidRPr="005B4491">
        <w:t>A</w:t>
      </w:r>
      <w:proofErr w:type="gramEnd"/>
      <w:r w:rsidRPr="005B4491">
        <w:t xml:space="preserve"> cost class that includes costs “that remain constant independent of the quantity or phase of the life cycle being addressed in the estimate.” Examples of fixed costs </w:t>
      </w:r>
      <w:proofErr w:type="gramStart"/>
      <w:r w:rsidRPr="005B4491">
        <w:t>include:</w:t>
      </w:r>
      <w:proofErr w:type="gramEnd"/>
      <w:r w:rsidRPr="005B4491">
        <w:t xml:space="preserve"> “research, lease rentals, depreciation, taxes, insurance, and security.”</w:t>
      </w:r>
      <w:r w:rsidRPr="007B3B7D">
        <w:rPr>
          <w:b/>
        </w:rPr>
        <w:t xml:space="preserve"> </w:t>
      </w:r>
      <w:sdt>
        <w:sdtPr>
          <w:rPr>
            <w:b/>
          </w:rPr>
          <w:id w:val="-1757122247"/>
          <w:citation/>
        </w:sdtPr>
        <w:sdtEndPr/>
        <w:sdtContent>
          <w:r w:rsidRPr="007B3B7D">
            <w:rPr>
              <w:b/>
            </w:rPr>
            <w:fldChar w:fldCharType="begin"/>
          </w:r>
          <w:r w:rsidRPr="005B4491">
            <w:rPr>
              <w:noProof/>
            </w:rPr>
            <w:instrText xml:space="preserve">CITATION Par11 \p 144 \t  \l 1033 </w:instrText>
          </w:r>
          <w:r w:rsidRPr="007B3B7D">
            <w:rPr>
              <w:b/>
            </w:rPr>
            <w:fldChar w:fldCharType="separate"/>
          </w:r>
          <w:r>
            <w:rPr>
              <w:noProof/>
            </w:rPr>
            <w:t>(Parnell, Driscoll, &amp; Henderson, 2011, p. 144)</w:t>
          </w:r>
          <w:r w:rsidRPr="007B3B7D">
            <w:rPr>
              <w:b/>
            </w:rPr>
            <w:fldChar w:fldCharType="end"/>
          </w:r>
        </w:sdtContent>
      </w:sdt>
    </w:p>
    <w:p w:rsidR="007B3B7D" w:rsidRPr="007B3B7D" w:rsidRDefault="007B3B7D" w:rsidP="007B3B7D">
      <w:pPr>
        <w:pStyle w:val="ListParagraph"/>
        <w:numPr>
          <w:ilvl w:val="0"/>
          <w:numId w:val="1"/>
        </w:numPr>
        <w:rPr>
          <w:b/>
        </w:rPr>
      </w:pPr>
      <w:r w:rsidRPr="007B3B7D">
        <w:rPr>
          <w:b/>
        </w:rPr>
        <w:t xml:space="preserve">Indirect cost </w:t>
      </w:r>
      <w:proofErr w:type="gramStart"/>
      <w:r w:rsidRPr="005B4491">
        <w:t>A</w:t>
      </w:r>
      <w:proofErr w:type="gramEnd"/>
      <w:r w:rsidRPr="005B4491">
        <w:t xml:space="preserve"> cost class that includes costs “that cannot be associated with a specific product or process.” These costs </w:t>
      </w:r>
      <w:proofErr w:type="gramStart"/>
      <w:r w:rsidRPr="005B4491">
        <w:t>can be clustered into an overhead account and applied to “direct costs” as a burden</w:t>
      </w:r>
      <w:proofErr w:type="gramEnd"/>
      <w:r w:rsidRPr="005B4491">
        <w:t xml:space="preserve">. Examples </w:t>
      </w:r>
      <w:proofErr w:type="gramStart"/>
      <w:r w:rsidRPr="005B4491">
        <w:t>include:</w:t>
      </w:r>
      <w:proofErr w:type="gramEnd"/>
      <w:r w:rsidRPr="005B4491">
        <w:t xml:space="preserve"> “security, accounting and finance labor, janitorial services, executive management, and training.”</w:t>
      </w:r>
      <w:r w:rsidRPr="007B3B7D">
        <w:rPr>
          <w:b/>
        </w:rPr>
        <w:t xml:space="preserve">  </w:t>
      </w:r>
      <w:sdt>
        <w:sdtPr>
          <w:rPr>
            <w:b/>
          </w:rPr>
          <w:id w:val="-1604339219"/>
          <w:citation/>
        </w:sdtPr>
        <w:sdtEndPr/>
        <w:sdtContent>
          <w:r w:rsidRPr="007B3B7D">
            <w:rPr>
              <w:b/>
            </w:rPr>
            <w:fldChar w:fldCharType="begin"/>
          </w:r>
          <w:r w:rsidRPr="005B4491">
            <w:rPr>
              <w:noProof/>
            </w:rPr>
            <w:instrText xml:space="preserve">CITATION Par11 \p 144 \t  \l 1033 </w:instrText>
          </w:r>
          <w:r w:rsidRPr="007B3B7D">
            <w:rPr>
              <w:b/>
            </w:rPr>
            <w:fldChar w:fldCharType="separate"/>
          </w:r>
          <w:r>
            <w:rPr>
              <w:noProof/>
            </w:rPr>
            <w:t>(Parnell, Driscoll, &amp; Henderson, 2011, p. 144)</w:t>
          </w:r>
          <w:r w:rsidRPr="007B3B7D">
            <w:rPr>
              <w:b/>
            </w:rPr>
            <w:fldChar w:fldCharType="end"/>
          </w:r>
        </w:sdtContent>
      </w:sdt>
    </w:p>
    <w:p w:rsidR="007B3B7D" w:rsidRPr="007B3B7D" w:rsidRDefault="007B3B7D" w:rsidP="007B3B7D">
      <w:pPr>
        <w:pStyle w:val="ListParagraph"/>
        <w:numPr>
          <w:ilvl w:val="0"/>
          <w:numId w:val="1"/>
        </w:numPr>
        <w:rPr>
          <w:b/>
        </w:rPr>
      </w:pPr>
      <w:r w:rsidRPr="007B3B7D">
        <w:rPr>
          <w:b/>
        </w:rPr>
        <w:lastRenderedPageBreak/>
        <w:t xml:space="preserve">Learning curve </w:t>
      </w:r>
      <w:r w:rsidRPr="007B3B7D">
        <w:rPr>
          <w:lang w:val="en"/>
        </w:rPr>
        <w:t>A graphical representation of how people</w:t>
      </w:r>
      <w:r w:rsidRPr="007B3B7D">
        <w:rPr>
          <w:lang w:val="en"/>
        </w:rPr>
        <w:fldChar w:fldCharType="begin"/>
      </w:r>
      <w:r>
        <w:instrText xml:space="preserve"> XE "</w:instrText>
      </w:r>
      <w:r w:rsidRPr="00555074">
        <w:instrText>Resource:people</w:instrText>
      </w:r>
      <w:r>
        <w:instrText xml:space="preserve">" </w:instrText>
      </w:r>
      <w:r w:rsidRPr="007B3B7D">
        <w:rPr>
          <w:lang w:val="en"/>
        </w:rPr>
        <w:fldChar w:fldCharType="end"/>
      </w:r>
      <w:r w:rsidRPr="007B3B7D">
        <w:rPr>
          <w:lang w:val="en"/>
        </w:rPr>
        <w:t xml:space="preserve"> and organizations get better at tasks (reduce cost; vertical axis) as experience increases (horizontal axis). </w:t>
      </w:r>
      <w:sdt>
        <w:sdtPr>
          <w:rPr>
            <w:lang w:val="en"/>
          </w:rPr>
          <w:id w:val="1773901017"/>
          <w:citation/>
        </w:sdtPr>
        <w:sdtEndPr/>
        <w:sdtContent>
          <w:r w:rsidRPr="007B3B7D">
            <w:rPr>
              <w:lang w:val="en"/>
            </w:rPr>
            <w:fldChar w:fldCharType="begin"/>
          </w:r>
          <w:r w:rsidRPr="005B4491">
            <w:instrText xml:space="preserve">CITATION Pea06 \p 772 \l 1033 </w:instrText>
          </w:r>
          <w:r w:rsidRPr="007B3B7D">
            <w:rPr>
              <w:lang w:val="en"/>
            </w:rPr>
            <w:fldChar w:fldCharType="separate"/>
          </w:r>
          <w:r>
            <w:rPr>
              <w:noProof/>
            </w:rPr>
            <w:t>(Quantitative Module E: Learning Curves, 2006, p. 772)</w:t>
          </w:r>
          <w:r w:rsidRPr="007B3B7D">
            <w:rPr>
              <w:lang w:val="en"/>
            </w:rPr>
            <w:fldChar w:fldCharType="end"/>
          </w:r>
        </w:sdtContent>
      </w:sdt>
    </w:p>
    <w:p w:rsidR="007B3B7D" w:rsidRPr="007B3B7D" w:rsidRDefault="007B3B7D" w:rsidP="007B3B7D">
      <w:pPr>
        <w:pStyle w:val="ListParagraph"/>
        <w:numPr>
          <w:ilvl w:val="0"/>
          <w:numId w:val="1"/>
        </w:numPr>
        <w:rPr>
          <w:b/>
        </w:rPr>
      </w:pPr>
      <w:r w:rsidRPr="007B3B7D">
        <w:rPr>
          <w:b/>
        </w:rPr>
        <w:t xml:space="preserve">Life cycle cost </w:t>
      </w:r>
      <w:r w:rsidRPr="00262CA4">
        <w:t>“</w:t>
      </w:r>
      <w:r>
        <w:rPr>
          <w:noProof/>
        </w:rPr>
        <w:t xml:space="preserve">The total cost of an alternatece across all stages of the altenative (aquisistion) life cycle.” It </w:t>
      </w:r>
      <w:r w:rsidRPr="00D76D3B">
        <w:rPr>
          <w:noProof/>
        </w:rPr>
        <w:t xml:space="preserve">normally does not include sunk costs.  </w:t>
      </w:r>
      <w:sdt>
        <w:sdtPr>
          <w:rPr>
            <w:noProof/>
          </w:rPr>
          <w:id w:val="-772243868"/>
          <w:citation/>
        </w:sdtPr>
        <w:sdtEndPr/>
        <w:sdtContent>
          <w:r>
            <w:rPr>
              <w:noProof/>
            </w:rPr>
            <w:fldChar w:fldCharType="begin"/>
          </w:r>
          <w:r w:rsidRPr="007B3B7D">
            <w:rPr>
              <w:rFonts w:cs="Helvetica"/>
            </w:rPr>
            <w:instrText xml:space="preserve">CITATION Par13 \p "134 and 146" \l 1033 </w:instrText>
          </w:r>
          <w:r>
            <w:rPr>
              <w:noProof/>
            </w:rPr>
            <w:fldChar w:fldCharType="separate"/>
          </w:r>
          <w:r w:rsidRPr="007B3B7D">
            <w:rPr>
              <w:rFonts w:cs="Helvetica"/>
              <w:noProof/>
            </w:rPr>
            <w:t>(Parnell G. B., 2013, p. 134 and 146)</w:t>
          </w:r>
          <w:r>
            <w:rPr>
              <w:noProof/>
            </w:rPr>
            <w:fldChar w:fldCharType="end"/>
          </w:r>
        </w:sdtContent>
      </w:sdt>
      <w:sdt>
        <w:sdtPr>
          <w:rPr>
            <w:noProof/>
          </w:rPr>
          <w:id w:val="-1875147686"/>
          <w:citation/>
        </w:sdtPr>
        <w:sdtEndPr/>
        <w:sdtContent>
          <w:r>
            <w:rPr>
              <w:noProof/>
            </w:rPr>
            <w:fldChar w:fldCharType="begin"/>
          </w:r>
          <w:r>
            <w:rPr>
              <w:noProof/>
            </w:rPr>
            <w:instrText xml:space="preserve">CITATION Par11 \p 137-138 \t  \l 1033 </w:instrText>
          </w:r>
          <w:r>
            <w:rPr>
              <w:noProof/>
            </w:rPr>
            <w:fldChar w:fldCharType="separate"/>
          </w:r>
          <w:r>
            <w:rPr>
              <w:noProof/>
            </w:rPr>
            <w:t xml:space="preserve"> (Parnell, Driscoll, &amp; Henderson, 2011, pp. 137-138)</w:t>
          </w:r>
          <w:r>
            <w:rPr>
              <w:noProof/>
            </w:rPr>
            <w:fldChar w:fldCharType="end"/>
          </w:r>
        </w:sdtContent>
      </w:sdt>
    </w:p>
    <w:p w:rsidR="007B3B7D" w:rsidRPr="007B3B7D" w:rsidRDefault="007B3B7D" w:rsidP="007B3B7D">
      <w:pPr>
        <w:pStyle w:val="ListParagraph"/>
        <w:numPr>
          <w:ilvl w:val="0"/>
          <w:numId w:val="1"/>
        </w:numPr>
        <w:rPr>
          <w:b/>
        </w:rPr>
      </w:pPr>
      <w:r w:rsidRPr="007B3B7D">
        <w:rPr>
          <w:b/>
        </w:rPr>
        <w:t>Monte Carlo</w:t>
      </w:r>
      <w:r w:rsidRPr="007B3B7D">
        <w:rPr>
          <w:rFonts w:cs="Helvetica"/>
        </w:rPr>
        <w:t xml:space="preserve"> A simulation methodology that is a “realization of a sequence of outcomes by repeated random selection of input scenarios according to experts’ probabilities.”  </w:t>
      </w:r>
      <w:sdt>
        <w:sdtPr>
          <w:id w:val="1269350785"/>
          <w:citation/>
        </w:sdtPr>
        <w:sdtEndPr/>
        <w:sdtContent>
          <w:r w:rsidRPr="007B3B7D">
            <w:rPr>
              <w:rFonts w:cs="Helvetica"/>
            </w:rPr>
            <w:fldChar w:fldCharType="begin"/>
          </w:r>
          <w:r w:rsidRPr="007B3B7D">
            <w:rPr>
              <w:rFonts w:cs="Helvetica"/>
            </w:rPr>
            <w:instrText xml:space="preserve">CITATION Par13 \p "146 and 255" \l 1033 </w:instrText>
          </w:r>
          <w:r w:rsidRPr="007B3B7D">
            <w:rPr>
              <w:rFonts w:cs="Helvetica"/>
            </w:rPr>
            <w:fldChar w:fldCharType="separate"/>
          </w:r>
          <w:r w:rsidRPr="007B3B7D">
            <w:rPr>
              <w:rFonts w:cs="Helvetica"/>
              <w:noProof/>
            </w:rPr>
            <w:t>(Parnell G. B., 2013, p. 146 and 255)</w:t>
          </w:r>
          <w:r w:rsidRPr="007B3B7D">
            <w:rPr>
              <w:rFonts w:cs="Helvetica"/>
            </w:rPr>
            <w:fldChar w:fldCharType="end"/>
          </w:r>
        </w:sdtContent>
      </w:sdt>
      <w:sdt>
        <w:sdtPr>
          <w:rPr>
            <w:noProof/>
          </w:rPr>
          <w:id w:val="-870925099"/>
          <w:citation/>
        </w:sdtPr>
        <w:sdtEndPr/>
        <w:sdtContent>
          <w:r>
            <w:rPr>
              <w:noProof/>
            </w:rPr>
            <w:fldChar w:fldCharType="begin"/>
          </w:r>
          <w:r>
            <w:rPr>
              <w:noProof/>
            </w:rPr>
            <w:instrText xml:space="preserve">CITATION Par11 \p 171-172 \t  \l 1033 </w:instrText>
          </w:r>
          <w:r>
            <w:rPr>
              <w:noProof/>
            </w:rPr>
            <w:fldChar w:fldCharType="separate"/>
          </w:r>
          <w:r>
            <w:rPr>
              <w:noProof/>
            </w:rPr>
            <w:t xml:space="preserve"> (Parnell, Driscoll, &amp; Henderson, 2011, pp. 171-172)</w:t>
          </w:r>
          <w:r>
            <w:rPr>
              <w:noProof/>
            </w:rPr>
            <w:fldChar w:fldCharType="end"/>
          </w:r>
        </w:sdtContent>
      </w:sdt>
      <w:sdt>
        <w:sdtPr>
          <w:rPr>
            <w:noProof/>
          </w:rPr>
          <w:id w:val="1107152974"/>
          <w:citation/>
        </w:sdtPr>
        <w:sdtEndPr/>
        <w:sdtContent>
          <w:r>
            <w:rPr>
              <w:noProof/>
            </w:rPr>
            <w:fldChar w:fldCharType="begin"/>
          </w:r>
          <w:r>
            <w:rPr>
              <w:noProof/>
            </w:rPr>
            <w:instrText xml:space="preserve">CITATION Law91 \p 78-80 \l 1033 </w:instrText>
          </w:r>
          <w:r>
            <w:rPr>
              <w:noProof/>
            </w:rPr>
            <w:fldChar w:fldCharType="separate"/>
          </w:r>
          <w:r>
            <w:rPr>
              <w:noProof/>
            </w:rPr>
            <w:t xml:space="preserve"> (Law &amp; Kelton, 1991, pp. 78-80)</w:t>
          </w:r>
          <w:r>
            <w:rPr>
              <w:noProof/>
            </w:rPr>
            <w:fldChar w:fldCharType="end"/>
          </w:r>
        </w:sdtContent>
      </w:sdt>
    </w:p>
    <w:p w:rsidR="007B3B7D" w:rsidRPr="007B3B7D" w:rsidRDefault="007B3B7D" w:rsidP="007B3B7D">
      <w:pPr>
        <w:pStyle w:val="ListParagraph"/>
        <w:numPr>
          <w:ilvl w:val="0"/>
          <w:numId w:val="1"/>
        </w:numPr>
        <w:rPr>
          <w:b/>
        </w:rPr>
      </w:pPr>
      <w:r w:rsidRPr="007B3B7D">
        <w:rPr>
          <w:b/>
        </w:rPr>
        <w:t>Net Present Value</w:t>
      </w:r>
      <w:r w:rsidRPr="007B3B7D">
        <w:rPr>
          <w:b/>
        </w:rPr>
        <w:fldChar w:fldCharType="begin"/>
      </w:r>
      <w:r>
        <w:instrText xml:space="preserve"> XE "</w:instrText>
      </w:r>
      <w:r w:rsidRPr="00494BE0">
        <w:instrText>Net Present Value</w:instrText>
      </w:r>
      <w:r>
        <w:instrText xml:space="preserve">" </w:instrText>
      </w:r>
      <w:r w:rsidRPr="007B3B7D">
        <w:rPr>
          <w:b/>
        </w:rPr>
        <w:fldChar w:fldCharType="end"/>
      </w:r>
      <w:r w:rsidRPr="007B3B7D">
        <w:rPr>
          <w:rFonts w:cs="Helvetica"/>
        </w:rPr>
        <w:t xml:space="preserve"> </w:t>
      </w:r>
      <w:r w:rsidRPr="007B3B7D">
        <w:rPr>
          <w:rFonts w:cs="Helvetica"/>
          <w:b/>
        </w:rPr>
        <w:t>(NPV)</w:t>
      </w:r>
      <w:r w:rsidRPr="007B3B7D">
        <w:rPr>
          <w:rFonts w:cs="Helvetica"/>
        </w:rPr>
        <w:t xml:space="preserve"> A “calculation of the present worth from a sequence of cash flows using a discount rate.”  </w:t>
      </w:r>
      <w:sdt>
        <w:sdtPr>
          <w:id w:val="1101608876"/>
          <w:citation/>
        </w:sdtPr>
        <w:sdtEndPr/>
        <w:sdtContent>
          <w:r w:rsidRPr="007B3B7D">
            <w:rPr>
              <w:rFonts w:cs="Helvetica"/>
            </w:rPr>
            <w:fldChar w:fldCharType="begin"/>
          </w:r>
          <w:r w:rsidRPr="007B3B7D">
            <w:rPr>
              <w:rFonts w:cs="Helvetica"/>
            </w:rPr>
            <w:instrText xml:space="preserve">CITATION Par13 \p "135 and 146" \l 1033 </w:instrText>
          </w:r>
          <w:r w:rsidRPr="007B3B7D">
            <w:rPr>
              <w:rFonts w:cs="Helvetica"/>
            </w:rPr>
            <w:fldChar w:fldCharType="separate"/>
          </w:r>
          <w:r w:rsidRPr="007B3B7D">
            <w:rPr>
              <w:rFonts w:cs="Helvetica"/>
              <w:noProof/>
            </w:rPr>
            <w:t>(Parnell G. B., 2013, p. 135 and 146)</w:t>
          </w:r>
          <w:r w:rsidRPr="007B3B7D">
            <w:rPr>
              <w:rFonts w:cs="Helvetica"/>
            </w:rPr>
            <w:fldChar w:fldCharType="end"/>
          </w:r>
        </w:sdtContent>
      </w:sdt>
      <w:sdt>
        <w:sdtPr>
          <w:id w:val="337279157"/>
          <w:citation/>
        </w:sdtPr>
        <w:sdtEndPr/>
        <w:sdtContent>
          <w:r w:rsidRPr="007B3B7D">
            <w:rPr>
              <w:rFonts w:cs="Helvetica"/>
            </w:rPr>
            <w:fldChar w:fldCharType="begin"/>
          </w:r>
          <w:r>
            <w:rPr>
              <w:noProof/>
            </w:rPr>
            <w:instrText xml:space="preserve">CITATION Par11 \p "401 and 415" \t  \l 1033 </w:instrText>
          </w:r>
          <w:r w:rsidRPr="007B3B7D">
            <w:rPr>
              <w:rFonts w:cs="Helvetica"/>
            </w:rPr>
            <w:fldChar w:fldCharType="separate"/>
          </w:r>
          <w:r>
            <w:rPr>
              <w:noProof/>
            </w:rPr>
            <w:t xml:space="preserve"> (Parnell, Driscoll, &amp; Henderson, 2011, p. 401 and 415)</w:t>
          </w:r>
          <w:r w:rsidRPr="007B3B7D">
            <w:rPr>
              <w:rFonts w:cs="Helvetica"/>
            </w:rPr>
            <w:fldChar w:fldCharType="end"/>
          </w:r>
        </w:sdtContent>
      </w:sdt>
    </w:p>
    <w:p w:rsidR="007B3B7D" w:rsidRPr="007B3B7D" w:rsidRDefault="007B3B7D" w:rsidP="007B3B7D">
      <w:pPr>
        <w:pStyle w:val="ListParagraph"/>
        <w:numPr>
          <w:ilvl w:val="0"/>
          <w:numId w:val="1"/>
        </w:numPr>
        <w:rPr>
          <w:b/>
        </w:rPr>
      </w:pPr>
      <w:r w:rsidRPr="007B3B7D">
        <w:rPr>
          <w:b/>
        </w:rPr>
        <w:t xml:space="preserve">Nonrecurring cost </w:t>
      </w:r>
      <w:r>
        <w:t xml:space="preserve">A cost class that includes costs </w:t>
      </w:r>
      <w:r w:rsidRPr="00360464">
        <w:t>“</w:t>
      </w:r>
      <w:r>
        <w:t>that occur only once in the life cycle of a system”</w:t>
      </w:r>
      <w:r w:rsidRPr="00881082">
        <w:t>.</w:t>
      </w:r>
      <w:r>
        <w:t xml:space="preserve">  Examples include items that </w:t>
      </w:r>
      <w:proofErr w:type="gramStart"/>
      <w:r>
        <w:t>are not anticipated to be experienced</w:t>
      </w:r>
      <w:proofErr w:type="gramEnd"/>
      <w:r>
        <w:t xml:space="preserve"> more than once in the process such as “the cost associated with design, engineering, and testing.”</w:t>
      </w:r>
      <w:r w:rsidRPr="007B3B7D">
        <w:rPr>
          <w:b/>
        </w:rPr>
        <w:t xml:space="preserve"> </w:t>
      </w:r>
      <w:sdt>
        <w:sdtPr>
          <w:rPr>
            <w:b/>
          </w:rPr>
          <w:id w:val="1075867469"/>
          <w:citation/>
        </w:sdtPr>
        <w:sdtEndPr/>
        <w:sdtContent>
          <w:r w:rsidRPr="007B3B7D">
            <w:rPr>
              <w:b/>
            </w:rPr>
            <w:fldChar w:fldCharType="begin"/>
          </w:r>
          <w:r>
            <w:rPr>
              <w:noProof/>
            </w:rPr>
            <w:instrText xml:space="preserve">CITATION Par11 \p 144 \t  \l 1033 </w:instrText>
          </w:r>
          <w:r w:rsidRPr="007B3B7D">
            <w:rPr>
              <w:b/>
            </w:rPr>
            <w:fldChar w:fldCharType="separate"/>
          </w:r>
          <w:r>
            <w:rPr>
              <w:noProof/>
            </w:rPr>
            <w:t>(Parnell, Driscoll, &amp; Henderson, 2011, p. 144)</w:t>
          </w:r>
          <w:r w:rsidRPr="007B3B7D">
            <w:rPr>
              <w:b/>
            </w:rPr>
            <w:fldChar w:fldCharType="end"/>
          </w:r>
        </w:sdtContent>
      </w:sdt>
    </w:p>
    <w:p w:rsidR="007B3B7D" w:rsidRPr="00BC2D59" w:rsidRDefault="007B3B7D" w:rsidP="007B3B7D">
      <w:pPr>
        <w:pStyle w:val="ListParagraph"/>
        <w:numPr>
          <w:ilvl w:val="0"/>
          <w:numId w:val="1"/>
        </w:numPr>
      </w:pPr>
      <w:r w:rsidRPr="007B3B7D">
        <w:rPr>
          <w:b/>
        </w:rPr>
        <w:t>Program (or Project) Evaluation and Review Technique (PERT)</w:t>
      </w:r>
      <w:r w:rsidRPr="007B3B7D">
        <w:rPr>
          <w:b/>
        </w:rPr>
        <w:fldChar w:fldCharType="begin"/>
      </w:r>
      <w:r>
        <w:instrText xml:space="preserve"> XE "</w:instrText>
      </w:r>
      <w:r w:rsidRPr="007B3B7D">
        <w:rPr>
          <w:b/>
        </w:rPr>
        <w:instrText>Program (or Project) Evaluation and Review Technique (PERT)</w:instrText>
      </w:r>
      <w:r>
        <w:instrText xml:space="preserve">" </w:instrText>
      </w:r>
      <w:r w:rsidRPr="007B3B7D">
        <w:rPr>
          <w:b/>
        </w:rPr>
        <w:fldChar w:fldCharType="end"/>
      </w:r>
      <w:r w:rsidRPr="007B3B7D">
        <w:rPr>
          <w:b/>
        </w:rPr>
        <w:t xml:space="preserve"> </w:t>
      </w:r>
      <w:r>
        <w:t>A</w:t>
      </w:r>
      <w:r w:rsidRPr="00BC2D59">
        <w:t xml:space="preserve"> project management tool used to schedule, organize, and coordinate tasks within a project. It is a method to analyze the</w:t>
      </w:r>
      <w:r>
        <w:t xml:space="preserve"> time required to complete each</w:t>
      </w:r>
      <w:r w:rsidRPr="00BC2D59">
        <w:t xml:space="preserve"> tasks</w:t>
      </w:r>
      <w:r>
        <w:t xml:space="preserve"> for a</w:t>
      </w:r>
      <w:r w:rsidRPr="00BC2D59">
        <w:t xml:space="preserve"> given project</w:t>
      </w:r>
      <w:r>
        <w:t xml:space="preserve">. It </w:t>
      </w:r>
      <w:proofErr w:type="gramStart"/>
      <w:r>
        <w:t>is used</w:t>
      </w:r>
      <w:proofErr w:type="gramEnd"/>
      <w:r>
        <w:t xml:space="preserve"> to help calculate the </w:t>
      </w:r>
      <w:r w:rsidRPr="00BC2D59">
        <w:t xml:space="preserve">minimum time </w:t>
      </w:r>
      <w:r>
        <w:t>required</w:t>
      </w:r>
      <w:r w:rsidRPr="00BC2D59">
        <w:t xml:space="preserve"> to complete </w:t>
      </w:r>
      <w:r>
        <w:t xml:space="preserve">a </w:t>
      </w:r>
      <w:r w:rsidRPr="00BC2D59">
        <w:t>project.</w:t>
      </w:r>
    </w:p>
    <w:p w:rsidR="007B3B7D" w:rsidRPr="007B3B7D" w:rsidRDefault="007B3B7D" w:rsidP="007B3B7D">
      <w:pPr>
        <w:pStyle w:val="ListParagraph"/>
        <w:numPr>
          <w:ilvl w:val="0"/>
          <w:numId w:val="1"/>
        </w:numPr>
        <w:rPr>
          <w:b/>
        </w:rPr>
      </w:pPr>
      <w:r w:rsidRPr="007B3B7D">
        <w:rPr>
          <w:b/>
        </w:rPr>
        <w:t xml:space="preserve">Recurring cost </w:t>
      </w:r>
      <w:proofErr w:type="gramStart"/>
      <w:r>
        <w:t>A</w:t>
      </w:r>
      <w:proofErr w:type="gramEnd"/>
      <w:r>
        <w:t xml:space="preserve"> cost class that includes costs </w:t>
      </w:r>
      <w:r w:rsidRPr="00360464">
        <w:t>“</w:t>
      </w:r>
      <w:r>
        <w:t>that repeats with every unit of product or time a system process occurs.” Similar to “variable costs, they are a function of the quantity of items output</w:t>
      </w:r>
      <w:r w:rsidRPr="00881082">
        <w:t>.</w:t>
      </w:r>
      <w:r>
        <w:t>”</w:t>
      </w:r>
      <w:r w:rsidRPr="007B3B7D">
        <w:rPr>
          <w:b/>
        </w:rPr>
        <w:t xml:space="preserve"> </w:t>
      </w:r>
      <w:sdt>
        <w:sdtPr>
          <w:rPr>
            <w:b/>
          </w:rPr>
          <w:id w:val="-1095634165"/>
          <w:citation/>
        </w:sdtPr>
        <w:sdtEndPr/>
        <w:sdtContent>
          <w:r w:rsidRPr="007B3B7D">
            <w:rPr>
              <w:b/>
            </w:rPr>
            <w:fldChar w:fldCharType="begin"/>
          </w:r>
          <w:r>
            <w:rPr>
              <w:noProof/>
            </w:rPr>
            <w:instrText xml:space="preserve">CITATION Par11 \p 144 \t  \l 1033 </w:instrText>
          </w:r>
          <w:r w:rsidRPr="007B3B7D">
            <w:rPr>
              <w:b/>
            </w:rPr>
            <w:fldChar w:fldCharType="separate"/>
          </w:r>
          <w:r>
            <w:rPr>
              <w:noProof/>
            </w:rPr>
            <w:t>(Parnell, Driscoll, &amp; Henderson, 2011, p. 144)</w:t>
          </w:r>
          <w:r w:rsidRPr="007B3B7D">
            <w:rPr>
              <w:b/>
            </w:rPr>
            <w:fldChar w:fldCharType="end"/>
          </w:r>
        </w:sdtContent>
      </w:sdt>
    </w:p>
    <w:p w:rsidR="007B3B7D" w:rsidRPr="007B3B7D" w:rsidRDefault="007B3B7D" w:rsidP="007B3B7D">
      <w:pPr>
        <w:pStyle w:val="ListParagraph"/>
        <w:numPr>
          <w:ilvl w:val="0"/>
          <w:numId w:val="1"/>
        </w:numPr>
        <w:rPr>
          <w:b/>
        </w:rPr>
      </w:pPr>
      <w:r w:rsidRPr="007B3B7D">
        <w:rPr>
          <w:b/>
        </w:rPr>
        <w:t>Recurring space</w:t>
      </w:r>
      <w:r w:rsidRPr="007B3B7D">
        <w:rPr>
          <w:b/>
        </w:rPr>
        <w:fldChar w:fldCharType="begin"/>
      </w:r>
      <w:r>
        <w:instrText xml:space="preserve"> XE "</w:instrText>
      </w:r>
      <w:r w:rsidRPr="007B3B7D">
        <w:rPr>
          <w:b/>
        </w:rPr>
        <w:instrText>Recurring space</w:instrText>
      </w:r>
      <w:r>
        <w:instrText xml:space="preserve">" </w:instrText>
      </w:r>
      <w:r w:rsidRPr="007B3B7D">
        <w:rPr>
          <w:b/>
        </w:rPr>
        <w:fldChar w:fldCharType="end"/>
      </w:r>
      <w:r w:rsidRPr="007B3B7D">
        <w:rPr>
          <w:b/>
        </w:rPr>
        <w:t xml:space="preserve"> </w:t>
      </w:r>
      <w:proofErr w:type="gramStart"/>
      <w:r>
        <w:t>A</w:t>
      </w:r>
      <w:proofErr w:type="gramEnd"/>
      <w:r>
        <w:t xml:space="preserve"> cost class that includes costs </w:t>
      </w:r>
      <w:r w:rsidRPr="00360464">
        <w:t>“</w:t>
      </w:r>
      <w:r>
        <w:t>that repeats with every unit of product or time a system process occurs.” Similar to “variable costs, they are a function of the quantity of items output</w:t>
      </w:r>
      <w:r w:rsidRPr="00881082">
        <w:t>.</w:t>
      </w:r>
      <w:r>
        <w:t>”</w:t>
      </w:r>
      <w:r w:rsidRPr="007B3B7D">
        <w:rPr>
          <w:b/>
        </w:rPr>
        <w:t xml:space="preserve"> </w:t>
      </w:r>
      <w:sdt>
        <w:sdtPr>
          <w:rPr>
            <w:b/>
          </w:rPr>
          <w:id w:val="-1839540295"/>
          <w:citation/>
        </w:sdtPr>
        <w:sdtEndPr/>
        <w:sdtContent>
          <w:r w:rsidRPr="007B3B7D">
            <w:rPr>
              <w:b/>
            </w:rPr>
            <w:fldChar w:fldCharType="begin"/>
          </w:r>
          <w:r>
            <w:rPr>
              <w:noProof/>
            </w:rPr>
            <w:instrText xml:space="preserve">CITATION Par11 \p 144 \t  \l 1033 </w:instrText>
          </w:r>
          <w:r w:rsidRPr="007B3B7D">
            <w:rPr>
              <w:b/>
            </w:rPr>
            <w:fldChar w:fldCharType="separate"/>
          </w:r>
          <w:r>
            <w:rPr>
              <w:noProof/>
            </w:rPr>
            <w:t>(Parnell, Driscoll, &amp; Henderson, 2011, p. 144)</w:t>
          </w:r>
          <w:r w:rsidRPr="007B3B7D">
            <w:rPr>
              <w:b/>
            </w:rPr>
            <w:fldChar w:fldCharType="end"/>
          </w:r>
        </w:sdtContent>
      </w:sdt>
    </w:p>
    <w:p w:rsidR="007B3B7D" w:rsidRDefault="007B3B7D" w:rsidP="007B3B7D">
      <w:pPr>
        <w:pStyle w:val="ListParagraph"/>
        <w:numPr>
          <w:ilvl w:val="0"/>
          <w:numId w:val="1"/>
        </w:numPr>
      </w:pPr>
      <w:r w:rsidRPr="007B3B7D">
        <w:rPr>
          <w:b/>
        </w:rPr>
        <w:t>Resource</w:t>
      </w:r>
      <w:r>
        <w:t xml:space="preserve"> An asset accessible for use in producing a benefit, the benefit of a decision (e.g. money, facilities, time, people</w:t>
      </w:r>
      <w:r>
        <w:fldChar w:fldCharType="begin"/>
      </w:r>
      <w:r>
        <w:instrText xml:space="preserve"> XE "</w:instrText>
      </w:r>
      <w:r w:rsidRPr="00555074">
        <w:instrText>Resource:people</w:instrText>
      </w:r>
      <w:r>
        <w:instrText xml:space="preserve">" </w:instrText>
      </w:r>
      <w:r>
        <w:fldChar w:fldCharType="end"/>
      </w:r>
      <w:r>
        <w:t xml:space="preserve">, cognitive effort, etc.).  </w:t>
      </w:r>
    </w:p>
    <w:p w:rsidR="007B3B7D" w:rsidRDefault="007B3B7D" w:rsidP="007B3B7D">
      <w:pPr>
        <w:pStyle w:val="ListParagraph"/>
        <w:numPr>
          <w:ilvl w:val="0"/>
          <w:numId w:val="1"/>
        </w:numPr>
      </w:pPr>
      <w:r w:rsidRPr="007B3B7D">
        <w:rPr>
          <w:b/>
        </w:rPr>
        <w:t>Resource space</w:t>
      </w:r>
      <w:r>
        <w:t xml:space="preserve"> a collection of resources required for possible resolution of an issue.</w:t>
      </w:r>
    </w:p>
    <w:p w:rsidR="007B3B7D" w:rsidRPr="007B3B7D" w:rsidRDefault="007B3B7D" w:rsidP="007B3B7D">
      <w:pPr>
        <w:pStyle w:val="ListParagraph"/>
        <w:numPr>
          <w:ilvl w:val="0"/>
          <w:numId w:val="1"/>
        </w:numPr>
        <w:rPr>
          <w:b/>
        </w:rPr>
      </w:pPr>
      <w:r w:rsidRPr="007B3B7D">
        <w:rPr>
          <w:b/>
        </w:rPr>
        <w:t xml:space="preserve">Variable cost </w:t>
      </w:r>
      <w:proofErr w:type="gramStart"/>
      <w:r>
        <w:t>A</w:t>
      </w:r>
      <w:proofErr w:type="gramEnd"/>
      <w:r>
        <w:t xml:space="preserve"> cost class that includes costs </w:t>
      </w:r>
      <w:r w:rsidRPr="00360464">
        <w:t>“</w:t>
      </w:r>
      <w:r>
        <w:t>that increase or decrease as the amount of product or service output from a system increases or decreases.” Examples of fixed costs include: direct labor, material, and power.”</w:t>
      </w:r>
      <w:r w:rsidRPr="007B3B7D">
        <w:rPr>
          <w:b/>
        </w:rPr>
        <w:t xml:space="preserve"> </w:t>
      </w:r>
      <w:sdt>
        <w:sdtPr>
          <w:rPr>
            <w:b/>
          </w:rPr>
          <w:id w:val="-689450570"/>
          <w:citation/>
        </w:sdtPr>
        <w:sdtEndPr/>
        <w:sdtContent>
          <w:r w:rsidRPr="007B3B7D">
            <w:rPr>
              <w:b/>
            </w:rPr>
            <w:fldChar w:fldCharType="begin"/>
          </w:r>
          <w:r>
            <w:rPr>
              <w:noProof/>
            </w:rPr>
            <w:instrText xml:space="preserve">CITATION Par11 \p 144 \t  \l 1033 </w:instrText>
          </w:r>
          <w:r w:rsidRPr="007B3B7D">
            <w:rPr>
              <w:b/>
            </w:rPr>
            <w:fldChar w:fldCharType="separate"/>
          </w:r>
          <w:r>
            <w:rPr>
              <w:noProof/>
            </w:rPr>
            <w:t>(Parnell, Driscoll, &amp; Henderson, 2011, p. 144)</w:t>
          </w:r>
          <w:r w:rsidRPr="007B3B7D">
            <w:rPr>
              <w:b/>
            </w:rPr>
            <w:fldChar w:fldCharType="end"/>
          </w:r>
        </w:sdtContent>
      </w:sdt>
      <w:r w:rsidRPr="007B3B7D">
        <w:rPr>
          <w:b/>
        </w:rPr>
        <w:t xml:space="preserve"> </w:t>
      </w:r>
    </w:p>
    <w:p w:rsidR="00D462DA" w:rsidRDefault="00D462DA"/>
    <w:sectPr w:rsidR="00D462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D919A0"/>
    <w:multiLevelType w:val="hybridMultilevel"/>
    <w:tmpl w:val="985C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B7D"/>
    <w:rsid w:val="00003044"/>
    <w:rsid w:val="0003670F"/>
    <w:rsid w:val="00044EE3"/>
    <w:rsid w:val="0007118E"/>
    <w:rsid w:val="00072493"/>
    <w:rsid w:val="000739F3"/>
    <w:rsid w:val="00074D15"/>
    <w:rsid w:val="00090CFA"/>
    <w:rsid w:val="000A1CDC"/>
    <w:rsid w:val="000F3643"/>
    <w:rsid w:val="001134F5"/>
    <w:rsid w:val="00137649"/>
    <w:rsid w:val="001653B6"/>
    <w:rsid w:val="00176142"/>
    <w:rsid w:val="00184655"/>
    <w:rsid w:val="00185C90"/>
    <w:rsid w:val="00190BA9"/>
    <w:rsid w:val="001C5231"/>
    <w:rsid w:val="001D0B90"/>
    <w:rsid w:val="001F20EE"/>
    <w:rsid w:val="001F4E0B"/>
    <w:rsid w:val="00201A58"/>
    <w:rsid w:val="00256C4F"/>
    <w:rsid w:val="00283016"/>
    <w:rsid w:val="002854B5"/>
    <w:rsid w:val="002A541B"/>
    <w:rsid w:val="002B148F"/>
    <w:rsid w:val="002D1572"/>
    <w:rsid w:val="002D3F29"/>
    <w:rsid w:val="00305A4E"/>
    <w:rsid w:val="003204F7"/>
    <w:rsid w:val="00332A17"/>
    <w:rsid w:val="003644E4"/>
    <w:rsid w:val="0039255E"/>
    <w:rsid w:val="003B6ADD"/>
    <w:rsid w:val="003B7A73"/>
    <w:rsid w:val="003C5327"/>
    <w:rsid w:val="003F0363"/>
    <w:rsid w:val="003F5E1D"/>
    <w:rsid w:val="003F6AC9"/>
    <w:rsid w:val="00401E49"/>
    <w:rsid w:val="00455F38"/>
    <w:rsid w:val="00465481"/>
    <w:rsid w:val="0047195C"/>
    <w:rsid w:val="0049511B"/>
    <w:rsid w:val="004967D0"/>
    <w:rsid w:val="004E339A"/>
    <w:rsid w:val="004E60ED"/>
    <w:rsid w:val="004F575F"/>
    <w:rsid w:val="0052145F"/>
    <w:rsid w:val="00542062"/>
    <w:rsid w:val="005459B7"/>
    <w:rsid w:val="0055290E"/>
    <w:rsid w:val="00564DC6"/>
    <w:rsid w:val="00582A22"/>
    <w:rsid w:val="005C0E84"/>
    <w:rsid w:val="005F1679"/>
    <w:rsid w:val="0060735B"/>
    <w:rsid w:val="0061374D"/>
    <w:rsid w:val="00615EF4"/>
    <w:rsid w:val="00622F71"/>
    <w:rsid w:val="0067732D"/>
    <w:rsid w:val="0068005D"/>
    <w:rsid w:val="006801F5"/>
    <w:rsid w:val="006A40CF"/>
    <w:rsid w:val="006A4299"/>
    <w:rsid w:val="006C0737"/>
    <w:rsid w:val="006E2AD0"/>
    <w:rsid w:val="006E5E18"/>
    <w:rsid w:val="006F7D0F"/>
    <w:rsid w:val="0070503B"/>
    <w:rsid w:val="007211E6"/>
    <w:rsid w:val="007265F8"/>
    <w:rsid w:val="007373DF"/>
    <w:rsid w:val="007375D2"/>
    <w:rsid w:val="0075282B"/>
    <w:rsid w:val="007A0241"/>
    <w:rsid w:val="007A07AE"/>
    <w:rsid w:val="007B0A38"/>
    <w:rsid w:val="007B3B7D"/>
    <w:rsid w:val="007D2AC7"/>
    <w:rsid w:val="007F38C3"/>
    <w:rsid w:val="00813A7E"/>
    <w:rsid w:val="008325DD"/>
    <w:rsid w:val="00846951"/>
    <w:rsid w:val="008529B7"/>
    <w:rsid w:val="00862539"/>
    <w:rsid w:val="008816EC"/>
    <w:rsid w:val="00885ECA"/>
    <w:rsid w:val="00894B40"/>
    <w:rsid w:val="008D604A"/>
    <w:rsid w:val="008E3400"/>
    <w:rsid w:val="009023E3"/>
    <w:rsid w:val="00907524"/>
    <w:rsid w:val="00911D7C"/>
    <w:rsid w:val="009177C9"/>
    <w:rsid w:val="00920C72"/>
    <w:rsid w:val="0095101A"/>
    <w:rsid w:val="00957F74"/>
    <w:rsid w:val="00A07996"/>
    <w:rsid w:val="00A41F37"/>
    <w:rsid w:val="00A53075"/>
    <w:rsid w:val="00A54F8C"/>
    <w:rsid w:val="00A71DA8"/>
    <w:rsid w:val="00A74F6B"/>
    <w:rsid w:val="00B06020"/>
    <w:rsid w:val="00B06236"/>
    <w:rsid w:val="00B11FB5"/>
    <w:rsid w:val="00B443A0"/>
    <w:rsid w:val="00B51D59"/>
    <w:rsid w:val="00B61E04"/>
    <w:rsid w:val="00B87989"/>
    <w:rsid w:val="00BA6273"/>
    <w:rsid w:val="00BB4846"/>
    <w:rsid w:val="00BB4893"/>
    <w:rsid w:val="00BC0CC5"/>
    <w:rsid w:val="00BE3FE7"/>
    <w:rsid w:val="00BF37E9"/>
    <w:rsid w:val="00BF7FF6"/>
    <w:rsid w:val="00C02FBB"/>
    <w:rsid w:val="00C37A0C"/>
    <w:rsid w:val="00C42719"/>
    <w:rsid w:val="00C46C35"/>
    <w:rsid w:val="00C64158"/>
    <w:rsid w:val="00C652E1"/>
    <w:rsid w:val="00C82A92"/>
    <w:rsid w:val="00C82F0C"/>
    <w:rsid w:val="00CC1BE6"/>
    <w:rsid w:val="00CC5363"/>
    <w:rsid w:val="00CE21E1"/>
    <w:rsid w:val="00CF5EDA"/>
    <w:rsid w:val="00D11403"/>
    <w:rsid w:val="00D462DA"/>
    <w:rsid w:val="00D61635"/>
    <w:rsid w:val="00D618BC"/>
    <w:rsid w:val="00D729DA"/>
    <w:rsid w:val="00D868E3"/>
    <w:rsid w:val="00DD6B13"/>
    <w:rsid w:val="00E107E5"/>
    <w:rsid w:val="00E45573"/>
    <w:rsid w:val="00E51578"/>
    <w:rsid w:val="00E749D8"/>
    <w:rsid w:val="00E8337F"/>
    <w:rsid w:val="00E847AA"/>
    <w:rsid w:val="00E93A5B"/>
    <w:rsid w:val="00E95BB5"/>
    <w:rsid w:val="00EA1C56"/>
    <w:rsid w:val="00ED35FF"/>
    <w:rsid w:val="00EE36ED"/>
    <w:rsid w:val="00F4079B"/>
    <w:rsid w:val="00F57303"/>
    <w:rsid w:val="00F64FE4"/>
    <w:rsid w:val="00F77A54"/>
    <w:rsid w:val="00F8664F"/>
    <w:rsid w:val="00F9698D"/>
    <w:rsid w:val="00FA4786"/>
    <w:rsid w:val="00FA5AEF"/>
    <w:rsid w:val="00FB47BF"/>
    <w:rsid w:val="00FD60E8"/>
    <w:rsid w:val="00FE2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B9E91"/>
  <w15:chartTrackingRefBased/>
  <w15:docId w15:val="{F1502D58-DE14-40AD-8616-9B482F1D0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B7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3B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Par11</b:Tag>
    <b:SourceType>Book</b:SourceType>
    <b:Guid>{7ADDCF75-AA8E-4B6D-97A0-066847DE145B}</b:Guid>
    <b:Title>Decision Making in System Engineering and Management</b:Title>
    <b:Year>2011</b:Year>
    <b:Publisher>Wiley</b:Publisher>
    <b:Author>
      <b:Author>
        <b:NameList>
          <b:Person>
            <b:Last>Parnell</b:Last>
            <b:Middle>S.</b:Middle>
            <b:First>Gregory</b:First>
          </b:Person>
          <b:Person>
            <b:Last>Driscoll</b:Last>
            <b:Middle>J.</b:Middle>
            <b:First>Patrick</b:First>
          </b:Person>
          <b:Person>
            <b:Last>Henderson</b:Last>
            <b:Middle>L.</b:Middle>
            <b:First>Dale</b:First>
          </b:Person>
        </b:NameList>
      </b:Author>
    </b:Author>
    <b:RefOrder>2</b:RefOrder>
  </b:Source>
  <b:Source>
    <b:Tag>Cos14</b:Tag>
    <b:SourceType>InternetSite</b:SourceType>
    <b:Guid>{4C49D093-8163-4E22-9750-F216DF95D270}</b:Guid>
    <b:Title>Cost Analysis</b:Title>
    <b:Year>2014</b:Year>
    <b:Month>November</b:Month>
    <b:Day>12</b:Day>
    <b:InternetSiteTitle>ACQuipedia</b:InternetSiteTitle>
    <b:YearAccessed>2015</b:YearAccessed>
    <b:MonthAccessed>July</b:MonthAccessed>
    <b:DayAccessed>2015</b:DayAccessed>
    <b:URL>https://dap.dau.mil/acquipedia/Pages/ArticleDetails.aspx?aid=5b784aef-ad2d-4a99-8537-ff09e9d86757</b:URL>
    <b:RefOrder>28</b:RefOrder>
  </b:Source>
  <b:Source>
    <b:Tag>Wil11</b:Tag>
    <b:SourceType>DocumentFromInternetSite</b:SourceType>
    <b:Guid>{8733DD0A-B12F-459C-8094-D5C72F11F2DD}</b:Guid>
    <b:Title>DAU Teaching Note - Cost Estimating Methodologies (Feb 2011)</b:Title>
    <b:InternetSiteTitle>ACC Practice Center - Cost Estimating</b:InternetSiteTitle>
    <b:Year>2011</b:Year>
    <b:Month>February</b:Month>
    <b:YearAccessed>2015</b:YearAccessed>
    <b:MonthAccessed>July</b:MonthAccessed>
    <b:DayAccessed>16</b:DayAccessed>
    <b:URL>https://acc.dau.mil/adl/en-US/30373/file/61352/B4_CE_Methodologies_-_Feb%2011_V3.pdf</b:URL>
    <b:Author>
      <b:Author>
        <b:NameList>
          <b:Person>
            <b:Last>Williams</b:Last>
            <b:Middle>S</b:Middle>
            <b:First>Tomeka</b:First>
          </b:Person>
          <b:Person>
            <b:Last>Barber</b:Last>
            <b:First>Ellen</b:First>
          </b:Person>
        </b:NameList>
      </b:Author>
    </b:Author>
    <b:RefOrder>29</b:RefOrder>
  </b:Source>
  <b:Source>
    <b:Tag>Par13</b:Tag>
    <b:SourceType>Book</b:SourceType>
    <b:Guid>{BF91FA04-57D2-4756-973F-8FBB8E521BD8}</b:Guid>
    <b:Title>Handbook of Decision Analysis</b:Title>
    <b:Year>2013</b:Year>
    <b:City>Hoboken</b:City>
    <b:StateProvince>NJ</b:StateProvince>
    <b:Publisher>John Wiley &amp; Sons, Inc.</b:Publisher>
    <b:Author>
      <b:Author>
        <b:NameList>
          <b:Person>
            <b:Last>Parnell</b:Last>
            <b:First>G.S.,</b:First>
            <b:Middle>Bresnick, T.A., Tani, S.N., &amp; Johnson, E.R.</b:Middle>
          </b:Person>
        </b:NameList>
      </b:Author>
    </b:Author>
    <b:RefOrder>30</b:RefOrder>
  </b:Source>
  <b:Source>
    <b:Tag>Pea06</b:Tag>
    <b:SourceType>DocumentFromInternetSite</b:SourceType>
    <b:Guid>{10C4F0BD-994E-4C1D-85E0-F024D71498A5}</b:Guid>
    <b:Title>Quantitative Module E: Learning Curves</b:Title>
    <b:InternetSiteTitle>Learning Curves in Services and Manufacturing</b:InternetSiteTitle>
    <b:Year>2006</b:Year>
    <b:Month>January</b:Month>
    <b:Day>3</b:Day>
    <b:YearAccessed>2015</b:YearAccessed>
    <b:MonthAccessed>July</b:MonthAccessed>
    <b:DayAccessed>16</b:DayAccessed>
    <b:URL>http://wps.prenhall.com/wps/media/objects/2234/2288589/ModE.pdf</b:URL>
    <b:Pages>771-784</b:Pages>
    <b:Author>
      <b:ProducerName>
        <b:NameList>
          <b:Person>
            <b:Last>Education</b:Last>
            <b:First>Pearson</b:First>
          </b:Person>
        </b:NameList>
      </b:ProducerName>
    </b:Author>
    <b:RefOrder>31</b:RefOrder>
  </b:Source>
  <b:Source>
    <b:Tag>Law91</b:Tag>
    <b:SourceType>Book</b:SourceType>
    <b:Guid>{0B5C70A3-4BF6-4E94-B05B-F7CC6CD94266}</b:Guid>
    <b:Title>Simulation Modelling and Analysis</b:Title>
    <b:Year>1991</b:Year>
    <b:Publisher>McGraw Hill Higher Education</b:Publisher>
    <b:City>New York</b:City>
    <b:Author>
      <b:Author>
        <b:NameList>
          <b:Person>
            <b:Last>Law</b:Last>
            <b:First>Averill</b:First>
            <b:Middle>M.</b:Middle>
          </b:Person>
          <b:Person>
            <b:Last>Kelton</b:Last>
            <b:Middle>David </b:Middle>
            <b:First>W.</b:First>
          </b:Person>
        </b:NameList>
      </b:Author>
    </b:Author>
    <b:Pages>784</b:Pages>
    <b:Edition>3rd</b:Edition>
    <b:DOI>978-0071165372</b:DOI>
    <b:RefOrder>23</b:RefOrder>
  </b:Source>
</b:Sources>
</file>

<file path=customXml/itemProps1.xml><?xml version="1.0" encoding="utf-8"?>
<ds:datastoreItem xmlns:ds="http://schemas.openxmlformats.org/officeDocument/2006/customXml" ds:itemID="{F2CF9249-D806-44D2-B684-62641A6CE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1037</Words>
  <Characters>5914</Characters>
  <Application>Microsoft Office Word</Application>
  <DocSecurity>0</DocSecurity>
  <Lines>49</Lines>
  <Paragraphs>13</Paragraphs>
  <ScaleCrop>false</ScaleCrop>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Gallarno</dc:creator>
  <cp:keywords/>
  <dc:description/>
  <cp:lastModifiedBy>George Gallarno</cp:lastModifiedBy>
  <cp:revision>2</cp:revision>
  <dcterms:created xsi:type="dcterms:W3CDTF">2019-06-04T18:06:00Z</dcterms:created>
  <dcterms:modified xsi:type="dcterms:W3CDTF">2019-07-03T15:47:00Z</dcterms:modified>
</cp:coreProperties>
</file>