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C73" w:rsidRDefault="00155A84" w:rsidP="00906C73">
      <w:pPr>
        <w:jc w:val="center"/>
        <w:rPr>
          <w:b/>
          <w:color w:val="000000" w:themeColor="text1"/>
        </w:rPr>
      </w:pPr>
      <w:r>
        <w:rPr>
          <w:b/>
          <w:color w:val="000000" w:themeColor="text1"/>
        </w:rPr>
        <w:t>Module 3</w:t>
      </w:r>
      <w:bookmarkStart w:id="0" w:name="_GoBack"/>
      <w:bookmarkEnd w:id="0"/>
      <w:r w:rsidR="00906C73">
        <w:rPr>
          <w:b/>
          <w:color w:val="000000" w:themeColor="text1"/>
        </w:rPr>
        <w:t xml:space="preserve"> / Chapter 6 – Key Terms</w:t>
      </w:r>
    </w:p>
    <w:p w:rsidR="00906C73" w:rsidRPr="00906C73" w:rsidRDefault="00906C73" w:rsidP="00906C73">
      <w:pPr>
        <w:pStyle w:val="ListParagraph"/>
        <w:numPr>
          <w:ilvl w:val="0"/>
          <w:numId w:val="1"/>
        </w:numPr>
        <w:rPr>
          <w:b/>
          <w:color w:val="000000" w:themeColor="text1"/>
        </w:rPr>
      </w:pPr>
      <w:r w:rsidRPr="00906C73">
        <w:rPr>
          <w:b/>
          <w:color w:val="000000" w:themeColor="text1"/>
        </w:rPr>
        <w:t>Business knowledge</w:t>
      </w:r>
      <w:r w:rsidRPr="00906C73">
        <w:rPr>
          <w:b/>
          <w:color w:val="000000" w:themeColor="text1"/>
        </w:rPr>
        <w:fldChar w:fldCharType="begin"/>
      </w:r>
      <w:r>
        <w:instrText xml:space="preserve"> XE "</w:instrText>
      </w:r>
      <w:r w:rsidRPr="00BA0326">
        <w:instrText>Business knowledge</w:instrText>
      </w:r>
      <w:r>
        <w:instrText xml:space="preserve">" </w:instrText>
      </w:r>
      <w:r w:rsidRPr="00906C73">
        <w:rPr>
          <w:b/>
          <w:color w:val="000000" w:themeColor="text1"/>
        </w:rPr>
        <w:fldChar w:fldCharType="end"/>
      </w:r>
      <w:r w:rsidRPr="00906C73">
        <w:rPr>
          <w:b/>
          <w:color w:val="000000" w:themeColor="text1"/>
        </w:rPr>
        <w:t xml:space="preserve"> </w:t>
      </w:r>
      <w:proofErr w:type="gramStart"/>
      <w:r w:rsidRPr="00906C73">
        <w:rPr>
          <w:rFonts w:cs="Helvetica"/>
          <w:color w:val="000000" w:themeColor="text1"/>
        </w:rPr>
        <w:t>An</w:t>
      </w:r>
      <w:proofErr w:type="gramEnd"/>
      <w:r w:rsidRPr="00906C73">
        <w:rPr>
          <w:rFonts w:cs="Helvetica"/>
          <w:color w:val="000000" w:themeColor="text1"/>
        </w:rPr>
        <w:t xml:space="preserve"> understanding of the broader industry, competition, economic environment, legislative environment, rates of return, and other factors related to a client or company’s culture and business processes. </w:t>
      </w:r>
      <w:sdt>
        <w:sdtPr>
          <w:id w:val="-470832259"/>
          <w:citation/>
        </w:sdtPr>
        <w:sdtEndPr/>
        <w:sdtContent>
          <w:r w:rsidRPr="00906C73">
            <w:rPr>
              <w:rFonts w:cs="Helvetica"/>
              <w:color w:val="000000" w:themeColor="text1"/>
            </w:rPr>
            <w:fldChar w:fldCharType="begin"/>
          </w:r>
          <w:r w:rsidRPr="00906C73">
            <w:rPr>
              <w:rFonts w:cs="Helvetica"/>
              <w:color w:val="000000" w:themeColor="text1"/>
            </w:rPr>
            <w:instrText xml:space="preserve">CITATION Par13 \p "32 and 44" \l 1033 </w:instrText>
          </w:r>
          <w:r w:rsidRPr="00906C73">
            <w:rPr>
              <w:rFonts w:cs="Helvetica"/>
              <w:color w:val="000000" w:themeColor="text1"/>
            </w:rPr>
            <w:fldChar w:fldCharType="separate"/>
          </w:r>
          <w:r w:rsidRPr="00906C73">
            <w:rPr>
              <w:rFonts w:cs="Helvetica"/>
              <w:noProof/>
              <w:color w:val="000000" w:themeColor="text1"/>
            </w:rPr>
            <w:t>(Parnell, Bresnick, Tani, &amp; Johnson, 2013, p. 32 and 44)</w:t>
          </w:r>
          <w:r w:rsidRPr="00906C73">
            <w:rPr>
              <w:rFonts w:cs="Helvetica"/>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 xml:space="preserve">Concept map </w:t>
      </w:r>
      <w:proofErr w:type="gramStart"/>
      <w:r w:rsidRPr="00906C73">
        <w:rPr>
          <w:color w:val="000000" w:themeColor="text1"/>
        </w:rPr>
        <w:t>An</w:t>
      </w:r>
      <w:proofErr w:type="gramEnd"/>
      <w:r w:rsidRPr="00906C73">
        <w:rPr>
          <w:color w:val="000000" w:themeColor="text1"/>
        </w:rPr>
        <w:t xml:space="preserve"> illustration of the ideas and objects that link major concepts. </w:t>
      </w:r>
      <w:sdt>
        <w:sdtPr>
          <w:id w:val="1837118490"/>
          <w:citation/>
        </w:sdtPr>
        <w:sdtEndPr/>
        <w:sdtContent>
          <w:r w:rsidRPr="00906C73">
            <w:rPr>
              <w:color w:val="000000" w:themeColor="text1"/>
            </w:rPr>
            <w:fldChar w:fldCharType="begin"/>
          </w:r>
          <w:r w:rsidRPr="00906C73">
            <w:rPr>
              <w:color w:val="000000" w:themeColor="text1"/>
            </w:rPr>
            <w:instrText xml:space="preserve">CITATION Par11 \p 2 \t  \l 1033 </w:instrText>
          </w:r>
          <w:r w:rsidRPr="00906C73">
            <w:rPr>
              <w:color w:val="000000" w:themeColor="text1"/>
            </w:rPr>
            <w:fldChar w:fldCharType="separate"/>
          </w:r>
          <w:r w:rsidRPr="00906C73">
            <w:rPr>
              <w:noProof/>
              <w:color w:val="000000" w:themeColor="text1"/>
            </w:rPr>
            <w:t>(Parnell, Driscoll, &amp; Henderson, 2011, p. 2)</w:t>
          </w:r>
          <w:r w:rsidRPr="00906C73">
            <w:rPr>
              <w:color w:val="000000" w:themeColor="text1"/>
            </w:rPr>
            <w:fldChar w:fldCharType="end"/>
          </w:r>
        </w:sdtContent>
      </w:sdt>
    </w:p>
    <w:p w:rsidR="00906C73" w:rsidRPr="00906C73" w:rsidRDefault="00906C73" w:rsidP="00906C73">
      <w:pPr>
        <w:pStyle w:val="ListParagraph"/>
        <w:numPr>
          <w:ilvl w:val="0"/>
          <w:numId w:val="1"/>
        </w:numPr>
        <w:rPr>
          <w:color w:val="000000" w:themeColor="text1"/>
        </w:rPr>
      </w:pPr>
      <w:r w:rsidRPr="00906C73">
        <w:rPr>
          <w:b/>
          <w:color w:val="000000" w:themeColor="text1"/>
        </w:rPr>
        <w:t xml:space="preserve">Decision </w:t>
      </w:r>
      <w:r w:rsidRPr="00906C73">
        <w:rPr>
          <w:color w:val="000000" w:themeColor="text1"/>
        </w:rPr>
        <w:t>An irrevocable allocation of resources.</w:t>
      </w:r>
    </w:p>
    <w:p w:rsidR="00906C73" w:rsidRPr="00906C73" w:rsidRDefault="00906C73" w:rsidP="00906C73">
      <w:pPr>
        <w:pStyle w:val="ListParagraph"/>
        <w:numPr>
          <w:ilvl w:val="0"/>
          <w:numId w:val="1"/>
        </w:numPr>
        <w:rPr>
          <w:b/>
          <w:color w:val="000000" w:themeColor="text1"/>
        </w:rPr>
      </w:pPr>
      <w:r w:rsidRPr="00906C73">
        <w:rPr>
          <w:b/>
          <w:color w:val="000000" w:themeColor="text1"/>
        </w:rPr>
        <w:t>Decision hierarchy</w:t>
      </w:r>
      <w:r w:rsidRPr="00906C73">
        <w:rPr>
          <w:b/>
          <w:color w:val="000000" w:themeColor="text1"/>
        </w:rPr>
        <w:fldChar w:fldCharType="begin"/>
      </w:r>
      <w:r>
        <w:instrText xml:space="preserve"> XE "</w:instrText>
      </w:r>
      <w:r w:rsidRPr="00E52BA8">
        <w:instrText>Decision hierarchy</w:instrText>
      </w:r>
      <w:r>
        <w:instrText xml:space="preserve">" </w:instrText>
      </w:r>
      <w:r w:rsidRPr="00906C73">
        <w:rPr>
          <w:b/>
          <w:color w:val="000000" w:themeColor="text1"/>
        </w:rPr>
        <w:fldChar w:fldCharType="end"/>
      </w:r>
      <w:r w:rsidRPr="00906C73">
        <w:rPr>
          <w:color w:val="000000" w:themeColor="text1"/>
        </w:rPr>
        <w:t xml:space="preserve"> </w:t>
      </w:r>
      <w:proofErr w:type="gramStart"/>
      <w:r w:rsidRPr="00906C73">
        <w:rPr>
          <w:color w:val="000000" w:themeColor="text1"/>
        </w:rPr>
        <w:t>The</w:t>
      </w:r>
      <w:proofErr w:type="gramEnd"/>
      <w:r w:rsidRPr="00906C73">
        <w:rPr>
          <w:color w:val="000000" w:themeColor="text1"/>
        </w:rPr>
        <w:t xml:space="preserve"> “primary conceptual tool for defining the scope of a decision. The decision hierarchy is portrayed as a pyramid structure with three levels which summarize the decisions that have been made, the decision made in this decision, and the subsequent decisions.” </w:t>
      </w:r>
      <w:sdt>
        <w:sdtPr>
          <w:id w:val="751089165"/>
          <w:citation/>
        </w:sdtPr>
        <w:sdtEndPr/>
        <w:sdtContent>
          <w:r w:rsidRPr="00906C73">
            <w:rPr>
              <w:color w:val="000000" w:themeColor="text1"/>
            </w:rPr>
            <w:fldChar w:fldCharType="begin"/>
          </w:r>
          <w:r w:rsidRPr="00906C73">
            <w:rPr>
              <w:color w:val="000000" w:themeColor="text1"/>
            </w:rPr>
            <w:instrText xml:space="preserve">CITATION Par11 \p "118 and 126" \t  \l 1033 </w:instrText>
          </w:r>
          <w:r w:rsidRPr="00906C73">
            <w:rPr>
              <w:color w:val="000000" w:themeColor="text1"/>
            </w:rPr>
            <w:fldChar w:fldCharType="separate"/>
          </w:r>
          <w:r w:rsidRPr="00906C73">
            <w:rPr>
              <w:noProof/>
              <w:color w:val="000000" w:themeColor="text1"/>
            </w:rPr>
            <w:t>(Parnell, Driscoll, &amp; Henderson, 2011, p. 118 and 126)</w:t>
          </w:r>
          <w:r w:rsidRPr="00906C73">
            <w:rPr>
              <w:color w:val="000000" w:themeColor="text1"/>
            </w:rPr>
            <w:fldChar w:fldCharType="end"/>
          </w:r>
        </w:sdtContent>
      </w:sdt>
    </w:p>
    <w:p w:rsidR="00906C73" w:rsidRPr="00906C73" w:rsidRDefault="00906C73" w:rsidP="00906C73">
      <w:pPr>
        <w:pStyle w:val="ListParagraph"/>
        <w:numPr>
          <w:ilvl w:val="0"/>
          <w:numId w:val="1"/>
        </w:numPr>
        <w:rPr>
          <w:color w:val="000000" w:themeColor="text1"/>
        </w:rPr>
      </w:pPr>
      <w:r w:rsidRPr="00906C73">
        <w:rPr>
          <w:b/>
          <w:color w:val="000000" w:themeColor="text1"/>
        </w:rPr>
        <w:t>Decision traps</w:t>
      </w:r>
      <w:r w:rsidRPr="00906C73">
        <w:rPr>
          <w:b/>
          <w:color w:val="000000" w:themeColor="text1"/>
        </w:rPr>
        <w:fldChar w:fldCharType="begin"/>
      </w:r>
      <w:r>
        <w:instrText xml:space="preserve"> XE "</w:instrText>
      </w:r>
      <w:r w:rsidRPr="00143C90">
        <w:instrText>Decision traps</w:instrText>
      </w:r>
      <w:r>
        <w:instrText xml:space="preserve">" </w:instrText>
      </w:r>
      <w:r w:rsidRPr="00906C73">
        <w:rPr>
          <w:b/>
          <w:color w:val="000000" w:themeColor="text1"/>
        </w:rPr>
        <w:fldChar w:fldCharType="end"/>
      </w:r>
      <w:r w:rsidRPr="00906C73">
        <w:rPr>
          <w:color w:val="000000" w:themeColor="text1"/>
        </w:rPr>
        <w:t xml:space="preserve"> Factors that prevent people from making appropriate decisions. Examples </w:t>
      </w:r>
      <w:proofErr w:type="gramStart"/>
      <w:r w:rsidRPr="00906C73">
        <w:rPr>
          <w:color w:val="000000" w:themeColor="text1"/>
        </w:rPr>
        <w:t>include:</w:t>
      </w:r>
      <w:proofErr w:type="gramEnd"/>
      <w:r w:rsidRPr="00906C73">
        <w:rPr>
          <w:color w:val="000000" w:themeColor="text1"/>
        </w:rPr>
        <w:t xml:space="preserve"> failure to frame the opportunity and status quo. </w:t>
      </w:r>
    </w:p>
    <w:p w:rsidR="00906C73" w:rsidRPr="00906C73" w:rsidRDefault="00906C73" w:rsidP="00906C73">
      <w:pPr>
        <w:pStyle w:val="ListParagraph"/>
        <w:numPr>
          <w:ilvl w:val="0"/>
          <w:numId w:val="1"/>
        </w:numPr>
        <w:rPr>
          <w:b/>
          <w:color w:val="000000" w:themeColor="text1"/>
        </w:rPr>
      </w:pPr>
      <w:r w:rsidRPr="00906C73">
        <w:rPr>
          <w:b/>
          <w:color w:val="000000" w:themeColor="text1"/>
        </w:rPr>
        <w:t>Domain knowledge</w:t>
      </w:r>
      <w:r w:rsidRPr="00906C73">
        <w:rPr>
          <w:b/>
          <w:color w:val="000000" w:themeColor="text1"/>
        </w:rPr>
        <w:fldChar w:fldCharType="begin"/>
      </w:r>
      <w:r>
        <w:instrText xml:space="preserve"> XE "</w:instrText>
      </w:r>
      <w:r w:rsidRPr="000E5C15">
        <w:instrText>Domain knowledge</w:instrText>
      </w:r>
      <w:r>
        <w:instrText xml:space="preserve">" </w:instrText>
      </w:r>
      <w:r w:rsidRPr="00906C73">
        <w:rPr>
          <w:b/>
          <w:color w:val="000000" w:themeColor="text1"/>
        </w:rPr>
        <w:fldChar w:fldCharType="end"/>
      </w:r>
      <w:r w:rsidRPr="00906C73">
        <w:rPr>
          <w:b/>
          <w:color w:val="000000" w:themeColor="text1"/>
        </w:rPr>
        <w:t xml:space="preserve">  </w:t>
      </w:r>
      <w:proofErr w:type="gramStart"/>
      <w:r w:rsidRPr="00906C73">
        <w:rPr>
          <w:color w:val="000000" w:themeColor="text1"/>
        </w:rPr>
        <w:t>An</w:t>
      </w:r>
      <w:proofErr w:type="gramEnd"/>
      <w:r w:rsidRPr="00906C73">
        <w:rPr>
          <w:color w:val="000000" w:themeColor="text1"/>
        </w:rPr>
        <w:t xml:space="preserve"> understanding of specific area or specialized discipline. </w:t>
      </w:r>
    </w:p>
    <w:p w:rsidR="00906C73" w:rsidRPr="00906C73" w:rsidRDefault="00906C73" w:rsidP="00906C73">
      <w:pPr>
        <w:pStyle w:val="ListParagraph"/>
        <w:numPr>
          <w:ilvl w:val="0"/>
          <w:numId w:val="1"/>
        </w:numPr>
        <w:rPr>
          <w:b/>
          <w:color w:val="000000" w:themeColor="text1"/>
        </w:rPr>
      </w:pPr>
      <w:r w:rsidRPr="00906C73">
        <w:rPr>
          <w:b/>
          <w:color w:val="000000" w:themeColor="text1"/>
        </w:rPr>
        <w:t>Expert knowledge</w:t>
      </w:r>
      <w:r w:rsidRPr="00906C73">
        <w:rPr>
          <w:b/>
          <w:color w:val="000000" w:themeColor="text1"/>
        </w:rPr>
        <w:fldChar w:fldCharType="begin"/>
      </w:r>
      <w:r>
        <w:instrText xml:space="preserve"> XE "</w:instrText>
      </w:r>
      <w:r w:rsidRPr="00AA1DC2">
        <w:instrText>Expert knowledge</w:instrText>
      </w:r>
      <w:r>
        <w:instrText xml:space="preserve">" </w:instrText>
      </w:r>
      <w:r w:rsidRPr="00906C73">
        <w:rPr>
          <w:b/>
          <w:color w:val="000000" w:themeColor="text1"/>
        </w:rPr>
        <w:fldChar w:fldCharType="end"/>
      </w:r>
      <w:r w:rsidRPr="00906C73">
        <w:rPr>
          <w:color w:val="000000" w:themeColor="text1"/>
        </w:rPr>
        <w:t xml:space="preserve">  Authority extensive knowledge of a specific area or specialized discipline.</w:t>
      </w:r>
    </w:p>
    <w:p w:rsidR="00906C73" w:rsidRPr="00906C73" w:rsidRDefault="00906C73" w:rsidP="00906C73">
      <w:pPr>
        <w:pStyle w:val="ListParagraph"/>
        <w:numPr>
          <w:ilvl w:val="0"/>
          <w:numId w:val="1"/>
        </w:numPr>
        <w:rPr>
          <w:b/>
          <w:color w:val="000000" w:themeColor="text1"/>
        </w:rPr>
      </w:pPr>
      <w:r w:rsidRPr="00906C73">
        <w:rPr>
          <w:b/>
          <w:color w:val="000000" w:themeColor="text1"/>
        </w:rPr>
        <w:t>Focus groups</w:t>
      </w:r>
      <w:r w:rsidRPr="00906C73">
        <w:rPr>
          <w:b/>
          <w:color w:val="000000" w:themeColor="text1"/>
        </w:rPr>
        <w:fldChar w:fldCharType="begin"/>
      </w:r>
      <w:r>
        <w:instrText xml:space="preserve"> XE "</w:instrText>
      </w:r>
      <w:r w:rsidRPr="00E30B96">
        <w:instrText>Focus groups</w:instrText>
      </w:r>
      <w:r>
        <w:instrText xml:space="preserve">" </w:instrText>
      </w:r>
      <w:r w:rsidRPr="00906C73">
        <w:rPr>
          <w:b/>
          <w:color w:val="000000" w:themeColor="text1"/>
        </w:rPr>
        <w:fldChar w:fldCharType="end"/>
      </w:r>
      <w:r w:rsidRPr="00906C73">
        <w:rPr>
          <w:b/>
          <w:color w:val="000000" w:themeColor="text1"/>
        </w:rPr>
        <w:t xml:space="preserve">  </w:t>
      </w:r>
      <w:proofErr w:type="gramStart"/>
      <w:r w:rsidRPr="00906C73">
        <w:rPr>
          <w:color w:val="000000" w:themeColor="text1"/>
        </w:rPr>
        <w:t>A</w:t>
      </w:r>
      <w:proofErr w:type="gramEnd"/>
      <w:r w:rsidRPr="00906C73">
        <w:rPr>
          <w:color w:val="000000" w:themeColor="text1"/>
        </w:rPr>
        <w:t xml:space="preserve"> “group of 6-12 people used to solicit qualitative opinions and attitudes about how satisfied users and customers of a service or product have been. They are also used to gather data on new or proposed products, services, or ideas.”</w:t>
      </w:r>
      <w:r w:rsidRPr="00906C73">
        <w:rPr>
          <w:rFonts w:cs="Helvetica"/>
          <w:color w:val="000000" w:themeColor="text1"/>
        </w:rPr>
        <w:t xml:space="preserve"> </w:t>
      </w:r>
      <w:sdt>
        <w:sdtPr>
          <w:rPr>
            <w:rFonts w:cs="Helvetica"/>
          </w:rPr>
          <w:id w:val="-1496797134"/>
          <w:citation/>
        </w:sdtPr>
        <w:sdtEndPr/>
        <w:sdtContent>
          <w:r w:rsidRPr="00906C73">
            <w:rPr>
              <w:rFonts w:cs="Helvetica"/>
              <w:color w:val="000000" w:themeColor="text1"/>
            </w:rPr>
            <w:fldChar w:fldCharType="begin"/>
          </w:r>
          <w:r w:rsidRPr="00906C73">
            <w:rPr>
              <w:rFonts w:cs="Helvetica"/>
              <w:color w:val="000000" w:themeColor="text1"/>
            </w:rPr>
            <w:instrText xml:space="preserve">CITATION Par13 \p "86 and 89" \l 1033 </w:instrText>
          </w:r>
          <w:r w:rsidRPr="00906C73">
            <w:rPr>
              <w:rFonts w:cs="Helvetica"/>
              <w:color w:val="000000" w:themeColor="text1"/>
            </w:rPr>
            <w:fldChar w:fldCharType="separate"/>
          </w:r>
          <w:r w:rsidRPr="00906C73">
            <w:rPr>
              <w:rFonts w:cs="Helvetica"/>
              <w:noProof/>
              <w:color w:val="000000" w:themeColor="text1"/>
            </w:rPr>
            <w:t>(Parnell, Bresnick, Tani, &amp; Johnson, 2013, p. 86 and 89)</w:t>
          </w:r>
          <w:r w:rsidRPr="00906C73">
            <w:rPr>
              <w:rFonts w:cs="Helvetica"/>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Influence diagram</w:t>
      </w:r>
      <w:r w:rsidRPr="00906C73">
        <w:rPr>
          <w:b/>
          <w:color w:val="000000" w:themeColor="text1"/>
        </w:rPr>
        <w:fldChar w:fldCharType="begin"/>
      </w:r>
      <w:r>
        <w:instrText xml:space="preserve"> XE "</w:instrText>
      </w:r>
      <w:r w:rsidRPr="007F06A9">
        <w:instrText>Influence diagram</w:instrText>
      </w:r>
      <w:r>
        <w:instrText xml:space="preserve">" </w:instrText>
      </w:r>
      <w:r w:rsidRPr="00906C73">
        <w:rPr>
          <w:b/>
          <w:color w:val="000000" w:themeColor="text1"/>
        </w:rPr>
        <w:fldChar w:fldCharType="end"/>
      </w:r>
      <w:r w:rsidRPr="00906C73">
        <w:rPr>
          <w:color w:val="000000" w:themeColor="text1"/>
        </w:rPr>
        <w:t xml:space="preserve"> “A compact graphical representation of conducting relationships among uncertainties and decisions in a perspective on a decision situation.”</w:t>
      </w:r>
      <w:r w:rsidRPr="00906C73">
        <w:rPr>
          <w:noProof/>
          <w:color w:val="000000" w:themeColor="text1"/>
        </w:rPr>
        <w:t xml:space="preserve"> </w:t>
      </w:r>
      <w:sdt>
        <w:sdtPr>
          <w:rPr>
            <w:noProof/>
          </w:rPr>
          <w:id w:val="-432052854"/>
          <w:citation/>
        </w:sdtPr>
        <w:sdtEndPr/>
        <w:sdtContent>
          <w:r w:rsidRPr="00906C73">
            <w:rPr>
              <w:noProof/>
              <w:color w:val="000000" w:themeColor="text1"/>
            </w:rPr>
            <w:fldChar w:fldCharType="begin"/>
          </w:r>
          <w:r w:rsidRPr="00906C73">
            <w:rPr>
              <w:noProof/>
              <w:color w:val="000000" w:themeColor="text1"/>
            </w:rPr>
            <w:instrText xml:space="preserve">CITATION Par11 \p "169-170, 223" \t  \l 1033 </w:instrText>
          </w:r>
          <w:r w:rsidRPr="00906C73">
            <w:rPr>
              <w:noProof/>
              <w:color w:val="000000" w:themeColor="text1"/>
            </w:rPr>
            <w:fldChar w:fldCharType="separate"/>
          </w:r>
          <w:r w:rsidRPr="00906C73">
            <w:rPr>
              <w:noProof/>
              <w:color w:val="000000" w:themeColor="text1"/>
            </w:rPr>
            <w:t>(Parnell, Driscoll, &amp; Henderson, 2011, pp. 169-170, 223)</w:t>
          </w:r>
          <w:r w:rsidRPr="00906C73">
            <w:rPr>
              <w:noProof/>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Interviews</w:t>
      </w:r>
      <w:r w:rsidRPr="00906C73">
        <w:rPr>
          <w:b/>
          <w:color w:val="000000" w:themeColor="text1"/>
        </w:rPr>
        <w:fldChar w:fldCharType="begin"/>
      </w:r>
      <w:r>
        <w:instrText xml:space="preserve"> XE "</w:instrText>
      </w:r>
      <w:r w:rsidRPr="00FF455A">
        <w:instrText>Interviews</w:instrText>
      </w:r>
      <w:r>
        <w:instrText xml:space="preserve">" </w:instrText>
      </w:r>
      <w:r w:rsidRPr="00906C73">
        <w:rPr>
          <w:b/>
          <w:color w:val="000000" w:themeColor="text1"/>
        </w:rPr>
        <w:fldChar w:fldCharType="end"/>
      </w:r>
      <w:r w:rsidRPr="00906C73">
        <w:rPr>
          <w:b/>
          <w:color w:val="000000" w:themeColor="text1"/>
        </w:rPr>
        <w:t xml:space="preserve"> </w:t>
      </w:r>
      <w:r w:rsidRPr="00906C73">
        <w:rPr>
          <w:color w:val="000000" w:themeColor="text1"/>
        </w:rPr>
        <w:t>“The one-on-one process used to elicit information from decision makers and subject matter experts</w:t>
      </w:r>
      <w:r w:rsidRPr="00906C73">
        <w:rPr>
          <w:color w:val="000000" w:themeColor="text1"/>
        </w:rPr>
        <w:fldChar w:fldCharType="begin"/>
      </w:r>
      <w:r>
        <w:instrText xml:space="preserve"> XE "</w:instrText>
      </w:r>
      <w:r w:rsidRPr="00D6204D">
        <w:instrText>subject matter experts</w:instrText>
      </w:r>
      <w:r>
        <w:instrText xml:space="preserve">" </w:instrText>
      </w:r>
      <w:r w:rsidRPr="00906C73">
        <w:rPr>
          <w:color w:val="000000" w:themeColor="text1"/>
        </w:rPr>
        <w:fldChar w:fldCharType="end"/>
      </w:r>
      <w:r w:rsidRPr="00906C73">
        <w:rPr>
          <w:color w:val="000000" w:themeColor="text1"/>
        </w:rPr>
        <w:t xml:space="preserve"> (SMEs).”  Although structured to maximize the productivity of the interaction, interviewers modify questions to leverage the previous responses of the interviewee. “Interviews can be in person, by telephone, or by electronic means.”</w:t>
      </w:r>
      <w:r w:rsidRPr="00906C73">
        <w:rPr>
          <w:b/>
          <w:color w:val="000000" w:themeColor="text1"/>
        </w:rPr>
        <w:t xml:space="preserve"> </w:t>
      </w:r>
      <w:sdt>
        <w:sdtPr>
          <w:rPr>
            <w:b/>
          </w:rPr>
          <w:id w:val="1774119159"/>
          <w:citation/>
        </w:sdtPr>
        <w:sdtEndPr/>
        <w:sdtContent>
          <w:r w:rsidRPr="00906C73">
            <w:rPr>
              <w:b/>
              <w:color w:val="000000" w:themeColor="text1"/>
            </w:rPr>
            <w:fldChar w:fldCharType="begin"/>
          </w:r>
          <w:r w:rsidRPr="00906C73">
            <w:rPr>
              <w:rFonts w:cs="Helvetica"/>
              <w:color w:val="000000" w:themeColor="text1"/>
            </w:rPr>
            <w:instrText xml:space="preserve">CITATION Par13 \p "73-77, 89" \l 1033 </w:instrText>
          </w:r>
          <w:r w:rsidRPr="00906C73">
            <w:rPr>
              <w:b/>
              <w:color w:val="000000" w:themeColor="text1"/>
            </w:rPr>
            <w:fldChar w:fldCharType="separate"/>
          </w:r>
          <w:r w:rsidRPr="00906C73">
            <w:rPr>
              <w:rFonts w:cs="Helvetica"/>
              <w:noProof/>
              <w:color w:val="000000" w:themeColor="text1"/>
            </w:rPr>
            <w:t>(Parnell, Bresnick, Tani, &amp; Johnson, 2013, pp. 73-77, 89)</w:t>
          </w:r>
          <w:r w:rsidRPr="00906C73">
            <w:rPr>
              <w:b/>
              <w:color w:val="000000" w:themeColor="text1"/>
            </w:rPr>
            <w:fldChar w:fldCharType="end"/>
          </w:r>
        </w:sdtContent>
      </w:sdt>
    </w:p>
    <w:p w:rsidR="00906C73" w:rsidRPr="00906C73" w:rsidRDefault="00906C73" w:rsidP="00906C73">
      <w:pPr>
        <w:pStyle w:val="ListParagraph"/>
        <w:numPr>
          <w:ilvl w:val="0"/>
          <w:numId w:val="1"/>
        </w:numPr>
        <w:rPr>
          <w:color w:val="000000" w:themeColor="text1"/>
        </w:rPr>
      </w:pPr>
      <w:bookmarkStart w:id="1" w:name="OLE_LINK5"/>
      <w:bookmarkStart w:id="2" w:name="OLE_LINK6"/>
      <w:r w:rsidRPr="00906C73">
        <w:rPr>
          <w:b/>
          <w:color w:val="000000" w:themeColor="text1"/>
        </w:rPr>
        <w:t>Initial vision statement</w:t>
      </w:r>
      <w:r w:rsidRPr="00906C73">
        <w:rPr>
          <w:color w:val="000000" w:themeColor="text1"/>
        </w:rPr>
        <w:t xml:space="preserve"> </w:t>
      </w:r>
      <w:proofErr w:type="gramStart"/>
      <w:r w:rsidRPr="00906C73">
        <w:rPr>
          <w:color w:val="000000" w:themeColor="text1"/>
        </w:rPr>
        <w:t>The</w:t>
      </w:r>
      <w:proofErr w:type="gramEnd"/>
      <w:r w:rsidRPr="00906C73">
        <w:rPr>
          <w:color w:val="000000" w:themeColor="text1"/>
        </w:rPr>
        <w:t xml:space="preserve"> first attempt to define where the effort will lead.  It is refined into a problem definition or vision statement after the opportunity space </w:t>
      </w:r>
      <w:proofErr w:type="gramStart"/>
      <w:r w:rsidRPr="00906C73">
        <w:rPr>
          <w:color w:val="000000" w:themeColor="text1"/>
        </w:rPr>
        <w:t>has been identified</w:t>
      </w:r>
      <w:proofErr w:type="gramEnd"/>
      <w:r w:rsidRPr="00906C73">
        <w:rPr>
          <w:color w:val="000000" w:themeColor="text1"/>
        </w:rPr>
        <w:t>.</w:t>
      </w:r>
    </w:p>
    <w:p w:rsidR="00906C73" w:rsidRPr="00906C73" w:rsidRDefault="00906C73" w:rsidP="00906C73">
      <w:pPr>
        <w:pStyle w:val="ListParagraph"/>
        <w:numPr>
          <w:ilvl w:val="0"/>
          <w:numId w:val="1"/>
        </w:numPr>
        <w:rPr>
          <w:b/>
          <w:color w:val="000000" w:themeColor="text1"/>
        </w:rPr>
      </w:pPr>
      <w:r w:rsidRPr="00906C73">
        <w:rPr>
          <w:b/>
          <w:color w:val="000000" w:themeColor="text1"/>
        </w:rPr>
        <w:t>Issue list</w:t>
      </w:r>
      <w:r w:rsidRPr="00906C73">
        <w:rPr>
          <w:color w:val="000000" w:themeColor="text1"/>
        </w:rPr>
        <w:t xml:space="preserve"> </w:t>
      </w:r>
      <w:proofErr w:type="gramStart"/>
      <w:r w:rsidRPr="00906C73">
        <w:rPr>
          <w:color w:val="000000" w:themeColor="text1"/>
        </w:rPr>
        <w:t>Consists</w:t>
      </w:r>
      <w:proofErr w:type="gramEnd"/>
      <w:r w:rsidRPr="00906C73">
        <w:rPr>
          <w:color w:val="000000" w:themeColor="text1"/>
        </w:rPr>
        <w:t xml:space="preserve"> of the issue(s) as well as a description of the issue. It can be a prioritized or un-prioritized list. </w:t>
      </w:r>
    </w:p>
    <w:bookmarkEnd w:id="1"/>
    <w:bookmarkEnd w:id="2"/>
    <w:p w:rsidR="00906C73" w:rsidRPr="00906C73" w:rsidRDefault="00906C73" w:rsidP="00906C73">
      <w:pPr>
        <w:pStyle w:val="ListParagraph"/>
        <w:numPr>
          <w:ilvl w:val="0"/>
          <w:numId w:val="1"/>
        </w:numPr>
        <w:rPr>
          <w:color w:val="000000" w:themeColor="text1"/>
        </w:rPr>
      </w:pPr>
      <w:r w:rsidRPr="00906C73">
        <w:rPr>
          <w:b/>
          <w:color w:val="000000" w:themeColor="text1"/>
        </w:rPr>
        <w:t xml:space="preserve">Opportunity Space </w:t>
      </w:r>
      <w:r w:rsidRPr="00906C73">
        <w:rPr>
          <w:color w:val="000000" w:themeColor="text1"/>
        </w:rPr>
        <w:t xml:space="preserve">The area from which a viable solution </w:t>
      </w:r>
      <w:proofErr w:type="gramStart"/>
      <w:r w:rsidRPr="00906C73">
        <w:rPr>
          <w:color w:val="000000" w:themeColor="text1"/>
        </w:rPr>
        <w:t>can be found</w:t>
      </w:r>
      <w:proofErr w:type="gramEnd"/>
      <w:r w:rsidRPr="00906C73">
        <w:rPr>
          <w:color w:val="000000" w:themeColor="text1"/>
        </w:rPr>
        <w:t xml:space="preserve">.  </w:t>
      </w:r>
      <w:proofErr w:type="gramStart"/>
      <w:r w:rsidRPr="00906C73">
        <w:rPr>
          <w:color w:val="000000" w:themeColor="text1"/>
        </w:rPr>
        <w:t>It is framed by the issue, constraints, and assumptions</w:t>
      </w:r>
      <w:proofErr w:type="gramEnd"/>
      <w:r w:rsidRPr="00906C73">
        <w:rPr>
          <w:color w:val="000000" w:themeColor="text1"/>
        </w:rPr>
        <w:t>.</w:t>
      </w:r>
    </w:p>
    <w:p w:rsidR="00906C73" w:rsidRPr="00906C73" w:rsidRDefault="00906C73" w:rsidP="00906C73">
      <w:pPr>
        <w:pStyle w:val="ListParagraph"/>
        <w:numPr>
          <w:ilvl w:val="0"/>
          <w:numId w:val="1"/>
        </w:numPr>
        <w:rPr>
          <w:color w:val="000000" w:themeColor="text1"/>
        </w:rPr>
      </w:pPr>
      <w:r w:rsidRPr="00906C73">
        <w:rPr>
          <w:b/>
          <w:color w:val="000000" w:themeColor="text1"/>
        </w:rPr>
        <w:t>Stakeholder knowledge</w:t>
      </w:r>
      <w:r w:rsidRPr="00906C73">
        <w:rPr>
          <w:b/>
          <w:color w:val="000000" w:themeColor="text1"/>
        </w:rPr>
        <w:fldChar w:fldCharType="begin"/>
      </w:r>
      <w:r>
        <w:instrText xml:space="preserve"> XE "</w:instrText>
      </w:r>
      <w:r w:rsidRPr="008F2AFD">
        <w:instrText>Stakeholder knowledge</w:instrText>
      </w:r>
      <w:r>
        <w:instrText xml:space="preserve">" </w:instrText>
      </w:r>
      <w:r w:rsidRPr="00906C73">
        <w:rPr>
          <w:b/>
          <w:color w:val="000000" w:themeColor="text1"/>
        </w:rPr>
        <w:fldChar w:fldCharType="end"/>
      </w:r>
      <w:r w:rsidRPr="00906C73">
        <w:rPr>
          <w:b/>
          <w:color w:val="000000" w:themeColor="text1"/>
        </w:rPr>
        <w:t xml:space="preserve"> </w:t>
      </w:r>
      <w:r w:rsidRPr="00906C73">
        <w:rPr>
          <w:color w:val="000000" w:themeColor="text1"/>
        </w:rPr>
        <w:t>Information from a person with an interest or concern in the system under assessment, improvement, or development.</w:t>
      </w:r>
    </w:p>
    <w:p w:rsidR="00906C73" w:rsidRPr="00906C73" w:rsidRDefault="00906C73" w:rsidP="00906C73">
      <w:pPr>
        <w:pStyle w:val="ListParagraph"/>
        <w:numPr>
          <w:ilvl w:val="0"/>
          <w:numId w:val="1"/>
        </w:numPr>
        <w:rPr>
          <w:color w:val="000000" w:themeColor="text1"/>
        </w:rPr>
      </w:pPr>
      <w:r w:rsidRPr="00906C73">
        <w:rPr>
          <w:b/>
          <w:color w:val="000000" w:themeColor="text1"/>
        </w:rPr>
        <w:t>Subject matter experts (SMEs)</w:t>
      </w:r>
      <w:r w:rsidRPr="00906C73">
        <w:rPr>
          <w:rFonts w:cs="Helvetica"/>
          <w:color w:val="000000" w:themeColor="text1"/>
        </w:rPr>
        <w:t xml:space="preserve"> “Someone with credible substantive knowledge about the decision”.  Quantitative means of designating a SME include but are not limited </w:t>
      </w:r>
      <w:proofErr w:type="gramStart"/>
      <w:r w:rsidRPr="00906C73">
        <w:rPr>
          <w:rFonts w:cs="Helvetica"/>
          <w:color w:val="000000" w:themeColor="text1"/>
        </w:rPr>
        <w:t>to:</w:t>
      </w:r>
      <w:proofErr w:type="gramEnd"/>
      <w:r w:rsidRPr="00906C73">
        <w:rPr>
          <w:rFonts w:cs="Helvetica"/>
          <w:color w:val="000000" w:themeColor="text1"/>
        </w:rPr>
        <w:t xml:space="preserve"> 10,000 hours of experience in this domain or certification via standard test in the field (e.g. Principles and Practice of Engineering (PE) exam, Certified Modeling &amp; Simulation Professional, etc.) </w:t>
      </w:r>
      <w:sdt>
        <w:sdtPr>
          <w:id w:val="-1792268124"/>
          <w:citation/>
        </w:sdtPr>
        <w:sdtEndPr/>
        <w:sdtContent>
          <w:r w:rsidRPr="00906C73">
            <w:rPr>
              <w:rFonts w:cs="Helvetica"/>
              <w:color w:val="000000" w:themeColor="text1"/>
            </w:rPr>
            <w:fldChar w:fldCharType="begin"/>
          </w:r>
          <w:r w:rsidRPr="00906C73">
            <w:rPr>
              <w:rFonts w:cs="Helvetica"/>
              <w:color w:val="000000" w:themeColor="text1"/>
            </w:rPr>
            <w:instrText xml:space="preserve">CITATION Par13 \p 90 \t  \l 1033 </w:instrText>
          </w:r>
          <w:r w:rsidRPr="00906C73">
            <w:rPr>
              <w:rFonts w:cs="Helvetica"/>
              <w:color w:val="000000" w:themeColor="text1"/>
            </w:rPr>
            <w:fldChar w:fldCharType="separate"/>
          </w:r>
          <w:r w:rsidRPr="00906C73">
            <w:rPr>
              <w:rFonts w:cs="Helvetica"/>
              <w:noProof/>
              <w:color w:val="000000" w:themeColor="text1"/>
            </w:rPr>
            <w:t>(Parnell, Bresnick, Tani, &amp; Johnson, 2013, p. 90)</w:t>
          </w:r>
          <w:r w:rsidRPr="00906C73">
            <w:rPr>
              <w:rFonts w:cs="Helvetica"/>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lastRenderedPageBreak/>
        <w:t>Surveys</w:t>
      </w:r>
      <w:r w:rsidRPr="00906C73">
        <w:rPr>
          <w:b/>
          <w:color w:val="000000" w:themeColor="text1"/>
        </w:rPr>
        <w:fldChar w:fldCharType="begin"/>
      </w:r>
      <w:r>
        <w:instrText xml:space="preserve"> XE "</w:instrText>
      </w:r>
      <w:r w:rsidRPr="00C73A77">
        <w:instrText>Surveys</w:instrText>
      </w:r>
      <w:r>
        <w:instrText xml:space="preserve">" </w:instrText>
      </w:r>
      <w:r w:rsidRPr="00906C73">
        <w:rPr>
          <w:b/>
          <w:color w:val="000000" w:themeColor="text1"/>
        </w:rPr>
        <w:fldChar w:fldCharType="end"/>
      </w:r>
      <w:r w:rsidRPr="00906C73">
        <w:rPr>
          <w:b/>
          <w:color w:val="000000" w:themeColor="text1"/>
        </w:rPr>
        <w:t xml:space="preserve"> </w:t>
      </w:r>
      <w:r w:rsidRPr="00906C73">
        <w:rPr>
          <w:color w:val="000000" w:themeColor="text1"/>
        </w:rPr>
        <w:t xml:space="preserve">A structured means used to elicit quantitative or qualitative </w:t>
      </w:r>
      <w:proofErr w:type="gramStart"/>
      <w:r w:rsidRPr="00906C73">
        <w:rPr>
          <w:color w:val="000000" w:themeColor="text1"/>
        </w:rPr>
        <w:t>information  from</w:t>
      </w:r>
      <w:proofErr w:type="gramEnd"/>
      <w:r w:rsidRPr="00906C73">
        <w:rPr>
          <w:color w:val="000000" w:themeColor="text1"/>
        </w:rPr>
        <w:t xml:space="preserve"> large groups of decision makers and subject matter experts</w:t>
      </w:r>
      <w:r w:rsidRPr="00906C73">
        <w:rPr>
          <w:color w:val="000000" w:themeColor="text1"/>
        </w:rPr>
        <w:fldChar w:fldCharType="begin"/>
      </w:r>
      <w:r>
        <w:instrText xml:space="preserve"> XE "</w:instrText>
      </w:r>
      <w:r w:rsidRPr="00D6204D">
        <w:instrText>subject matter experts</w:instrText>
      </w:r>
      <w:r>
        <w:instrText xml:space="preserve">" </w:instrText>
      </w:r>
      <w:r w:rsidRPr="00906C73">
        <w:rPr>
          <w:color w:val="000000" w:themeColor="text1"/>
        </w:rPr>
        <w:fldChar w:fldCharType="end"/>
      </w:r>
      <w:r w:rsidRPr="00906C73">
        <w:rPr>
          <w:color w:val="000000" w:themeColor="text1"/>
        </w:rPr>
        <w:t xml:space="preserve"> (SMEs). It is a series of written </w:t>
      </w:r>
      <w:proofErr w:type="gramStart"/>
      <w:r w:rsidRPr="00906C73">
        <w:rPr>
          <w:color w:val="000000" w:themeColor="text1"/>
        </w:rPr>
        <w:t>questions which</w:t>
      </w:r>
      <w:proofErr w:type="gramEnd"/>
      <w:r w:rsidRPr="00906C73">
        <w:rPr>
          <w:color w:val="000000" w:themeColor="text1"/>
        </w:rPr>
        <w:t xml:space="preserve"> can be distributed and collected in person or via mail, email or the Internet.</w:t>
      </w:r>
      <w:r w:rsidRPr="00906C73">
        <w:rPr>
          <w:b/>
          <w:color w:val="000000" w:themeColor="text1"/>
        </w:rPr>
        <w:t xml:space="preserve"> </w:t>
      </w:r>
      <w:sdt>
        <w:sdtPr>
          <w:rPr>
            <w:b/>
          </w:rPr>
          <w:id w:val="1046111789"/>
          <w:citation/>
        </w:sdtPr>
        <w:sdtEndPr/>
        <w:sdtContent>
          <w:r w:rsidRPr="00906C73">
            <w:rPr>
              <w:b/>
              <w:color w:val="000000" w:themeColor="text1"/>
            </w:rPr>
            <w:fldChar w:fldCharType="begin"/>
          </w:r>
          <w:r w:rsidRPr="00906C73">
            <w:rPr>
              <w:rFonts w:cs="Helvetica"/>
              <w:color w:val="000000" w:themeColor="text1"/>
            </w:rPr>
            <w:instrText xml:space="preserve">CITATION Par13 \p 78-80 \t  \l 1033 </w:instrText>
          </w:r>
          <w:r w:rsidRPr="00906C73">
            <w:rPr>
              <w:b/>
              <w:color w:val="000000" w:themeColor="text1"/>
            </w:rPr>
            <w:fldChar w:fldCharType="separate"/>
          </w:r>
          <w:r w:rsidRPr="00906C73">
            <w:rPr>
              <w:rFonts w:cs="Helvetica"/>
              <w:noProof/>
              <w:color w:val="000000" w:themeColor="text1"/>
            </w:rPr>
            <w:t>(Parnell, Bresnick, Tani, &amp; Johnson, 2013, pp. 78-80)</w:t>
          </w:r>
          <w:r w:rsidRPr="00906C73">
            <w:rPr>
              <w:b/>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System boundary</w:t>
      </w:r>
      <w:r w:rsidRPr="00906C73">
        <w:rPr>
          <w:b/>
          <w:color w:val="000000" w:themeColor="text1"/>
        </w:rPr>
        <w:fldChar w:fldCharType="begin"/>
      </w:r>
      <w:r>
        <w:instrText xml:space="preserve"> XE "</w:instrText>
      </w:r>
      <w:r w:rsidRPr="001D3D47">
        <w:instrText>System boundary</w:instrText>
      </w:r>
      <w:r>
        <w:instrText xml:space="preserve">" </w:instrText>
      </w:r>
      <w:r w:rsidRPr="00906C73">
        <w:rPr>
          <w:b/>
          <w:color w:val="000000" w:themeColor="text1"/>
        </w:rPr>
        <w:fldChar w:fldCharType="end"/>
      </w:r>
      <w:r w:rsidRPr="00906C73">
        <w:rPr>
          <w:color w:val="000000" w:themeColor="text1"/>
        </w:rPr>
        <w:t xml:space="preserve"> </w:t>
      </w:r>
      <w:proofErr w:type="gramStart"/>
      <w:r w:rsidRPr="00906C73">
        <w:rPr>
          <w:color w:val="000000" w:themeColor="text1"/>
        </w:rPr>
        <w:t>A</w:t>
      </w:r>
      <w:proofErr w:type="gramEnd"/>
      <w:r w:rsidRPr="00906C73">
        <w:rPr>
          <w:color w:val="000000" w:themeColor="text1"/>
        </w:rPr>
        <w:t xml:space="preserve"> means of delineating the elements, interactions, and subsystem the decision analyst believes should be part of a system definition from elements, interactions, and subsystem which may influence or be influenced by the system but lie outside the influence of the system decision of the analysis.  </w:t>
      </w:r>
      <w:sdt>
        <w:sdtPr>
          <w:id w:val="-1305848764"/>
          <w:citation/>
        </w:sdtPr>
        <w:sdtEndPr/>
        <w:sdtContent>
          <w:r w:rsidRPr="00906C73">
            <w:rPr>
              <w:color w:val="000000" w:themeColor="text1"/>
            </w:rPr>
            <w:fldChar w:fldCharType="begin"/>
          </w:r>
          <w:r w:rsidRPr="00906C73">
            <w:rPr>
              <w:noProof/>
              <w:color w:val="000000" w:themeColor="text1"/>
            </w:rPr>
            <w:instrText xml:space="preserve">CITATION Par11 \p 35-38 \t  \l 1033 </w:instrText>
          </w:r>
          <w:r w:rsidRPr="00906C73">
            <w:rPr>
              <w:color w:val="000000" w:themeColor="text1"/>
            </w:rPr>
            <w:fldChar w:fldCharType="separate"/>
          </w:r>
          <w:r w:rsidRPr="00906C73">
            <w:rPr>
              <w:noProof/>
              <w:color w:val="000000" w:themeColor="text1"/>
            </w:rPr>
            <w:t>(Parnell, Driscoll, &amp; Henderson, 2011, pp. 35-38)</w:t>
          </w:r>
          <w:r w:rsidRPr="00906C73">
            <w:rPr>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Technical knowledge</w:t>
      </w:r>
      <w:r w:rsidRPr="00906C73">
        <w:rPr>
          <w:b/>
          <w:color w:val="000000" w:themeColor="text1"/>
        </w:rPr>
        <w:fldChar w:fldCharType="begin"/>
      </w:r>
      <w:r>
        <w:instrText xml:space="preserve"> XE "</w:instrText>
      </w:r>
      <w:r w:rsidRPr="00061D6D">
        <w:instrText>Technical knowledge</w:instrText>
      </w:r>
      <w:r>
        <w:instrText xml:space="preserve">" </w:instrText>
      </w:r>
      <w:r w:rsidRPr="00906C73">
        <w:rPr>
          <w:b/>
          <w:color w:val="000000" w:themeColor="text1"/>
        </w:rPr>
        <w:fldChar w:fldCharType="end"/>
      </w:r>
      <w:r w:rsidRPr="00906C73">
        <w:rPr>
          <w:b/>
          <w:color w:val="000000" w:themeColor="text1"/>
        </w:rPr>
        <w:t xml:space="preserve"> </w:t>
      </w:r>
      <w:r w:rsidRPr="00906C73">
        <w:rPr>
          <w:color w:val="000000" w:themeColor="text1"/>
        </w:rPr>
        <w:t>A substantive knowledge of a specific domain of interest</w:t>
      </w:r>
      <w:sdt>
        <w:sdtPr>
          <w:id w:val="645164252"/>
          <w:citation/>
        </w:sdtPr>
        <w:sdtEndPr/>
        <w:sdtContent>
          <w:r w:rsidRPr="00906C73">
            <w:rPr>
              <w:color w:val="000000" w:themeColor="text1"/>
            </w:rPr>
            <w:fldChar w:fldCharType="begin"/>
          </w:r>
          <w:r w:rsidRPr="00906C73">
            <w:rPr>
              <w:color w:val="000000" w:themeColor="text1"/>
            </w:rPr>
            <w:instrText xml:space="preserve">CITATION Par13 \p "32 and 44" \l 1033 </w:instrText>
          </w:r>
          <w:r w:rsidRPr="00906C73">
            <w:rPr>
              <w:color w:val="000000" w:themeColor="text1"/>
            </w:rPr>
            <w:fldChar w:fldCharType="separate"/>
          </w:r>
          <w:r w:rsidRPr="00906C73">
            <w:rPr>
              <w:noProof/>
              <w:color w:val="000000" w:themeColor="text1"/>
            </w:rPr>
            <w:t xml:space="preserve"> (Parnell, Bresnick, Tani, &amp; Johnson, 2013, p. 32 and 44)</w:t>
          </w:r>
          <w:r w:rsidRPr="00906C73">
            <w:rPr>
              <w:color w:val="000000" w:themeColor="text1"/>
            </w:rPr>
            <w:fldChar w:fldCharType="end"/>
          </w:r>
        </w:sdtContent>
      </w:sdt>
    </w:p>
    <w:p w:rsidR="00906C73" w:rsidRPr="00906C73" w:rsidRDefault="00906C73" w:rsidP="00906C73">
      <w:pPr>
        <w:pStyle w:val="ListParagraph"/>
        <w:numPr>
          <w:ilvl w:val="0"/>
          <w:numId w:val="1"/>
        </w:numPr>
        <w:rPr>
          <w:b/>
          <w:color w:val="000000" w:themeColor="text1"/>
        </w:rPr>
      </w:pPr>
      <w:r w:rsidRPr="00906C73">
        <w:rPr>
          <w:b/>
          <w:color w:val="000000" w:themeColor="text1"/>
        </w:rPr>
        <w:t xml:space="preserve">Use case </w:t>
      </w:r>
      <w:proofErr w:type="gramStart"/>
      <w:r w:rsidRPr="00906C73">
        <w:rPr>
          <w:color w:val="000000" w:themeColor="text1"/>
        </w:rPr>
        <w:t>A</w:t>
      </w:r>
      <w:proofErr w:type="gramEnd"/>
      <w:r w:rsidRPr="00906C73">
        <w:rPr>
          <w:color w:val="000000" w:themeColor="text1"/>
        </w:rPr>
        <w:t xml:space="preserve"> description of system or process that defines interactions between external actors and the system to attain particular goals. </w:t>
      </w:r>
      <w:sdt>
        <w:sdtPr>
          <w:id w:val="-1721972603"/>
          <w:citation/>
        </w:sdtPr>
        <w:sdtEndPr/>
        <w:sdtContent>
          <w:r w:rsidRPr="00906C73">
            <w:rPr>
              <w:color w:val="000000" w:themeColor="text1"/>
            </w:rPr>
            <w:fldChar w:fldCharType="begin"/>
          </w:r>
          <w:r w:rsidRPr="00906C73">
            <w:rPr>
              <w:color w:val="000000" w:themeColor="text1"/>
            </w:rPr>
            <w:instrText xml:space="preserve"> CITATION Cor15 \l 1033 </w:instrText>
          </w:r>
          <w:r w:rsidRPr="00906C73">
            <w:rPr>
              <w:color w:val="000000" w:themeColor="text1"/>
            </w:rPr>
            <w:fldChar w:fldCharType="separate"/>
          </w:r>
          <w:r w:rsidRPr="00906C73">
            <w:rPr>
              <w:noProof/>
              <w:color w:val="000000" w:themeColor="text1"/>
            </w:rPr>
            <w:t>(Janssen)</w:t>
          </w:r>
          <w:r w:rsidRPr="00906C73">
            <w:rPr>
              <w:color w:val="000000" w:themeColor="text1"/>
            </w:rPr>
            <w:fldChar w:fldCharType="end"/>
          </w:r>
        </w:sdtContent>
      </w:sdt>
      <w:r w:rsidRPr="00906C73">
        <w:rPr>
          <w:color w:val="000000" w:themeColor="text1"/>
        </w:rPr>
        <w:t xml:space="preserve">  </w:t>
      </w:r>
    </w:p>
    <w:p w:rsidR="00906C73" w:rsidRPr="00906C73" w:rsidRDefault="00906C73" w:rsidP="00906C73">
      <w:pPr>
        <w:pStyle w:val="ListParagraph"/>
        <w:numPr>
          <w:ilvl w:val="0"/>
          <w:numId w:val="1"/>
        </w:numPr>
        <w:rPr>
          <w:b/>
          <w:color w:val="000000" w:themeColor="text1"/>
        </w:rPr>
      </w:pPr>
      <w:r w:rsidRPr="00906C73">
        <w:rPr>
          <w:b/>
          <w:color w:val="000000" w:themeColor="text1"/>
        </w:rPr>
        <w:t>Vision statement</w:t>
      </w:r>
      <w:r w:rsidRPr="00906C73">
        <w:rPr>
          <w:b/>
          <w:color w:val="000000" w:themeColor="text1"/>
        </w:rPr>
        <w:fldChar w:fldCharType="begin"/>
      </w:r>
      <w:r>
        <w:instrText xml:space="preserve"> XE "</w:instrText>
      </w:r>
      <w:r w:rsidRPr="00270A2F">
        <w:instrText>Vision statement</w:instrText>
      </w:r>
      <w:r>
        <w:instrText xml:space="preserve">" </w:instrText>
      </w:r>
      <w:r w:rsidRPr="00906C73">
        <w:rPr>
          <w:b/>
          <w:color w:val="000000" w:themeColor="text1"/>
        </w:rPr>
        <w:fldChar w:fldCharType="end"/>
      </w:r>
      <w:r w:rsidRPr="00906C73">
        <w:rPr>
          <w:b/>
          <w:color w:val="000000" w:themeColor="text1"/>
        </w:rPr>
        <w:t xml:space="preserve"> (opportunity statement) </w:t>
      </w:r>
      <w:proofErr w:type="gramStart"/>
      <w:r w:rsidRPr="00906C73">
        <w:rPr>
          <w:color w:val="000000" w:themeColor="text1"/>
        </w:rPr>
        <w:t>An</w:t>
      </w:r>
      <w:proofErr w:type="gramEnd"/>
      <w:r w:rsidRPr="00906C73">
        <w:rPr>
          <w:color w:val="000000" w:themeColor="text1"/>
        </w:rPr>
        <w:t xml:space="preserve"> effective way to illustrate an agreement between the decision maker(s) and key stakeholders on the purpose of the decision. “The vision statement answers three questions: What are we going to do? Why are we doing this? How will we know that we have succeeded?”</w:t>
      </w:r>
      <w:r w:rsidRPr="00906C73">
        <w:rPr>
          <w:noProof/>
          <w:color w:val="000000" w:themeColor="text1"/>
        </w:rPr>
        <w:t xml:space="preserve"> </w:t>
      </w:r>
      <w:sdt>
        <w:sdtPr>
          <w:rPr>
            <w:noProof/>
          </w:rPr>
          <w:id w:val="1001863373"/>
          <w:citation/>
        </w:sdtPr>
        <w:sdtEndPr/>
        <w:sdtContent>
          <w:r w:rsidRPr="00906C73">
            <w:rPr>
              <w:noProof/>
              <w:color w:val="000000" w:themeColor="text1"/>
            </w:rPr>
            <w:fldChar w:fldCharType="begin"/>
          </w:r>
          <w:r w:rsidRPr="00906C73">
            <w:rPr>
              <w:noProof/>
              <w:color w:val="000000" w:themeColor="text1"/>
            </w:rPr>
            <w:instrText xml:space="preserve">CITATION Par11 \p "115 and 126" \t  \l 1033 </w:instrText>
          </w:r>
          <w:r w:rsidRPr="00906C73">
            <w:rPr>
              <w:noProof/>
              <w:color w:val="000000" w:themeColor="text1"/>
            </w:rPr>
            <w:fldChar w:fldCharType="separate"/>
          </w:r>
          <w:r w:rsidRPr="00906C73">
            <w:rPr>
              <w:noProof/>
              <w:color w:val="000000" w:themeColor="text1"/>
            </w:rPr>
            <w:t>(Parnell, Driscoll, &amp; Henderson, 2011, p. 115 and 126)</w:t>
          </w:r>
          <w:r w:rsidRPr="00906C73">
            <w:rPr>
              <w:noProof/>
              <w:color w:val="000000" w:themeColor="text1"/>
            </w:rPr>
            <w:fldChar w:fldCharType="end"/>
          </w:r>
        </w:sdtContent>
      </w:sdt>
    </w:p>
    <w:p w:rsidR="00D462DA" w:rsidRDefault="00D462DA"/>
    <w:sectPr w:rsidR="00D462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1765E0"/>
    <w:multiLevelType w:val="hybridMultilevel"/>
    <w:tmpl w:val="C02AB6B6"/>
    <w:lvl w:ilvl="0" w:tplc="F486776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C73"/>
    <w:rsid w:val="00003044"/>
    <w:rsid w:val="0003670F"/>
    <w:rsid w:val="00044EE3"/>
    <w:rsid w:val="0007118E"/>
    <w:rsid w:val="00072493"/>
    <w:rsid w:val="000739F3"/>
    <w:rsid w:val="00074D15"/>
    <w:rsid w:val="00090CFA"/>
    <w:rsid w:val="000A1CDC"/>
    <w:rsid w:val="000F3643"/>
    <w:rsid w:val="001134F5"/>
    <w:rsid w:val="00137649"/>
    <w:rsid w:val="00155A84"/>
    <w:rsid w:val="001653B6"/>
    <w:rsid w:val="00176142"/>
    <w:rsid w:val="00184655"/>
    <w:rsid w:val="00185C90"/>
    <w:rsid w:val="00190BA9"/>
    <w:rsid w:val="001C5231"/>
    <w:rsid w:val="001D0B90"/>
    <w:rsid w:val="001F20EE"/>
    <w:rsid w:val="001F4E0B"/>
    <w:rsid w:val="00201A58"/>
    <w:rsid w:val="00256C4F"/>
    <w:rsid w:val="00283016"/>
    <w:rsid w:val="002854B5"/>
    <w:rsid w:val="002A541B"/>
    <w:rsid w:val="002B148F"/>
    <w:rsid w:val="002D1572"/>
    <w:rsid w:val="002D3F29"/>
    <w:rsid w:val="00305A4E"/>
    <w:rsid w:val="003204F7"/>
    <w:rsid w:val="00332A17"/>
    <w:rsid w:val="003644E4"/>
    <w:rsid w:val="0039255E"/>
    <w:rsid w:val="003B6ADD"/>
    <w:rsid w:val="003B7A73"/>
    <w:rsid w:val="003C5327"/>
    <w:rsid w:val="003F0363"/>
    <w:rsid w:val="003F6AC9"/>
    <w:rsid w:val="00401E49"/>
    <w:rsid w:val="00455F38"/>
    <w:rsid w:val="00465481"/>
    <w:rsid w:val="0047195C"/>
    <w:rsid w:val="0049511B"/>
    <w:rsid w:val="004967D0"/>
    <w:rsid w:val="004E339A"/>
    <w:rsid w:val="004E60ED"/>
    <w:rsid w:val="004F575F"/>
    <w:rsid w:val="0052145F"/>
    <w:rsid w:val="00542062"/>
    <w:rsid w:val="005459B7"/>
    <w:rsid w:val="0055290E"/>
    <w:rsid w:val="00564DC6"/>
    <w:rsid w:val="00582A22"/>
    <w:rsid w:val="005C0E84"/>
    <w:rsid w:val="005F1679"/>
    <w:rsid w:val="0060735B"/>
    <w:rsid w:val="0061374D"/>
    <w:rsid w:val="00615EF4"/>
    <w:rsid w:val="00622F71"/>
    <w:rsid w:val="0067732D"/>
    <w:rsid w:val="0068005D"/>
    <w:rsid w:val="006801F5"/>
    <w:rsid w:val="006A40CF"/>
    <w:rsid w:val="006A4299"/>
    <w:rsid w:val="006C0737"/>
    <w:rsid w:val="006E2AD0"/>
    <w:rsid w:val="006E5E18"/>
    <w:rsid w:val="006F7D0F"/>
    <w:rsid w:val="0070503B"/>
    <w:rsid w:val="007211E6"/>
    <w:rsid w:val="007265F8"/>
    <w:rsid w:val="007373DF"/>
    <w:rsid w:val="007375D2"/>
    <w:rsid w:val="0075282B"/>
    <w:rsid w:val="007A0241"/>
    <w:rsid w:val="007A07AE"/>
    <w:rsid w:val="007B0A38"/>
    <w:rsid w:val="007D2AC7"/>
    <w:rsid w:val="007F38C3"/>
    <w:rsid w:val="00813A7E"/>
    <w:rsid w:val="008325DD"/>
    <w:rsid w:val="00846951"/>
    <w:rsid w:val="008529B7"/>
    <w:rsid w:val="00862539"/>
    <w:rsid w:val="008816EC"/>
    <w:rsid w:val="00885ECA"/>
    <w:rsid w:val="00894B40"/>
    <w:rsid w:val="008D604A"/>
    <w:rsid w:val="008E3400"/>
    <w:rsid w:val="009023E3"/>
    <w:rsid w:val="00906C73"/>
    <w:rsid w:val="00907524"/>
    <w:rsid w:val="00911D7C"/>
    <w:rsid w:val="009177C9"/>
    <w:rsid w:val="00920C72"/>
    <w:rsid w:val="0095101A"/>
    <w:rsid w:val="00957F74"/>
    <w:rsid w:val="00A07996"/>
    <w:rsid w:val="00A41F37"/>
    <w:rsid w:val="00A53075"/>
    <w:rsid w:val="00A54F8C"/>
    <w:rsid w:val="00A71DA8"/>
    <w:rsid w:val="00A74F6B"/>
    <w:rsid w:val="00B06020"/>
    <w:rsid w:val="00B06236"/>
    <w:rsid w:val="00B11FB5"/>
    <w:rsid w:val="00B443A0"/>
    <w:rsid w:val="00B51D59"/>
    <w:rsid w:val="00B61E04"/>
    <w:rsid w:val="00B87989"/>
    <w:rsid w:val="00BA6273"/>
    <w:rsid w:val="00BB4846"/>
    <w:rsid w:val="00BB4893"/>
    <w:rsid w:val="00BC0CC5"/>
    <w:rsid w:val="00BE3FE7"/>
    <w:rsid w:val="00BF37E9"/>
    <w:rsid w:val="00BF7FF6"/>
    <w:rsid w:val="00C02FBB"/>
    <w:rsid w:val="00C37A0C"/>
    <w:rsid w:val="00C42719"/>
    <w:rsid w:val="00C46C35"/>
    <w:rsid w:val="00C64158"/>
    <w:rsid w:val="00C652E1"/>
    <w:rsid w:val="00C82A92"/>
    <w:rsid w:val="00C82F0C"/>
    <w:rsid w:val="00CC1BE6"/>
    <w:rsid w:val="00CC5363"/>
    <w:rsid w:val="00CE21E1"/>
    <w:rsid w:val="00CF5EDA"/>
    <w:rsid w:val="00D11403"/>
    <w:rsid w:val="00D462DA"/>
    <w:rsid w:val="00D61635"/>
    <w:rsid w:val="00D618BC"/>
    <w:rsid w:val="00D729DA"/>
    <w:rsid w:val="00D868E3"/>
    <w:rsid w:val="00DD6B13"/>
    <w:rsid w:val="00E107E5"/>
    <w:rsid w:val="00E45573"/>
    <w:rsid w:val="00E51578"/>
    <w:rsid w:val="00E749D8"/>
    <w:rsid w:val="00E8337F"/>
    <w:rsid w:val="00E847AA"/>
    <w:rsid w:val="00E93A5B"/>
    <w:rsid w:val="00E95BB5"/>
    <w:rsid w:val="00EA1C56"/>
    <w:rsid w:val="00ED35FF"/>
    <w:rsid w:val="00EE36ED"/>
    <w:rsid w:val="00F4079B"/>
    <w:rsid w:val="00F57303"/>
    <w:rsid w:val="00F64FE4"/>
    <w:rsid w:val="00F77A54"/>
    <w:rsid w:val="00F8664F"/>
    <w:rsid w:val="00F9698D"/>
    <w:rsid w:val="00FA4786"/>
    <w:rsid w:val="00FA5AEF"/>
    <w:rsid w:val="00FB47BF"/>
    <w:rsid w:val="00FD60E8"/>
    <w:rsid w:val="00FE2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13B55"/>
  <w15:chartTrackingRefBased/>
  <w15:docId w15:val="{85297B79-1081-4734-98A1-494F43C3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7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Par13</b:Tag>
    <b:SourceType>Book</b:SourceType>
    <b:Guid>{7FEFA96F-2FC8-4FC6-BD6B-9A55CFA19001}</b:Guid>
    <b:Title>Handbook of Decision Analysis</b:Title>
    <b:Year>2013</b:Year>
    <b:City>Hoboken</b:City>
    <b:StateProvince>NJ</b:StateProvince>
    <b:Publisher>John Wiley &amp; Sons, Inc.</b:Publisher>
    <b:Author>
      <b:Author>
        <b:NameList>
          <b:Person>
            <b:Last>Parnell</b:Last>
            <b:First>G.S.</b:First>
          </b:Person>
          <b:Person>
            <b:Last> Bresnick</b:Last>
            <b:Middle>A.</b:Middle>
            <b:First>T.</b:First>
          </b:Person>
          <b:Person>
            <b:Last>Tani</b:Last>
            <b:Middle>N.</b:Middle>
            <b:First>S.</b:First>
          </b:Person>
          <b:Person>
            <b:Last>Johnson</b:Last>
            <b:Middle>R.</b:Middle>
            <b:First>E.</b:First>
          </b:Person>
        </b:NameList>
      </b:Author>
    </b:Author>
    <b:RefOrder>2</b:RefOrder>
  </b:Source>
  <b:Source>
    <b:Tag>Par11</b:Tag>
    <b:SourceType>Book</b:SourceType>
    <b:Guid>{7ADDCF75-AA8E-4B6D-97A0-066847DE145B}</b:Guid>
    <b:Title>Decision Making in System Engineering and Management</b:Title>
    <b:Year>2011</b:Year>
    <b:Publisher>Wiley</b:Publisher>
    <b:Author>
      <b:Author>
        <b:NameList>
          <b:Person>
            <b:Last>Parnell</b:Last>
            <b:Middle>S.</b:Middle>
            <b:First>Gregory</b:First>
          </b:Person>
          <b:Person>
            <b:Last>Driscoll</b:Last>
            <b:Middle>J.</b:Middle>
            <b:First>Patrick</b:First>
          </b:Person>
          <b:Person>
            <b:Last>Henderson</b:Last>
            <b:Middle>L.</b:Middle>
            <b:First>Dale</b:First>
          </b:Person>
        </b:NameList>
      </b:Author>
    </b:Author>
    <b:RefOrder>1</b:RefOrder>
  </b:Source>
  <b:Source>
    <b:Tag>Cor15</b:Tag>
    <b:SourceType>InternetSite</b:SourceType>
    <b:Guid>{8A11929B-0A87-4170-A9D0-3AF22B823CEE}</b:Guid>
    <b:Title>What is a Use Case - Definition from Techopedia</b:Title>
    <b:InternetSiteTitle>Techopedia</b:InternetSiteTitle>
    <b:YearAccessed>2015</b:YearAccessed>
    <b:MonthAccessed>June</b:MonthAccessed>
    <b:DayAccessed>12</b:DayAccessed>
    <b:URL>http://www.techopedia.com/definition/25813/use-case</b:URL>
    <b:Author>
      <b:Author>
        <b:NameList>
          <b:Person>
            <b:Last>Janssen</b:Last>
            <b:First>Cory</b:First>
          </b:Person>
        </b:NameList>
      </b:Author>
    </b:Author>
    <b:RefOrder>21</b:RefOrder>
  </b:Source>
</b:Sources>
</file>

<file path=customXml/itemProps1.xml><?xml version="1.0" encoding="utf-8"?>
<ds:datastoreItem xmlns:ds="http://schemas.openxmlformats.org/officeDocument/2006/customXml" ds:itemID="{41A73625-F95F-49D2-B28C-D594FEB9E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Application>Microsoft Office Word</Application>
  <DocSecurity>0</DocSecurity>
  <Lines>37</Lines>
  <Paragraphs>10</Paragraphs>
  <ScaleCrop>false</ScaleCrop>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Gallarno</dc:creator>
  <cp:keywords/>
  <dc:description/>
  <cp:lastModifiedBy>George Gallarno</cp:lastModifiedBy>
  <cp:revision>2</cp:revision>
  <dcterms:created xsi:type="dcterms:W3CDTF">2019-06-04T18:11:00Z</dcterms:created>
  <dcterms:modified xsi:type="dcterms:W3CDTF">2019-07-03T15:31:00Z</dcterms:modified>
</cp:coreProperties>
</file>