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AB662C4C">
      <w:pPr>
        <w:pStyle w:val="style0"/>
        <w:spacing w:before="0" w:after="120" w:lineRule="auto" w:line="240"/>
        <w:jc w:val="center"/>
        <w:rPr/>
      </w:pPr>
      <w:r>
        <w:rPr>
          <w:rFonts w:ascii="Times New Roman" w:eastAsia="Times New Roman" w:hAnsi="Times New Roman"/>
          <w:b/>
          <w:i w:val="false"/>
          <w:sz w:val="28"/>
        </w:rPr>
        <w:t>Graph-Based Fake Review Detection Using Reviewer Product Instruction Pattern</w:t>
      </w:r>
    </w:p>
    <w:p w14:paraId="7D79D32B">
      <w:pPr>
        <w:pStyle w:val="style0"/>
        <w:spacing w:before="0" w:after="20" w:lineRule="auto" w:line="240"/>
        <w:jc w:val="center"/>
        <w:rPr>
          <w:rFonts w:ascii="Times New Roman" w:eastAsia="Times New Roman" w:hAnsi="Times New Roman"/>
          <w:b/>
          <w:i w:val="false"/>
          <w:sz w:val="24"/>
          <w:lang w:val="en-US"/>
        </w:rPr>
      </w:pPr>
      <w:r>
        <w:rPr>
          <w:rFonts w:ascii="Times New Roman" w:eastAsia="Times New Roman" w:hAnsi="Times New Roman"/>
          <w:b/>
          <w:i w:val="false"/>
          <w:sz w:val="24"/>
        </w:rPr>
        <w:t>Author</w:t>
      </w:r>
      <w:r>
        <w:rPr>
          <w:rFonts w:ascii="Times New Roman" w:eastAsia="Times New Roman" w:hAnsi="Times New Roman"/>
          <w:b/>
          <w:i w:val="false"/>
          <w:sz w:val="24"/>
          <w:lang w:val="en-US"/>
        </w:rPr>
        <w:t xml:space="preserve"> :Shinde Utkarsha Shivaji </w:t>
      </w:r>
    </w:p>
    <w:p w14:paraId="58DEF2E2">
      <w:pPr>
        <w:pStyle w:val="style0"/>
        <w:spacing w:before="0" w:after="20" w:lineRule="auto" w:line="240"/>
        <w:jc w:val="left"/>
        <w:rPr>
          <w:rFonts w:ascii="Times New Roman" w:eastAsia="Times New Roman" w:hAnsi="Times New Roman"/>
          <w:b/>
          <w:i w:val="false"/>
          <w:sz w:val="24"/>
          <w:lang w:val="en-US"/>
        </w:rPr>
      </w:pPr>
      <w:r>
        <w:rPr>
          <w:rFonts w:ascii="Times New Roman" w:eastAsia="Times New Roman" w:hAnsi="Times New Roman"/>
          <w:b/>
          <w:i w:val="false"/>
          <w:sz w:val="24"/>
          <w:lang w:val="en-US"/>
        </w:rPr>
        <w:t xml:space="preserve">                                         Roll No : T478</w:t>
      </w:r>
    </w:p>
    <w:p w14:paraId="198CB402">
      <w:pPr>
        <w:pStyle w:val="style0"/>
        <w:spacing w:before="0" w:after="20" w:lineRule="auto" w:line="240"/>
        <w:jc w:val="left"/>
        <w:rPr/>
      </w:pPr>
    </w:p>
    <w:p w14:paraId="8205A126">
      <w:pPr>
        <w:pStyle w:val="style0"/>
        <w:spacing w:before="0" w:after="160" w:lineRule="auto" w:line="240"/>
        <w:jc w:val="center"/>
        <w:rPr/>
      </w:pPr>
      <w:r>
        <w:rPr>
          <w:rFonts w:ascii="Times New Roman" w:eastAsia="Times New Roman" w:hAnsi="Times New Roman"/>
          <w:b w:val="false"/>
          <w:i w:val="false"/>
          <w:sz w:val="20"/>
        </w:rPr>
        <w:t>Department of Information Technology, Institute Name</w:t>
      </w:r>
      <w:r>
        <w:rPr>
          <w:rFonts w:ascii="Times New Roman" w:eastAsia="Times New Roman" w:hAnsi="Times New Roman"/>
          <w:b w:val="false"/>
          <w:i w:val="false"/>
          <w:sz w:val="20"/>
          <w:lang w:val="en-US"/>
        </w:rPr>
        <w:t xml:space="preserve"> : Shivnagar Vidya Prasark Mandal Malegon (BK)</w:t>
      </w:r>
      <w:r>
        <w:rPr>
          <w:rFonts w:ascii="Times New Roman" w:eastAsia="Times New Roman" w:hAnsi="Times New Roman"/>
          <w:b w:val="false"/>
          <w:i w:val="false"/>
          <w:sz w:val="20"/>
        </w:rPr>
        <w:t>, Maharashtra, India</w:t>
      </w:r>
    </w:p>
    <w:p w14:paraId="9F63696B">
      <w:pPr>
        <w:pStyle w:val="style0"/>
        <w:spacing w:before="0" w:after="60" w:lineRule="auto" w:line="240"/>
        <w:jc w:val="center"/>
        <w:rPr/>
      </w:pPr>
      <w:r>
        <w:rPr>
          <w:rFonts w:ascii="Times New Roman" w:eastAsia="Times New Roman" w:hAnsi="Times New Roman"/>
          <w:b/>
          <w:i w:val="false"/>
          <w:sz w:val="24"/>
        </w:rPr>
        <w:t>ABSTRACT</w:t>
      </w:r>
    </w:p>
    <w:p w14:paraId="6A0CB5E8">
      <w:pPr>
        <w:pStyle w:val="style0"/>
        <w:spacing w:after="80" w:lineRule="auto" w:line="240"/>
        <w:jc w:val="both"/>
        <w:rPr/>
      </w:pPr>
      <w:r>
        <w:rPr>
          <w:rFonts w:ascii="Times New Roman" w:eastAsia="Times New Roman" w:hAnsi="Times New Roman"/>
          <w:b w:val="false"/>
          <w:i w:val="false"/>
          <w:sz w:val="20"/>
        </w:rPr>
        <w:t>Online reviews strongly influence consumer decisions, but fabricated reviews can distort product reputation and reduce trust in e-commerce platforms. This paper presents a proposed graph-based framework for identifying fake reviews by modelling reviewer–product interaction patterns. The approach is motivated primarily by Yu et al. [1], who survey graph-learning methods and explain how review attributes and relationships can be learned together. The proposed design represents reviewers, products, and reviews as different node types connected by typed edges. It extracts textual, rating, temporal, and behavioural features, then applies a heterogeneous graph-learning model to estimate suspiciousness at both review and reviewer levels. Signals such as repeated wording, concentrated activity, unusual rating behaviour, and groups of accounts reviewing overlapping products are considered jointly rather than in isolation. The paper also discusses imbalance, incomplete labels, privacy, explainability, and computational cost. This is a methodology and design paper; no new dataset experiments or performance scores are claimed. A future implementation should be evaluated on a labelled benchmark using precision, recall, F1-score, PR-AUC, and ablation tests. The framework aims to support human review and platform moderation rather than automatically treating every unusual review as fraudulent.</w:t>
      </w:r>
    </w:p>
    <w:p w14:paraId="57A851B7">
      <w:pPr>
        <w:pStyle w:val="style0"/>
        <w:spacing w:before="0" w:after="160" w:lineRule="auto" w:line="240"/>
        <w:rPr/>
      </w:pPr>
      <w:r>
        <w:rPr>
          <w:rFonts w:ascii="Times New Roman" w:eastAsia="Times New Roman" w:hAnsi="Times New Roman"/>
          <w:b w:val="false"/>
          <w:i w:val="false"/>
          <w:sz w:val="20"/>
        </w:rPr>
        <w:t>Keywords: Fake review detection, graph learning, reviewer–product interaction, heterogeneous graph, GNN, anomaly detection</w:t>
      </w:r>
    </w:p>
    <w:p w14:paraId="2A493C2F">
      <w:pPr>
        <w:pStyle w:val="style0"/>
        <w:spacing w:before="140" w:after="80"/>
        <w:rPr/>
      </w:pPr>
      <w:r>
        <w:rPr>
          <w:rFonts w:ascii="Times New Roman" w:eastAsia="Times New Roman" w:hAnsi="Times New Roman"/>
          <w:b/>
          <w:i w:val="false"/>
          <w:sz w:val="24"/>
        </w:rPr>
        <w:t>I. INTRODUCTION</w:t>
      </w:r>
    </w:p>
    <w:p w14:paraId="1D07DE6B">
      <w:pPr>
        <w:pStyle w:val="style0"/>
        <w:spacing w:after="80" w:lineRule="auto" w:line="240"/>
        <w:jc w:val="both"/>
        <w:rPr/>
      </w:pPr>
      <w:r>
        <w:rPr>
          <w:rFonts w:ascii="Times New Roman" w:eastAsia="Times New Roman" w:hAnsi="Times New Roman"/>
          <w:b w:val="false"/>
          <w:i w:val="false"/>
          <w:sz w:val="20"/>
        </w:rPr>
        <w:t>Online shopping platforms depend on customer reviews to communicate product experience, quality, and satisfaction. Consumers use review text, star ratings, and reviewer histories when comparing alternatives. However, some reviews are written to promote or damage a product rather than to report a genuine experience. Such manipulation may be coordinated across accounts and products, making it difficult to identify through text analysis alone. A review can sound natural while its author’s behaviour, timing, rating pattern, or connections to other accounts remain suspicious.</w:t>
      </w:r>
    </w:p>
    <w:p w14:paraId="D4DEF3F8">
      <w:pPr>
        <w:pStyle w:val="style0"/>
        <w:spacing w:after="80" w:lineRule="auto" w:line="240"/>
        <w:jc w:val="both"/>
        <w:rPr/>
      </w:pPr>
      <w:r>
        <w:rPr>
          <w:rFonts w:ascii="Times New Roman" w:eastAsia="Times New Roman" w:hAnsi="Times New Roman"/>
          <w:b w:val="false"/>
          <w:i w:val="false"/>
          <w:sz w:val="20"/>
        </w:rPr>
        <w:t>Yu et al. [1] provide the central foundation for this work. Their survey explains that graph learning can combine review attributes with relationships in an online review system, and organizes the research area around fake-review detection, fake-reviewer detection, and fake-review analysis. It also identifies unresolved concerns including imperfect data, explainability, efficiency, and lightweight models. These observations motivate a design that treats a review not as an isolated sentence but as part of a reviewer–product network.</w:t>
      </w:r>
    </w:p>
    <w:p w14:paraId="2989131D">
      <w:pPr>
        <w:pStyle w:val="style0"/>
        <w:spacing w:after="80" w:lineRule="auto" w:line="240"/>
        <w:jc w:val="both"/>
        <w:rPr/>
      </w:pPr>
      <w:r>
        <w:rPr>
          <w:rFonts w:ascii="Times New Roman" w:eastAsia="Times New Roman" w:hAnsi="Times New Roman"/>
          <w:b w:val="false"/>
          <w:i w:val="false"/>
          <w:sz w:val="20"/>
        </w:rPr>
        <w:t>The title uses the phrase “Reviewer Product Instruction Pattern” as supplied for this paper. In the technical discussion, the intended pattern is interpreted as the interaction structure between reviewers and products, including which accounts review which products and when. The proposed system is designed as a research framework, not as a claim that a completed experiment has already achieved a particular accuracy.</w:t>
      </w:r>
    </w:p>
    <w:p w14:paraId="E2A63FC9">
      <w:pPr>
        <w:pStyle w:val="style0"/>
        <w:spacing w:before="100" w:after="40"/>
        <w:rPr/>
      </w:pPr>
      <w:r>
        <w:rPr>
          <w:rFonts w:ascii="Times New Roman" w:eastAsia="Times New Roman" w:hAnsi="Times New Roman"/>
          <w:b/>
          <w:i w:val="false"/>
          <w:sz w:val="20"/>
        </w:rPr>
        <w:t>A. Problem Statement</w:t>
      </w:r>
    </w:p>
    <w:p w14:paraId="6A16EB14">
      <w:pPr>
        <w:pStyle w:val="style0"/>
        <w:spacing w:after="80" w:lineRule="auto" w:line="240"/>
        <w:jc w:val="both"/>
        <w:rPr/>
      </w:pPr>
      <w:r>
        <w:rPr>
          <w:rFonts w:ascii="Times New Roman" w:eastAsia="Times New Roman" w:hAnsi="Times New Roman"/>
          <w:b w:val="false"/>
          <w:i w:val="false"/>
          <w:sz w:val="20"/>
        </w:rPr>
        <w:t>Conventional methods may focus on review text, star ratings, or reviewer statistics separately. They can miss coordinated behaviour when several accounts act together, or incorrectly flag an unusual but genuine customer. The problem is to combine content and relational evidence to rank suspicious reviews and reviewers while providing understandable reasons for each prediction.</w:t>
      </w:r>
    </w:p>
    <w:p w14:paraId="7FEC8849">
      <w:pPr>
        <w:pStyle w:val="style0"/>
        <w:spacing w:before="100" w:after="40"/>
        <w:rPr/>
      </w:pPr>
      <w:r>
        <w:rPr>
          <w:rFonts w:ascii="Times New Roman" w:eastAsia="Times New Roman" w:hAnsi="Times New Roman"/>
          <w:b/>
          <w:i w:val="false"/>
          <w:sz w:val="20"/>
        </w:rPr>
        <w:t>B. Objectives</w:t>
      </w:r>
    </w:p>
    <w:p w14:paraId="95535FE9">
      <w:pPr>
        <w:pStyle w:val="style0"/>
        <w:spacing w:before="0" w:after="40" w:lineRule="auto" w:line="240"/>
        <w:rPr/>
      </w:pPr>
      <w:r>
        <w:rPr>
          <w:rFonts w:ascii="Times New Roman" w:eastAsia="Times New Roman" w:hAnsi="Times New Roman"/>
          <w:b w:val="false"/>
          <w:i w:val="false"/>
          <w:sz w:val="20"/>
        </w:rPr>
        <w:t>• To model reviewer, product, and review entities as a heterogeneous graph.</w:t>
      </w:r>
    </w:p>
    <w:p w14:paraId="4C4173A2">
      <w:pPr>
        <w:pStyle w:val="style0"/>
        <w:spacing w:before="0" w:after="40" w:lineRule="auto" w:line="240"/>
        <w:rPr/>
      </w:pPr>
      <w:r>
        <w:rPr>
          <w:rFonts w:ascii="Times New Roman" w:eastAsia="Times New Roman" w:hAnsi="Times New Roman"/>
          <w:b w:val="false"/>
          <w:i w:val="false"/>
          <w:sz w:val="20"/>
        </w:rPr>
        <w:t>• To combine linguistic, rating, temporal, and behavioural features with graph relationships.</w:t>
      </w:r>
    </w:p>
    <w:p w14:paraId="0F3672BE">
      <w:pPr>
        <w:pStyle w:val="style0"/>
        <w:spacing w:before="0" w:after="40" w:lineRule="auto" w:line="240"/>
        <w:rPr/>
      </w:pPr>
      <w:r>
        <w:rPr>
          <w:rFonts w:ascii="Times New Roman" w:eastAsia="Times New Roman" w:hAnsi="Times New Roman"/>
          <w:b w:val="false"/>
          <w:i w:val="false"/>
          <w:sz w:val="20"/>
        </w:rPr>
        <w:t>• To identify suspicious reviews and reviewer accounts using supervised classification and anomaly scores.</w:t>
      </w:r>
    </w:p>
    <w:p w14:paraId="9215B922">
      <w:pPr>
        <w:pStyle w:val="style0"/>
        <w:spacing w:before="0" w:after="40" w:lineRule="auto" w:line="240"/>
        <w:rPr/>
      </w:pPr>
      <w:r>
        <w:rPr>
          <w:rFonts w:ascii="Times New Roman" w:eastAsia="Times New Roman" w:hAnsi="Times New Roman"/>
          <w:b w:val="false"/>
          <w:i w:val="false"/>
          <w:sz w:val="20"/>
        </w:rPr>
        <w:t>• To provide interpretable evidence for moderation and outline a reproducible evaluation plan.</w:t>
      </w:r>
    </w:p>
    <w:p w14:paraId="A25E2AFF">
      <w:pPr>
        <w:pStyle w:val="style0"/>
        <w:spacing w:before="100" w:after="40"/>
        <w:rPr/>
      </w:pPr>
      <w:r>
        <w:rPr>
          <w:rFonts w:ascii="Times New Roman" w:eastAsia="Times New Roman" w:hAnsi="Times New Roman"/>
          <w:b/>
          <w:i w:val="false"/>
          <w:sz w:val="20"/>
        </w:rPr>
        <w:t>C. Scope and Contributions</w:t>
      </w:r>
    </w:p>
    <w:p w14:paraId="2BEAA70C">
      <w:pPr>
        <w:pStyle w:val="style0"/>
        <w:spacing w:after="80" w:lineRule="auto" w:line="240"/>
        <w:jc w:val="both"/>
        <w:rPr/>
      </w:pPr>
      <w:r>
        <w:rPr>
          <w:rFonts w:ascii="Times New Roman" w:eastAsia="Times New Roman" w:hAnsi="Times New Roman"/>
          <w:b w:val="false"/>
          <w:i w:val="false"/>
          <w:sz w:val="20"/>
        </w:rPr>
        <w:t>The scope is online product-review platforms. The framework considers review-level and reviewer-level predictions and can be extended to seller or product nodes when reliable data are available. Its main contribution is a unified pipeline for graph construction, feature extraction, relation-aware learning, classification, and explanation. It does not assume that any single indicator—such as a burst of reviews or a low rating—proves fraud.</w:t>
      </w:r>
    </w:p>
    <w:p w14:paraId="557FE3A0">
      <w:pPr>
        <w:pStyle w:val="style0"/>
        <w:spacing w:before="140" w:after="80"/>
        <w:rPr/>
      </w:pPr>
      <w:r>
        <w:rPr>
          <w:rFonts w:ascii="Times New Roman" w:eastAsia="Times New Roman" w:hAnsi="Times New Roman"/>
          <w:b/>
          <w:i w:val="false"/>
          <w:sz w:val="24"/>
        </w:rPr>
        <w:t>II. METHODOLOGY</w:t>
      </w:r>
    </w:p>
    <w:p w14:paraId="34CBF530">
      <w:pPr>
        <w:pStyle w:val="style0"/>
        <w:spacing w:after="80" w:lineRule="auto" w:line="240"/>
        <w:jc w:val="both"/>
        <w:rPr/>
      </w:pPr>
      <w:r>
        <w:rPr>
          <w:rFonts w:ascii="Times New Roman" w:eastAsia="Times New Roman" w:hAnsi="Times New Roman"/>
          <w:b w:val="false"/>
          <w:i w:val="false"/>
          <w:sz w:val="20"/>
        </w:rPr>
        <w:t>The methodology follows a sequence of data preparation, feature extraction, graph construction, representation learning, classification, and explanation. The design draws most heavily on the graph-learning taxonomy and open issues summarized by Yu et al. [1]. Related work on social context [2], reinforced heterogeneous graph neural networks [3], and feature interaction and fusion [4] informs the choice to represent multiple entity types and combine different signals.</w:t>
      </w:r>
    </w:p>
    <w:p w14:paraId="285208F9">
      <w:pPr>
        <w:pStyle w:val="style0"/>
        <w:spacing w:before="100" w:after="40"/>
        <w:rPr/>
      </w:pPr>
      <w:r>
        <w:rPr>
          <w:rFonts w:ascii="Times New Roman" w:eastAsia="Times New Roman" w:hAnsi="Times New Roman"/>
          <w:b/>
          <w:i w:val="false"/>
          <w:sz w:val="20"/>
        </w:rPr>
        <w:t>A. Data Collection and Pre-processing</w:t>
      </w:r>
    </w:p>
    <w:p w14:paraId="541585A1">
      <w:pPr>
        <w:pStyle w:val="style0"/>
        <w:spacing w:after="80" w:lineRule="auto" w:line="240"/>
        <w:jc w:val="both"/>
        <w:rPr/>
      </w:pPr>
      <w:r>
        <w:rPr>
          <w:rFonts w:ascii="Times New Roman" w:eastAsia="Times New Roman" w:hAnsi="Times New Roman"/>
          <w:b w:val="false"/>
          <w:i w:val="false"/>
          <w:sz w:val="20"/>
        </w:rPr>
        <w:t>Input data may include review text, star rating, timestamp, reviewer identifier, product identifier, and—where permitted—verified-purchase or helpfulness indicators. Data collection must comply with platform terms, privacy requirements, and research ethics. Pre-processing removes exact duplicates, normalizes timestamps and identifiers, handles missing fields, and separates training, validation, and test data by time or by reviewer where possible. This separation reduces leakage that could occur if near-duplicate reviews from the same campaign appear in both training and testing.</w:t>
      </w:r>
    </w:p>
    <w:p w14:paraId="9655F844">
      <w:pPr>
        <w:pStyle w:val="style0"/>
        <w:spacing w:before="100" w:after="40"/>
        <w:rPr/>
      </w:pPr>
      <w:r>
        <w:rPr>
          <w:rFonts w:ascii="Times New Roman" w:eastAsia="Times New Roman" w:hAnsi="Times New Roman"/>
          <w:b/>
          <w:i w:val="false"/>
          <w:sz w:val="20"/>
        </w:rPr>
        <w:t>B. Feature Extraction</w:t>
      </w:r>
    </w:p>
    <w:p w14:paraId="BFCE3DFB">
      <w:pPr>
        <w:pStyle w:val="style0"/>
        <w:spacing w:after="80" w:lineRule="auto" w:line="240"/>
        <w:jc w:val="both"/>
        <w:rPr/>
      </w:pPr>
      <w:r>
        <w:rPr>
          <w:rFonts w:ascii="Times New Roman" w:eastAsia="Times New Roman" w:hAnsi="Times New Roman"/>
          <w:b w:val="false"/>
          <w:i w:val="false"/>
          <w:sz w:val="20"/>
        </w:rPr>
        <w:t>Text features can include token and character n-grams, sentence embeddings, repeated phrases, review length, and semantic similarity to other reviews. Rating features include deviation from a reviewer’s usual rating and the product’s overall rating distribution. Behavioural features include review frequency, account activity bursts, product coverage, and the time gap between reviews. These signals are indicators, not proof: legitimate events such as a product launch can also cause many reviews in a short interval.</w:t>
      </w:r>
    </w:p>
    <w:p w14:paraId="0AC12250">
      <w:pPr>
        <w:pStyle w:val="style0"/>
        <w:spacing w:before="100" w:after="40"/>
        <w:rPr/>
      </w:pPr>
      <w:r>
        <w:rPr>
          <w:rFonts w:ascii="Times New Roman" w:eastAsia="Times New Roman" w:hAnsi="Times New Roman"/>
          <w:b/>
          <w:i w:val="false"/>
          <w:sz w:val="20"/>
        </w:rPr>
        <w:t>C. Heterogeneous Graph Construction</w:t>
      </w:r>
    </w:p>
    <w:p w14:paraId="14991EAC">
      <w:pPr>
        <w:pStyle w:val="style0"/>
        <w:spacing w:after="80" w:lineRule="auto" w:line="240"/>
        <w:jc w:val="both"/>
        <w:rPr/>
      </w:pPr>
      <w:r>
        <w:rPr>
          <w:rFonts w:ascii="Times New Roman" w:eastAsia="Times New Roman" w:hAnsi="Times New Roman"/>
          <w:b w:val="false"/>
          <w:i w:val="false"/>
          <w:sz w:val="20"/>
        </w:rPr>
        <w:t>Let G = (V, E, X) denote the review graph, where V is the set of nodes, E is the set of typed edges, and X stores node features. The graph contains reviewer nodes U, product nodes P, and review nodes R. A review node is linked to its author and the product being reviewed. Optional edges can connect reviews with similar text or reviewers with overlapping activity, provided the similarity threshold is validated. Different edge types preserve the meaning of each relationship instead of treating all connections as identical.</w:t>
      </w:r>
    </w:p>
    <w:p w14:paraId="FE4CA4FD">
      <w:pPr>
        <w:pStyle w:val="style0"/>
        <w:spacing w:before="0" w:after="60" w:lineRule="auto" w:line="240"/>
        <w:jc w:val="center"/>
        <w:rPr/>
      </w:pPr>
      <w:r>
        <w:rPr>
          <w:rFonts w:ascii="Times New Roman" w:eastAsia="Times New Roman" w:hAnsi="Times New Roman"/>
          <w:b/>
          <w:i w:val="false"/>
          <w:sz w:val="20"/>
        </w:rPr>
        <w:t>Table 1. Main graph entities and relationships</w:t>
      </w:r>
    </w:p>
    <w:tbl>
      <w:tblPr>
        <w:tblStyle w:val="style154"/>
        <w:tblW w:w="0" w:type="auto"/>
        <w:tblLook w:val="04A0" w:firstRow="1" w:lastRow="0" w:firstColumn="1" w:lastColumn="0" w:noHBand="0" w:noVBand="1"/>
      </w:tblPr>
      <w:tblGrid>
        <w:gridCol w:w="3278"/>
        <w:gridCol w:w="3278"/>
        <w:gridCol w:w="3278"/>
      </w:tblGrid>
      <w:tr w14:paraId="5B229758">
        <w:trPr/>
        <w:tc>
          <w:tcPr>
            <w:tcW w:w="3278" w:type="dxa"/>
            <w:tcBorders/>
          </w:tcPr>
          <w:p w14:paraId="FA1A6AB6">
            <w:pPr>
              <w:pStyle w:val="style0"/>
              <w:jc w:val="center"/>
              <w:rPr/>
            </w:pPr>
            <w:r>
              <w:rPr>
                <w:rFonts w:ascii="Times New Roman" w:eastAsia="Times New Roman" w:hAnsi="Times New Roman"/>
                <w:b/>
                <w:i w:val="false"/>
                <w:sz w:val="18"/>
              </w:rPr>
              <w:t>Element</w:t>
            </w:r>
          </w:p>
        </w:tc>
        <w:tc>
          <w:tcPr>
            <w:tcW w:w="3278" w:type="dxa"/>
            <w:tcBorders/>
          </w:tcPr>
          <w:p w14:paraId="1BEE271D">
            <w:pPr>
              <w:pStyle w:val="style0"/>
              <w:jc w:val="center"/>
              <w:rPr/>
            </w:pPr>
            <w:r>
              <w:rPr>
                <w:rFonts w:ascii="Times New Roman" w:eastAsia="Times New Roman" w:hAnsi="Times New Roman"/>
                <w:b/>
                <w:i w:val="false"/>
                <w:sz w:val="18"/>
              </w:rPr>
              <w:t>Meaning</w:t>
            </w:r>
          </w:p>
        </w:tc>
        <w:tc>
          <w:tcPr>
            <w:tcW w:w="3278" w:type="dxa"/>
            <w:tcBorders/>
          </w:tcPr>
          <w:p w14:paraId="4B8D2F92">
            <w:pPr>
              <w:pStyle w:val="style0"/>
              <w:jc w:val="center"/>
              <w:rPr/>
            </w:pPr>
            <w:r>
              <w:rPr>
                <w:rFonts w:ascii="Times New Roman" w:eastAsia="Times New Roman" w:hAnsi="Times New Roman"/>
                <w:b/>
                <w:i w:val="false"/>
                <w:sz w:val="18"/>
              </w:rPr>
              <w:t>Example features / links</w:t>
            </w:r>
          </w:p>
        </w:tc>
      </w:tr>
      <w:tr w14:paraId="985D6E8C">
        <w:tblPrEx/>
        <w:trPr/>
        <w:tc>
          <w:tcPr>
            <w:tcW w:w="3278" w:type="dxa"/>
            <w:tcBorders/>
          </w:tcPr>
          <w:p w14:paraId="D507B6CA">
            <w:pPr>
              <w:pStyle w:val="style0"/>
              <w:spacing w:after="20"/>
              <w:jc w:val="left"/>
              <w:rPr/>
            </w:pPr>
            <w:r>
              <w:rPr>
                <w:rFonts w:ascii="Times New Roman" w:eastAsia="Times New Roman" w:hAnsi="Times New Roman"/>
                <w:b w:val="false"/>
                <w:i w:val="false"/>
                <w:sz w:val="17"/>
              </w:rPr>
              <w:t>Reviewer node (U)</w:t>
            </w:r>
          </w:p>
        </w:tc>
        <w:tc>
          <w:tcPr>
            <w:tcW w:w="3278" w:type="dxa"/>
            <w:tcBorders/>
          </w:tcPr>
          <w:p w14:paraId="CE0D7B4A">
            <w:pPr>
              <w:pStyle w:val="style0"/>
              <w:spacing w:after="20"/>
              <w:jc w:val="left"/>
              <w:rPr/>
            </w:pPr>
            <w:r>
              <w:rPr>
                <w:rFonts w:ascii="Times New Roman" w:eastAsia="Times New Roman" w:hAnsi="Times New Roman"/>
                <w:b w:val="false"/>
                <w:i w:val="false"/>
                <w:sz w:val="17"/>
              </w:rPr>
              <w:t>Account that submits reviews</w:t>
            </w:r>
          </w:p>
        </w:tc>
        <w:tc>
          <w:tcPr>
            <w:tcW w:w="3278" w:type="dxa"/>
            <w:tcBorders/>
          </w:tcPr>
          <w:p w14:paraId="042228B8">
            <w:pPr>
              <w:pStyle w:val="style0"/>
              <w:spacing w:after="20"/>
              <w:jc w:val="left"/>
              <w:rPr/>
            </w:pPr>
            <w:r>
              <w:rPr>
                <w:rFonts w:ascii="Times New Roman" w:eastAsia="Times New Roman" w:hAnsi="Times New Roman"/>
                <w:b w:val="false"/>
                <w:i w:val="false"/>
                <w:sz w:val="17"/>
              </w:rPr>
              <w:t>Review count, activity rate, rating variance</w:t>
            </w:r>
          </w:p>
        </w:tc>
      </w:tr>
      <w:tr w14:paraId="D2618A65">
        <w:tblPrEx/>
        <w:trPr/>
        <w:tc>
          <w:tcPr>
            <w:tcW w:w="3278" w:type="dxa"/>
            <w:tcBorders/>
          </w:tcPr>
          <w:p w14:paraId="16F36E90">
            <w:pPr>
              <w:pStyle w:val="style0"/>
              <w:spacing w:after="20"/>
              <w:jc w:val="left"/>
              <w:rPr/>
            </w:pPr>
            <w:r>
              <w:rPr>
                <w:rFonts w:ascii="Times New Roman" w:eastAsia="Times New Roman" w:hAnsi="Times New Roman"/>
                <w:b w:val="false"/>
                <w:i w:val="false"/>
                <w:sz w:val="17"/>
              </w:rPr>
              <w:t>Product node (P)</w:t>
            </w:r>
          </w:p>
        </w:tc>
        <w:tc>
          <w:tcPr>
            <w:tcW w:w="3278" w:type="dxa"/>
            <w:tcBorders/>
          </w:tcPr>
          <w:p w14:paraId="74FF8E61">
            <w:pPr>
              <w:pStyle w:val="style0"/>
              <w:spacing w:after="20"/>
              <w:jc w:val="left"/>
              <w:rPr/>
            </w:pPr>
            <w:r>
              <w:rPr>
                <w:rFonts w:ascii="Times New Roman" w:eastAsia="Times New Roman" w:hAnsi="Times New Roman"/>
                <w:b w:val="false"/>
                <w:i w:val="false"/>
                <w:sz w:val="17"/>
              </w:rPr>
              <w:t>Item receiving reviews</w:t>
            </w:r>
          </w:p>
        </w:tc>
        <w:tc>
          <w:tcPr>
            <w:tcW w:w="3278" w:type="dxa"/>
            <w:tcBorders/>
          </w:tcPr>
          <w:p w14:paraId="AFC1C176">
            <w:pPr>
              <w:pStyle w:val="style0"/>
              <w:spacing w:after="20"/>
              <w:jc w:val="left"/>
              <w:rPr/>
            </w:pPr>
            <w:r>
              <w:rPr>
                <w:rFonts w:ascii="Times New Roman" w:eastAsia="Times New Roman" w:hAnsi="Times New Roman"/>
                <w:b w:val="false"/>
                <w:i w:val="false"/>
                <w:sz w:val="17"/>
              </w:rPr>
              <w:t>Review volume, rating distribution</w:t>
            </w:r>
          </w:p>
        </w:tc>
      </w:tr>
      <w:tr w14:paraId="BE2888EA">
        <w:tblPrEx/>
        <w:trPr/>
        <w:tc>
          <w:tcPr>
            <w:tcW w:w="3278" w:type="dxa"/>
            <w:tcBorders/>
          </w:tcPr>
          <w:p w14:paraId="76B7A438">
            <w:pPr>
              <w:pStyle w:val="style0"/>
              <w:spacing w:after="20"/>
              <w:jc w:val="left"/>
              <w:rPr/>
            </w:pPr>
            <w:r>
              <w:rPr>
                <w:rFonts w:ascii="Times New Roman" w:eastAsia="Times New Roman" w:hAnsi="Times New Roman"/>
                <w:b w:val="false"/>
                <w:i w:val="false"/>
                <w:sz w:val="17"/>
              </w:rPr>
              <w:t>Review node (R)</w:t>
            </w:r>
          </w:p>
        </w:tc>
        <w:tc>
          <w:tcPr>
            <w:tcW w:w="3278" w:type="dxa"/>
            <w:tcBorders/>
          </w:tcPr>
          <w:p w14:paraId="553275D5">
            <w:pPr>
              <w:pStyle w:val="style0"/>
              <w:spacing w:after="20"/>
              <w:jc w:val="left"/>
              <w:rPr/>
            </w:pPr>
            <w:r>
              <w:rPr>
                <w:rFonts w:ascii="Times New Roman" w:eastAsia="Times New Roman" w:hAnsi="Times New Roman"/>
                <w:b w:val="false"/>
                <w:i w:val="false"/>
                <w:sz w:val="17"/>
              </w:rPr>
              <w:t>Individual review event</w:t>
            </w:r>
          </w:p>
        </w:tc>
        <w:tc>
          <w:tcPr>
            <w:tcW w:w="3278" w:type="dxa"/>
            <w:tcBorders/>
          </w:tcPr>
          <w:p w14:paraId="5ED7497E">
            <w:pPr>
              <w:pStyle w:val="style0"/>
              <w:spacing w:after="20"/>
              <w:jc w:val="left"/>
              <w:rPr/>
            </w:pPr>
            <w:r>
              <w:rPr>
                <w:rFonts w:ascii="Times New Roman" w:eastAsia="Times New Roman" w:hAnsi="Times New Roman"/>
                <w:b w:val="false"/>
                <w:i w:val="false"/>
                <w:sz w:val="17"/>
              </w:rPr>
              <w:t>Text embedding, star rating, timestamp</w:t>
            </w:r>
          </w:p>
        </w:tc>
      </w:tr>
      <w:tr w14:paraId="5B109C57">
        <w:tblPrEx/>
        <w:trPr/>
        <w:tc>
          <w:tcPr>
            <w:tcW w:w="3278" w:type="dxa"/>
            <w:tcBorders/>
          </w:tcPr>
          <w:p w14:paraId="6E401289">
            <w:pPr>
              <w:pStyle w:val="style0"/>
              <w:spacing w:after="20"/>
              <w:jc w:val="left"/>
              <w:rPr/>
            </w:pPr>
            <w:r>
              <w:rPr>
                <w:rFonts w:ascii="Times New Roman" w:eastAsia="Times New Roman" w:hAnsi="Times New Roman"/>
                <w:b w:val="false"/>
                <w:i w:val="false"/>
                <w:sz w:val="17"/>
              </w:rPr>
              <w:t>Authorship edge</w:t>
            </w:r>
          </w:p>
        </w:tc>
        <w:tc>
          <w:tcPr>
            <w:tcW w:w="3278" w:type="dxa"/>
            <w:tcBorders/>
          </w:tcPr>
          <w:p w14:paraId="4D9E5261">
            <w:pPr>
              <w:pStyle w:val="style0"/>
              <w:spacing w:after="20"/>
              <w:jc w:val="left"/>
              <w:rPr/>
            </w:pPr>
            <w:r>
              <w:rPr>
                <w:rFonts w:ascii="Times New Roman" w:eastAsia="Times New Roman" w:hAnsi="Times New Roman"/>
                <w:b w:val="false"/>
                <w:i w:val="false"/>
                <w:sz w:val="17"/>
              </w:rPr>
              <w:t>Reviewer → review</w:t>
            </w:r>
          </w:p>
        </w:tc>
        <w:tc>
          <w:tcPr>
            <w:tcW w:w="3278" w:type="dxa"/>
            <w:tcBorders/>
          </w:tcPr>
          <w:p w14:paraId="E4E8D646">
            <w:pPr>
              <w:pStyle w:val="style0"/>
              <w:spacing w:after="20"/>
              <w:jc w:val="left"/>
              <w:rPr/>
            </w:pPr>
            <w:r>
              <w:rPr>
                <w:rFonts w:ascii="Times New Roman" w:eastAsia="Times New Roman" w:hAnsi="Times New Roman"/>
                <w:b w:val="false"/>
                <w:i w:val="false"/>
                <w:sz w:val="17"/>
              </w:rPr>
              <w:t>Connects a review to its author</w:t>
            </w:r>
          </w:p>
        </w:tc>
      </w:tr>
      <w:tr w14:paraId="76E06776">
        <w:tblPrEx/>
        <w:trPr/>
        <w:tc>
          <w:tcPr>
            <w:tcW w:w="3278" w:type="dxa"/>
            <w:tcBorders/>
          </w:tcPr>
          <w:p w14:paraId="B7CC68F3">
            <w:pPr>
              <w:pStyle w:val="style0"/>
              <w:spacing w:after="20"/>
              <w:jc w:val="left"/>
              <w:rPr/>
            </w:pPr>
            <w:r>
              <w:rPr>
                <w:rFonts w:ascii="Times New Roman" w:eastAsia="Times New Roman" w:hAnsi="Times New Roman"/>
                <w:b w:val="false"/>
                <w:i w:val="false"/>
                <w:sz w:val="17"/>
              </w:rPr>
              <w:t>Target edge</w:t>
            </w:r>
          </w:p>
        </w:tc>
        <w:tc>
          <w:tcPr>
            <w:tcW w:w="3278" w:type="dxa"/>
            <w:tcBorders/>
          </w:tcPr>
          <w:p w14:paraId="53F14001">
            <w:pPr>
              <w:pStyle w:val="style0"/>
              <w:spacing w:after="20"/>
              <w:jc w:val="left"/>
              <w:rPr/>
            </w:pPr>
            <w:r>
              <w:rPr>
                <w:rFonts w:ascii="Times New Roman" w:eastAsia="Times New Roman" w:hAnsi="Times New Roman"/>
                <w:b w:val="false"/>
                <w:i w:val="false"/>
                <w:sz w:val="17"/>
              </w:rPr>
              <w:t>Review → product</w:t>
            </w:r>
          </w:p>
        </w:tc>
        <w:tc>
          <w:tcPr>
            <w:tcW w:w="3278" w:type="dxa"/>
            <w:tcBorders/>
          </w:tcPr>
          <w:p w14:paraId="211620D6">
            <w:pPr>
              <w:pStyle w:val="style0"/>
              <w:spacing w:after="20"/>
              <w:jc w:val="left"/>
              <w:rPr/>
            </w:pPr>
            <w:r>
              <w:rPr>
                <w:rFonts w:ascii="Times New Roman" w:eastAsia="Times New Roman" w:hAnsi="Times New Roman"/>
                <w:b w:val="false"/>
                <w:i w:val="false"/>
                <w:sz w:val="17"/>
              </w:rPr>
              <w:t>Connects a review to the reviewed item</w:t>
            </w:r>
          </w:p>
        </w:tc>
      </w:tr>
      <w:tr w14:paraId="91E66735">
        <w:tblPrEx/>
        <w:trPr/>
        <w:tc>
          <w:tcPr>
            <w:tcW w:w="3278" w:type="dxa"/>
            <w:tcBorders/>
          </w:tcPr>
          <w:p w14:paraId="A8EE46BF">
            <w:pPr>
              <w:pStyle w:val="style0"/>
              <w:spacing w:after="20"/>
              <w:jc w:val="left"/>
              <w:rPr/>
            </w:pPr>
            <w:r>
              <w:rPr>
                <w:rFonts w:ascii="Times New Roman" w:eastAsia="Times New Roman" w:hAnsi="Times New Roman"/>
                <w:b w:val="false"/>
                <w:i w:val="false"/>
                <w:sz w:val="17"/>
              </w:rPr>
              <w:t>Similarity / co-activity edge</w:t>
            </w:r>
          </w:p>
        </w:tc>
        <w:tc>
          <w:tcPr>
            <w:tcW w:w="3278" w:type="dxa"/>
            <w:tcBorders/>
          </w:tcPr>
          <w:p w14:paraId="166FD0F3">
            <w:pPr>
              <w:pStyle w:val="style0"/>
              <w:spacing w:after="20"/>
              <w:jc w:val="left"/>
              <w:rPr/>
            </w:pPr>
            <w:r>
              <w:rPr>
                <w:rFonts w:ascii="Times New Roman" w:eastAsia="Times New Roman" w:hAnsi="Times New Roman"/>
                <w:b w:val="false"/>
                <w:i w:val="false"/>
                <w:sz w:val="17"/>
              </w:rPr>
              <w:t>Review ↔ review or reviewer ↔ reviewer</w:t>
            </w:r>
          </w:p>
        </w:tc>
        <w:tc>
          <w:tcPr>
            <w:tcW w:w="3278" w:type="dxa"/>
            <w:tcBorders/>
          </w:tcPr>
          <w:p w14:paraId="4034D151">
            <w:pPr>
              <w:pStyle w:val="style0"/>
              <w:spacing w:after="20"/>
              <w:jc w:val="left"/>
              <w:rPr/>
            </w:pPr>
            <w:r>
              <w:rPr>
                <w:rFonts w:ascii="Times New Roman" w:eastAsia="Times New Roman" w:hAnsi="Times New Roman"/>
                <w:b w:val="false"/>
                <w:i w:val="false"/>
                <w:sz w:val="17"/>
              </w:rPr>
              <w:t>Text similarity, shared product activity</w:t>
            </w:r>
          </w:p>
        </w:tc>
      </w:tr>
    </w:tbl>
    <w:p w14:paraId="93C951DB">
      <w:pPr>
        <w:pStyle w:val="style0"/>
        <w:spacing w:after="20"/>
        <w:rPr/>
      </w:pPr>
    </w:p>
    <w:p w14:paraId="C8F94471">
      <w:pPr>
        <w:pStyle w:val="style0"/>
        <w:spacing w:before="100" w:after="40"/>
        <w:rPr/>
      </w:pPr>
      <w:r>
        <w:rPr>
          <w:rFonts w:ascii="Times New Roman" w:eastAsia="Times New Roman" w:hAnsi="Times New Roman"/>
          <w:b/>
          <w:i w:val="false"/>
          <w:sz w:val="20"/>
        </w:rPr>
        <w:t>D. Graph Representation Learning</w:t>
      </w:r>
    </w:p>
    <w:p w14:paraId="807B3FD7">
      <w:pPr>
        <w:pStyle w:val="style0"/>
        <w:spacing w:after="80" w:lineRule="auto" w:line="240"/>
        <w:jc w:val="both"/>
        <w:rPr/>
      </w:pPr>
      <w:r>
        <w:rPr>
          <w:rFonts w:ascii="Times New Roman" w:eastAsia="Times New Roman" w:hAnsi="Times New Roman"/>
          <w:b w:val="false"/>
          <w:i w:val="false"/>
          <w:sz w:val="20"/>
        </w:rPr>
        <w:t>A graph neural network aggregates information from connected nodes so that a prediction can reflect both a node’s own features and its neighbourhood. For example, a review embedding can combine its text and rating with information about the reviewer’s history and the product’s review context. A heterogeneous GNN is appropriate because reviewer, product, and review nodes have different meanings and feature types. Attention or relation-specific aggregation can assign different importance to authorship, product-target, and similarity edges.</w:t>
      </w:r>
    </w:p>
    <w:p w14:paraId="159E03C2">
      <w:pPr>
        <w:pStyle w:val="style0"/>
        <w:spacing w:after="80" w:lineRule="auto" w:line="240"/>
        <w:jc w:val="both"/>
        <w:rPr/>
      </w:pPr>
      <w:r>
        <w:rPr>
          <w:rFonts w:ascii="Times New Roman" w:eastAsia="Times New Roman" w:hAnsi="Times New Roman"/>
          <w:b w:val="false"/>
          <w:i w:val="false"/>
          <w:sz w:val="20"/>
        </w:rPr>
        <w:t>A simplified layer can be expressed as hᵥ⁽ˡ⁺¹⁾ = σ(W₀hᵥ⁽ˡ⁾ + Σᵣ AGGᵣ({Wᵣhᵤ⁽ˡ⁾ : u ∈ Nᵣ(v)})), where hᵥ is the representation of node v, Nᵣ(v) is the set of neighbours connected through relation r, W terms are trainable parameters, AGG is a neighbour aggregation function, and σ is a nonlinear activation. This expression is a conceptual description; exact layers and hyperparameters must be selected and tested during implementation.</w:t>
      </w:r>
    </w:p>
    <w:p w14:paraId="CD8836E1">
      <w:pPr>
        <w:pStyle w:val="style0"/>
        <w:spacing w:before="100" w:after="40"/>
        <w:rPr/>
      </w:pPr>
      <w:r>
        <w:rPr>
          <w:rFonts w:ascii="Times New Roman" w:eastAsia="Times New Roman" w:hAnsi="Times New Roman"/>
          <w:b/>
          <w:i w:val="false"/>
          <w:sz w:val="20"/>
        </w:rPr>
        <w:t>E. Classification and Anomaly Scoring</w:t>
      </w:r>
    </w:p>
    <w:p w14:paraId="5C3DBAA0">
      <w:pPr>
        <w:pStyle w:val="style0"/>
        <w:spacing w:after="80" w:lineRule="auto" w:line="240"/>
        <w:jc w:val="both"/>
        <w:rPr/>
      </w:pPr>
      <w:r>
        <w:rPr>
          <w:rFonts w:ascii="Times New Roman" w:eastAsia="Times New Roman" w:hAnsi="Times New Roman"/>
          <w:b w:val="false"/>
          <w:i w:val="false"/>
          <w:sz w:val="20"/>
        </w:rPr>
        <w:t>For labelled data, a classifier can estimate the probability that a review or reviewer belongs to the suspicious class. Binary cross-entropy or a class-weighted loss can be used when genuine reviews greatly outnumber fake ones. If labels are sparse, an anomaly score based on feature or graph reconstruction, clustering, or contrastive representation learning may help prioritize cases for manual inspection. Yu et al. [1] discuss both supervised and unsupervised graph-learning families and emphasize that data quality affects their reliability.</w:t>
      </w:r>
    </w:p>
    <w:p w14:paraId="3DB0B449">
      <w:pPr>
        <w:pStyle w:val="style0"/>
        <w:spacing w:before="100" w:after="40"/>
        <w:rPr/>
      </w:pPr>
      <w:r>
        <w:rPr>
          <w:rFonts w:ascii="Times New Roman" w:eastAsia="Times New Roman" w:hAnsi="Times New Roman"/>
          <w:b/>
          <w:i w:val="false"/>
          <w:sz w:val="20"/>
        </w:rPr>
        <w:t>F. Explainability</w:t>
      </w:r>
    </w:p>
    <w:p w14:paraId="AE019364">
      <w:pPr>
        <w:pStyle w:val="style0"/>
        <w:spacing w:after="80" w:lineRule="auto" w:line="240"/>
        <w:jc w:val="both"/>
        <w:rPr/>
      </w:pPr>
      <w:r>
        <w:rPr>
          <w:rFonts w:ascii="Times New Roman" w:eastAsia="Times New Roman" w:hAnsi="Times New Roman"/>
          <w:b w:val="false"/>
          <w:i w:val="false"/>
          <w:sz w:val="20"/>
        </w:rPr>
        <w:t>Each alert should include evidence that a moderator can inspect, such as repeated wording across several reviews, an unusually concentrated time window, a strong deviation from the reviewer’s history, or a suspiciously dense reviewer–product pattern. Explanations should identify which features and relations influenced the score, while avoiding the claim that correlation alone establishes intent. Human review and an appeal mechanism are important safeguards.</w:t>
      </w:r>
    </w:p>
    <w:p w14:paraId="3E62C74E">
      <w:pPr>
        <w:pStyle w:val="style0"/>
        <w:spacing w:before="140" w:after="80"/>
        <w:rPr/>
      </w:pPr>
      <w:r>
        <w:rPr>
          <w:rFonts w:ascii="Times New Roman" w:eastAsia="Times New Roman" w:hAnsi="Times New Roman"/>
          <w:b/>
          <w:i w:val="false"/>
          <w:sz w:val="24"/>
        </w:rPr>
        <w:t>III. MODELING AND ANALYSIS</w:t>
      </w:r>
    </w:p>
    <w:p w14:paraId="E42AF9CB">
      <w:pPr>
        <w:pStyle w:val="style0"/>
        <w:spacing w:before="100" w:after="40"/>
        <w:rPr/>
      </w:pPr>
      <w:r>
        <w:rPr>
          <w:rFonts w:ascii="Times New Roman" w:eastAsia="Times New Roman" w:hAnsi="Times New Roman"/>
          <w:b/>
          <w:i w:val="false"/>
          <w:sz w:val="20"/>
        </w:rPr>
        <w:t>A. Proposed System Architecture</w:t>
      </w:r>
    </w:p>
    <w:p w14:paraId="73DF554F">
      <w:pPr>
        <w:pStyle w:val="style0"/>
        <w:spacing w:after="80" w:lineRule="auto" w:line="240"/>
        <w:jc w:val="both"/>
        <w:rPr/>
      </w:pPr>
      <w:r>
        <w:rPr>
          <w:rFonts w:ascii="Times New Roman" w:eastAsia="Times New Roman" w:hAnsi="Times New Roman"/>
          <w:b w:val="false"/>
          <w:i w:val="false"/>
          <w:sz w:val="20"/>
        </w:rPr>
        <w:t>The architecture contains six modules: (1) data input, (2) cleaning and normalization, (3) feature extraction, (4) heterogeneous graph builder, (5) graph-learning and classification engine, and (6) ranked output with explanation. The data input module receives review records. The graph builder connects reviewer and product entities through review events. The learning engine computes representations and scores. Finally, the output module marks cases as low, medium, or high priority for further checking, with thresholds chosen on validation data.</w:t>
      </w:r>
    </w:p>
    <w:p w14:paraId="3E977B58">
      <w:pPr>
        <w:pStyle w:val="style0"/>
        <w:spacing w:before="0" w:after="40" w:lineRule="auto" w:line="240"/>
        <w:jc w:val="center"/>
        <w:rPr/>
      </w:pPr>
      <w:r>
        <w:rPr>
          <w:rFonts w:ascii="Times New Roman" w:eastAsia="Times New Roman" w:hAnsi="Times New Roman"/>
          <w:b/>
          <w:i w:val="false"/>
          <w:sz w:val="20"/>
        </w:rPr>
        <w:t>Figure 1. Proposed processing flow</w:t>
      </w:r>
    </w:p>
    <w:p w14:paraId="28A255A0">
      <w:pPr>
        <w:pStyle w:val="style0"/>
        <w:spacing w:before="0" w:after="20" w:lineRule="auto" w:line="240"/>
        <w:jc w:val="center"/>
        <w:rPr/>
      </w:pPr>
      <w:r>
        <w:rPr>
          <w:rFonts w:ascii="Times New Roman" w:eastAsia="Times New Roman" w:hAnsi="Times New Roman"/>
          <w:b w:val="false"/>
          <w:i w:val="false"/>
          <w:sz w:val="19"/>
        </w:rPr>
        <w:t>Review dataset (text, rating, reviewer, product, time)</w:t>
      </w:r>
    </w:p>
    <w:p w14:paraId="F9A30460">
      <w:pPr>
        <w:pStyle w:val="style0"/>
        <w:spacing w:before="0" w:after="0" w:lineRule="auto" w:line="240"/>
        <w:jc w:val="center"/>
        <w:rPr/>
      </w:pPr>
      <w:r>
        <w:rPr>
          <w:rFonts w:ascii="Times New Roman" w:eastAsia="Times New Roman" w:hAnsi="Times New Roman"/>
          <w:b w:val="false"/>
          <w:i w:val="false"/>
          <w:sz w:val="20"/>
        </w:rPr>
        <w:t>↓</w:t>
      </w:r>
    </w:p>
    <w:p w14:paraId="F787C488">
      <w:pPr>
        <w:pStyle w:val="style0"/>
        <w:spacing w:before="0" w:after="20" w:lineRule="auto" w:line="240"/>
        <w:jc w:val="center"/>
        <w:rPr/>
      </w:pPr>
      <w:r>
        <w:rPr>
          <w:rFonts w:ascii="Times New Roman" w:eastAsia="Times New Roman" w:hAnsi="Times New Roman"/>
          <w:b w:val="false"/>
          <w:i w:val="false"/>
          <w:sz w:val="19"/>
        </w:rPr>
        <w:t>Data cleaning and normalization</w:t>
      </w:r>
    </w:p>
    <w:p w14:paraId="DDAB0E47">
      <w:pPr>
        <w:pStyle w:val="style0"/>
        <w:spacing w:before="0" w:after="0" w:lineRule="auto" w:line="240"/>
        <w:jc w:val="center"/>
        <w:rPr/>
      </w:pPr>
      <w:r>
        <w:rPr>
          <w:rFonts w:ascii="Times New Roman" w:eastAsia="Times New Roman" w:hAnsi="Times New Roman"/>
          <w:b w:val="false"/>
          <w:i w:val="false"/>
          <w:sz w:val="20"/>
        </w:rPr>
        <w:t>↓</w:t>
      </w:r>
    </w:p>
    <w:p w14:paraId="FD7107D0">
      <w:pPr>
        <w:pStyle w:val="style0"/>
        <w:spacing w:before="0" w:after="20" w:lineRule="auto" w:line="240"/>
        <w:jc w:val="center"/>
        <w:rPr/>
      </w:pPr>
      <w:r>
        <w:rPr>
          <w:rFonts w:ascii="Times New Roman" w:eastAsia="Times New Roman" w:hAnsi="Times New Roman"/>
          <w:b w:val="false"/>
          <w:i w:val="false"/>
          <w:sz w:val="19"/>
        </w:rPr>
        <w:t>Feature extraction (text + rating + behaviour + time)</w:t>
      </w:r>
    </w:p>
    <w:p w14:paraId="1C56ECE4">
      <w:pPr>
        <w:pStyle w:val="style0"/>
        <w:spacing w:before="0" w:after="0" w:lineRule="auto" w:line="240"/>
        <w:jc w:val="center"/>
        <w:rPr/>
      </w:pPr>
      <w:r>
        <w:rPr>
          <w:rFonts w:ascii="Times New Roman" w:eastAsia="Times New Roman" w:hAnsi="Times New Roman"/>
          <w:b w:val="false"/>
          <w:i w:val="false"/>
          <w:sz w:val="20"/>
        </w:rPr>
        <w:t>↓</w:t>
      </w:r>
    </w:p>
    <w:p w14:paraId="2B3C1D0D">
      <w:pPr>
        <w:pStyle w:val="style0"/>
        <w:spacing w:before="0" w:after="20" w:lineRule="auto" w:line="240"/>
        <w:jc w:val="center"/>
        <w:rPr/>
      </w:pPr>
      <w:r>
        <w:rPr>
          <w:rFonts w:ascii="Times New Roman" w:eastAsia="Times New Roman" w:hAnsi="Times New Roman"/>
          <w:b w:val="false"/>
          <w:i w:val="false"/>
          <w:sz w:val="19"/>
        </w:rPr>
        <w:t>Reviewer–review–product heterogeneous graph</w:t>
      </w:r>
    </w:p>
    <w:p w14:paraId="1629CDB2">
      <w:pPr>
        <w:pStyle w:val="style0"/>
        <w:spacing w:before="0" w:after="0" w:lineRule="auto" w:line="240"/>
        <w:jc w:val="center"/>
        <w:rPr/>
      </w:pPr>
      <w:r>
        <w:rPr>
          <w:rFonts w:ascii="Times New Roman" w:eastAsia="Times New Roman" w:hAnsi="Times New Roman"/>
          <w:b w:val="false"/>
          <w:i w:val="false"/>
          <w:sz w:val="20"/>
        </w:rPr>
        <w:t>↓</w:t>
      </w:r>
    </w:p>
    <w:p w14:paraId="D439A95C">
      <w:pPr>
        <w:pStyle w:val="style0"/>
        <w:spacing w:before="0" w:after="20" w:lineRule="auto" w:line="240"/>
        <w:jc w:val="center"/>
        <w:rPr/>
      </w:pPr>
      <w:r>
        <w:rPr>
          <w:rFonts w:ascii="Times New Roman" w:eastAsia="Times New Roman" w:hAnsi="Times New Roman"/>
          <w:b w:val="false"/>
          <w:i w:val="false"/>
          <w:sz w:val="19"/>
        </w:rPr>
        <w:t>Relation-aware GNN / anomaly scoring</w:t>
      </w:r>
    </w:p>
    <w:p w14:paraId="CA6E1B1C">
      <w:pPr>
        <w:pStyle w:val="style0"/>
        <w:spacing w:before="0" w:after="0" w:lineRule="auto" w:line="240"/>
        <w:jc w:val="center"/>
        <w:rPr/>
      </w:pPr>
      <w:r>
        <w:rPr>
          <w:rFonts w:ascii="Times New Roman" w:eastAsia="Times New Roman" w:hAnsi="Times New Roman"/>
          <w:b w:val="false"/>
          <w:i w:val="false"/>
          <w:sz w:val="20"/>
        </w:rPr>
        <w:t>↓</w:t>
      </w:r>
    </w:p>
    <w:p w14:paraId="9CEB5376">
      <w:pPr>
        <w:pStyle w:val="style0"/>
        <w:spacing w:before="0" w:after="20" w:lineRule="auto" w:line="240"/>
        <w:jc w:val="center"/>
        <w:rPr/>
      </w:pPr>
      <w:r>
        <w:rPr>
          <w:rFonts w:ascii="Times New Roman" w:eastAsia="Times New Roman" w:hAnsi="Times New Roman"/>
          <w:b w:val="false"/>
          <w:i w:val="false"/>
          <w:sz w:val="19"/>
        </w:rPr>
        <w:t>Review and reviewer classification</w:t>
      </w:r>
    </w:p>
    <w:p w14:paraId="ABBECC99">
      <w:pPr>
        <w:pStyle w:val="style0"/>
        <w:spacing w:before="0" w:after="0" w:lineRule="auto" w:line="240"/>
        <w:jc w:val="center"/>
        <w:rPr/>
      </w:pPr>
      <w:r>
        <w:rPr>
          <w:rFonts w:ascii="Times New Roman" w:eastAsia="Times New Roman" w:hAnsi="Times New Roman"/>
          <w:b w:val="false"/>
          <w:i w:val="false"/>
          <w:sz w:val="20"/>
        </w:rPr>
        <w:t>↓</w:t>
      </w:r>
    </w:p>
    <w:p w14:paraId="6D6ABE38">
      <w:pPr>
        <w:pStyle w:val="style0"/>
        <w:spacing w:before="0" w:after="20" w:lineRule="auto" w:line="240"/>
        <w:jc w:val="center"/>
        <w:rPr/>
      </w:pPr>
      <w:r>
        <w:rPr>
          <w:rFonts w:ascii="Times New Roman" w:eastAsia="Times New Roman" w:hAnsi="Times New Roman"/>
          <w:b w:val="false"/>
          <w:i w:val="false"/>
          <w:sz w:val="19"/>
        </w:rPr>
        <w:t>Ranked alerts with interpretable evidence</w:t>
      </w:r>
    </w:p>
    <w:p w14:paraId="46CF87A5">
      <w:pPr>
        <w:pStyle w:val="style0"/>
        <w:spacing w:before="100" w:after="40"/>
        <w:rPr/>
      </w:pPr>
      <w:r>
        <w:rPr>
          <w:rFonts w:ascii="Times New Roman" w:eastAsia="Times New Roman" w:hAnsi="Times New Roman"/>
          <w:b/>
          <w:i w:val="false"/>
          <w:sz w:val="20"/>
        </w:rPr>
        <w:t>B. Detection Logic</w:t>
      </w:r>
    </w:p>
    <w:p w14:paraId="EA693B8B">
      <w:pPr>
        <w:pStyle w:val="style0"/>
        <w:spacing w:after="80" w:lineRule="auto" w:line="240"/>
        <w:jc w:val="both"/>
        <w:rPr/>
      </w:pPr>
      <w:r>
        <w:rPr>
          <w:rFonts w:ascii="Times New Roman" w:eastAsia="Times New Roman" w:hAnsi="Times New Roman"/>
          <w:b w:val="false"/>
          <w:i w:val="false"/>
          <w:sz w:val="20"/>
        </w:rPr>
        <w:t>The proposed detection logic has two prediction levels. At review level, the model evaluates whether the review text, rating, time, author history, and product context jointly appear anomalous. At reviewer level, the model aggregates the reviewer’s past activity and connections to other accounts and products. A reviewer may be suspicious even if individual reviews are linguistically fluent; conversely, one unusual review should not automatically label the entire account as fraudulent. Predictions should therefore be calibrated separately for review and reviewer entities.</w:t>
      </w:r>
    </w:p>
    <w:p w14:paraId="6293B847">
      <w:pPr>
        <w:pStyle w:val="style0"/>
        <w:spacing w:before="100" w:after="40"/>
        <w:rPr/>
      </w:pPr>
      <w:r>
        <w:rPr>
          <w:rFonts w:ascii="Times New Roman" w:eastAsia="Times New Roman" w:hAnsi="Times New Roman"/>
          <w:b/>
          <w:i w:val="false"/>
          <w:sz w:val="20"/>
        </w:rPr>
        <w:t>C. Training Strategy</w:t>
      </w:r>
    </w:p>
    <w:p w14:paraId="68576157">
      <w:pPr>
        <w:pStyle w:val="style0"/>
        <w:spacing w:after="80" w:lineRule="auto" w:line="240"/>
        <w:jc w:val="both"/>
        <w:rPr/>
      </w:pPr>
      <w:r>
        <w:rPr>
          <w:rFonts w:ascii="Times New Roman" w:eastAsia="Times New Roman" w:hAnsi="Times New Roman"/>
          <w:b w:val="false"/>
          <w:i w:val="false"/>
          <w:sz w:val="20"/>
        </w:rPr>
        <w:t>Where reliable labels exist, the graph is divided into training, validation, and test partitions without sharing test labels with the learning process. Class weighting or balanced sampling can reduce the effect of class imbalance. The validation set is used to choose decision thresholds and tune model complexity. A baseline comparison should include text-only classification, behaviour-only features, a non-graph model using concatenated features, and the proposed graph model. Ablation experiments should remove one feature family or relation type at a time to measure its contribution.</w:t>
      </w:r>
    </w:p>
    <w:p w14:paraId="437080DB">
      <w:pPr>
        <w:pStyle w:val="style0"/>
        <w:spacing w:before="100" w:after="40"/>
        <w:rPr/>
      </w:pPr>
      <w:r>
        <w:rPr>
          <w:rFonts w:ascii="Times New Roman" w:eastAsia="Times New Roman" w:hAnsi="Times New Roman"/>
          <w:b/>
          <w:i w:val="false"/>
          <w:sz w:val="20"/>
        </w:rPr>
        <w:t>D. Complexity and Deployment</w:t>
      </w:r>
    </w:p>
    <w:p w14:paraId="F44A2AD4">
      <w:pPr>
        <w:pStyle w:val="style0"/>
        <w:spacing w:after="80" w:lineRule="auto" w:line="240"/>
        <w:jc w:val="both"/>
        <w:rPr/>
      </w:pPr>
      <w:r>
        <w:rPr>
          <w:rFonts w:ascii="Times New Roman" w:eastAsia="Times New Roman" w:hAnsi="Times New Roman"/>
          <w:b w:val="false"/>
          <w:i w:val="false"/>
          <w:sz w:val="20"/>
        </w:rPr>
        <w:t>Graph-learning cost depends on the number of nodes, edges, feature dimensions, and sampled neighbours. Large platforms may require mini-batch training, neighbour sampling, periodic graph updates, and caching of stable product features. New reviews can be scored incrementally, while full graph retraining can occur on a schedule. Lightweight deployment should be considered when moderation systems have strict latency or hardware constraints.</w:t>
      </w:r>
    </w:p>
    <w:p w14:paraId="7336635F">
      <w:pPr>
        <w:pStyle w:val="style0"/>
        <w:spacing w:before="140" w:after="80"/>
        <w:rPr/>
      </w:pPr>
      <w:r>
        <w:rPr>
          <w:rFonts w:ascii="Times New Roman" w:eastAsia="Times New Roman" w:hAnsi="Times New Roman"/>
          <w:b/>
          <w:i w:val="false"/>
          <w:sz w:val="24"/>
        </w:rPr>
        <w:t>IV. RESULTS AND DISCUSSION</w:t>
      </w:r>
    </w:p>
    <w:p w14:paraId="128F57EA">
      <w:pPr>
        <w:pStyle w:val="style0"/>
        <w:spacing w:after="80" w:lineRule="auto" w:line="240"/>
        <w:jc w:val="both"/>
        <w:rPr/>
      </w:pPr>
      <w:r>
        <w:rPr>
          <w:rFonts w:ascii="Times New Roman" w:eastAsia="Times New Roman" w:hAnsi="Times New Roman"/>
          <w:b w:val="false"/>
          <w:i w:val="false"/>
          <w:sz w:val="20"/>
        </w:rPr>
        <w:t>This paper defines a proposed framework and literature-grounded analysis; it does not report a newly executed experiment. Accordingly, no accuracy, precision, recall, F1-score, or improvement percentage is invented. The expected benefit is a more complete representation of suspicious activity because review content and reviewer–product relations are considered together. Whether this benefit is achieved must be established empirically using labelled data and fair baselines.</w:t>
      </w:r>
    </w:p>
    <w:p w14:paraId="02D6C038">
      <w:pPr>
        <w:pStyle w:val="style0"/>
        <w:spacing w:before="100" w:after="40"/>
        <w:rPr/>
      </w:pPr>
      <w:r>
        <w:rPr>
          <w:rFonts w:ascii="Times New Roman" w:eastAsia="Times New Roman" w:hAnsi="Times New Roman"/>
          <w:b/>
          <w:i w:val="false"/>
          <w:sz w:val="20"/>
        </w:rPr>
        <w:t>A. Evaluation Plan</w:t>
      </w:r>
    </w:p>
    <w:p w14:paraId="B1C04289">
      <w:pPr>
        <w:pStyle w:val="style0"/>
        <w:spacing w:after="80" w:lineRule="auto" w:line="240"/>
        <w:jc w:val="both"/>
        <w:rPr/>
      </w:pPr>
      <w:r>
        <w:rPr>
          <w:rFonts w:ascii="Times New Roman" w:eastAsia="Times New Roman" w:hAnsi="Times New Roman"/>
          <w:b w:val="false"/>
          <w:i w:val="false"/>
          <w:sz w:val="20"/>
        </w:rPr>
        <w:t>Evaluation should report precision, recall, F1-score, area under the precision–recall curve (PR-AUC), and confusion matrices. Precision measures how many flagged cases are actually fake; recall measures how many fake cases are detected. PR-AUC is especially informative when fake reviews are rare. Results should be reported separately for review-level and reviewer-level detection, and across time-based test splits to assess robustness to changing campaigns.</w:t>
      </w:r>
    </w:p>
    <w:p w14:paraId="29FD848A">
      <w:pPr>
        <w:pStyle w:val="style0"/>
        <w:spacing w:before="0" w:after="60" w:lineRule="auto" w:line="240"/>
        <w:jc w:val="center"/>
        <w:rPr/>
      </w:pPr>
      <w:r>
        <w:rPr>
          <w:rFonts w:ascii="Times New Roman" w:eastAsia="Times New Roman" w:hAnsi="Times New Roman"/>
          <w:b/>
          <w:i w:val="false"/>
          <w:sz w:val="20"/>
        </w:rPr>
        <w:t>Table 2. Planned evaluation and purpose</w:t>
      </w:r>
    </w:p>
    <w:tbl>
      <w:tblPr>
        <w:tblStyle w:val="style154"/>
        <w:tblW w:w="0" w:type="auto"/>
        <w:tblLook w:val="04A0" w:firstRow="1" w:lastRow="0" w:firstColumn="1" w:lastColumn="0" w:noHBand="0" w:noVBand="1"/>
      </w:tblPr>
      <w:tblGrid>
        <w:gridCol w:w="3278"/>
        <w:gridCol w:w="3278"/>
        <w:gridCol w:w="3278"/>
      </w:tblGrid>
      <w:tr w14:paraId="7D71907F">
        <w:trPr/>
        <w:tc>
          <w:tcPr>
            <w:tcW w:w="3278" w:type="dxa"/>
            <w:tcBorders/>
          </w:tcPr>
          <w:p w14:paraId="2667ED83">
            <w:pPr>
              <w:pStyle w:val="style0"/>
              <w:jc w:val="center"/>
              <w:rPr/>
            </w:pPr>
            <w:r>
              <w:rPr>
                <w:rFonts w:ascii="Times New Roman" w:eastAsia="Times New Roman" w:hAnsi="Times New Roman"/>
                <w:b/>
                <w:i w:val="false"/>
                <w:sz w:val="18"/>
              </w:rPr>
              <w:t>Evaluation item</w:t>
            </w:r>
          </w:p>
        </w:tc>
        <w:tc>
          <w:tcPr>
            <w:tcW w:w="3278" w:type="dxa"/>
            <w:tcBorders/>
          </w:tcPr>
          <w:p w14:paraId="2C5D78DE">
            <w:pPr>
              <w:pStyle w:val="style0"/>
              <w:jc w:val="center"/>
              <w:rPr/>
            </w:pPr>
            <w:r>
              <w:rPr>
                <w:rFonts w:ascii="Times New Roman" w:eastAsia="Times New Roman" w:hAnsi="Times New Roman"/>
                <w:b/>
                <w:i w:val="false"/>
                <w:sz w:val="18"/>
              </w:rPr>
              <w:t>Purpose</w:t>
            </w:r>
          </w:p>
        </w:tc>
        <w:tc>
          <w:tcPr>
            <w:tcW w:w="3278" w:type="dxa"/>
            <w:tcBorders/>
          </w:tcPr>
          <w:p w14:paraId="0A615371">
            <w:pPr>
              <w:pStyle w:val="style0"/>
              <w:jc w:val="center"/>
              <w:rPr/>
            </w:pPr>
            <w:r>
              <w:rPr>
                <w:rFonts w:ascii="Times New Roman" w:eastAsia="Times New Roman" w:hAnsi="Times New Roman"/>
                <w:b/>
                <w:i w:val="false"/>
                <w:sz w:val="18"/>
              </w:rPr>
              <w:t>Interpretation</w:t>
            </w:r>
          </w:p>
        </w:tc>
      </w:tr>
      <w:tr w14:paraId="1CD3F9C3">
        <w:tblPrEx/>
        <w:trPr/>
        <w:tc>
          <w:tcPr>
            <w:tcW w:w="3278" w:type="dxa"/>
            <w:tcBorders/>
          </w:tcPr>
          <w:p w14:paraId="F6DC3D28">
            <w:pPr>
              <w:pStyle w:val="style0"/>
              <w:spacing w:after="20"/>
              <w:jc w:val="left"/>
              <w:rPr/>
            </w:pPr>
            <w:r>
              <w:rPr>
                <w:rFonts w:ascii="Times New Roman" w:eastAsia="Times New Roman" w:hAnsi="Times New Roman"/>
                <w:b w:val="false"/>
                <w:i w:val="false"/>
                <w:sz w:val="17"/>
              </w:rPr>
              <w:t>Precision</w:t>
            </w:r>
          </w:p>
        </w:tc>
        <w:tc>
          <w:tcPr>
            <w:tcW w:w="3278" w:type="dxa"/>
            <w:tcBorders/>
          </w:tcPr>
          <w:p w14:paraId="9927C8A2">
            <w:pPr>
              <w:pStyle w:val="style0"/>
              <w:spacing w:after="20"/>
              <w:jc w:val="left"/>
              <w:rPr/>
            </w:pPr>
            <w:r>
              <w:rPr>
                <w:rFonts w:ascii="Times New Roman" w:eastAsia="Times New Roman" w:hAnsi="Times New Roman"/>
                <w:b w:val="false"/>
                <w:i w:val="false"/>
                <w:sz w:val="17"/>
              </w:rPr>
              <w:t>Measure reliability of alerts</w:t>
            </w:r>
          </w:p>
        </w:tc>
        <w:tc>
          <w:tcPr>
            <w:tcW w:w="3278" w:type="dxa"/>
            <w:tcBorders/>
          </w:tcPr>
          <w:p w14:paraId="62AD829B">
            <w:pPr>
              <w:pStyle w:val="style0"/>
              <w:spacing w:after="20"/>
              <w:jc w:val="left"/>
              <w:rPr/>
            </w:pPr>
            <w:r>
              <w:rPr>
                <w:rFonts w:ascii="Times New Roman" w:eastAsia="Times New Roman" w:hAnsi="Times New Roman"/>
                <w:b w:val="false"/>
                <w:i w:val="false"/>
                <w:sz w:val="17"/>
              </w:rPr>
              <w:t>High precision reduces false accusations</w:t>
            </w:r>
          </w:p>
        </w:tc>
      </w:tr>
      <w:tr w14:paraId="A49B6885">
        <w:tblPrEx/>
        <w:trPr/>
        <w:tc>
          <w:tcPr>
            <w:tcW w:w="3278" w:type="dxa"/>
            <w:tcBorders/>
          </w:tcPr>
          <w:p w14:paraId="61FC1686">
            <w:pPr>
              <w:pStyle w:val="style0"/>
              <w:spacing w:after="20"/>
              <w:jc w:val="left"/>
              <w:rPr/>
            </w:pPr>
            <w:r>
              <w:rPr>
                <w:rFonts w:ascii="Times New Roman" w:eastAsia="Times New Roman" w:hAnsi="Times New Roman"/>
                <w:b w:val="false"/>
                <w:i w:val="false"/>
                <w:sz w:val="17"/>
              </w:rPr>
              <w:t>Recall</w:t>
            </w:r>
          </w:p>
        </w:tc>
        <w:tc>
          <w:tcPr>
            <w:tcW w:w="3278" w:type="dxa"/>
            <w:tcBorders/>
          </w:tcPr>
          <w:p w14:paraId="940ED333">
            <w:pPr>
              <w:pStyle w:val="style0"/>
              <w:spacing w:after="20"/>
              <w:jc w:val="left"/>
              <w:rPr/>
            </w:pPr>
            <w:r>
              <w:rPr>
                <w:rFonts w:ascii="Times New Roman" w:eastAsia="Times New Roman" w:hAnsi="Times New Roman"/>
                <w:b w:val="false"/>
                <w:i w:val="false"/>
                <w:sz w:val="17"/>
              </w:rPr>
              <w:t>Measure coverage of labelled fake cases</w:t>
            </w:r>
          </w:p>
        </w:tc>
        <w:tc>
          <w:tcPr>
            <w:tcW w:w="3278" w:type="dxa"/>
            <w:tcBorders/>
          </w:tcPr>
          <w:p w14:paraId="B8970A84">
            <w:pPr>
              <w:pStyle w:val="style0"/>
              <w:spacing w:after="20"/>
              <w:jc w:val="left"/>
              <w:rPr/>
            </w:pPr>
            <w:r>
              <w:rPr>
                <w:rFonts w:ascii="Times New Roman" w:eastAsia="Times New Roman" w:hAnsi="Times New Roman"/>
                <w:b w:val="false"/>
                <w:i w:val="false"/>
                <w:sz w:val="17"/>
              </w:rPr>
              <w:t>High recall finds more suspicious cases</w:t>
            </w:r>
          </w:p>
        </w:tc>
      </w:tr>
      <w:tr w14:paraId="7675C5CC">
        <w:tblPrEx/>
        <w:trPr/>
        <w:tc>
          <w:tcPr>
            <w:tcW w:w="3278" w:type="dxa"/>
            <w:tcBorders/>
          </w:tcPr>
          <w:p w14:paraId="6AD570E0">
            <w:pPr>
              <w:pStyle w:val="style0"/>
              <w:spacing w:after="20"/>
              <w:jc w:val="left"/>
              <w:rPr/>
            </w:pPr>
            <w:r>
              <w:rPr>
                <w:rFonts w:ascii="Times New Roman" w:eastAsia="Times New Roman" w:hAnsi="Times New Roman"/>
                <w:b w:val="false"/>
                <w:i w:val="false"/>
                <w:sz w:val="17"/>
              </w:rPr>
              <w:t>F1-score</w:t>
            </w:r>
          </w:p>
        </w:tc>
        <w:tc>
          <w:tcPr>
            <w:tcW w:w="3278" w:type="dxa"/>
            <w:tcBorders/>
          </w:tcPr>
          <w:p w14:paraId="F78FF75C">
            <w:pPr>
              <w:pStyle w:val="style0"/>
              <w:spacing w:after="20"/>
              <w:jc w:val="left"/>
              <w:rPr/>
            </w:pPr>
            <w:r>
              <w:rPr>
                <w:rFonts w:ascii="Times New Roman" w:eastAsia="Times New Roman" w:hAnsi="Times New Roman"/>
                <w:b w:val="false"/>
                <w:i w:val="false"/>
                <w:sz w:val="17"/>
              </w:rPr>
              <w:t>Balance precision and recall</w:t>
            </w:r>
          </w:p>
        </w:tc>
        <w:tc>
          <w:tcPr>
            <w:tcW w:w="3278" w:type="dxa"/>
            <w:tcBorders/>
          </w:tcPr>
          <w:p w14:paraId="FFEFD605">
            <w:pPr>
              <w:pStyle w:val="style0"/>
              <w:spacing w:after="20"/>
              <w:jc w:val="left"/>
              <w:rPr/>
            </w:pPr>
            <w:r>
              <w:rPr>
                <w:rFonts w:ascii="Times New Roman" w:eastAsia="Times New Roman" w:hAnsi="Times New Roman"/>
                <w:b w:val="false"/>
                <w:i w:val="false"/>
                <w:sz w:val="17"/>
              </w:rPr>
              <w:t>Useful summary when both error types matter</w:t>
            </w:r>
          </w:p>
        </w:tc>
      </w:tr>
      <w:tr w14:paraId="F316AD0A">
        <w:tblPrEx/>
        <w:trPr/>
        <w:tc>
          <w:tcPr>
            <w:tcW w:w="3278" w:type="dxa"/>
            <w:tcBorders/>
          </w:tcPr>
          <w:p w14:paraId="1A108285">
            <w:pPr>
              <w:pStyle w:val="style0"/>
              <w:spacing w:after="20"/>
              <w:jc w:val="left"/>
              <w:rPr/>
            </w:pPr>
            <w:r>
              <w:rPr>
                <w:rFonts w:ascii="Times New Roman" w:eastAsia="Times New Roman" w:hAnsi="Times New Roman"/>
                <w:b w:val="false"/>
                <w:i w:val="false"/>
                <w:sz w:val="17"/>
              </w:rPr>
              <w:t>PR-AUC</w:t>
            </w:r>
          </w:p>
        </w:tc>
        <w:tc>
          <w:tcPr>
            <w:tcW w:w="3278" w:type="dxa"/>
            <w:tcBorders/>
          </w:tcPr>
          <w:p w14:paraId="42B00C83">
            <w:pPr>
              <w:pStyle w:val="style0"/>
              <w:spacing w:after="20"/>
              <w:jc w:val="left"/>
              <w:rPr/>
            </w:pPr>
            <w:r>
              <w:rPr>
                <w:rFonts w:ascii="Times New Roman" w:eastAsia="Times New Roman" w:hAnsi="Times New Roman"/>
                <w:b w:val="false"/>
                <w:i w:val="false"/>
                <w:sz w:val="17"/>
              </w:rPr>
              <w:t>Evaluate ranking across thresholds</w:t>
            </w:r>
          </w:p>
        </w:tc>
        <w:tc>
          <w:tcPr>
            <w:tcW w:w="3278" w:type="dxa"/>
            <w:tcBorders/>
          </w:tcPr>
          <w:p w14:paraId="777754C4">
            <w:pPr>
              <w:pStyle w:val="style0"/>
              <w:spacing w:after="20"/>
              <w:jc w:val="left"/>
              <w:rPr/>
            </w:pPr>
            <w:r>
              <w:rPr>
                <w:rFonts w:ascii="Times New Roman" w:eastAsia="Times New Roman" w:hAnsi="Times New Roman"/>
                <w:b w:val="false"/>
                <w:i w:val="false"/>
                <w:sz w:val="17"/>
              </w:rPr>
              <w:t>Useful for imbalanced classes</w:t>
            </w:r>
          </w:p>
        </w:tc>
      </w:tr>
      <w:tr w14:paraId="ADC07091">
        <w:tblPrEx/>
        <w:trPr/>
        <w:tc>
          <w:tcPr>
            <w:tcW w:w="3278" w:type="dxa"/>
            <w:tcBorders/>
          </w:tcPr>
          <w:p w14:paraId="5F7BBBF3">
            <w:pPr>
              <w:pStyle w:val="style0"/>
              <w:spacing w:after="20"/>
              <w:jc w:val="left"/>
              <w:rPr/>
            </w:pPr>
            <w:r>
              <w:rPr>
                <w:rFonts w:ascii="Times New Roman" w:eastAsia="Times New Roman" w:hAnsi="Times New Roman"/>
                <w:b w:val="false"/>
                <w:i w:val="false"/>
                <w:sz w:val="17"/>
              </w:rPr>
              <w:t>Ablation study</w:t>
            </w:r>
          </w:p>
        </w:tc>
        <w:tc>
          <w:tcPr>
            <w:tcW w:w="3278" w:type="dxa"/>
            <w:tcBorders/>
          </w:tcPr>
          <w:p w14:paraId="48918DD5">
            <w:pPr>
              <w:pStyle w:val="style0"/>
              <w:spacing w:after="20"/>
              <w:jc w:val="left"/>
              <w:rPr/>
            </w:pPr>
            <w:r>
              <w:rPr>
                <w:rFonts w:ascii="Times New Roman" w:eastAsia="Times New Roman" w:hAnsi="Times New Roman"/>
                <w:b w:val="false"/>
                <w:i w:val="false"/>
                <w:sz w:val="17"/>
              </w:rPr>
              <w:t>Remove features or edge types in turn</w:t>
            </w:r>
          </w:p>
        </w:tc>
        <w:tc>
          <w:tcPr>
            <w:tcW w:w="3278" w:type="dxa"/>
            <w:tcBorders/>
          </w:tcPr>
          <w:p w14:paraId="DBC3DCEF">
            <w:pPr>
              <w:pStyle w:val="style0"/>
              <w:spacing w:after="20"/>
              <w:jc w:val="left"/>
              <w:rPr/>
            </w:pPr>
            <w:r>
              <w:rPr>
                <w:rFonts w:ascii="Times New Roman" w:eastAsia="Times New Roman" w:hAnsi="Times New Roman"/>
                <w:b w:val="false"/>
                <w:i w:val="false"/>
                <w:sz w:val="17"/>
              </w:rPr>
              <w:t>Shows which components add value</w:t>
            </w:r>
          </w:p>
        </w:tc>
      </w:tr>
      <w:tr w14:paraId="EC76FB82">
        <w:tblPrEx/>
        <w:trPr/>
        <w:tc>
          <w:tcPr>
            <w:tcW w:w="3278" w:type="dxa"/>
            <w:tcBorders/>
          </w:tcPr>
          <w:p w14:paraId="09CD1B11">
            <w:pPr>
              <w:pStyle w:val="style0"/>
              <w:spacing w:after="20"/>
              <w:jc w:val="left"/>
              <w:rPr/>
            </w:pPr>
            <w:r>
              <w:rPr>
                <w:rFonts w:ascii="Times New Roman" w:eastAsia="Times New Roman" w:hAnsi="Times New Roman"/>
                <w:b w:val="false"/>
                <w:i w:val="false"/>
                <w:sz w:val="17"/>
              </w:rPr>
              <w:t>Temporal test split</w:t>
            </w:r>
          </w:p>
        </w:tc>
        <w:tc>
          <w:tcPr>
            <w:tcW w:w="3278" w:type="dxa"/>
            <w:tcBorders/>
          </w:tcPr>
          <w:p w14:paraId="DC64E61A">
            <w:pPr>
              <w:pStyle w:val="style0"/>
              <w:spacing w:after="20"/>
              <w:jc w:val="left"/>
              <w:rPr/>
            </w:pPr>
            <w:r>
              <w:rPr>
                <w:rFonts w:ascii="Times New Roman" w:eastAsia="Times New Roman" w:hAnsi="Times New Roman"/>
                <w:b w:val="false"/>
                <w:i w:val="false"/>
                <w:sz w:val="17"/>
              </w:rPr>
              <w:t>Test on later reviews</w:t>
            </w:r>
          </w:p>
        </w:tc>
        <w:tc>
          <w:tcPr>
            <w:tcW w:w="3278" w:type="dxa"/>
            <w:tcBorders/>
          </w:tcPr>
          <w:p w14:paraId="D10D4EF8">
            <w:pPr>
              <w:pStyle w:val="style0"/>
              <w:spacing w:after="20"/>
              <w:jc w:val="left"/>
              <w:rPr/>
            </w:pPr>
            <w:r>
              <w:rPr>
                <w:rFonts w:ascii="Times New Roman" w:eastAsia="Times New Roman" w:hAnsi="Times New Roman"/>
                <w:b w:val="false"/>
                <w:i w:val="false"/>
                <w:sz w:val="17"/>
              </w:rPr>
              <w:t>Checks robustness to changing behaviour</w:t>
            </w:r>
          </w:p>
        </w:tc>
      </w:tr>
    </w:tbl>
    <w:p w14:paraId="ACEC2E7F">
      <w:pPr>
        <w:pStyle w:val="style0"/>
        <w:spacing w:after="20"/>
        <w:rPr/>
      </w:pPr>
    </w:p>
    <w:p w14:paraId="05D8B298">
      <w:pPr>
        <w:pStyle w:val="style0"/>
        <w:spacing w:before="100" w:after="40"/>
        <w:rPr/>
      </w:pPr>
      <w:r>
        <w:rPr>
          <w:rFonts w:ascii="Times New Roman" w:eastAsia="Times New Roman" w:hAnsi="Times New Roman"/>
          <w:b/>
          <w:i w:val="false"/>
          <w:sz w:val="20"/>
        </w:rPr>
        <w:t>B. Comparison with Related Work</w:t>
      </w:r>
    </w:p>
    <w:p w14:paraId="40882F41">
      <w:pPr>
        <w:pStyle w:val="style0"/>
        <w:spacing w:after="80" w:lineRule="auto" w:line="240"/>
        <w:jc w:val="both"/>
        <w:rPr/>
      </w:pPr>
      <w:r>
        <w:rPr>
          <w:rFonts w:ascii="Times New Roman" w:eastAsia="Times New Roman" w:hAnsi="Times New Roman"/>
          <w:b w:val="false"/>
          <w:i w:val="false"/>
          <w:sz w:val="20"/>
        </w:rPr>
        <w:t>Yu et al. [1] provide the broadest conceptual foundation among the references used here: they survey graph-learning methods, datasets, supervised and unsupervised approaches, and challenges. The social-context GNN study [2] demonstrates the relevance of social relationships and a two-stage framework in a discussion-forum setting; its setting should not be assumed identical to product-review platforms. Zhao et al. [3] focus on heterogeneous relations and reviewer camouflage, supporting the need to represent different entity types. The feature interaction and fusion model [4] emphasizes the combination of review text and ratings in a heterogeneous graph. Duma et al. [5] systematically review GNN-based work and discuss unresolved limitations. The proposed design combines these ideas into a reviewer–product interaction pipeline.</w:t>
      </w:r>
    </w:p>
    <w:p w14:paraId="10EDC7A4">
      <w:pPr>
        <w:pStyle w:val="style0"/>
        <w:spacing w:before="0" w:after="60" w:lineRule="auto" w:line="240"/>
        <w:jc w:val="center"/>
        <w:rPr/>
      </w:pPr>
      <w:r>
        <w:rPr>
          <w:rFonts w:ascii="Times New Roman" w:eastAsia="Times New Roman" w:hAnsi="Times New Roman"/>
          <w:b/>
          <w:i w:val="false"/>
          <w:sz w:val="20"/>
        </w:rPr>
        <w:t>Table 3. Literature comparison</w:t>
      </w:r>
    </w:p>
    <w:tbl>
      <w:tblPr>
        <w:tblStyle w:val="style154"/>
        <w:tblW w:w="0" w:type="auto"/>
        <w:tblLook w:val="04A0" w:firstRow="1" w:lastRow="0" w:firstColumn="1" w:lastColumn="0" w:noHBand="0" w:noVBand="1"/>
      </w:tblPr>
      <w:tblGrid>
        <w:gridCol w:w="2458"/>
        <w:gridCol w:w="2458"/>
        <w:gridCol w:w="2458"/>
        <w:gridCol w:w="2458"/>
      </w:tblGrid>
      <w:tr w14:paraId="1C4BE1FF">
        <w:trPr/>
        <w:tc>
          <w:tcPr>
            <w:tcW w:w="2458" w:type="dxa"/>
            <w:tcBorders/>
          </w:tcPr>
          <w:p w14:paraId="D8CEDB33">
            <w:pPr>
              <w:pStyle w:val="style0"/>
              <w:jc w:val="center"/>
              <w:rPr/>
            </w:pPr>
            <w:r>
              <w:rPr>
                <w:rFonts w:ascii="Times New Roman" w:eastAsia="Times New Roman" w:hAnsi="Times New Roman"/>
                <w:b/>
                <w:i w:val="false"/>
                <w:sz w:val="18"/>
              </w:rPr>
              <w:t>Reference</w:t>
            </w:r>
          </w:p>
        </w:tc>
        <w:tc>
          <w:tcPr>
            <w:tcW w:w="2458" w:type="dxa"/>
            <w:tcBorders/>
          </w:tcPr>
          <w:p w14:paraId="C9A5E944">
            <w:pPr>
              <w:pStyle w:val="style0"/>
              <w:jc w:val="center"/>
              <w:rPr/>
            </w:pPr>
            <w:r>
              <w:rPr>
                <w:rFonts w:ascii="Times New Roman" w:eastAsia="Times New Roman" w:hAnsi="Times New Roman"/>
                <w:b/>
                <w:i w:val="false"/>
                <w:sz w:val="18"/>
              </w:rPr>
              <w:t>Focus</w:t>
            </w:r>
          </w:p>
        </w:tc>
        <w:tc>
          <w:tcPr>
            <w:tcW w:w="2458" w:type="dxa"/>
            <w:tcBorders/>
          </w:tcPr>
          <w:p w14:paraId="B2528E12">
            <w:pPr>
              <w:pStyle w:val="style0"/>
              <w:jc w:val="center"/>
              <w:rPr/>
            </w:pPr>
            <w:r>
              <w:rPr>
                <w:rFonts w:ascii="Times New Roman" w:eastAsia="Times New Roman" w:hAnsi="Times New Roman"/>
                <w:b/>
                <w:i w:val="false"/>
                <w:sz w:val="18"/>
              </w:rPr>
              <w:t>Relevance to proposed framework</w:t>
            </w:r>
          </w:p>
        </w:tc>
        <w:tc>
          <w:tcPr>
            <w:tcW w:w="2458" w:type="dxa"/>
            <w:tcBorders/>
          </w:tcPr>
          <w:p w14:paraId="F321D1A4">
            <w:pPr>
              <w:pStyle w:val="style0"/>
              <w:jc w:val="center"/>
              <w:rPr/>
            </w:pPr>
            <w:r>
              <w:rPr>
                <w:rFonts w:ascii="Times New Roman" w:eastAsia="Times New Roman" w:hAnsi="Times New Roman"/>
                <w:b/>
                <w:i w:val="false"/>
                <w:sz w:val="18"/>
              </w:rPr>
              <w:t>Caution</w:t>
            </w:r>
          </w:p>
        </w:tc>
      </w:tr>
      <w:tr w14:paraId="08BF96D1">
        <w:tblPrEx/>
        <w:trPr/>
        <w:tc>
          <w:tcPr>
            <w:tcW w:w="2458" w:type="dxa"/>
            <w:tcBorders/>
          </w:tcPr>
          <w:p w14:paraId="783A3FAC">
            <w:pPr>
              <w:pStyle w:val="style0"/>
              <w:spacing w:after="20"/>
              <w:jc w:val="left"/>
              <w:rPr/>
            </w:pPr>
            <w:r>
              <w:rPr>
                <w:rFonts w:ascii="Times New Roman" w:eastAsia="Times New Roman" w:hAnsi="Times New Roman"/>
                <w:b w:val="false"/>
                <w:i w:val="false"/>
                <w:sz w:val="17"/>
              </w:rPr>
              <w:t>Yu et al. [1], 2022</w:t>
            </w:r>
          </w:p>
        </w:tc>
        <w:tc>
          <w:tcPr>
            <w:tcW w:w="2458" w:type="dxa"/>
            <w:tcBorders/>
          </w:tcPr>
          <w:p w14:paraId="8A2F95DB">
            <w:pPr>
              <w:pStyle w:val="style0"/>
              <w:spacing w:after="20"/>
              <w:jc w:val="left"/>
              <w:rPr/>
            </w:pPr>
            <w:r>
              <w:rPr>
                <w:rFonts w:ascii="Times New Roman" w:eastAsia="Times New Roman" w:hAnsi="Times New Roman"/>
                <w:b w:val="false"/>
                <w:i w:val="false"/>
                <w:sz w:val="17"/>
              </w:rPr>
              <w:t>Survey of graph learning for fake reviews</w:t>
            </w:r>
          </w:p>
        </w:tc>
        <w:tc>
          <w:tcPr>
            <w:tcW w:w="2458" w:type="dxa"/>
            <w:tcBorders/>
          </w:tcPr>
          <w:p w14:paraId="8269C9D5">
            <w:pPr>
              <w:pStyle w:val="style0"/>
              <w:spacing w:after="20"/>
              <w:jc w:val="left"/>
              <w:rPr/>
            </w:pPr>
            <w:r>
              <w:rPr>
                <w:rFonts w:ascii="Times New Roman" w:eastAsia="Times New Roman" w:hAnsi="Times New Roman"/>
                <w:b w:val="false"/>
                <w:i w:val="false"/>
                <w:sz w:val="17"/>
              </w:rPr>
              <w:t>Primary foundation: taxonomy, graph methods, datasets, open issues</w:t>
            </w:r>
          </w:p>
        </w:tc>
        <w:tc>
          <w:tcPr>
            <w:tcW w:w="2458" w:type="dxa"/>
            <w:tcBorders/>
          </w:tcPr>
          <w:p w14:paraId="E8122803">
            <w:pPr>
              <w:pStyle w:val="style0"/>
              <w:spacing w:after="20"/>
              <w:jc w:val="left"/>
              <w:rPr/>
            </w:pPr>
            <w:r>
              <w:rPr>
                <w:rFonts w:ascii="Times New Roman" w:eastAsia="Times New Roman" w:hAnsi="Times New Roman"/>
                <w:b w:val="false"/>
                <w:i w:val="false"/>
                <w:sz w:val="17"/>
              </w:rPr>
              <w:t>Survey; not a new result for this proposed model</w:t>
            </w:r>
          </w:p>
        </w:tc>
      </w:tr>
      <w:tr w14:paraId="7C459FE8">
        <w:tblPrEx/>
        <w:trPr/>
        <w:tc>
          <w:tcPr>
            <w:tcW w:w="2458" w:type="dxa"/>
            <w:tcBorders/>
          </w:tcPr>
          <w:p w14:paraId="ABBDB800">
            <w:pPr>
              <w:pStyle w:val="style0"/>
              <w:spacing w:after="20"/>
              <w:jc w:val="left"/>
              <w:rPr/>
            </w:pPr>
            <w:r>
              <w:rPr>
                <w:rFonts w:ascii="Times New Roman" w:eastAsia="Times New Roman" w:hAnsi="Times New Roman"/>
                <w:b w:val="false"/>
                <w:i w:val="false"/>
                <w:sz w:val="17"/>
              </w:rPr>
              <w:t>Social-context GNN [2], 2023</w:t>
            </w:r>
          </w:p>
        </w:tc>
        <w:tc>
          <w:tcPr>
            <w:tcW w:w="2458" w:type="dxa"/>
            <w:tcBorders/>
          </w:tcPr>
          <w:p w14:paraId="5E1CB49C">
            <w:pPr>
              <w:pStyle w:val="style0"/>
              <w:spacing w:after="20"/>
              <w:jc w:val="left"/>
              <w:rPr/>
            </w:pPr>
            <w:r>
              <w:rPr>
                <w:rFonts w:ascii="Times New Roman" w:eastAsia="Times New Roman" w:hAnsi="Times New Roman"/>
                <w:b w:val="false"/>
                <w:i w:val="false"/>
                <w:sz w:val="17"/>
              </w:rPr>
              <w:t>Reviewer detection using social context</w:t>
            </w:r>
          </w:p>
        </w:tc>
        <w:tc>
          <w:tcPr>
            <w:tcW w:w="2458" w:type="dxa"/>
            <w:tcBorders/>
          </w:tcPr>
          <w:p w14:paraId="6EE8BCEC">
            <w:pPr>
              <w:pStyle w:val="style0"/>
              <w:spacing w:after="20"/>
              <w:jc w:val="left"/>
              <w:rPr/>
            </w:pPr>
            <w:r>
              <w:rPr>
                <w:rFonts w:ascii="Times New Roman" w:eastAsia="Times New Roman" w:hAnsi="Times New Roman"/>
                <w:b w:val="false"/>
                <w:i w:val="false"/>
                <w:sz w:val="17"/>
              </w:rPr>
              <w:t>Motivates relational and multi-stage modelling</w:t>
            </w:r>
          </w:p>
        </w:tc>
        <w:tc>
          <w:tcPr>
            <w:tcW w:w="2458" w:type="dxa"/>
            <w:tcBorders/>
          </w:tcPr>
          <w:p w14:paraId="6BEE3ABA">
            <w:pPr>
              <w:pStyle w:val="style0"/>
              <w:spacing w:after="20"/>
              <w:jc w:val="left"/>
              <w:rPr/>
            </w:pPr>
            <w:r>
              <w:rPr>
                <w:rFonts w:ascii="Times New Roman" w:eastAsia="Times New Roman" w:hAnsi="Times New Roman"/>
                <w:b w:val="false"/>
                <w:i w:val="false"/>
                <w:sz w:val="17"/>
              </w:rPr>
              <w:t>Discussion-forum context differs from e-commerce</w:t>
            </w:r>
          </w:p>
        </w:tc>
      </w:tr>
      <w:tr w14:paraId="4B01E846">
        <w:tblPrEx/>
        <w:trPr/>
        <w:tc>
          <w:tcPr>
            <w:tcW w:w="2458" w:type="dxa"/>
            <w:tcBorders/>
          </w:tcPr>
          <w:p w14:paraId="046C9F96">
            <w:pPr>
              <w:pStyle w:val="style0"/>
              <w:spacing w:after="20"/>
              <w:jc w:val="left"/>
              <w:rPr/>
            </w:pPr>
            <w:r>
              <w:rPr>
                <w:rFonts w:ascii="Times New Roman" w:eastAsia="Times New Roman" w:hAnsi="Times New Roman"/>
                <w:b w:val="false"/>
                <w:i w:val="false"/>
                <w:sz w:val="17"/>
              </w:rPr>
              <w:t>Zhao et al. [3], 2023</w:t>
            </w:r>
          </w:p>
        </w:tc>
        <w:tc>
          <w:tcPr>
            <w:tcW w:w="2458" w:type="dxa"/>
            <w:tcBorders/>
          </w:tcPr>
          <w:p w14:paraId="E7266752">
            <w:pPr>
              <w:pStyle w:val="style0"/>
              <w:spacing w:after="20"/>
              <w:jc w:val="left"/>
              <w:rPr/>
            </w:pPr>
            <w:r>
              <w:rPr>
                <w:rFonts w:ascii="Times New Roman" w:eastAsia="Times New Roman" w:hAnsi="Times New Roman"/>
                <w:b w:val="false"/>
                <w:i w:val="false"/>
                <w:sz w:val="17"/>
              </w:rPr>
              <w:t>Reinforced heterogeneous GNN</w:t>
            </w:r>
          </w:p>
        </w:tc>
        <w:tc>
          <w:tcPr>
            <w:tcW w:w="2458" w:type="dxa"/>
            <w:tcBorders/>
          </w:tcPr>
          <w:p w14:paraId="949DFF5D">
            <w:pPr>
              <w:pStyle w:val="style0"/>
              <w:spacing w:after="20"/>
              <w:jc w:val="left"/>
              <w:rPr/>
            </w:pPr>
            <w:r>
              <w:rPr>
                <w:rFonts w:ascii="Times New Roman" w:eastAsia="Times New Roman" w:hAnsi="Times New Roman"/>
                <w:b w:val="false"/>
                <w:i w:val="false"/>
                <w:sz w:val="17"/>
              </w:rPr>
              <w:t>Motivates heterogeneous relations and camouflage awareness</w:t>
            </w:r>
          </w:p>
        </w:tc>
        <w:tc>
          <w:tcPr>
            <w:tcW w:w="2458" w:type="dxa"/>
            <w:tcBorders/>
          </w:tcPr>
          <w:p w14:paraId="51771AC0">
            <w:pPr>
              <w:pStyle w:val="style0"/>
              <w:spacing w:after="20"/>
              <w:jc w:val="left"/>
              <w:rPr/>
            </w:pPr>
            <w:r>
              <w:rPr>
                <w:rFonts w:ascii="Times New Roman" w:eastAsia="Times New Roman" w:hAnsi="Times New Roman"/>
                <w:b w:val="false"/>
                <w:i w:val="false"/>
                <w:sz w:val="17"/>
              </w:rPr>
              <w:t>Model design needs independent validation</w:t>
            </w:r>
          </w:p>
        </w:tc>
      </w:tr>
      <w:tr w14:paraId="55A1A349">
        <w:tblPrEx/>
        <w:trPr/>
        <w:tc>
          <w:tcPr>
            <w:tcW w:w="2458" w:type="dxa"/>
            <w:tcBorders/>
          </w:tcPr>
          <w:p w14:paraId="CE1F1236">
            <w:pPr>
              <w:pStyle w:val="style0"/>
              <w:spacing w:after="20"/>
              <w:jc w:val="left"/>
              <w:rPr/>
            </w:pPr>
            <w:r>
              <w:rPr>
                <w:rFonts w:ascii="Times New Roman" w:eastAsia="Times New Roman" w:hAnsi="Times New Roman"/>
                <w:b w:val="false"/>
                <w:i w:val="false"/>
                <w:sz w:val="17"/>
              </w:rPr>
              <w:t>Feature interaction and fusion [4], 2024</w:t>
            </w:r>
          </w:p>
        </w:tc>
        <w:tc>
          <w:tcPr>
            <w:tcW w:w="2458" w:type="dxa"/>
            <w:tcBorders/>
          </w:tcPr>
          <w:p w14:paraId="D1C59498">
            <w:pPr>
              <w:pStyle w:val="style0"/>
              <w:spacing w:after="20"/>
              <w:jc w:val="left"/>
              <w:rPr/>
            </w:pPr>
            <w:r>
              <w:rPr>
                <w:rFonts w:ascii="Times New Roman" w:eastAsia="Times New Roman" w:hAnsi="Times New Roman"/>
                <w:b w:val="false"/>
                <w:i w:val="false"/>
                <w:sz w:val="17"/>
              </w:rPr>
              <w:t>Feature fusion with heterogeneous graph convolution</w:t>
            </w:r>
          </w:p>
        </w:tc>
        <w:tc>
          <w:tcPr>
            <w:tcW w:w="2458" w:type="dxa"/>
            <w:tcBorders/>
          </w:tcPr>
          <w:p w14:paraId="19219DEA">
            <w:pPr>
              <w:pStyle w:val="style0"/>
              <w:spacing w:after="20"/>
              <w:jc w:val="left"/>
              <w:rPr/>
            </w:pPr>
            <w:r>
              <w:rPr>
                <w:rFonts w:ascii="Times New Roman" w:eastAsia="Times New Roman" w:hAnsi="Times New Roman"/>
                <w:b w:val="false"/>
                <w:i w:val="false"/>
                <w:sz w:val="17"/>
              </w:rPr>
              <w:t>Motivates joint use of text and rating features</w:t>
            </w:r>
          </w:p>
        </w:tc>
        <w:tc>
          <w:tcPr>
            <w:tcW w:w="2458" w:type="dxa"/>
            <w:tcBorders/>
          </w:tcPr>
          <w:p w14:paraId="F90753F5">
            <w:pPr>
              <w:pStyle w:val="style0"/>
              <w:spacing w:after="20"/>
              <w:jc w:val="left"/>
              <w:rPr/>
            </w:pPr>
            <w:r>
              <w:rPr>
                <w:rFonts w:ascii="Times New Roman" w:eastAsia="Times New Roman" w:hAnsi="Times New Roman"/>
                <w:b w:val="false"/>
                <w:i w:val="false"/>
                <w:sz w:val="17"/>
              </w:rPr>
              <w:t>Publisher metadata should be checked before final submission</w:t>
            </w:r>
          </w:p>
        </w:tc>
      </w:tr>
      <w:tr w14:paraId="51A6FAEE">
        <w:tblPrEx/>
        <w:trPr/>
        <w:tc>
          <w:tcPr>
            <w:tcW w:w="2458" w:type="dxa"/>
            <w:tcBorders/>
          </w:tcPr>
          <w:p w14:paraId="091F2A4A">
            <w:pPr>
              <w:pStyle w:val="style0"/>
              <w:spacing w:after="20"/>
              <w:jc w:val="left"/>
              <w:rPr/>
            </w:pPr>
            <w:r>
              <w:rPr>
                <w:rFonts w:ascii="Times New Roman" w:eastAsia="Times New Roman" w:hAnsi="Times New Roman"/>
                <w:b w:val="false"/>
                <w:i w:val="false"/>
                <w:sz w:val="17"/>
              </w:rPr>
              <w:t>Duma et al. [5], 2025</w:t>
            </w:r>
          </w:p>
        </w:tc>
        <w:tc>
          <w:tcPr>
            <w:tcW w:w="2458" w:type="dxa"/>
            <w:tcBorders/>
          </w:tcPr>
          <w:p w14:paraId="B20FDCEE">
            <w:pPr>
              <w:pStyle w:val="style0"/>
              <w:spacing w:after="20"/>
              <w:jc w:val="left"/>
              <w:rPr/>
            </w:pPr>
            <w:r>
              <w:rPr>
                <w:rFonts w:ascii="Times New Roman" w:eastAsia="Times New Roman" w:hAnsi="Times New Roman"/>
                <w:b w:val="false"/>
                <w:i w:val="false"/>
                <w:sz w:val="17"/>
              </w:rPr>
              <w:t>Systematic review of GNN-based methods</w:t>
            </w:r>
          </w:p>
        </w:tc>
        <w:tc>
          <w:tcPr>
            <w:tcW w:w="2458" w:type="dxa"/>
            <w:tcBorders/>
          </w:tcPr>
          <w:p w14:paraId="63012C59">
            <w:pPr>
              <w:pStyle w:val="style0"/>
              <w:spacing w:after="20"/>
              <w:jc w:val="left"/>
              <w:rPr/>
            </w:pPr>
            <w:r>
              <w:rPr>
                <w:rFonts w:ascii="Times New Roman" w:eastAsia="Times New Roman" w:hAnsi="Times New Roman"/>
                <w:b w:val="false"/>
                <w:i w:val="false"/>
                <w:sz w:val="17"/>
              </w:rPr>
              <w:t>Supports discussion of limitations and future research</w:t>
            </w:r>
          </w:p>
        </w:tc>
        <w:tc>
          <w:tcPr>
            <w:tcW w:w="2458" w:type="dxa"/>
            <w:tcBorders/>
          </w:tcPr>
          <w:p w14:paraId="5AA465BD">
            <w:pPr>
              <w:pStyle w:val="style0"/>
              <w:spacing w:after="20"/>
              <w:jc w:val="left"/>
              <w:rPr/>
            </w:pPr>
            <w:r>
              <w:rPr>
                <w:rFonts w:ascii="Times New Roman" w:eastAsia="Times New Roman" w:hAnsi="Times New Roman"/>
                <w:b w:val="false"/>
                <w:i w:val="false"/>
                <w:sz w:val="17"/>
              </w:rPr>
              <w:t>Review findings depend on the covered literature period</w:t>
            </w:r>
          </w:p>
        </w:tc>
      </w:tr>
    </w:tbl>
    <w:p w14:paraId="9A4182A5">
      <w:pPr>
        <w:pStyle w:val="style0"/>
        <w:spacing w:after="20"/>
        <w:rPr/>
      </w:pPr>
    </w:p>
    <w:p w14:paraId="7D84D595">
      <w:pPr>
        <w:pStyle w:val="style0"/>
        <w:spacing w:before="100" w:after="40"/>
        <w:rPr/>
      </w:pPr>
      <w:r>
        <w:rPr>
          <w:rFonts w:ascii="Times New Roman" w:eastAsia="Times New Roman" w:hAnsi="Times New Roman"/>
          <w:b/>
          <w:i w:val="false"/>
          <w:sz w:val="20"/>
        </w:rPr>
        <w:t>C. Expected Advantages</w:t>
      </w:r>
    </w:p>
    <w:p w14:paraId="11FA53FE">
      <w:pPr>
        <w:pStyle w:val="style0"/>
        <w:spacing w:after="80" w:lineRule="auto" w:line="240"/>
        <w:jc w:val="both"/>
        <w:rPr/>
      </w:pPr>
      <w:r>
        <w:rPr>
          <w:rFonts w:ascii="Times New Roman" w:eastAsia="Times New Roman" w:hAnsi="Times New Roman"/>
          <w:b w:val="false"/>
          <w:i w:val="false"/>
          <w:sz w:val="20"/>
        </w:rPr>
        <w:t>First, graph modelling can capture collective patterns that are invisible in a single review. Second, heterogeneous nodes and relations can preserve distinctions among reviewer history, product context, and review content. Third, feature fusion allows behavioural and linguistic evidence to complement each other. Fourth, an explanation module can make the output more useful for moderation than a score without evidence. These are expected design advantages, not experimentally verified claims for the present paper.</w:t>
      </w:r>
    </w:p>
    <w:p w14:paraId="4B50297D">
      <w:pPr>
        <w:pStyle w:val="style0"/>
        <w:spacing w:before="100" w:after="40"/>
        <w:rPr/>
      </w:pPr>
      <w:r>
        <w:rPr>
          <w:rFonts w:ascii="Times New Roman" w:eastAsia="Times New Roman" w:hAnsi="Times New Roman"/>
          <w:b/>
          <w:i w:val="false"/>
          <w:sz w:val="20"/>
        </w:rPr>
        <w:t>D. Limitations and Ethical Considerations</w:t>
      </w:r>
    </w:p>
    <w:p w14:paraId="A811D90E">
      <w:pPr>
        <w:pStyle w:val="style0"/>
        <w:spacing w:after="80" w:lineRule="auto" w:line="240"/>
        <w:jc w:val="both"/>
        <w:rPr/>
      </w:pPr>
      <w:r>
        <w:rPr>
          <w:rFonts w:ascii="Times New Roman" w:eastAsia="Times New Roman" w:hAnsi="Times New Roman"/>
          <w:b w:val="false"/>
          <w:i w:val="false"/>
          <w:sz w:val="20"/>
        </w:rPr>
        <w:t>Graph models are vulnerable to missing or noisy relationships, incorrect labels, coordinated evasion, and distribution shift. Publicly available datasets may not represent current platform behaviour. A graph can also amplify bias if particular products, regions, or user groups are disproportionately flagged. Data minimization, access control, secure storage, transparent thresholds, human review, and periodic bias audits should be incorporated. The system should assist moderators and should not impose penalties solely on the basis of an unverified model score.</w:t>
      </w:r>
    </w:p>
    <w:p w14:paraId="11DA4C40">
      <w:pPr>
        <w:pStyle w:val="style0"/>
        <w:spacing w:before="140" w:after="80"/>
        <w:rPr/>
      </w:pPr>
      <w:r>
        <w:rPr>
          <w:rFonts w:ascii="Times New Roman" w:eastAsia="Times New Roman" w:hAnsi="Times New Roman"/>
          <w:b/>
          <w:i w:val="false"/>
          <w:sz w:val="24"/>
        </w:rPr>
        <w:t>V. CONCLUSION</w:t>
      </w:r>
    </w:p>
    <w:p w14:paraId="E0A5E302">
      <w:pPr>
        <w:pStyle w:val="style0"/>
        <w:spacing w:after="80" w:lineRule="auto" w:line="240"/>
        <w:jc w:val="both"/>
        <w:rPr/>
      </w:pPr>
      <w:r>
        <w:rPr>
          <w:rFonts w:ascii="Times New Roman" w:eastAsia="Times New Roman" w:hAnsi="Times New Roman"/>
          <w:b w:val="false"/>
          <w:i w:val="false"/>
          <w:sz w:val="20"/>
        </w:rPr>
        <w:t>This paper presented a proposed graph-based framework for fake review detection using reviewer–product interaction patterns. Guided primarily by Yu et al. [1], the design integrates review text, ratings, timestamps, behavioural features, and graph relations among reviewers, reviews, and products. Related studies support the importance of social context, heterogeneous graph modelling, and feature fusion [2]–[5]. The framework includes graph construction, relation-aware representation learning, review- and reviewer-level classification, and interpretable evidence for human moderation.</w:t>
      </w:r>
    </w:p>
    <w:p w14:paraId="3FD8F774">
      <w:pPr>
        <w:pStyle w:val="style0"/>
        <w:spacing w:after="80" w:lineRule="auto" w:line="240"/>
        <w:jc w:val="both"/>
        <w:rPr/>
      </w:pPr>
      <w:r>
        <w:rPr>
          <w:rFonts w:ascii="Times New Roman" w:eastAsia="Times New Roman" w:hAnsi="Times New Roman"/>
          <w:b w:val="false"/>
          <w:i w:val="false"/>
          <w:sz w:val="20"/>
        </w:rPr>
        <w:t>The main research challenge is to demonstrate that relational signals improve detection without increasing false accusations. Future work should implement the pipeline on a legally obtained labelled dataset, compare it with text-only and feature-based baselines, run ablation and temporal tests, and report precision, recall, F1-score, and PR-AUC. Improved explainability, data-efficient learning, and computationally lightweight graph models remain important areas for further study. The paper therefore provides a reproducible research direction rather than claiming unmeasured results.</w:t>
      </w:r>
    </w:p>
    <w:p w14:paraId="1D7A937D">
      <w:pPr>
        <w:pStyle w:val="style0"/>
        <w:spacing w:before="140" w:after="80"/>
        <w:rPr/>
      </w:pPr>
      <w:r>
        <w:rPr>
          <w:rFonts w:ascii="Times New Roman" w:eastAsia="Times New Roman" w:hAnsi="Times New Roman"/>
          <w:b/>
          <w:i w:val="false"/>
          <w:sz w:val="24"/>
        </w:rPr>
        <w:t>ACKNOWLEDGEMENTS</w:t>
      </w:r>
    </w:p>
    <w:p w14:paraId="DBE7EA56">
      <w:pPr>
        <w:pStyle w:val="style0"/>
        <w:spacing w:after="80" w:lineRule="auto" w:line="240"/>
        <w:jc w:val="both"/>
        <w:rPr/>
      </w:pPr>
      <w:r>
        <w:rPr>
          <w:rFonts w:ascii="Times New Roman" w:eastAsia="Times New Roman" w:hAnsi="Times New Roman"/>
          <w:b w:val="false"/>
          <w:i w:val="false"/>
          <w:sz w:val="20"/>
        </w:rPr>
        <w:t>The author may acknowledge the project guide, department, and institution after confirming the individuals and support that should be credited. No specific acknowledgement has been inserted because those details were not provided.</w:t>
      </w:r>
    </w:p>
    <w:p w14:paraId="673CB133">
      <w:pPr>
        <w:pStyle w:val="style0"/>
        <w:spacing w:before="140" w:after="80"/>
        <w:rPr/>
      </w:pPr>
      <w:r>
        <w:rPr>
          <w:rFonts w:ascii="Times New Roman" w:eastAsia="Times New Roman" w:hAnsi="Times New Roman"/>
          <w:b/>
          <w:i w:val="false"/>
          <w:sz w:val="24"/>
        </w:rPr>
        <w:t>VI. REFERENCES</w:t>
      </w:r>
    </w:p>
    <w:p w14:paraId="4E3E9A06">
      <w:pPr>
        <w:pStyle w:val="style0"/>
        <w:spacing w:after="80"/>
        <w:ind w:left="259" w:hanging="259"/>
        <w:jc w:val="both"/>
        <w:rPr/>
      </w:pPr>
      <w:r>
        <w:rPr>
          <w:rFonts w:ascii="Times New Roman" w:eastAsia="Times New Roman" w:hAnsi="Times New Roman"/>
          <w:b w:val="false"/>
          <w:i w:val="false"/>
          <w:sz w:val="18"/>
        </w:rPr>
        <w:t>[1] S. Yu, J. Ren, S. Li, M. Naseriparsa, and F. Xia, “Graph Learning for Fake Review Detection,” Frontiers in Artificial Intelligence, vol. 5, art. 922589, 2022, doi: 10.3389/frai.2022.922589.</w:t>
      </w:r>
    </w:p>
    <w:p w14:paraId="FCA17CFA">
      <w:pPr>
        <w:pStyle w:val="style0"/>
        <w:spacing w:after="80"/>
        <w:ind w:left="259" w:hanging="259"/>
        <w:jc w:val="both"/>
        <w:rPr/>
      </w:pPr>
      <w:r>
        <w:rPr>
          <w:rFonts w:ascii="Times New Roman" w:eastAsia="Times New Roman" w:hAnsi="Times New Roman"/>
          <w:b w:val="false"/>
          <w:i w:val="false"/>
          <w:sz w:val="18"/>
        </w:rPr>
        <w:t>[2] “Detecting fake reviewers from the social context with a graph neural network method,” Decision Support Systems, 2023, doi: 10.1016/j.dss.2023.114150.</w:t>
      </w:r>
    </w:p>
    <w:p w14:paraId="1CC1D28D">
      <w:pPr>
        <w:pStyle w:val="style0"/>
        <w:spacing w:after="80"/>
        <w:ind w:left="259" w:hanging="259"/>
        <w:jc w:val="both"/>
        <w:rPr/>
      </w:pPr>
      <w:r>
        <w:rPr>
          <w:rFonts w:ascii="Times New Roman" w:eastAsia="Times New Roman" w:hAnsi="Times New Roman"/>
          <w:b w:val="false"/>
          <w:i w:val="false"/>
          <w:sz w:val="18"/>
        </w:rPr>
        <w:t>[3] J. Zhao, M. Shao, H. Tang, J. Liu, L. Du, and H. Wang, “RHGNN: Fake reviewer detection based on reinforced heterogeneous graph neural networks,” Knowledge-Based Systems, 2023, doi: 10.1016/j.knosys.2023.111029.</w:t>
      </w:r>
    </w:p>
    <w:p w14:paraId="8AC4B82C">
      <w:pPr>
        <w:pStyle w:val="style0"/>
        <w:spacing w:after="80"/>
        <w:ind w:left="259" w:hanging="259"/>
        <w:jc w:val="both"/>
        <w:rPr/>
      </w:pPr>
      <w:r>
        <w:rPr>
          <w:rFonts w:ascii="Times New Roman" w:eastAsia="Times New Roman" w:hAnsi="Times New Roman"/>
          <w:b w:val="false"/>
          <w:i w:val="false"/>
          <w:sz w:val="18"/>
        </w:rPr>
        <w:t>[4] “A deep feature interaction and fusion model for fake review detection: Advocating heterogeneous graph convolutional network,” Neurocomputing, vol. 598, art. 128097, 2024, doi: 10.1016/j.neucom.2024.128097.</w:t>
      </w:r>
    </w:p>
    <w:p w14:paraId="29B71779">
      <w:pPr>
        <w:pStyle w:val="style0"/>
        <w:spacing w:after="80"/>
        <w:ind w:left="259" w:hanging="259"/>
        <w:jc w:val="both"/>
        <w:rPr/>
      </w:pPr>
      <w:r>
        <w:rPr>
          <w:rFonts w:ascii="Times New Roman" w:eastAsia="Times New Roman" w:hAnsi="Times New Roman"/>
          <w:b w:val="false"/>
          <w:i w:val="false"/>
          <w:sz w:val="18"/>
        </w:rPr>
        <w:t>[5] R. A. Duma, Z. Niu, A. S. Nyamawe, and A. A. Manjotho, “An analysis of graph neural networks for fake review detection: A systematic literature review,” Neurocomputing, vol. 623, art. 129341, 2025, doi: 10.1016/j.neucom.2025.129341.</w:t>
      </w:r>
    </w:p>
    <w:sectPr>
      <w:headerReference w:type="even" r:id="rId2"/>
      <w:headerReference w:type="default" r:id="rId3"/>
      <w:footerReference w:type="even" r:id="rId4"/>
      <w:footerReference w:type="default" r:id="rId5"/>
      <w:headerReference w:type="first" r:id="rId6"/>
      <w:type w:val="continuous"/>
      <w:pgSz w:w="11907" w:h="16839" w:orient="portrait" w:code="9"/>
      <w:pgMar w:top="936" w:right="1037" w:bottom="936" w:left="1037" w:header="113" w:footer="17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Symbol">
    <w:altName w:val="Symbol"/>
    <w:panose1 w:val="05050102010007020507"/>
    <w:charset w:val="02"/>
    <w:family w:val="roman"/>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Unicode MS">
    <w:altName w:val="Arial Unicode MS"/>
    <w:panose1 w:val="020b0604020002020204"/>
    <w:charset w:val="80"/>
    <w:family w:val="swiss"/>
    <w:pitch w:val="variable"/>
    <w:sig w:usb0="F7FFAFFF" w:usb1="E9DFFFFF" w:usb2="0000003F" w:usb3="00000000" w:csb0="003F01FF" w:csb1="00000000"/>
  </w:font>
  <w:font w:name="Calibri">
    <w:altName w:val="Calibri"/>
    <w:panose1 w:val="020f0502020002030204"/>
    <w:charset w:val="00"/>
    <w:family w:val="swiss"/>
    <w:pitch w:val="variable"/>
    <w:sig w:usb0="E4002EFF" w:usb1="C2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PMingLiU">
    <w:altName w:val="新細明體"/>
    <w:panose1 w:val="02010601000001010101"/>
    <w:charset w:val="88"/>
    <w:family w:val="roman"/>
    <w:pitch w:val="variable"/>
    <w:sig w:usb0="A00002FF" w:usb1="28CFFCFA" w:usb2="00000016" w:usb3="00000000" w:csb0="00100001" w:csb1="00000000"/>
  </w:font>
  <w:font w:name="SimSun">
    <w:altName w:val="宋体"/>
    <w:panose1 w:val="02010600030001010101"/>
    <w:charset w:val="86"/>
    <w:family w:val="auto"/>
    <w:pitch w:val="variable"/>
    <w:sig w:usb0="00000203" w:usb1="288F0000" w:usb2="00000016" w:usb3="00000000" w:csb0="00040001" w:csb1="00000000"/>
  </w:font>
  <w:font w:name="Kartika">
    <w:altName w:val="Kartika"/>
    <w:panose1 w:val="00000000000000000000"/>
    <w:charset w:val="00"/>
    <w:family w:val="roman"/>
    <w:pitch w:val="variable"/>
    <w:sig w:usb0="00800003" w:usb1="00000000" w:usb2="00000000" w:usb3="00000000" w:csb0="00000001" w:csb1="00000000"/>
  </w:font>
  <w:font w:name="Tahoma">
    <w:altName w:val="Tahoma"/>
    <w:panose1 w:val="020b0604030005040204"/>
    <w:charset w:val="00"/>
    <w:family w:val="swiss"/>
    <w:pitch w:val="variable"/>
    <w:sig w:usb0="E1002EFF" w:usb1="C000605B" w:usb2="00000029" w:usb3="00000000" w:csb0="000101FF" w:csb1="00000000"/>
  </w:font>
  <w:font w:name="Cambria Math">
    <w:altName w:val="Cambria Math"/>
    <w:panose1 w:val="02040503050004030204"/>
    <w:charset w:val="00"/>
    <w:family w:val="roman"/>
    <w:pitch w:val="variable"/>
    <w:sig w:usb0="E00006FF" w:usb1="420024FF" w:usb2="02000000" w:usb3="00000000" w:csb0="0000019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61CB0493">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6D3D9164">
    <w:pPr>
      <w:pStyle w:val="style0"/>
      <w:pBdr>
        <w:top w:val="single" w:sz="4" w:space="1" w:color="auto"/>
      </w:pBdr>
      <w:spacing w:after="0"/>
      <w:jc w:val="center"/>
      <w:rPr>
        <w:rFonts w:ascii="Cambria Math" w:cs="Mangal" w:hAnsi="Cambria Math"/>
        <w:b/>
        <w:i/>
        <w:color w:val="00b050"/>
        <w:sz w:val="18"/>
        <w:szCs w:val="18"/>
      </w:rPr>
    </w:pPr>
    <w:r>
      <w:rPr>
        <w:rFonts w:ascii="Times New Roman" w:eastAsia="Times New Roman" w:hAnsi="Times New Roman"/>
        <w:b w:val="false"/>
        <w:i w:val="false"/>
        <w:sz w:val="16"/>
      </w:rPr>
      <w:t xml:space="preserve">Graph-Based Fake Review Detection | Page </w:t>
    </w:r>
    <w:r>
      <w:rPr/>
      <w:fldChar w:fldCharType="begin"/>
    </w:r>
    <w:r>
      <w:instrText>PAGE</w:instrText>
    </w:r>
    <w:r>
      <w:rPr/>
      <w:fldChar w:fldCharType="separate"/>
    </w:r>
    <w:r>
      <w:rPr/>
      <w:fldChar w:fldCharType="end"/>
    </w:r>
  </w:p>
  <w:p w14:paraId="0A5D3D13">
    <w:pPr>
      <w:pStyle w:val="style0"/>
      <w:tabs>
        <w:tab w:val="center" w:leader="none" w:pos="4820"/>
        <w:tab w:val="right" w:leader="none" w:pos="9360"/>
      </w:tabs>
      <w:spacing w:after="0" w:lineRule="auto" w:line="240"/>
      <w:jc w:val="center"/>
      <w:rPr>
        <w:rFonts w:ascii="Calibri Light" w:cs="Calibri Light" w:hAnsi="Calibri Light"/>
        <w:noProof/>
        <w:color w:val="44546a"/>
        <w:sz w:val="20"/>
        <w:szCs w:val="20"/>
      </w:rPr>
    </w:pPr>
    <w:r>
      <w:rPr>
        <w:rFonts w:ascii="Calibri Light" w:cs="Calibri Light" w:hAnsi="Calibri Light"/>
        <w:color w:val="44546a"/>
        <w:sz w:val="20"/>
        <w:szCs w:val="20"/>
      </w:rPr>
      <w:t xml:space="preserve"> [</w:t>
    </w:r>
    <w:r>
      <w:rPr>
        <w:rFonts w:ascii="Calibri Light" w:cs="Calibri Light" w:hAnsi="Calibri Light"/>
        <w:color w:val="44546a"/>
        <w:sz w:val="20"/>
        <w:szCs w:val="20"/>
      </w:rPr>
      <w:fldChar w:fldCharType="begin"/>
    </w:r>
    <w:r>
      <w:rPr>
        <w:rFonts w:ascii="Calibri Light" w:cs="Calibri Light" w:hAnsi="Calibri Light"/>
        <w:color w:val="44546a"/>
        <w:sz w:val="20"/>
        <w:szCs w:val="20"/>
      </w:rPr>
      <w:instrText xml:space="preserve"> PAGE   \* MERGEFORMAT </w:instrText>
    </w:r>
    <w:r>
      <w:rPr>
        <w:rFonts w:ascii="Calibri Light" w:cs="Calibri Light" w:hAnsi="Calibri Light"/>
        <w:color w:val="44546a"/>
        <w:sz w:val="20"/>
        <w:szCs w:val="20"/>
      </w:rPr>
      <w:fldChar w:fldCharType="separate"/>
    </w:r>
    <w:r>
      <w:rPr>
        <w:rFonts w:ascii="Calibri Light" w:cs="Calibri Light" w:hAnsi="Calibri Light"/>
        <w:noProof/>
        <w:color w:val="44546a"/>
        <w:sz w:val="20"/>
        <w:szCs w:val="20"/>
      </w:rPr>
      <w:t>1</w:t>
    </w:r>
    <w:r>
      <w:rPr>
        <w:rFonts w:ascii="Calibri Light" w:cs="Calibri Light" w:hAnsi="Calibri Light"/>
        <w:noProof/>
        <w:color w:val="44546a"/>
        <w:sz w:val="20"/>
        <w:szCs w:val="20"/>
      </w:rPr>
      <w:fldChar w:fldCharType="end"/>
    </w:r>
    <w:r>
      <w:rPr>
        <w:rFonts w:ascii="Calibri Light" w:cs="Calibri Light" w:hAnsi="Calibri Light"/>
        <w:noProof/>
        <w:color w:val="44546a"/>
        <w:sz w:val="20"/>
        <w:szCs w:val="20"/>
      </w:rPr>
      <w:t>]</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09847159">
    <w:pPr>
      <w:pStyle w:val="style31"/>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55293536">
    <w:pPr>
      <w:pStyle w:val="style0"/>
      <w:tabs>
        <w:tab w:val="left" w:leader="none" w:pos="4820"/>
        <w:tab w:val="right" w:leader="none" w:pos="9498"/>
      </w:tabs>
      <w:spacing w:after="0"/>
      <w:rPr>
        <w:rFonts w:ascii="Cambria Math" w:cs="Mangal" w:hAnsi="Cambria Math"/>
        <w:b/>
        <w:color w:val="00b050"/>
        <w:sz w:val="32"/>
        <w:szCs w:val="32"/>
        <w:lang w:val="fr-FR" w:bidi="mr-IN"/>
      </w:rPr>
    </w:pPr>
    <w:r>
      <w:rPr>
        <w:rFonts w:ascii="Cambria Math" w:cs="Mangal" w:hAnsi="Cambria Math"/>
        <w:b/>
        <w:color w:val="00b050"/>
        <w:sz w:val="28"/>
        <w:szCs w:val="28"/>
      </w:rPr>
      <w:t xml:space="preserve"> </w:t>
    </w:r>
    <w:r>
      <w:rPr>
        <w:rFonts w:ascii="Cambria Math" w:cs="Cambria Math" w:eastAsia="Cambria Math" w:hAnsi="Cambria Math"/>
        <w:b/>
        <w:color w:val="00b050"/>
        <w:sz w:val="24"/>
        <w:szCs w:val="24"/>
      </w:rPr>
      <w:t xml:space="preserve">                                                                   </w:t>
    </w:r>
    <w:r>
      <w:rPr>
        <w:rFonts w:ascii="Cambria Math" w:cs="Mangal" w:hAnsi="Cambria Math"/>
        <w:b/>
        <w:color w:val="00b050"/>
        <w:szCs w:val="20"/>
        <w:lang w:val="fr-FR" w:bidi="mr-IN"/>
      </w:rPr>
      <w:t xml:space="preserve">    </w:t>
    </w:r>
    <w:r>
      <w:rPr>
        <w:rFonts w:ascii="Cambria Math" w:cs="Mangal" w:hAnsi="Cambria Math"/>
        <w:b/>
        <w:noProof/>
        <w:color w:val="00b050"/>
        <w:sz w:val="28"/>
        <w:szCs w:val="28"/>
      </w:rPr>
      <w:drawing>
        <wp:inline distL="0" distT="0" distB="0" distR="0">
          <wp:extent cx="1380490" cy="698500"/>
          <wp:effectExtent l="0" t="0" r="0" b="6350"/>
          <wp:docPr id="4097"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 cstate="print"/>
                  <a:srcRect l="8949" t="23158" r="14700" b="0"/>
                  <a:stretch/>
                </pic:blipFill>
                <pic:spPr>
                  <a:xfrm rot="0">
                    <a:off x="0" y="0"/>
                    <a:ext cx="1380490" cy="698500"/>
                  </a:xfrm>
                  <a:prstGeom prst="rect"/>
                  <a:ln>
                    <a:noFill/>
                  </a:ln>
                </pic:spPr>
              </pic:pic>
            </a:graphicData>
          </a:graphic>
        </wp:inline>
      </w:drawing>
    </w:r>
    <w:r>
      <w:rPr>
        <w:rFonts w:ascii="Cambria Math" w:cs="Mangal" w:hAnsi="Cambria Math"/>
        <w:b/>
        <w:color w:val="00b050"/>
        <w:szCs w:val="20"/>
        <w:lang w:val="fr-FR" w:bidi="mr-IN"/>
      </w:rPr>
      <w:t xml:space="preserve">                              </w:t>
    </w:r>
    <w:r>
      <w:rPr>
        <w:rFonts w:ascii="Cambria Math" w:cs="Mangal" w:hAnsi="Cambria Math"/>
        <w:b/>
        <w:color w:val="00b050"/>
        <w:szCs w:val="20"/>
        <w:lang w:val="fr-FR" w:bidi="mr-IN"/>
      </w:rPr>
      <w:t xml:space="preserve"> </w:t>
    </w:r>
    <w:r>
      <w:rPr>
        <w:rFonts w:ascii="Cambria Math" w:cs="Mangal" w:hAnsi="Cambria Math"/>
        <w:b/>
        <w:color w:val="00b050"/>
        <w:szCs w:val="20"/>
        <w:lang w:val="fr-FR" w:bidi="mr-IN"/>
      </w:rPr>
      <w:t xml:space="preserve">  </w:t>
    </w:r>
    <w:r>
      <w:rPr>
        <w:rFonts w:ascii="Cambria Math" w:cs="Mangal" w:hAnsi="Cambria Math"/>
        <w:b/>
        <w:color w:val="00b050"/>
        <w:sz w:val="24"/>
        <w:szCs w:val="24"/>
        <w:lang w:val="fr-FR" w:bidi="mr-IN"/>
      </w:rPr>
      <w:t>e-ISSN: 2582-5208</w:t>
    </w:r>
  </w:p>
  <w:p w14:paraId="28EB3036">
    <w:pPr>
      <w:pStyle w:val="style0"/>
      <w:tabs>
        <w:tab w:val="center" w:leader="none" w:pos="4680"/>
        <w:tab w:val="left" w:leader="none" w:pos="9498"/>
      </w:tabs>
      <w:spacing w:after="0"/>
      <w:rPr>
        <w:rFonts w:ascii="Cambria Math" w:cs="Mangal" w:hAnsi="Cambria Math"/>
        <w:b/>
        <w:color w:val="00b050"/>
        <w:sz w:val="25"/>
        <w:szCs w:val="25"/>
        <w:lang w:val="fr-FR" w:bidi="mr-IN"/>
      </w:rPr>
    </w:pPr>
    <w:r>
      <w:rPr>
        <w:rFonts w:ascii="Cambria Math" w:cs="Mangal" w:hAnsi="Cambria Math"/>
        <w:b/>
        <w:color w:val="00b050"/>
        <w:sz w:val="25"/>
        <w:szCs w:val="25"/>
        <w:lang w:val="fr-FR" w:bidi="mr-IN"/>
      </w:rPr>
      <w:t>International Research Journal of Modernization in Engineering Technology  and  Science</w:t>
    </w:r>
  </w:p>
  <w:p w14:paraId="61A5480E">
    <w:pPr>
      <w:pStyle w:val="style0"/>
      <w:tabs>
        <w:tab w:val="center" w:leader="none" w:pos="4680"/>
        <w:tab w:val="right" w:leader="none" w:pos="9360"/>
        <w:tab w:val="right" w:leader="none" w:pos="9498"/>
      </w:tabs>
      <w:spacing w:after="0"/>
      <w:jc w:val="center"/>
      <w:rPr>
        <w:rFonts w:ascii="Times New Roman" w:cs="Times New Roman" w:hAnsi="Times New Roman"/>
        <w:color w:val="1f497d"/>
        <w:sz w:val="24"/>
        <w:szCs w:val="24"/>
        <w:lang w:bidi="mr-IN"/>
      </w:rPr>
    </w:pPr>
    <w:r>
      <w:rPr>
        <w:rFonts w:ascii="Times New Roman" w:cs="Times New Roman" w:hAnsi="Times New Roman"/>
        <w:b/>
        <w:color w:val="1f497d"/>
        <w:sz w:val="24"/>
        <w:szCs w:val="20"/>
        <w:lang w:bidi="mr-IN"/>
      </w:rPr>
      <w:t>( Peer-Reviewed, Open Access, Fully Refereed International Journal )</w:t>
    </w:r>
  </w:p>
  <w:p w14:paraId="50EBFB87">
    <w:pPr>
      <w:pStyle w:val="style0"/>
      <w:pBdr>
        <w:bottom w:val="single" w:sz="4" w:space="1" w:color="auto"/>
      </w:pBdr>
      <w:tabs>
        <w:tab w:val="center" w:leader="none" w:pos="4680"/>
        <w:tab w:val="right" w:leader="none" w:pos="9360"/>
        <w:tab w:val="right" w:leader="none" w:pos="9498"/>
      </w:tabs>
      <w:spacing w:after="120"/>
      <w:jc w:val="both"/>
      <w:rPr>
        <w:rFonts w:cs="Mangal"/>
        <w:sz w:val="24"/>
        <w:szCs w:val="24"/>
        <w:lang w:bidi="mr-IN"/>
      </w:rPr>
    </w:pPr>
    <w:r>
      <w:rPr>
        <w:rFonts w:ascii="Times New Roman" w:cs="Times New Roman" w:hAnsi="Times New Roman"/>
        <w:b/>
        <w:color w:val="1f497d"/>
        <w:sz w:val="24"/>
        <w:szCs w:val="20"/>
        <w:lang w:val="fr-FR" w:bidi="mr-IN"/>
      </w:rPr>
      <w:t>Volume:0</w:t>
    </w:r>
    <w:r>
      <w:rPr>
        <w:rFonts w:ascii="Times New Roman" w:cs="Times New Roman" w:hAnsi="Times New Roman"/>
        <w:b/>
        <w:color w:val="1f497d"/>
        <w:sz w:val="24"/>
        <w:szCs w:val="20"/>
        <w:lang w:val="fr-FR" w:bidi="mr-IN"/>
      </w:rPr>
      <w:t>8</w:t>
    </w:r>
    <w:r>
      <w:rPr>
        <w:rFonts w:ascii="Times New Roman" w:cs="Times New Roman" w:hAnsi="Times New Roman"/>
        <w:b/>
        <w:color w:val="1f497d"/>
        <w:sz w:val="24"/>
        <w:szCs w:val="20"/>
        <w:lang w:val="fr-FR" w:bidi="mr-IN"/>
      </w:rPr>
      <w:t>/Issue:</w:t>
    </w:r>
    <w:r>
      <w:rPr>
        <w:rFonts w:ascii="Times New Roman" w:cs="Times New Roman" w:hAnsi="Times New Roman"/>
        <w:b/>
        <w:color w:val="1f497d"/>
        <w:sz w:val="24"/>
        <w:szCs w:val="20"/>
        <w:lang w:val="fr-FR" w:bidi="mr-IN"/>
      </w:rPr>
      <w:t>0</w:t>
    </w:r>
    <w:r>
      <w:rPr>
        <w:rFonts w:ascii="Times New Roman" w:cs="Times New Roman" w:hAnsi="Times New Roman"/>
        <w:b/>
        <w:color w:val="1f497d"/>
        <w:sz w:val="24"/>
        <w:szCs w:val="20"/>
        <w:lang w:val="fr-FR" w:bidi="mr-IN"/>
      </w:rPr>
      <w:t>3</w:t>
    </w:r>
    <w:r>
      <w:rPr>
        <w:rFonts w:ascii="Times New Roman" w:cs="Times New Roman" w:hAnsi="Times New Roman"/>
        <w:b/>
        <w:color w:val="1f497d"/>
        <w:sz w:val="24"/>
        <w:szCs w:val="20"/>
        <w:lang w:val="fr-FR" w:bidi="mr-IN"/>
      </w:rPr>
      <w:t>/</w:t>
    </w:r>
    <w:r>
      <w:rPr>
        <w:rFonts w:ascii="Times New Roman" w:cs="Times New Roman" w:hAnsi="Times New Roman"/>
        <w:b/>
        <w:color w:val="1f497d"/>
        <w:sz w:val="24"/>
        <w:szCs w:val="20"/>
        <w:lang w:val="fr-FR" w:bidi="mr-IN"/>
      </w:rPr>
      <w:t>Ma</w:t>
    </w:r>
    <w:r>
      <w:rPr>
        <w:rFonts w:ascii="Times New Roman" w:cs="Times New Roman" w:hAnsi="Times New Roman"/>
        <w:b/>
        <w:color w:val="1f497d"/>
        <w:sz w:val="24"/>
        <w:szCs w:val="20"/>
        <w:lang w:val="fr-FR" w:bidi="mr-IN"/>
      </w:rPr>
      <w:t>rch</w:t>
    </w:r>
    <w:r>
      <w:rPr>
        <w:rFonts w:ascii="Times New Roman" w:cs="Times New Roman" w:hAnsi="Times New Roman"/>
        <w:b/>
        <w:color w:val="1f497d"/>
        <w:sz w:val="24"/>
        <w:szCs w:val="20"/>
        <w:lang w:val="fr-FR" w:bidi="mr-IN"/>
      </w:rPr>
      <w:t>-</w:t>
    </w:r>
    <w:r>
      <w:rPr>
        <w:rFonts w:ascii="Times New Roman" w:cs="Times New Roman" w:hAnsi="Times New Roman"/>
        <w:b/>
        <w:color w:val="1f497d"/>
        <w:sz w:val="24"/>
        <w:szCs w:val="20"/>
        <w:lang w:val="fr-FR" w:bidi="mr-IN"/>
      </w:rPr>
      <w:t>2</w:t>
    </w:r>
    <w:r>
      <w:rPr>
        <w:rFonts w:ascii="Times New Roman" w:cs="Times New Roman" w:hAnsi="Times New Roman"/>
        <w:b/>
        <w:color w:val="1f497d"/>
        <w:sz w:val="24"/>
        <w:szCs w:val="20"/>
        <w:lang w:val="fr-FR" w:bidi="mr-IN"/>
      </w:rPr>
      <w:t>02</w:t>
    </w:r>
    <w:r>
      <w:rPr>
        <w:rFonts w:ascii="Times New Roman" w:cs="Times New Roman" w:hAnsi="Times New Roman"/>
        <w:b/>
        <w:color w:val="1f497d"/>
        <w:sz w:val="24"/>
        <w:szCs w:val="20"/>
        <w:lang w:val="fr-FR" w:bidi="mr-IN"/>
      </w:rPr>
      <w:t>6</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Impact Factor- </w:t>
    </w:r>
    <w:r>
      <w:rPr>
        <w:rFonts w:ascii="Times New Roman" w:cs="Times New Roman" w:hAnsi="Times New Roman"/>
        <w:b/>
        <w:color w:val="1f497d"/>
        <w:sz w:val="24"/>
        <w:szCs w:val="20"/>
        <w:lang w:val="fr-FR" w:bidi="mr-IN"/>
      </w:rPr>
      <w:t>8.187</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 xml:space="preserve">       </w:t>
    </w:r>
    <w:r>
      <w:rPr>
        <w:rFonts w:ascii="Times New Roman" w:cs="Times New Roman" w:hAnsi="Times New Roman"/>
        <w:b/>
        <w:color w:val="1f497d"/>
        <w:sz w:val="24"/>
        <w:szCs w:val="20"/>
        <w:lang w:val="fr-FR" w:bidi="mr-IN"/>
      </w:rPr>
      <w:t>www.irjmets.com</w:t>
    </w:r>
    <w:r>
      <w:rPr>
        <w:rFonts w:cs="Mangal"/>
        <w:b/>
        <w:color w:val="44546a"/>
        <w:sz w:val="24"/>
        <w:szCs w:val="20"/>
        <w:lang w:val="fr-FR" w:bidi="mr-IN"/>
      </w:rPr>
      <w:t xml:space="preserve"> </w:t>
    </w:r>
    <w:r>
      <w:rPr>
        <w:rFonts w:cs="Mangal"/>
        <w:szCs w:val="20"/>
        <w:lang w:bidi="mr-IN"/>
      </w:rPr>
      <w:t xml:space="preserve"> </w:t>
    </w: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4D1CDF31">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64520088"/>
    <w:lvl w:ilvl="0" w:tplc="54C09C9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multilevel"/>
    <w:tmpl w:val="890408E0"/>
    <w:lvl w:ilvl="0">
      <w:start w:val="1"/>
      <w:numFmt w:val="upperRoman"/>
      <w:lvlText w:val="%1."/>
      <w:lvlJc w:val="center"/>
      <w:pPr>
        <w:tabs>
          <w:tab w:val="left" w:leader="none" w:pos="648"/>
        </w:tabs>
        <w:ind w:left="648" w:hanging="288"/>
      </w:pPr>
      <w:rPr>
        <w:rFonts w:hint="default"/>
      </w:rPr>
    </w:lvl>
    <w:lvl w:ilvl="1">
      <w:start w:val="1"/>
      <w:numFmt w:val="lowerLetter"/>
      <w:lvlText w:val="%2."/>
      <w:lvlJc w:val="left"/>
      <w:pPr>
        <w:tabs>
          <w:tab w:val="left" w:leader="none" w:pos="1440"/>
        </w:tabs>
        <w:ind w:left="1440" w:hanging="360"/>
      </w:pPr>
    </w:lvl>
    <w:lvl w:ilvl="2">
      <w:start w:val="1"/>
      <w:numFmt w:val="lowerRoman"/>
      <w:lvlText w:val="%3."/>
      <w:lvlJc w:val="right"/>
      <w:pPr>
        <w:tabs>
          <w:tab w:val="left" w:leader="none" w:pos="2160"/>
        </w:tabs>
        <w:ind w:left="2160" w:hanging="180"/>
      </w:pPr>
    </w:lvl>
    <w:lvl w:ilvl="3">
      <w:start w:val="1"/>
      <w:numFmt w:val="decimal"/>
      <w:lvlText w:val="%4."/>
      <w:lvlJc w:val="left"/>
      <w:pPr>
        <w:tabs>
          <w:tab w:val="left" w:leader="none" w:pos="2880"/>
        </w:tabs>
        <w:ind w:left="2880" w:hanging="360"/>
      </w:pPr>
    </w:lvl>
    <w:lvl w:ilvl="4">
      <w:start w:val="1"/>
      <w:numFmt w:val="lowerLetter"/>
      <w:lvlText w:val="%5."/>
      <w:lvlJc w:val="left"/>
      <w:pPr>
        <w:tabs>
          <w:tab w:val="left" w:leader="none" w:pos="3600"/>
        </w:tabs>
        <w:ind w:left="3600" w:hanging="360"/>
      </w:pPr>
    </w:lvl>
    <w:lvl w:ilvl="5">
      <w:start w:val="1"/>
      <w:numFmt w:val="lowerRoman"/>
      <w:lvlText w:val="%6."/>
      <w:lvlJc w:val="right"/>
      <w:pPr>
        <w:tabs>
          <w:tab w:val="left" w:leader="none" w:pos="4320"/>
        </w:tabs>
        <w:ind w:left="4320" w:hanging="180"/>
      </w:pPr>
    </w:lvl>
    <w:lvl w:ilvl="6">
      <w:start w:val="1"/>
      <w:numFmt w:val="decimal"/>
      <w:lvlText w:val="%7."/>
      <w:lvlJc w:val="left"/>
      <w:pPr>
        <w:tabs>
          <w:tab w:val="left" w:leader="none" w:pos="5040"/>
        </w:tabs>
        <w:ind w:left="5040" w:hanging="360"/>
      </w:pPr>
    </w:lvl>
    <w:lvl w:ilvl="7">
      <w:start w:val="1"/>
      <w:numFmt w:val="lowerLetter"/>
      <w:lvlText w:val="%8."/>
      <w:lvlJc w:val="left"/>
      <w:pPr>
        <w:tabs>
          <w:tab w:val="left" w:leader="none" w:pos="5760"/>
        </w:tabs>
        <w:ind w:left="5760" w:hanging="360"/>
      </w:pPr>
    </w:lvl>
    <w:lvl w:ilvl="8">
      <w:start w:val="1"/>
      <w:numFmt w:val="lowerRoman"/>
      <w:lvlText w:val="%9."/>
      <w:lvlJc w:val="right"/>
      <w:pPr>
        <w:tabs>
          <w:tab w:val="left" w:leader="none" w:pos="6480"/>
        </w:tabs>
        <w:ind w:left="6480" w:hanging="180"/>
      </w:pPr>
    </w:lvl>
  </w:abstractNum>
  <w:abstractNum w:abstractNumId="2">
    <w:nsid w:val="00000002"/>
    <w:multiLevelType w:val="hybridMultilevel"/>
    <w:tmpl w:val="87541CE2"/>
    <w:lvl w:ilvl="0" w:tplc="7D023DF4">
      <w:start w:val="1"/>
      <w:numFmt w:val="upperRoman"/>
      <w:lvlText w:val="%1."/>
      <w:lvlJc w:val="right"/>
      <w:pPr>
        <w:ind w:left="720" w:hanging="360"/>
      </w:pPr>
      <w:rPr>
        <w:color w:val="auto"/>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00000003"/>
    <w:multiLevelType w:val="hybridMultilevel"/>
    <w:tmpl w:val="93A47D44"/>
    <w:lvl w:ilvl="0" w:tplc="FAA09928">
      <w:start w:val="1"/>
      <w:numFmt w:val="lowerLetter"/>
      <w:lvlText w:val="%1)"/>
      <w:lvlJc w:val="left"/>
      <w:pPr>
        <w:ind w:left="720" w:hanging="360"/>
      </w:pPr>
      <w:rPr>
        <w:rFonts w:ascii="Cambria" w:eastAsia="Times New Roman" w:hAnsi="Cambria"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BA5846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C0A4C60E"/>
    <w:lvl w:ilvl="0" w:tplc="1ECE509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0000006"/>
    <w:multiLevelType w:val="hybridMultilevel"/>
    <w:tmpl w:val="2BCC75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B2B20E9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0000008"/>
    <w:multiLevelType w:val="hybridMultilevel"/>
    <w:tmpl w:val="99861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5D9EDC72"/>
    <w:lvl w:ilvl="0" w:tplc="1D4C64A4">
      <w:start w:val="1"/>
      <w:numFmt w:val="decimal"/>
      <w:lvlText w:val="[%1]"/>
      <w:lvlJc w:val="left"/>
      <w:pPr>
        <w:ind w:left="624" w:hanging="340"/>
      </w:pPr>
      <w:rPr>
        <w:rFonts w:hint="default"/>
        <w:b w:val="false"/>
        <w:bCs w:val="false"/>
        <w:i w:val="false"/>
        <w:iCs w:val="false"/>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0A"/>
    <w:multiLevelType w:val="hybridMultilevel"/>
    <w:tmpl w:val="7C14AE0C"/>
    <w:lvl w:ilvl="0" w:tplc="A56C8D40">
      <w:start w:val="1"/>
      <w:numFmt w:val="lowerLetter"/>
      <w:lvlText w:val="%1)"/>
      <w:lvlJc w:val="left"/>
      <w:pPr>
        <w:ind w:left="720" w:hanging="360"/>
      </w:pPr>
      <w:rPr>
        <w:rFonts w:ascii="Cambria" w:hAnsi="Cambria" w:hint="default"/>
        <w:b/>
        <w:bCs/>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hybridMultilevel"/>
    <w:tmpl w:val="347E2B96"/>
    <w:lvl w:ilvl="0" w:tplc="3488BCB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000000C"/>
    <w:multiLevelType w:val="hybridMultilevel"/>
    <w:tmpl w:val="3170FD48"/>
    <w:lvl w:ilvl="0" w:tplc="3488BCB0">
      <w:start w:val="1"/>
      <w:numFmt w:val="upp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000000D"/>
    <w:multiLevelType w:val="hybridMultilevel"/>
    <w:tmpl w:val="50901B00"/>
    <w:lvl w:ilvl="0" w:tplc="90663622">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4">
    <w:nsid w:val="0000000E"/>
    <w:multiLevelType w:val="hybridMultilevel"/>
    <w:tmpl w:val="59E4DBD8"/>
    <w:lvl w:ilvl="0" w:tplc="B3320EC0">
      <w:start w:val="1"/>
      <w:numFmt w:val="lowerRoman"/>
      <w:lvlText w:val="%1."/>
      <w:lvlJc w:val="right"/>
      <w:pPr>
        <w:ind w:left="720" w:hanging="360"/>
      </w:pPr>
      <w:rPr>
        <w:b w:val="false"/>
        <w:bCs w:val="false"/>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000000F"/>
    <w:multiLevelType w:val="multilevel"/>
    <w:tmpl w:val="FFAC0CAE"/>
    <w:lvl w:ilvl="0">
      <w:start w:val="1"/>
      <w:numFmt w:val="upperLetter"/>
      <w:pStyle w:val="style4103"/>
      <w:lvlText w:val="%1."/>
      <w:lvlJc w:val="left"/>
      <w:pPr>
        <w:tabs>
          <w:tab w:val="left" w:leader="none" w:pos="288"/>
        </w:tabs>
        <w:ind w:left="288" w:hanging="288"/>
      </w:pPr>
      <w:rPr>
        <w:rFonts w:ascii="Times New Roman" w:cs="Times New Roman" w:eastAsia="Arial Unicode MS" w:hAnsi="Times New Roman" w:hint="default"/>
        <w:b w:val="false"/>
        <w:bCs/>
        <w:i w:val="false"/>
        <w:iCs w:val="false"/>
        <w:caps/>
        <w:vanish w:val="false"/>
        <w:color w:val="000000"/>
        <w:spacing w:val="0"/>
        <w:kern w:val="0"/>
        <w:position w:val="0"/>
        <w:sz w:val="20"/>
        <w:szCs w:val="24"/>
        <w:u w:val="none"/>
        <w:vertAlign w:val="baseline"/>
        <w:em w:val="none"/>
      </w:rPr>
    </w:lvl>
    <w:lvl w:ilvl="1">
      <w:start w:val="1"/>
      <w:numFmt w:val="upperLetter"/>
      <w:lvlText w:val="%2."/>
      <w:lvlJc w:val="left"/>
      <w:pPr>
        <w:tabs>
          <w:tab w:val="left" w:leader="none" w:pos="288"/>
        </w:tabs>
        <w:ind w:left="288" w:hanging="288"/>
      </w:pPr>
      <w:rPr>
        <w:rFonts w:ascii="Times New Roman" w:hAnsi="Times New Roman" w:hint="default"/>
        <w:b w:val="false"/>
        <w:i w:val="false"/>
        <w:sz w:val="20"/>
      </w:rPr>
    </w:lvl>
    <w:lvl w:ilvl="2">
      <w:start w:val="1"/>
      <w:numFmt w:val="decimal"/>
      <w:lvlText w:val="%1.%2.%3"/>
      <w:lvlJc w:val="left"/>
      <w:pPr>
        <w:tabs>
          <w:tab w:val="left" w:leader="none" w:pos="720"/>
        </w:tabs>
        <w:ind w:left="720" w:hanging="720"/>
      </w:pPr>
      <w:rPr>
        <w:rFonts w:hint="default"/>
      </w:rPr>
    </w:lvl>
    <w:lvl w:ilvl="3">
      <w:start w:val="1"/>
      <w:numFmt w:val="decimal"/>
      <w:lvlText w:val="%1.%2.%3.%4"/>
      <w:lvlJc w:val="left"/>
      <w:pPr>
        <w:tabs>
          <w:tab w:val="left" w:leader="none" w:pos="864"/>
        </w:tabs>
        <w:ind w:left="864" w:hanging="864"/>
      </w:pPr>
      <w:rPr>
        <w:rFonts w:hint="default"/>
      </w:rPr>
    </w:lvl>
    <w:lvl w:ilvl="4">
      <w:start w:val="1"/>
      <w:numFmt w:val="decimal"/>
      <w:lvlText w:val="%1.%2.%3.%4.%5"/>
      <w:lvlJc w:val="left"/>
      <w:pPr>
        <w:tabs>
          <w:tab w:val="left" w:leader="none" w:pos="1008"/>
        </w:tabs>
        <w:ind w:left="1008" w:hanging="1008"/>
      </w:pPr>
      <w:rPr>
        <w:rFonts w:hint="default"/>
      </w:rPr>
    </w:lvl>
    <w:lvl w:ilvl="5">
      <w:start w:val="1"/>
      <w:numFmt w:val="decimal"/>
      <w:lvlText w:val="%1.%2.%3.%4.%5.%6"/>
      <w:lvlJc w:val="left"/>
      <w:pPr>
        <w:tabs>
          <w:tab w:val="left" w:leader="none" w:pos="1152"/>
        </w:tabs>
        <w:ind w:left="1152" w:hanging="1152"/>
      </w:pPr>
      <w:rPr>
        <w:rFonts w:hint="default"/>
      </w:rPr>
    </w:lvl>
    <w:lvl w:ilvl="6">
      <w:start w:val="1"/>
      <w:numFmt w:val="decimal"/>
      <w:lvlText w:val="%1.%2.%3.%4.%5.%6.%7"/>
      <w:lvlJc w:val="left"/>
      <w:pPr>
        <w:tabs>
          <w:tab w:val="left" w:leader="none" w:pos="1296"/>
        </w:tabs>
        <w:ind w:left="1296" w:hanging="1296"/>
      </w:pPr>
      <w:rPr>
        <w:rFonts w:hint="default"/>
      </w:rPr>
    </w:lvl>
    <w:lvl w:ilvl="7">
      <w:start w:val="1"/>
      <w:numFmt w:val="decimal"/>
      <w:lvlText w:val="%1.%2.%3.%4.%5.%6.%7.%8"/>
      <w:lvlJc w:val="left"/>
      <w:pPr>
        <w:tabs>
          <w:tab w:val="left" w:leader="none" w:pos="1440"/>
        </w:tabs>
        <w:ind w:left="1440" w:hanging="1440"/>
      </w:pPr>
      <w:rPr>
        <w:rFonts w:hint="default"/>
      </w:rPr>
    </w:lvl>
    <w:lvl w:ilvl="8">
      <w:start w:val="1"/>
      <w:numFmt w:val="decimal"/>
      <w:lvlText w:val="%1.%2.%3.%4.%5.%6.%7.%8.%9"/>
      <w:lvlJc w:val="left"/>
      <w:pPr>
        <w:tabs>
          <w:tab w:val="left" w:leader="none" w:pos="1584"/>
        </w:tabs>
        <w:ind w:left="1584" w:hanging="1584"/>
      </w:pPr>
      <w:rPr>
        <w:rFonts w:hint="default"/>
      </w:rPr>
    </w:lvl>
  </w:abstractNum>
  <w:abstractNum w:abstractNumId="16">
    <w:nsid w:val="00000010"/>
    <w:multiLevelType w:val="hybridMultilevel"/>
    <w:tmpl w:val="C450EE40"/>
    <w:lvl w:ilvl="0" w:tplc="AB1E317A">
      <w:start w:val="1"/>
      <w:numFmt w:val="decimal"/>
      <w:lvlText w:val="[%1]"/>
      <w:lvlJc w:val="left"/>
      <w:pPr>
        <w:ind w:left="720" w:hanging="360"/>
      </w:pPr>
      <w:rPr>
        <w:rFonts w:hint="default"/>
        <w:b w:val="false"/>
        <w:bCs w:val="false"/>
        <w:i w:val="false"/>
        <w:iCs w:val="false"/>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0000011"/>
    <w:multiLevelType w:val="hybridMultilevel"/>
    <w:tmpl w:val="0B68CFF8"/>
    <w:lvl w:ilvl="0" w:tplc="3CAC012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0000012"/>
    <w:multiLevelType w:val="hybridMultilevel"/>
    <w:tmpl w:val="E17AA642"/>
    <w:lvl w:ilvl="0" w:tplc="28A21F62">
      <w:start w:val="1"/>
      <w:numFmt w:val="decimal"/>
      <w:lvlText w:val="[%1]"/>
      <w:lvlJc w:val="left"/>
      <w:pPr>
        <w:ind w:left="360" w:hanging="360"/>
      </w:pPr>
      <w:rPr>
        <w:rFonts w:hint="default"/>
        <w:b w:val="false"/>
        <w:bCs w:val="false"/>
        <w:i w:val="false"/>
        <w:iCs w:val="false"/>
        <w:sz w:val="20"/>
        <w:szCs w:val="20"/>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9">
    <w:nsid w:val="00000013"/>
    <w:multiLevelType w:val="hybridMultilevel"/>
    <w:tmpl w:val="48542B7A"/>
    <w:lvl w:ilvl="0" w:tplc="B5200D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8"/>
  </w:num>
  <w:num w:numId="3">
    <w:abstractNumId w:val="5"/>
  </w:num>
  <w:num w:numId="4">
    <w:abstractNumId w:val="11"/>
  </w:num>
  <w:num w:numId="5">
    <w:abstractNumId w:val="12"/>
  </w:num>
  <w:num w:numId="6">
    <w:abstractNumId w:val="7"/>
  </w:num>
  <w:num w:numId="7">
    <w:abstractNumId w:val="1"/>
  </w:num>
  <w:num w:numId="8">
    <w:abstractNumId w:val="19"/>
  </w:num>
  <w:num w:numId="9">
    <w:abstractNumId w:val="0"/>
  </w:num>
  <w:num w:numId="10">
    <w:abstractNumId w:val="4"/>
  </w:num>
  <w:num w:numId="11">
    <w:abstractNumId w:val="17"/>
  </w:num>
  <w:num w:numId="12">
    <w:abstractNumId w:val="14"/>
  </w:num>
  <w:num w:numId="13">
    <w:abstractNumId w:val="10"/>
  </w:num>
  <w:num w:numId="14">
    <w:abstractNumId w:val="3"/>
  </w:num>
  <w:num w:numId="15">
    <w:abstractNumId w:val="16"/>
  </w:num>
  <w:num w:numId="16">
    <w:abstractNumId w:val="9"/>
  </w:num>
  <w:num w:numId="17">
    <w:abstractNumId w:val="13"/>
  </w:num>
  <w:num w:numId="18">
    <w:abstractNumId w:val="2"/>
  </w:num>
  <w:num w:numId="19">
    <w:abstractNumId w:val="18"/>
  </w:num>
  <w:num w:numId="20">
    <w:abstractNumId w:val="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Mangal"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pacing w:after="80" w:lineRule="auto" w:line="240"/>
    </w:pPr>
    <w:rPr>
      <w:rFonts w:ascii="Times New Roman" w:eastAsia="Times New Roman" w:hAnsi="Times New Roman"/>
      <w:sz w:val="20"/>
    </w:rPr>
  </w:style>
  <w:style w:type="paragraph" w:styleId="style5">
    <w:name w:val="heading 5"/>
    <w:basedOn w:val="style0"/>
    <w:next w:val="style0"/>
    <w:link w:val="style4099"/>
    <w:qFormat/>
    <w:pPr>
      <w:autoSpaceDE w:val="false"/>
      <w:autoSpaceDN w:val="false"/>
      <w:spacing w:before="240" w:after="60" w:lineRule="auto" w:line="240"/>
      <w:ind w:left="1872" w:hanging="720"/>
      <w:outlineLvl w:val="4"/>
    </w:pPr>
    <w:rPr>
      <w:rFonts w:ascii="Times New Roman" w:cs="Times New Roman" w:eastAsia="PMingLiU" w:hAnsi="Times New Roman"/>
      <w:sz w:val="18"/>
      <w:szCs w:val="18"/>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311198b9-71b2-406b-86b8-00508cd43f0c"/>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cac1d226-a03f-4f1f-a72f-f150b610089e"/>
    <w:basedOn w:val="style65"/>
    <w:next w:val="style4098"/>
    <w:link w:val="style32"/>
    <w:uiPriority w:val="99"/>
  </w:style>
  <w:style w:type="character" w:styleId="style85">
    <w:name w:val="Hyperlink"/>
    <w:next w:val="style85"/>
    <w:uiPriority w:val="99"/>
    <w:rPr>
      <w:rFonts w:cs="Times New Roman"/>
      <w:color w:val="0000ff"/>
      <w:u w:val="single"/>
    </w:rPr>
  </w:style>
  <w:style w:type="paragraph" w:styleId="style179">
    <w:name w:val="List Paragraph"/>
    <w:basedOn w:val="style0"/>
    <w:next w:val="style179"/>
    <w:qFormat/>
    <w:uiPriority w:val="34"/>
    <w:pPr>
      <w:ind w:left="720"/>
      <w:contextualSpacing/>
    </w:pPr>
    <w:rPr/>
  </w:style>
  <w:style w:type="character" w:customStyle="1" w:styleId="style4099">
    <w:name w:val="Heading 5 Char_a340f8eb-2e86-456c-8b80-1169fa714939"/>
    <w:basedOn w:val="style65"/>
    <w:next w:val="style4099"/>
    <w:link w:val="style5"/>
    <w:rPr>
      <w:rFonts w:ascii="Times New Roman" w:cs="Times New Roman" w:eastAsia="PMingLiU" w:hAnsi="Times New Roman"/>
      <w:sz w:val="18"/>
      <w:szCs w:val="18"/>
    </w:rPr>
  </w:style>
  <w:style w:type="paragraph" w:customStyle="1" w:styleId="style4100">
    <w:name w:val="Affiliation"/>
    <w:next w:val="style4100"/>
    <w:pPr>
      <w:spacing w:after="0" w:lineRule="auto" w:line="240"/>
      <w:jc w:val="center"/>
    </w:pPr>
    <w:rPr>
      <w:rFonts w:ascii="Times New Roman" w:cs="Times New Roman" w:eastAsia="SimSun" w:hAnsi="Times New Roman"/>
      <w:sz w:val="20"/>
      <w:szCs w:val="20"/>
    </w:rPr>
  </w:style>
  <w:style w:type="paragraph" w:customStyle="1" w:styleId="style4101">
    <w:name w:val="Abstract"/>
    <w:next w:val="style4101"/>
    <w:pPr>
      <w:suppressAutoHyphens/>
      <w:spacing w:after="200" w:lineRule="auto" w:line="240"/>
      <w:ind w:firstLine="170"/>
      <w:jc w:val="both"/>
    </w:pPr>
    <w:rPr>
      <w:rFonts w:ascii="Times New Roman" w:cs="Times New Roman" w:eastAsia="SimSun" w:hAnsi="Times New Roman"/>
      <w:b/>
      <w:bCs/>
      <w:sz w:val="18"/>
      <w:szCs w:val="18"/>
      <w:lang w:eastAsia="zh-CN"/>
    </w:rPr>
  </w:style>
  <w:style w:type="paragraph" w:customStyle="1" w:styleId="style4102">
    <w:name w:val="key words"/>
    <w:next w:val="style4102"/>
    <w:pPr>
      <w:suppressAutoHyphens/>
      <w:spacing w:after="120" w:lineRule="auto" w:line="240"/>
      <w:ind w:firstLine="288"/>
      <w:jc w:val="both"/>
    </w:pPr>
    <w:rPr>
      <w:rFonts w:ascii="Times New Roman" w:cs="Times New Roman" w:eastAsia="SimSun" w:hAnsi="Times New Roman"/>
      <w:b/>
      <w:bCs/>
      <w:iCs/>
      <w:sz w:val="18"/>
      <w:szCs w:val="18"/>
    </w:rPr>
  </w:style>
  <w:style w:type="paragraph" w:customStyle="1" w:styleId="style4103">
    <w:name w:val="IEEE Heading 2"/>
    <w:basedOn w:val="style0"/>
    <w:next w:val="style4104"/>
    <w:pPr>
      <w:numPr>
        <w:ilvl w:val="0"/>
        <w:numId w:val="1"/>
      </w:numPr>
      <w:adjustRightInd w:val="false"/>
      <w:snapToGrid w:val="false"/>
      <w:spacing w:before="150" w:after="60" w:lineRule="auto" w:line="240"/>
    </w:pPr>
    <w:rPr>
      <w:rFonts w:ascii="Times New Roman" w:cs="Times New Roman" w:eastAsia="SimSun" w:hAnsi="Times New Roman"/>
      <w:i/>
      <w:sz w:val="20"/>
      <w:szCs w:val="24"/>
      <w:lang w:val="en-AU" w:eastAsia="zh-CN"/>
    </w:rPr>
  </w:style>
  <w:style w:type="paragraph" w:customStyle="1" w:styleId="style4104">
    <w:name w:val="IEEE Paragraph"/>
    <w:basedOn w:val="style0"/>
    <w:next w:val="style4104"/>
    <w:link w:val="style4105"/>
    <w:pPr>
      <w:adjustRightInd w:val="false"/>
      <w:snapToGrid w:val="false"/>
      <w:spacing w:after="0" w:lineRule="auto" w:line="240"/>
      <w:ind w:firstLine="216"/>
      <w:jc w:val="both"/>
    </w:pPr>
    <w:rPr>
      <w:rFonts w:ascii="Times New Roman" w:cs="Times New Roman" w:eastAsia="SimSun" w:hAnsi="Times New Roman"/>
      <w:sz w:val="20"/>
      <w:szCs w:val="24"/>
      <w:lang w:val="en-AU" w:eastAsia="zh-CN"/>
    </w:rPr>
  </w:style>
  <w:style w:type="character" w:customStyle="1" w:styleId="style4105">
    <w:name w:val="IEEE Paragraph Char"/>
    <w:next w:val="style4105"/>
    <w:link w:val="style4104"/>
    <w:rPr>
      <w:rFonts w:ascii="Times New Roman" w:cs="Times New Roman" w:eastAsia="SimSun" w:hAnsi="Times New Roman"/>
      <w:sz w:val="20"/>
      <w:szCs w:val="24"/>
      <w:lang w:val="en-AU" w:eastAsia="zh-CN"/>
    </w:rPr>
  </w:style>
  <w:style w:type="paragraph" w:styleId="style157">
    <w:name w:val="No Spacing"/>
    <w:next w:val="style157"/>
    <w:qFormat/>
    <w:uiPriority w:val="1"/>
    <w:pPr>
      <w:spacing w:after="0" w:lineRule="auto" w:line="240"/>
    </w:pPr>
    <w:rPr>
      <w:rFonts w:ascii="Calibri" w:cs="Times New Roman" w:eastAsia="Calibri" w:hAnsi="Calibri"/>
    </w:rPr>
  </w:style>
  <w:style w:type="paragraph" w:styleId="style265">
    <w:name w:val="Bibliography"/>
    <w:basedOn w:val="style0"/>
    <w:next w:val="style0"/>
    <w:uiPriority w:val="37"/>
    <w:pPr/>
  </w:style>
  <w:style w:type="character" w:customStyle="1" w:styleId="style4106">
    <w:name w:val="Unresolved Mention1"/>
    <w:basedOn w:val="style65"/>
    <w:next w:val="style4106"/>
    <w:uiPriority w:val="99"/>
    <w:rPr>
      <w:color w:val="605e5c"/>
      <w:shd w:val="clear" w:color="auto" w:fill="e1dfdd"/>
    </w:rPr>
  </w:style>
  <w:style w:type="table" w:styleId="style154">
    <w:name w:val="Table Grid"/>
    <w:basedOn w:val="style105"/>
    <w:next w:val="style154"/>
    <w:uiPriority w:val="39"/>
    <w:pPr>
      <w:spacing w:after="0" w:lineRule="auto" w:line="240"/>
    </w:pPr>
    <w:rPr>
      <w:rFonts w:ascii="Calibri" w:cs="Kartika" w:eastAsia="Calibri" w:hAnsi="Calibri"/>
      <w:sz w:val="20"/>
      <w:szCs w:val="20"/>
      <w:lang w:bidi="ml-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customStyle="1" w:styleId="style4107">
    <w:name w:val="Default"/>
    <w:next w:val="style4107"/>
    <w:pPr>
      <w:autoSpaceDE w:val="false"/>
      <w:autoSpaceDN w:val="false"/>
      <w:adjustRightInd w:val="false"/>
      <w:spacing w:after="0" w:lineRule="auto" w:line="240"/>
    </w:pPr>
    <w:rPr>
      <w:rFonts w:ascii="Times New Roman" w:cs="Times New Roman" w:hAnsi="Times New Roman"/>
      <w:color w:val="000000"/>
      <w:sz w:val="24"/>
      <w:szCs w:val="24"/>
      <w:lang w:bidi="ml-IN"/>
    </w:rPr>
  </w:style>
  <w:style w:type="paragraph" w:styleId="style153">
    <w:name w:val="Balloon Text"/>
    <w:basedOn w:val="style0"/>
    <w:next w:val="style153"/>
    <w:link w:val="style4108"/>
    <w:uiPriority w:val="99"/>
    <w:pPr>
      <w:spacing w:after="0" w:lineRule="auto" w:line="240"/>
    </w:pPr>
    <w:rPr>
      <w:rFonts w:ascii="Tahoma" w:cs="Tahoma" w:hAnsi="Tahoma"/>
      <w:sz w:val="16"/>
      <w:szCs w:val="16"/>
    </w:rPr>
  </w:style>
  <w:style w:type="character" w:customStyle="1" w:styleId="style4108">
    <w:name w:val="Balloon Text Char"/>
    <w:basedOn w:val="style65"/>
    <w:next w:val="style4108"/>
    <w:link w:val="style153"/>
    <w:uiPriority w:val="99"/>
    <w:rPr>
      <w:rFonts w:ascii="Tahoma" w:cs="Tahoma" w:hAnsi="Tahoma"/>
      <w:sz w:val="16"/>
      <w:szCs w:val="1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3.xml"/><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footer" Target="footer4.xml"/><Relationship Id="rId6" Type="http://schemas.openxmlformats.org/officeDocument/2006/relationships/header" Target="header5.xml"/><Relationship Id="rId7" Type="http://schemas.openxmlformats.org/officeDocument/2006/relationships/styles" Target="styles.xml"/><Relationship Id="rId8" Type="http://schemas.openxmlformats.org/officeDocument/2006/relationships/fontTable" Target="fontTable.xml"/></Relationships>
</file>

<file path=word/_rels/header2.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358C6-730C-47BA-8603-90F86D5DC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Words>2673</Words>
  <Pages>3</Pages>
  <Characters>16701</Characters>
  <Application>WPS Office</Application>
  <DocSecurity>0</DocSecurity>
  <Paragraphs>188</Paragraphs>
  <ScaleCrop>false</ScaleCrop>
  <LinksUpToDate>false</LinksUpToDate>
  <CharactersWithSpaces>19411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2023-09-02T03:39:00Z</dcterms:created>
  <dc:creator>First Author</dc:creator>
  <lastModifiedBy>vivo 1904</lastModifiedBy>
  <lastPrinted>2020-08-02T14:25:00Z</lastPrinted>
  <dcterms:modified xsi:type="dcterms:W3CDTF">2026-10-26T07:53:33Z</dcterms:modified>
  <revision>10</revision>
  <dc:subject>Research paper based on IRJMET template and supplied references</dc:subject>
  <dc:title>Graph-Based Fake Review Detection Using Reviewer Product Instruction Pattern</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3a3241832d99466997e38c23edfa6a6f_23</vt:lpwstr>
  </property>
</Properties>
</file>