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debookTitle"/>
      </w:pPr>
      <w:r>
        <w:t>CCUS_Coding_Milan</w:t>
      </w:r>
    </w:p>
    <w:p>
      <w:pPr>
        <w:pStyle w:val="FolderName"/>
      </w:pPr>
      <w:r>
        <w:t>Codes</w:t>
      </w:r>
    </w:p>
    <w:p>
      <w:pPr>
        <w:pStyle w:val="FolderDescription"/>
      </w:pPr>
      <w:r>
        <w:t/>
      </w:r>
    </w:p>
    <w:tbl>
      <w:tblPr>
        <w:tblStyle w:val="NodesTable"/>
        <w:tblW w:w="5000" w:type="pct"/>
        <w:tblLook w:firstRow="true" w:lastRow="false" w:firstColumn="false" w:lastColumn="false" w:noHBand="false" w:noVBand="true"/>
      </w:tblPr>
      <w:tblGrid>
        <w:gridCol w:w="3888"/>
        <w:gridCol w:w="6480"/>
        <w:gridCol w:w="1296"/>
        <w:gridCol w:w="1296"/>
      </w:tblGrid>
      <w:tr>
        <w:trPr>
          <w:tblHeader/>
        </w:trPr>
        <w:tc>
          <w:tcPr>
            <w:tcW w:w="1500" w:type="pct"/>
            <w:shd w:val="clear" w:color="auto" w:fill="4472C4"/>
          </w:tcPr>
          <w:p>
            <w:pPr>
              <w:pStyle w:val="NodesTableHeader"/>
            </w:pPr>
            <w:r>
              <w:t>Name</w:t>
            </w:r>
          </w:p>
        </w:tc>
        <w:tc>
          <w:tcPr>
            <w:tcW w:w="2500" w:type="pct"/>
            <w:shd w:val="clear" w:color="auto" w:fill="4472C4"/>
          </w:tcPr>
          <w:p>
            <w:pPr>
              <w:pStyle w:val="NodesTableHeader"/>
            </w:pPr>
            <w:r>
              <w:t>Description</w:t>
            </w:r>
          </w:p>
        </w:tc>
        <w:tc>
          <w:tcPr>
            <w:tcW w:w="500" w:type="pct"/>
            <w:shd w:val="clear" w:color="auto" w:fill="4472C4"/>
          </w:tcPr>
          <w:p>
            <w:pPr>
              <w:pStyle w:val="NodesTableHeader"/>
            </w:pPr>
            <w:r>
              <w:t>Files</w:t>
            </w:r>
          </w:p>
        </w:tc>
        <w:tc>
          <w:tcPr>
            <w:tcW w:w="500" w:type="pct"/>
            <w:shd w:val="clear" w:color="auto" w:fill="4472C4"/>
          </w:tcPr>
          <w:p>
            <w:pPr>
              <w:pStyle w:val="NodesTableHeader"/>
            </w:pPr>
            <w:r>
              <w:t>References</w:t>
            </w:r>
          </w:p>
        </w:tc>
      </w:tr>
      <w:tr>
        <w:tc>
          <w:tcPr>
            <w:tcW w:w="1500" w:type="pct"/>
          </w:tcPr>
          <w:p>
            <w:pPr>
              <w:ind w:left="0"/>
            </w:pPr>
            <w:r>
              <w:t>Euphemism Translation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74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Chronic underperformance</w:t>
            </w:r>
          </w:p>
        </w:tc>
        <w:tc>
          <w:tcPr>
            <w:tcW w:w="2500" w:type="pct"/>
          </w:tcPr>
          <w:p>
            <w:r>
              <w:t>Ongoing inefficiency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actions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416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activities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1048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approach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449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management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1405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measures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295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optimization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performance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1563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plan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510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policy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639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Commissioning failure</w:t>
            </w:r>
          </w:p>
        </w:tc>
        <w:tc>
          <w:tcPr>
            <w:tcW w:w="2500" w:type="pct"/>
          </w:tcPr>
          <w:p>
            <w:r>
              <w:t>Ramp-up implementation issues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capture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1274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chain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519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direct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275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operations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814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production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1304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project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1228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ramp up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standards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712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supply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419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support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617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system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373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Economic failure</w:t>
            </w:r>
          </w:p>
        </w:tc>
        <w:tc>
          <w:tcPr>
            <w:tcW w:w="2500" w:type="pct"/>
          </w:tcPr>
          <w:p>
            <w:r>
              <w:t>Financial or market constraints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510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accounting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399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assets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1437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business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1443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capital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695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cash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881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corporate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430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cost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682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cost overrun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682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costs overrun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570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economic headwinds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460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equity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528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investment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531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market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702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pay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207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portfolio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413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price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503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projects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1014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tax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794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value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1327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Fundamental design flaw</w:t>
            </w:r>
          </w:p>
        </w:tc>
        <w:tc>
          <w:tcPr>
            <w:tcW w:w="2500" w:type="pct"/>
          </w:tcPr>
          <w:p>
            <w:r>
              <w:t>Technical/infrastructure limitation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209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carbon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2459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carbon capture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3733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climate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1137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commissioning challenges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108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emissions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2084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energy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3158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environment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569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facility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239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framework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396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geologic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hydrogen production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1801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process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705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renewable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353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resource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171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site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555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storage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2126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technology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818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temporary commissioning challenges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137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transport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748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Negative learning curve</w:t>
            </w:r>
          </w:p>
        </w:tc>
        <w:tc>
          <w:tcPr>
            <w:tcW w:w="2500" w:type="pct"/>
          </w:tcPr>
          <w:p>
            <w:r>
              <w:t>No improvement despite repetition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406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development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1212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learning by doing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learning curve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114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negative learning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390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Requires redesign</w:t>
            </w:r>
          </w:p>
        </w:tc>
        <w:tc>
          <w:tcPr>
            <w:tcW w:w="2500" w:type="pct"/>
          </w:tcPr>
          <w:p>
            <w:r>
              <w:t>Explicit mention of modification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115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assessment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503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change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818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continuing refinements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ongoing refinements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123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refinements ongoing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123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working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338</w:t>
            </w:r>
          </w:p>
        </w:tc>
      </w:tr>
      <w:tr>
        <w:tc>
          <w:tcPr>
            <w:tcW w:w="1500" w:type="pct"/>
          </w:tcPr>
          <w:p>
            <w:pPr>
              <w:ind w:left="0"/>
            </w:pPr>
            <w:r>
              <w:t>Linguistic markers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Agency removal</w:t>
            </w:r>
          </w:p>
        </w:tc>
        <w:tc>
          <w:tcPr>
            <w:tcW w:w="2500" w:type="pct"/>
          </w:tcPr>
          <w:p>
            <w:r>
              <w:t>Passive voice avoiding responsibility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241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current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634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effects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227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impact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847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risk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1523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safety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830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security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459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was caused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was experienced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32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Ambiguity</w:t>
            </w:r>
          </w:p>
        </w:tc>
        <w:tc>
          <w:tcPr>
            <w:tcW w:w="2500" w:type="pct"/>
          </w:tcPr>
          <w:p>
            <w:r>
              <w:t>Vague, unclear data language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0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average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382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basis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491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level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443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significant progress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879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substantial improvement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163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substantial progress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386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sustainability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1313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Deferral</w:t>
            </w:r>
          </w:p>
        </w:tc>
        <w:tc>
          <w:tcPr>
            <w:tcW w:w="2500" w:type="pct"/>
          </w:tcPr>
          <w:p>
            <w:r>
              <w:t>Future or postponed accountability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future improvements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717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longer term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684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over time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540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reporting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620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requirements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466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Obfuscation</w:t>
            </w:r>
          </w:p>
        </w:tc>
        <w:tc>
          <w:tcPr>
            <w:tcW w:w="2500" w:type="pct"/>
          </w:tcPr>
          <w:p>
            <w:r>
              <w:t>Jargon-heavy text masking issues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0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0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complex interactions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151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data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787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information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1369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integrated system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746</w:t>
            </w:r>
          </w:p>
        </w:tc>
      </w:tr>
      <w:tr>
        <w:tc>
          <w:tcPr>
            <w:tcW w:w="1500" w:type="pct"/>
          </w:tcPr>
          <w:p>
            <w:pPr>
              <w:ind w:left="450"/>
            </w:pPr>
            <w:r>
              <w:t>Uncertainty</w:t>
            </w:r>
          </w:p>
        </w:tc>
        <w:tc>
          <w:tcPr>
            <w:tcW w:w="2500" w:type="pct"/>
          </w:tcPr>
          <w:p>
            <w:r>
              <w:t>Conditional/speculative phrasing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152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could reach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71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estimated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223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future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662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may reach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1022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might achieve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9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219</w:t>
            </w:r>
          </w:p>
        </w:tc>
      </w:tr>
      <w:tr>
        <w:tc>
          <w:tcPr>
            <w:tcW w:w="1500" w:type="pct"/>
          </w:tcPr>
          <w:p>
            <w:pPr>
              <w:ind w:left="900"/>
            </w:pPr>
            <w:r>
              <w:t>potential</w:t>
            </w:r>
          </w:p>
        </w:tc>
        <w:tc>
          <w:tcPr>
            <w:tcW w:w="2500" w:type="pct"/>
          </w:tcPr>
          <w:p>
            <w:r>
              <w:t/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</w:t>
            </w:r>
          </w:p>
        </w:tc>
        <w:tc>
          <w:tcPr>
            <w:tcW w:w="500" w:type="pct"/>
          </w:tcPr>
          <w:p>
            <w:pPr>
              <w:pStyle w:val="RightAlign"/>
            </w:pPr>
            <w:r>
              <w:t>806</w:t>
            </w:r>
          </w:p>
        </w:tc>
      </w:tr>
    </w:tbl>
    <w:sectPr>
      <w:pgSz w:w="15840" w:h="12240" w:orient="landscape" w:code="1"/>
      <w:pgMar w:top="1440" w:right="1440" w:bottom="1440" w:left="1440"/>
      <w:footerReference w:type="default" r:id="R88705dfd99e44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.xml><?xml version="1.0" encoding="utf-8"?>
<w:ftr xmlns:w="http://schemas.openxmlformats.org/wordprocessingml/2006/main">
  <w:p>
    <w:pPr>
      <w:pStyle w:val="Footer"/>
    </w:pPr>
    <w:r>
      <w:ptab w:alignment="left" w:relativeTo="margin" w:leader="none"/>
      <w:t xml:space="preserve">11/4/2025</w:t>
    </w:r>
    <w:r>
      <w:ptab w:alignment="right" w:relativeTo="margin" w:leader="none"/>
      <w:t xml:space="preserve">Page </w:t>
      <w:fldChar w:fldCharType="begin"/>
      <w:instrText xml:space="preserve"> PAGE </w:instrText>
      <w:fldChar w:fldCharType="end"/>
      <w:t xml:space="preserve"> of </w:t>
      <w:fldChar w:fldCharType="begin"/>
      <w:instrText xml:space="preserve"> NUMPAGES </w:instrText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82"/>
    <w:rsid w:val="00396A39"/>
    <w:rsid w:val="005754D0"/>
    <w:rsid w:val="00A47467"/>
    <w:rsid w:val="00B34482"/>
    <w:rsid w:val="00B70289"/>
    <w:rsid w:val="00C0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hAnsi="Times New Roman" w:cs="Times New Roman" w:asciiTheme="minorHAnsi" w:eastAsiaTheme="minorEastAsia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debookTitle" w:customStyle="true">
    <w:name w:val="Codebook Title"/>
    <w:pPr>
      <w:jc w:val="center"/>
    </w:pPr>
    <w:rPr>
      <w:rFonts w:asciiTheme="majorHAnsi" w:hAnsiTheme="majorHAnsi" w:eastAsiaTheme="majorEastAsia" w:cstheme="majorBidi"/>
      <w:color w:val="5B9BD5"/>
      <w:sz w:val="48"/>
      <w:szCs w:val="48"/>
    </w:rPr>
  </w:style>
  <w:style w:type="paragraph" w:styleId="FolderName">
    <w:name w:val="Folder Name"/>
    <w:basedOn w:val="Heading1"/>
    <w:next w:val="FolderDescription"/>
    <w:qFormat/>
    <w:pPr>
      <w:keepNext/>
      <w:keepLines/>
      <w:outlineLvl w:val="0"/>
      <w:spacing w:before="240" w:after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FolderDescription">
    <w:name w:val="Folder Description"/>
    <w:basedOn w:val="Normal"/>
    <w:qFormat/>
    <w:pPr>
      <w:keepNext/>
      <w:keepLines/>
    </w:pPr>
    <w:rPr>
      <w:rFonts w:asciiTheme="majorHAnsi" w:hAnsiTheme="majorHAnsi" w:eastAsiaTheme="majorEastAsia" w:cstheme="majorBidi"/>
    </w:rPr>
  </w:style>
  <w:style w:type="paragraph" w:styleId="NodesTableHeader" w:customStyle="true">
    <w:name w:val="Table Header"/>
    <w:rPr>
      <w:rFonts w:asciiTheme="majorHAnsi" w:hAnsiTheme="majorHAnsi" w:eastAsiaTheme="majorEastAsia" w:cstheme="majorBidi"/>
      <w:color w:val="FFFFFF"/>
    </w:rPr>
  </w:style>
  <w:style w:type="paragraph" w:styleId="RightAlign" w:customStyle="true">
    <w:name w:val="Right Align"/>
    <w:basedOn w:val="Normal"/>
    <w:pPr>
      <w:jc w:val="right"/>
    </w:pPr>
  </w:style>
  <w:style w:type="table" w:styleId="NodesTable" w:customStyle="true">
    <w:name w:val="Nodes Table"/>
    <w:tblPr>
      <w:tblStyleRow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paragraph" w:styleId="Footer" w:customStyle="true">
    <w:name w:val="Footer"/>
    <w:basedOn w:val="Normal"/>
    <w:rPr>
      <w:rFonts w:asciiTheme="majorHAnsi" w:hAnsiTheme="majorHAnsi"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/word/footer.xml" Id="R88705dfd99e442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>1</revision>
  <dcterms:created xsi:type="dcterms:W3CDTF">2025-11-04T16:18:27.3881622Z</dcterms:created>
  <dcterms:modified xsi:type="dcterms:W3CDTF">2025-11-04T16:18:27.3881622Z</dcterms:modified>
</coreProperties>
</file>