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20DE" w:rsidRPr="008F0C9B" w:rsidRDefault="007620DE" w:rsidP="007620DE">
      <w:pPr>
        <w:pStyle w:val="1"/>
        <w:spacing w:before="0" w:beforeAutospacing="0" w:after="0" w:afterAutospacing="0"/>
        <w:textAlignment w:val="baseline"/>
        <w:rPr>
          <w:rFonts w:ascii="Arial" w:hAnsi="Arial" w:cs="Arial"/>
          <w:color w:val="2D2D2D"/>
          <w:lang w:val="en-US"/>
        </w:rPr>
      </w:pPr>
      <w:bookmarkStart w:id="0" w:name="_GoBack"/>
      <w:r w:rsidRPr="008F0C9B">
        <w:rPr>
          <w:rFonts w:ascii="Arial" w:hAnsi="Arial" w:cs="Arial"/>
          <w:color w:val="2D2D2D"/>
          <w:lang w:val="en-US"/>
        </w:rPr>
        <w:t>IncobotulinumtoxinA treatment of facial nerve palsy after neurosurgery</w:t>
      </w:r>
    </w:p>
    <w:bookmarkEnd w:id="0"/>
    <w:p w:rsidR="007620DE" w:rsidRDefault="007620DE" w:rsidP="007620DE">
      <w:pPr>
        <w:pStyle w:val="a5"/>
        <w:shd w:val="clear" w:color="auto" w:fill="FFFFFF"/>
        <w:spacing w:before="0" w:beforeAutospacing="0" w:after="0" w:afterAutospacing="0"/>
        <w:textAlignment w:val="baseline"/>
        <w:rPr>
          <w:rStyle w:val="a4"/>
          <w:rFonts w:ascii="inherit" w:eastAsiaTheme="majorEastAsia" w:hAnsi="inherit" w:cs="Arial"/>
          <w:color w:val="444444"/>
          <w:sz w:val="27"/>
          <w:szCs w:val="27"/>
          <w:bdr w:val="none" w:sz="0" w:space="0" w:color="auto" w:frame="1"/>
        </w:rPr>
      </w:pPr>
    </w:p>
    <w:p w:rsidR="007620DE" w:rsidRPr="008F0C9B" w:rsidRDefault="007620DE" w:rsidP="007620DE">
      <w:pPr>
        <w:pStyle w:val="a5"/>
        <w:shd w:val="clear" w:color="auto" w:fill="FFFFFF"/>
        <w:spacing w:before="0" w:beforeAutospacing="0" w:after="0" w:afterAutospacing="0"/>
        <w:textAlignment w:val="baseline"/>
        <w:rPr>
          <w:rFonts w:ascii="inherit" w:hAnsi="inherit" w:cs="Arial"/>
          <w:color w:val="444444"/>
          <w:sz w:val="27"/>
          <w:szCs w:val="27"/>
          <w:lang w:val="en-US"/>
        </w:rPr>
      </w:pPr>
      <w:r w:rsidRPr="008F0C9B">
        <w:rPr>
          <w:rStyle w:val="a4"/>
          <w:rFonts w:ascii="inherit" w:eastAsiaTheme="majorEastAsia" w:hAnsi="inherit" w:cs="Arial"/>
          <w:color w:val="444444"/>
          <w:sz w:val="27"/>
          <w:szCs w:val="27"/>
          <w:bdr w:val="none" w:sz="0" w:space="0" w:color="auto" w:frame="1"/>
          <w:lang w:val="en-US"/>
        </w:rPr>
        <w:t>Akulov MA, Orlova OR, Orlova AS, Usachev DJ, Shimansky VN, Tanjashin SV, Khatkova SE, Yunosha-Shanyavskaya AV.</w:t>
      </w:r>
      <w:r w:rsidRPr="008F0C9B">
        <w:rPr>
          <w:rFonts w:ascii="inherit" w:hAnsi="inherit" w:cs="Arial"/>
          <w:color w:val="444444"/>
          <w:sz w:val="27"/>
          <w:szCs w:val="27"/>
          <w:lang w:val="en-US"/>
        </w:rPr>
        <w:br/>
      </w:r>
      <w:r w:rsidRPr="008F0C9B">
        <w:rPr>
          <w:rFonts w:ascii="inherit" w:hAnsi="inherit" w:cs="Arial"/>
          <w:color w:val="444444"/>
          <w:sz w:val="27"/>
          <w:szCs w:val="27"/>
          <w:lang w:val="en-US"/>
        </w:rPr>
        <w:br/>
      </w:r>
      <w:r w:rsidRPr="008F0C9B">
        <w:rPr>
          <w:rStyle w:val="a4"/>
          <w:rFonts w:ascii="inherit" w:eastAsiaTheme="majorEastAsia" w:hAnsi="inherit" w:cs="Arial"/>
          <w:color w:val="444444"/>
          <w:sz w:val="27"/>
          <w:szCs w:val="27"/>
          <w:bdr w:val="none" w:sz="0" w:space="0" w:color="auto" w:frame="1"/>
          <w:lang w:val="en-US"/>
        </w:rPr>
        <w:t>Abstract</w:t>
      </w:r>
      <w:r w:rsidRPr="008F0C9B">
        <w:rPr>
          <w:rFonts w:ascii="inherit" w:hAnsi="inherit" w:cs="Arial"/>
          <w:color w:val="444444"/>
          <w:sz w:val="27"/>
          <w:szCs w:val="27"/>
          <w:lang w:val="en-US"/>
        </w:rPr>
        <w:br/>
        <w:t>BACKGROUND:</w:t>
      </w:r>
      <w:r w:rsidRPr="008F0C9B">
        <w:rPr>
          <w:rFonts w:ascii="inherit" w:hAnsi="inherit" w:cs="Arial"/>
          <w:color w:val="444444"/>
          <w:sz w:val="27"/>
          <w:szCs w:val="27"/>
          <w:lang w:val="en-US"/>
        </w:rPr>
        <w:br/>
        <w:t>This study evaluates the effect of incobotulinumtoxinA in the acute and chronic phases of facial nerve palsy after neurosurgical interventions.</w:t>
      </w:r>
    </w:p>
    <w:p w:rsidR="007620DE" w:rsidRPr="008F0C9B" w:rsidRDefault="007620DE" w:rsidP="007620DE">
      <w:pPr>
        <w:pStyle w:val="a5"/>
        <w:shd w:val="clear" w:color="auto" w:fill="FFFFFF"/>
        <w:spacing w:before="0" w:beforeAutospacing="0" w:after="408" w:afterAutospacing="0"/>
        <w:textAlignment w:val="baseline"/>
        <w:rPr>
          <w:rFonts w:ascii="inherit" w:hAnsi="inherit" w:cs="Arial"/>
          <w:color w:val="444444"/>
          <w:sz w:val="27"/>
          <w:szCs w:val="27"/>
          <w:lang w:val="en-US"/>
        </w:rPr>
      </w:pPr>
      <w:r w:rsidRPr="008F0C9B">
        <w:rPr>
          <w:rFonts w:ascii="inherit" w:hAnsi="inherit" w:cs="Arial"/>
          <w:color w:val="444444"/>
          <w:sz w:val="27"/>
          <w:szCs w:val="27"/>
          <w:lang w:val="en-US"/>
        </w:rPr>
        <w:t>METHODS:</w:t>
      </w:r>
      <w:r w:rsidRPr="008F0C9B">
        <w:rPr>
          <w:rFonts w:ascii="inherit" w:hAnsi="inherit" w:cs="Arial"/>
          <w:color w:val="444444"/>
          <w:sz w:val="27"/>
          <w:szCs w:val="27"/>
          <w:lang w:val="en-US"/>
        </w:rPr>
        <w:br/>
        <w:t>Patients received incobotulinumtoxinA injections (active treatment group) or standard rehabilitation treatment (control group). Functional efficacy was assessed using House-Brackmann, Yanagihara System and Sunnybrook Facial Grading scales, and Facial Disability Index self-assessment.</w:t>
      </w:r>
    </w:p>
    <w:p w:rsidR="007620DE" w:rsidRPr="008F0C9B" w:rsidRDefault="007620DE" w:rsidP="007620DE">
      <w:pPr>
        <w:pStyle w:val="a5"/>
        <w:shd w:val="clear" w:color="auto" w:fill="FFFFFF"/>
        <w:spacing w:before="0" w:beforeAutospacing="0" w:after="408" w:afterAutospacing="0"/>
        <w:textAlignment w:val="baseline"/>
        <w:rPr>
          <w:rFonts w:ascii="inherit" w:hAnsi="inherit" w:cs="Arial"/>
          <w:color w:val="444444"/>
          <w:sz w:val="27"/>
          <w:szCs w:val="27"/>
          <w:lang w:val="en-US"/>
        </w:rPr>
      </w:pPr>
      <w:r w:rsidRPr="008F0C9B">
        <w:rPr>
          <w:rFonts w:ascii="inherit" w:hAnsi="inherit" w:cs="Arial"/>
          <w:color w:val="444444"/>
          <w:sz w:val="27"/>
          <w:szCs w:val="27"/>
          <w:lang w:val="en-US"/>
        </w:rPr>
        <w:t>RESULTS:</w:t>
      </w:r>
      <w:r w:rsidRPr="008F0C9B">
        <w:rPr>
          <w:rFonts w:ascii="inherit" w:hAnsi="inherit" w:cs="Arial"/>
          <w:color w:val="444444"/>
          <w:sz w:val="27"/>
          <w:szCs w:val="27"/>
          <w:lang w:val="en-US"/>
        </w:rPr>
        <w:br/>
        <w:t xml:space="preserve">Significant improvements on all scales were seen after 1month of incobotulinumtoxinA treatment (active treatment group, </w:t>
      </w:r>
      <w:r>
        <w:rPr>
          <w:rFonts w:ascii="inherit" w:hAnsi="inherit" w:cs="Arial"/>
          <w:color w:val="444444"/>
          <w:sz w:val="27"/>
          <w:szCs w:val="27"/>
        </w:rPr>
        <w:t>р</w:t>
      </w:r>
      <w:r w:rsidRPr="008F0C9B">
        <w:rPr>
          <w:rFonts w:ascii="inherit" w:hAnsi="inherit" w:cs="Arial"/>
          <w:color w:val="444444"/>
          <w:sz w:val="27"/>
          <w:szCs w:val="27"/>
          <w:lang w:val="en-US"/>
        </w:rPr>
        <w:t xml:space="preserve">&lt;0.05), but only after 3months of rehabilitation treatment (control group, </w:t>
      </w:r>
      <w:r>
        <w:rPr>
          <w:rFonts w:ascii="inherit" w:hAnsi="inherit" w:cs="Arial"/>
          <w:color w:val="444444"/>
          <w:sz w:val="27"/>
          <w:szCs w:val="27"/>
        </w:rPr>
        <w:t>р</w:t>
      </w:r>
      <w:r w:rsidRPr="008F0C9B">
        <w:rPr>
          <w:rFonts w:ascii="inherit" w:hAnsi="inherit" w:cs="Arial"/>
          <w:color w:val="444444"/>
          <w:sz w:val="27"/>
          <w:szCs w:val="27"/>
          <w:lang w:val="en-US"/>
        </w:rPr>
        <w:t>&lt;0.05). At 1 and 2years post-surgery, the prevalence of synkinesis was significantly higher in patients in the control group compared with those receiving incobotulinumtoxinA treatment (</w:t>
      </w:r>
      <w:r>
        <w:rPr>
          <w:rFonts w:ascii="inherit" w:hAnsi="inherit" w:cs="Arial"/>
          <w:color w:val="444444"/>
          <w:sz w:val="27"/>
          <w:szCs w:val="27"/>
        </w:rPr>
        <w:t>р</w:t>
      </w:r>
      <w:r w:rsidRPr="008F0C9B">
        <w:rPr>
          <w:rFonts w:ascii="inherit" w:hAnsi="inherit" w:cs="Arial"/>
          <w:color w:val="444444"/>
          <w:sz w:val="27"/>
          <w:szCs w:val="27"/>
          <w:lang w:val="en-US"/>
        </w:rPr>
        <w:t xml:space="preserve">&lt;0.05 and </w:t>
      </w:r>
      <w:r>
        <w:rPr>
          <w:rFonts w:ascii="inherit" w:hAnsi="inherit" w:cs="Arial"/>
          <w:color w:val="444444"/>
          <w:sz w:val="27"/>
          <w:szCs w:val="27"/>
        </w:rPr>
        <w:t>р</w:t>
      </w:r>
      <w:r w:rsidRPr="008F0C9B">
        <w:rPr>
          <w:rFonts w:ascii="inherit" w:hAnsi="inherit" w:cs="Arial"/>
          <w:color w:val="444444"/>
          <w:sz w:val="27"/>
          <w:szCs w:val="27"/>
          <w:lang w:val="en-US"/>
        </w:rPr>
        <w:t>&lt;0.001, respectively).</w:t>
      </w:r>
    </w:p>
    <w:p w:rsidR="007620DE" w:rsidRPr="008F0C9B" w:rsidRDefault="007620DE" w:rsidP="007620DE">
      <w:pPr>
        <w:pStyle w:val="a5"/>
        <w:shd w:val="clear" w:color="auto" w:fill="FFFFFF"/>
        <w:spacing w:before="0" w:beforeAutospacing="0" w:after="408" w:afterAutospacing="0"/>
        <w:textAlignment w:val="baseline"/>
        <w:rPr>
          <w:rFonts w:ascii="inherit" w:hAnsi="inherit" w:cs="Arial"/>
          <w:color w:val="444444"/>
          <w:sz w:val="27"/>
          <w:szCs w:val="27"/>
          <w:lang w:val="en-US"/>
        </w:rPr>
      </w:pPr>
      <w:r w:rsidRPr="008F0C9B">
        <w:rPr>
          <w:rFonts w:ascii="inherit" w:hAnsi="inherit" w:cs="Arial"/>
          <w:color w:val="444444"/>
          <w:sz w:val="27"/>
          <w:szCs w:val="27"/>
          <w:lang w:val="en-US"/>
        </w:rPr>
        <w:t>CONCLUSIONS:</w:t>
      </w:r>
      <w:r w:rsidRPr="008F0C9B">
        <w:rPr>
          <w:rFonts w:ascii="inherit" w:hAnsi="inherit" w:cs="Arial"/>
          <w:color w:val="444444"/>
          <w:sz w:val="27"/>
          <w:szCs w:val="27"/>
          <w:lang w:val="en-US"/>
        </w:rPr>
        <w:br/>
        <w:t>IncobotulinumtoxinA treatment resulted in significant improvements in facial symmetry in patients with facial nerve injury following neurosurgical interventions. Treatment was effective for the correction of the compensatory hyperactivity of mimic muscles on the unaffected side that develops in the acute period of facial nerve palsy, and for the correction of synkinesis in the affected side that develops in the long-term period. Appropriate dosing and patient education to perform exercises to restore mimic muscle function should be considered in multimodal treatment.</w:t>
      </w:r>
    </w:p>
    <w:p w:rsidR="007620DE" w:rsidRPr="008F0C9B" w:rsidRDefault="007620DE" w:rsidP="007620DE">
      <w:pPr>
        <w:pStyle w:val="a5"/>
        <w:shd w:val="clear" w:color="auto" w:fill="FFFFFF"/>
        <w:spacing w:before="0" w:beforeAutospacing="0" w:after="408" w:afterAutospacing="0"/>
        <w:textAlignment w:val="baseline"/>
        <w:rPr>
          <w:rFonts w:ascii="inherit" w:hAnsi="inherit" w:cs="Arial"/>
          <w:color w:val="444444"/>
          <w:sz w:val="27"/>
          <w:szCs w:val="27"/>
          <w:lang w:val="en-US"/>
        </w:rPr>
      </w:pPr>
      <w:r w:rsidRPr="008F0C9B">
        <w:rPr>
          <w:rFonts w:ascii="inherit" w:hAnsi="inherit" w:cs="Arial"/>
          <w:color w:val="444444"/>
          <w:sz w:val="27"/>
          <w:szCs w:val="27"/>
          <w:lang w:val="en-US"/>
        </w:rPr>
        <w:t>KEYWORDS:</w:t>
      </w:r>
      <w:r w:rsidRPr="008F0C9B">
        <w:rPr>
          <w:rFonts w:ascii="inherit" w:hAnsi="inherit" w:cs="Arial"/>
          <w:color w:val="444444"/>
          <w:sz w:val="27"/>
          <w:szCs w:val="27"/>
          <w:lang w:val="en-US"/>
        </w:rPr>
        <w:br/>
        <w:t>Botulinum toxin type A; Facial nerve injury; Synkinesis; incobotulinumtoxinA</w:t>
      </w:r>
    </w:p>
    <w:p w:rsidR="007620DE" w:rsidRPr="008F0C9B" w:rsidRDefault="007620DE" w:rsidP="007620DE">
      <w:pPr>
        <w:pStyle w:val="a5"/>
        <w:shd w:val="clear" w:color="auto" w:fill="FFFFFF"/>
        <w:spacing w:before="0" w:beforeAutospacing="0" w:after="408" w:afterAutospacing="0"/>
        <w:textAlignment w:val="baseline"/>
        <w:rPr>
          <w:rFonts w:ascii="inherit" w:hAnsi="inherit" w:cs="Arial"/>
          <w:color w:val="444444"/>
          <w:sz w:val="27"/>
          <w:szCs w:val="27"/>
          <w:lang w:val="en-US"/>
        </w:rPr>
      </w:pPr>
      <w:r w:rsidRPr="008F0C9B">
        <w:rPr>
          <w:rFonts w:ascii="inherit" w:hAnsi="inherit" w:cs="Arial"/>
          <w:color w:val="444444"/>
          <w:sz w:val="27"/>
          <w:szCs w:val="27"/>
          <w:lang w:val="en-US"/>
        </w:rPr>
        <w:t>PMID: 28991664 DOI: 10.1016/j.jns.2017.08.3244</w:t>
      </w:r>
    </w:p>
    <w:p w:rsidR="007620DE" w:rsidRPr="008F0C9B" w:rsidRDefault="007620DE" w:rsidP="007620DE">
      <w:pPr>
        <w:pStyle w:val="a5"/>
        <w:shd w:val="clear" w:color="auto" w:fill="FFFFFF"/>
        <w:spacing w:before="0" w:beforeAutospacing="0" w:after="0" w:afterAutospacing="0"/>
        <w:textAlignment w:val="baseline"/>
        <w:rPr>
          <w:rFonts w:ascii="inherit" w:hAnsi="inherit" w:cs="Arial"/>
          <w:color w:val="444444"/>
          <w:sz w:val="27"/>
          <w:szCs w:val="27"/>
          <w:lang w:val="en-US"/>
        </w:rPr>
      </w:pPr>
      <w:hyperlink r:id="rId6" w:anchor="134839" w:history="1">
        <w:r w:rsidRPr="008F0C9B">
          <w:rPr>
            <w:rStyle w:val="a3"/>
            <w:rFonts w:ascii="inherit" w:hAnsi="inherit" w:cs="Arial"/>
            <w:color w:val="1ABC9C"/>
            <w:sz w:val="27"/>
            <w:szCs w:val="27"/>
            <w:bdr w:val="none" w:sz="0" w:space="0" w:color="auto" w:frame="1"/>
            <w:lang w:val="en-US"/>
          </w:rPr>
          <w:t>https://www.sechenov.ru/science_and_innovation/repo/?PAGEN_1=16#134839</w:t>
        </w:r>
      </w:hyperlink>
    </w:p>
    <w:p w:rsidR="007620DE" w:rsidRPr="0098634B" w:rsidRDefault="007620DE" w:rsidP="007620DE">
      <w:pPr>
        <w:rPr>
          <w:lang w:val="en-US"/>
        </w:rPr>
      </w:pPr>
    </w:p>
    <w:p w:rsidR="00CA4CA6" w:rsidRPr="007620DE" w:rsidRDefault="007620DE" w:rsidP="007620DE">
      <w:pPr>
        <w:rPr>
          <w:lang w:val="en-US"/>
        </w:rPr>
      </w:pPr>
    </w:p>
    <w:sectPr w:rsidR="00CA4CA6" w:rsidRPr="007620D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AB4F97"/>
    <w:multiLevelType w:val="multilevel"/>
    <w:tmpl w:val="4EFA1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AE0387A"/>
    <w:multiLevelType w:val="multilevel"/>
    <w:tmpl w:val="BF387B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4BC5563"/>
    <w:multiLevelType w:val="multilevel"/>
    <w:tmpl w:val="DDB4F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2C68"/>
    <w:rsid w:val="000102B4"/>
    <w:rsid w:val="00063D64"/>
    <w:rsid w:val="000657F1"/>
    <w:rsid w:val="000673EA"/>
    <w:rsid w:val="00071140"/>
    <w:rsid w:val="00090ECE"/>
    <w:rsid w:val="000A2C68"/>
    <w:rsid w:val="000D6EFA"/>
    <w:rsid w:val="0010050A"/>
    <w:rsid w:val="00121C12"/>
    <w:rsid w:val="001772FC"/>
    <w:rsid w:val="001B09F9"/>
    <w:rsid w:val="001E566C"/>
    <w:rsid w:val="00305726"/>
    <w:rsid w:val="00327530"/>
    <w:rsid w:val="00346B9F"/>
    <w:rsid w:val="0039271E"/>
    <w:rsid w:val="0041239D"/>
    <w:rsid w:val="00442C11"/>
    <w:rsid w:val="00482A79"/>
    <w:rsid w:val="0049539E"/>
    <w:rsid w:val="004B7FEF"/>
    <w:rsid w:val="004C0371"/>
    <w:rsid w:val="0050484D"/>
    <w:rsid w:val="00550D2E"/>
    <w:rsid w:val="005A0050"/>
    <w:rsid w:val="005A7217"/>
    <w:rsid w:val="005D5605"/>
    <w:rsid w:val="00620449"/>
    <w:rsid w:val="00622D78"/>
    <w:rsid w:val="00651DF7"/>
    <w:rsid w:val="00682045"/>
    <w:rsid w:val="00696957"/>
    <w:rsid w:val="006B680E"/>
    <w:rsid w:val="007032C0"/>
    <w:rsid w:val="00722AA8"/>
    <w:rsid w:val="007350CB"/>
    <w:rsid w:val="007620DE"/>
    <w:rsid w:val="00763C77"/>
    <w:rsid w:val="007F123D"/>
    <w:rsid w:val="0081659D"/>
    <w:rsid w:val="00884866"/>
    <w:rsid w:val="008B5DC9"/>
    <w:rsid w:val="00912EE8"/>
    <w:rsid w:val="009937A5"/>
    <w:rsid w:val="009C30B6"/>
    <w:rsid w:val="009F5368"/>
    <w:rsid w:val="00AA47A7"/>
    <w:rsid w:val="00AE7D70"/>
    <w:rsid w:val="00B47176"/>
    <w:rsid w:val="00BB73DA"/>
    <w:rsid w:val="00BD0C9F"/>
    <w:rsid w:val="00C26054"/>
    <w:rsid w:val="00C719A2"/>
    <w:rsid w:val="00C9247B"/>
    <w:rsid w:val="00CE28D7"/>
    <w:rsid w:val="00CE644B"/>
    <w:rsid w:val="00CF5EF5"/>
    <w:rsid w:val="00D03F95"/>
    <w:rsid w:val="00D13BD7"/>
    <w:rsid w:val="00D44190"/>
    <w:rsid w:val="00D77651"/>
    <w:rsid w:val="00E33B89"/>
    <w:rsid w:val="00E40E11"/>
    <w:rsid w:val="00E83DC1"/>
    <w:rsid w:val="00EE0B36"/>
    <w:rsid w:val="00EE0C20"/>
    <w:rsid w:val="00EE4083"/>
    <w:rsid w:val="00F4751B"/>
    <w:rsid w:val="00F55812"/>
    <w:rsid w:val="00F83355"/>
    <w:rsid w:val="00FB0CAB"/>
    <w:rsid w:val="00FE2348"/>
    <w:rsid w:val="00FF3E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0DE"/>
  </w:style>
  <w:style w:type="paragraph" w:styleId="1">
    <w:name w:val="heading 1"/>
    <w:basedOn w:val="a"/>
    <w:link w:val="10"/>
    <w:uiPriority w:val="9"/>
    <w:qFormat/>
    <w:rsid w:val="000A2C6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next w:val="a"/>
    <w:link w:val="30"/>
    <w:uiPriority w:val="9"/>
    <w:semiHidden/>
    <w:unhideWhenUsed/>
    <w:qFormat/>
    <w:rsid w:val="005A7217"/>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A2C68"/>
    <w:rPr>
      <w:rFonts w:ascii="Times New Roman" w:eastAsia="Times New Roman" w:hAnsi="Times New Roman" w:cs="Times New Roman"/>
      <w:b/>
      <w:bCs/>
      <w:kern w:val="36"/>
      <w:sz w:val="48"/>
      <w:szCs w:val="48"/>
      <w:lang w:eastAsia="ru-RU"/>
    </w:rPr>
  </w:style>
  <w:style w:type="character" w:customStyle="1" w:styleId="posted-on">
    <w:name w:val="posted-on"/>
    <w:basedOn w:val="a0"/>
    <w:rsid w:val="000A2C68"/>
  </w:style>
  <w:style w:type="character" w:styleId="a3">
    <w:name w:val="Hyperlink"/>
    <w:basedOn w:val="a0"/>
    <w:uiPriority w:val="99"/>
    <w:unhideWhenUsed/>
    <w:rsid w:val="000A2C68"/>
    <w:rPr>
      <w:color w:val="0000FF"/>
      <w:u w:val="single"/>
    </w:rPr>
  </w:style>
  <w:style w:type="character" w:styleId="a4">
    <w:name w:val="Strong"/>
    <w:basedOn w:val="a0"/>
    <w:uiPriority w:val="22"/>
    <w:qFormat/>
    <w:rsid w:val="000A2C68"/>
    <w:rPr>
      <w:b/>
      <w:bCs/>
    </w:rPr>
  </w:style>
  <w:style w:type="character" w:customStyle="1" w:styleId="meta-cate">
    <w:name w:val="meta-cate"/>
    <w:basedOn w:val="a0"/>
    <w:rsid w:val="000A2C68"/>
  </w:style>
  <w:style w:type="character" w:customStyle="1" w:styleId="30">
    <w:name w:val="Заголовок 3 Знак"/>
    <w:basedOn w:val="a0"/>
    <w:link w:val="3"/>
    <w:uiPriority w:val="9"/>
    <w:semiHidden/>
    <w:rsid w:val="005A7217"/>
    <w:rPr>
      <w:rFonts w:asciiTheme="majorHAnsi" w:eastAsiaTheme="majorEastAsia" w:hAnsiTheme="majorHAnsi" w:cstheme="majorBidi"/>
      <w:b/>
      <w:bCs/>
      <w:color w:val="4F81BD" w:themeColor="accent1"/>
    </w:rPr>
  </w:style>
  <w:style w:type="paragraph" w:styleId="a5">
    <w:name w:val="Normal (Web)"/>
    <w:basedOn w:val="a"/>
    <w:uiPriority w:val="99"/>
    <w:unhideWhenUsed/>
    <w:rsid w:val="005A721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Emphasis"/>
    <w:basedOn w:val="a0"/>
    <w:uiPriority w:val="20"/>
    <w:qFormat/>
    <w:rsid w:val="00327530"/>
    <w:rPr>
      <w:i/>
      <w:iCs/>
    </w:rPr>
  </w:style>
  <w:style w:type="character" w:customStyle="1" w:styleId="sep">
    <w:name w:val="sep"/>
    <w:basedOn w:val="a0"/>
    <w:rsid w:val="007F123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0DE"/>
  </w:style>
  <w:style w:type="paragraph" w:styleId="1">
    <w:name w:val="heading 1"/>
    <w:basedOn w:val="a"/>
    <w:link w:val="10"/>
    <w:uiPriority w:val="9"/>
    <w:qFormat/>
    <w:rsid w:val="000A2C6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next w:val="a"/>
    <w:link w:val="30"/>
    <w:uiPriority w:val="9"/>
    <w:semiHidden/>
    <w:unhideWhenUsed/>
    <w:qFormat/>
    <w:rsid w:val="005A7217"/>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A2C68"/>
    <w:rPr>
      <w:rFonts w:ascii="Times New Roman" w:eastAsia="Times New Roman" w:hAnsi="Times New Roman" w:cs="Times New Roman"/>
      <w:b/>
      <w:bCs/>
      <w:kern w:val="36"/>
      <w:sz w:val="48"/>
      <w:szCs w:val="48"/>
      <w:lang w:eastAsia="ru-RU"/>
    </w:rPr>
  </w:style>
  <w:style w:type="character" w:customStyle="1" w:styleId="posted-on">
    <w:name w:val="posted-on"/>
    <w:basedOn w:val="a0"/>
    <w:rsid w:val="000A2C68"/>
  </w:style>
  <w:style w:type="character" w:styleId="a3">
    <w:name w:val="Hyperlink"/>
    <w:basedOn w:val="a0"/>
    <w:uiPriority w:val="99"/>
    <w:unhideWhenUsed/>
    <w:rsid w:val="000A2C68"/>
    <w:rPr>
      <w:color w:val="0000FF"/>
      <w:u w:val="single"/>
    </w:rPr>
  </w:style>
  <w:style w:type="character" w:styleId="a4">
    <w:name w:val="Strong"/>
    <w:basedOn w:val="a0"/>
    <w:uiPriority w:val="22"/>
    <w:qFormat/>
    <w:rsid w:val="000A2C68"/>
    <w:rPr>
      <w:b/>
      <w:bCs/>
    </w:rPr>
  </w:style>
  <w:style w:type="character" w:customStyle="1" w:styleId="meta-cate">
    <w:name w:val="meta-cate"/>
    <w:basedOn w:val="a0"/>
    <w:rsid w:val="000A2C68"/>
  </w:style>
  <w:style w:type="character" w:customStyle="1" w:styleId="30">
    <w:name w:val="Заголовок 3 Знак"/>
    <w:basedOn w:val="a0"/>
    <w:link w:val="3"/>
    <w:uiPriority w:val="9"/>
    <w:semiHidden/>
    <w:rsid w:val="005A7217"/>
    <w:rPr>
      <w:rFonts w:asciiTheme="majorHAnsi" w:eastAsiaTheme="majorEastAsia" w:hAnsiTheme="majorHAnsi" w:cstheme="majorBidi"/>
      <w:b/>
      <w:bCs/>
      <w:color w:val="4F81BD" w:themeColor="accent1"/>
    </w:rPr>
  </w:style>
  <w:style w:type="paragraph" w:styleId="a5">
    <w:name w:val="Normal (Web)"/>
    <w:basedOn w:val="a"/>
    <w:uiPriority w:val="99"/>
    <w:unhideWhenUsed/>
    <w:rsid w:val="005A721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Emphasis"/>
    <w:basedOn w:val="a0"/>
    <w:uiPriority w:val="20"/>
    <w:qFormat/>
    <w:rsid w:val="00327530"/>
    <w:rPr>
      <w:i/>
      <w:iCs/>
    </w:rPr>
  </w:style>
  <w:style w:type="character" w:customStyle="1" w:styleId="sep">
    <w:name w:val="sep"/>
    <w:basedOn w:val="a0"/>
    <w:rsid w:val="007F12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echenov.ru/science_and_innovation/repo/?PAGEN_1=16"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291</Words>
  <Characters>1665</Characters>
  <Application>Microsoft Office Word</Application>
  <DocSecurity>0</DocSecurity>
  <Lines>13</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Головлева Анна</dc:creator>
  <cp:lastModifiedBy>Головлева Анна</cp:lastModifiedBy>
  <cp:revision>2</cp:revision>
  <dcterms:created xsi:type="dcterms:W3CDTF">2018-12-06T12:11:00Z</dcterms:created>
  <dcterms:modified xsi:type="dcterms:W3CDTF">2018-12-06T12:11:00Z</dcterms:modified>
</cp:coreProperties>
</file>