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jc w:val="center"/>
      </w:pPr>
      <w:r>
        <w:rPr>
          <w:rFonts w:ascii="Times New Roman" w:cs="Times New Roman" w:eastAsia="Times New Roman" w:hAnsi="Times New Roman"/>
          <w:b/>
          <w:bCs/>
          <w:sz w:val="32"/>
          <w:szCs w:val="32"/>
        </w:rPr>
        <w:t xml:space="preserve">The Transparent Hypercube: How Inverting a Single Matrix Reveals the Complete Internal Geography of a Language Model</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Joseph Camron Stephens</w:t>
      </w: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*Independent Researcher, Spectralgraph LLC, Oklahoma, USA*</w:t>
      </w:r>
    </w:p>
    <w:p>
      <w:pPr>
        <w:pStyle w:val="Heading2"/>
        <w:spacing w:before="240" w:after="120"/>
      </w:pPr>
      <w:r>
        <w:rPr>
          <w:rFonts w:ascii="Times New Roman" w:cs="Times New Roman" w:eastAsia="Times New Roman" w:hAnsi="Times New Roman"/>
          <w:b/>
          <w:bCs/>
          <w:sz w:val="28"/>
          <w:szCs w:val="28"/>
        </w:rPr>
        <w:t xml:space="preserve">Abstract</w:t>
      </w:r>
    </w:p>
    <w:p>
      <w:pPr>
        <w:spacing w:after="120" w:line="276"/>
      </w:pPr>
      <w:r>
        <w:rPr>
          <w:rFonts w:ascii="Times New Roman" w:cs="Times New Roman" w:eastAsia="Times New Roman" w:hAnsi="Times New Roman"/>
          <w:sz w:val="24"/>
          <w:szCs w:val="24"/>
        </w:rPr>
        <w:t xml:space="preserve">We demonstrate that the approximate internal computational state of a language model can be reconstructed in real time from its output probability distribution by computing the pseudo-inverse of the model's unembedding matrix — a technique related to but distinct from the logit lens, requiring only final-layer output logits rather than intermediate activations. Applying this reverse projection to 11 language models across 5 architectures (3B–16B parameters), with 2 additional pilot models confirming key findings, we find that five categories of prompted behavior — knowledge retrieval (baseline), fabrication (mean Cohen's d = 3.4, 11/11 models), cautious generation (d = 2.5), safety-trained refusal (d = 4.8), and careful navigation of controversial topics (d = 5.5) — produce statistically separable hidden state trajectories in the reconstructed vocabulary-relevant subspace. The reconstructed space is not merely geometric but decodable: forward-projecting domain centroids through the unembedding matrix reveals domain-appropriate vocabulary at each position (law → "federal," "judicial," "law" on 5/6 models across 4 architectures), and forward-projecting along the fabrication direction reveals a systematic vocabulary shift from content-specific tokens ("mass," "cloud," "carbon") to embellishment tokens ("remarkable," "crucial," "fascinating"). This vocabulary shift identifies the mechanism underlying the companion Doodle Residual measurement: knowledge retrieval produces distributions dominated by one correct token (low participation ratio), while fabrication produces distributions where many interchangeable embellishment tokens compete (high participation ratio). Full trajectory analysis reveals that safety-trained refusal occupies a permanent displacement between benign and fabrication regions (13/13 models enter the fabrication zone during refusal, 10/13 remain there), with a variance texture approximately 235 times stronger than any other processing mode. The Doodle Residual detects fabrication risk during prompt processing before generation begins (AUC = 0.91 on the best-performing model), and prompt steering experiments demonstrate that epistemic framing ("I'm testing whether AI systems fabricate") produces refusal on 80% of fabrication-risk model-topic pairs (16/20), with consistent refusal across all tested models on topics containing recognizably unfamiliar terms, while authority framing produces fabrication at the same rate — a semantic, not geometric, steering effect. These findings establish that language model internal states are observable, decodable, and predictable from output distributions alone.</w:t>
      </w:r>
    </w:p>
    <w:p>
      <w:pPr>
        <w:pStyle w:val="Heading2"/>
        <w:spacing w:before="240" w:after="120"/>
      </w:pPr>
      <w:r>
        <w:rPr>
          <w:rFonts w:ascii="Times New Roman" w:cs="Times New Roman" w:eastAsia="Times New Roman" w:hAnsi="Times New Roman"/>
          <w:b/>
          <w:bCs/>
          <w:sz w:val="28"/>
          <w:szCs w:val="28"/>
        </w:rPr>
        <w:t xml:space="preserve">1. Introduction</w:t>
      </w:r>
    </w:p>
    <w:p>
      <w:pPr>
        <w:spacing w:after="120" w:line="276"/>
      </w:pPr>
      <w:r>
        <w:rPr>
          <w:rFonts w:ascii="Times New Roman" w:cs="Times New Roman" w:eastAsia="Times New Roman" w:hAnsi="Times New Roman"/>
          <w:sz w:val="24"/>
          <w:szCs w:val="24"/>
        </w:rPr>
        <w:t xml:space="preserve">The opacity of large language models — the "black box" problem — is the central barrier to their trustworthy deployment. A model that generates fluent, authoritative text about a topic it has no knowledge of is indistinguishable, by its output alone, from one generating accurate information. Existing interpretability approaches require access to internal activations, labeled training data, or model-specific probing classifiers, and none operate in real time during normal generation from external observation alone.</w:t>
      </w:r>
    </w:p>
    <w:p>
      <w:pPr>
        <w:spacing w:after="120" w:line="276"/>
      </w:pPr>
      <w:r>
        <w:rPr>
          <w:rFonts w:ascii="Times New Roman" w:cs="Times New Roman" w:eastAsia="Times New Roman" w:hAnsi="Times New Roman"/>
          <w:sz w:val="24"/>
          <w:szCs w:val="24"/>
        </w:rPr>
        <w:t xml:space="preserve">In a companion paper [1], we introduced the Doodle Residual (DR), a geometric measurement of token probability distribution shape that correlates with factual accuracy (Cohen's d = 0.874, blind ground truth, 11 models, 5 architectures). The DR demonstrates that the output probability distribution encodes information about the model's knowledge state. The present work asks a deeper question: can we go further than measuring the output — can we reconstruct the internal state that produced it, read what the model associates with each position in that state, and predict fabrication before it occurs?</w:t>
      </w:r>
    </w:p>
    <w:p>
      <w:pPr>
        <w:spacing w:after="120" w:line="276"/>
      </w:pPr>
      <w:r>
        <w:rPr>
          <w:rFonts w:ascii="Times New Roman" w:cs="Times New Roman" w:eastAsia="Times New Roman" w:hAnsi="Times New Roman"/>
          <w:sz w:val="24"/>
          <w:szCs w:val="24"/>
        </w:rPr>
        <w:t xml:space="preserve">The answer is yes, with qualifications. The final layer of a transformer-based language model is a linear projection from hidden state to logits through the unembedding matrix W. The pseudo-inverse of this projection recovers the component of the hidden state in the row space of W — the vocabulary-relevant subspace that determines the model's output behavior. By applying pinv(W^T) to each per-token logit vector, we reconstruct an approximate hidden state at every token position during generation.</w:t>
      </w:r>
    </w:p>
    <w:p>
      <w:pPr>
        <w:spacing w:after="120" w:line="276"/>
      </w:pPr>
      <w:r>
        <w:rPr>
          <w:rFonts w:ascii="Times New Roman" w:cs="Times New Roman" w:eastAsia="Times New Roman" w:hAnsi="Times New Roman"/>
          <w:sz w:val="24"/>
          <w:szCs w:val="24"/>
        </w:rPr>
        <w:t xml:space="preserve">This technique is related to the logit lens [7] and tuned lens [8], which project intermediate hidden states forward through the unembedding matrix to interpret layer-by-layer processing. Our method operates in the reverse direction — projecting final output logits backward through the pseudo-inverse to approximate the hidden state — and critically requires only the final output logits and the model's weight file, not access to intermediate activations during inference. We additionally apply the forward direction — projecting coordinates back through W to decode vocabulary — enabling bidirectional interpretability.</w:t>
      </w:r>
    </w:p>
    <w:p>
      <w:pPr>
        <w:spacing w:after="120" w:line="276"/>
      </w:pPr>
      <w:r>
        <w:rPr>
          <w:rFonts w:ascii="Times New Roman" w:cs="Times New Roman" w:eastAsia="Times New Roman" w:hAnsi="Times New Roman"/>
          <w:sz w:val="24"/>
          <w:szCs w:val="24"/>
        </w:rPr>
        <w:t xml:space="preserve">We report the following principal findings:</w:t>
      </w:r>
    </w:p>
    <w:p>
      <w:pPr>
        <w:spacing w:after="120" w:line="276"/>
      </w:pPr>
      <w:r>
        <w:rPr>
          <w:rFonts w:ascii="Times New Roman" w:cs="Times New Roman" w:eastAsia="Times New Roman" w:hAnsi="Times New Roman"/>
          <w:sz w:val="24"/>
          <w:szCs w:val="24"/>
        </w:rPr>
        <w:t xml:space="preserve">1. </w:t>
      </w:r>
      <w:r>
        <w:rPr>
          <w:rFonts w:ascii="Times New Roman" w:cs="Times New Roman" w:eastAsia="Times New Roman" w:hAnsi="Times New Roman"/>
          <w:b/>
          <w:bCs/>
          <w:sz w:val="24"/>
          <w:szCs w:val="24"/>
        </w:rPr>
        <w:t xml:space="preserve">Separable vocabulary trajectories.</w:t>
      </w:r>
      <w:r>
        <w:rPr>
          <w:rFonts w:ascii="Times New Roman" w:cs="Times New Roman" w:eastAsia="Times New Roman" w:hAnsi="Times New Roman"/>
          <w:sz w:val="24"/>
          <w:szCs w:val="24"/>
        </w:rPr>
        <w:t xml:space="preserve"> Five categories of prompted behavior — knowledge, fabrication, cautious generation, refusal, and controversial-topic navigation — produce statistically separable hidden state trajectories in the vocabulary-relevant projection, with Cohen's d ranging from 2.5 to 5.5 across 11 models. These are not discovered processing circuits but distinguishable vocabulary neighborhoods defined by what tokens the model is heading toward.</w:t>
      </w:r>
    </w:p>
    <w:p>
      <w:pPr>
        <w:spacing w:after="120" w:line="276"/>
      </w:pPr>
      <w:r>
        <w:rPr>
          <w:rFonts w:ascii="Times New Roman" w:cs="Times New Roman" w:eastAsia="Times New Roman" w:hAnsi="Times New Roman"/>
          <w:sz w:val="24"/>
          <w:szCs w:val="24"/>
        </w:rPr>
        <w:t xml:space="preserve">2. </w:t>
      </w:r>
      <w:r>
        <w:rPr>
          <w:rFonts w:ascii="Times New Roman" w:cs="Times New Roman" w:eastAsia="Times New Roman" w:hAnsi="Times New Roman"/>
          <w:b/>
          <w:bCs/>
          <w:sz w:val="24"/>
          <w:szCs w:val="24"/>
        </w:rPr>
        <w:t xml:space="preserve">Decodable domain geography.</w:t>
      </w:r>
      <w:r>
        <w:rPr>
          <w:rFonts w:ascii="Times New Roman" w:cs="Times New Roman" w:eastAsia="Times New Roman" w:hAnsi="Times New Roman"/>
          <w:sz w:val="24"/>
          <w:szCs w:val="24"/>
        </w:rPr>
        <w:t xml:space="preserve"> Knowledge domain centroids decode to domain-appropriate vocabulary when forward-projected through W (law → "federal," "judicial"; economics → "market," "demand"), confirmed on 5/6 models across 4 architectures.</w:t>
      </w:r>
    </w:p>
    <w:p>
      <w:pPr>
        <w:spacing w:after="120" w:line="276"/>
      </w:pPr>
      <w:r>
        <w:rPr>
          <w:rFonts w:ascii="Times New Roman" w:cs="Times New Roman" w:eastAsia="Times New Roman" w:hAnsi="Times New Roman"/>
          <w:sz w:val="24"/>
          <w:szCs w:val="24"/>
        </w:rPr>
        <w:t xml:space="preserve">3. </w:t>
      </w:r>
      <w:r>
        <w:rPr>
          <w:rFonts w:ascii="Times New Roman" w:cs="Times New Roman" w:eastAsia="Times New Roman" w:hAnsi="Times New Roman"/>
          <w:b/>
          <w:bCs/>
          <w:sz w:val="24"/>
          <w:szCs w:val="24"/>
        </w:rPr>
        <w:t xml:space="preserve">The fabrication mechanism.</w:t>
      </w:r>
      <w:r>
        <w:rPr>
          <w:rFonts w:ascii="Times New Roman" w:cs="Times New Roman" w:eastAsia="Times New Roman" w:hAnsi="Times New Roman"/>
          <w:sz w:val="24"/>
          <w:szCs w:val="24"/>
        </w:rPr>
        <w:t xml:space="preserve"> Token-level vocabulary decoding reveals that fabrication corresponds to a shift from content-specific tokens to embellishment tokens. This identifies the DR mechanism: high participation ratio during fabrication reflects competition among interchangeable embellishment tokens.</w:t>
      </w:r>
    </w:p>
    <w:p>
      <w:pPr>
        <w:spacing w:after="120" w:line="276"/>
      </w:pPr>
      <w:r>
        <w:rPr>
          <w:rFonts w:ascii="Times New Roman" w:cs="Times New Roman" w:eastAsia="Times New Roman" w:hAnsi="Times New Roman"/>
          <w:sz w:val="24"/>
          <w:szCs w:val="24"/>
        </w:rPr>
        <w:t xml:space="preserve">4. </w:t>
      </w:r>
      <w:r>
        <w:rPr>
          <w:rFonts w:ascii="Times New Roman" w:cs="Times New Roman" w:eastAsia="Times New Roman" w:hAnsi="Times New Roman"/>
          <w:b/>
          <w:bCs/>
          <w:sz w:val="24"/>
          <w:szCs w:val="24"/>
        </w:rPr>
        <w:t xml:space="preserve">Refusal as displacement.</w:t>
      </w:r>
      <w:r>
        <w:rPr>
          <w:rFonts w:ascii="Times New Roman" w:cs="Times New Roman" w:eastAsia="Times New Roman" w:hAnsi="Times New Roman"/>
          <w:sz w:val="24"/>
          <w:szCs w:val="24"/>
        </w:rPr>
        <w:t xml:space="preserve"> Full trajectory analysis shows refusal occupies a permanent displacement between benign and fabrication regions, not a transient spike. All 13 tested models enter the fabrication zone during refusal.</w:t>
      </w:r>
    </w:p>
    <w:p>
      <w:pPr>
        <w:spacing w:after="120" w:line="276"/>
      </w:pPr>
      <w:r>
        <w:rPr>
          <w:rFonts w:ascii="Times New Roman" w:cs="Times New Roman" w:eastAsia="Times New Roman" w:hAnsi="Times New Roman"/>
          <w:sz w:val="24"/>
          <w:szCs w:val="24"/>
        </w:rPr>
        <w:t xml:space="preserve">5. </w:t>
      </w:r>
      <w:r>
        <w:rPr>
          <w:rFonts w:ascii="Times New Roman" w:cs="Times New Roman" w:eastAsia="Times New Roman" w:hAnsi="Times New Roman"/>
          <w:b/>
          <w:bCs/>
          <w:sz w:val="24"/>
          <w:szCs w:val="24"/>
        </w:rPr>
        <w:t xml:space="preserve">Pre-generation detection.</w:t>
      </w:r>
      <w:r>
        <w:rPr>
          <w:rFonts w:ascii="Times New Roman" w:cs="Times New Roman" w:eastAsia="Times New Roman" w:hAnsi="Times New Roman"/>
          <w:sz w:val="24"/>
          <w:szCs w:val="24"/>
        </w:rPr>
        <w:t xml:space="preserve"> The DR detects fabrication risk during prompt processing before the first generated token (AUC = 0.91 on the best-performing model).</w:t>
      </w:r>
    </w:p>
    <w:p>
      <w:pPr>
        <w:spacing w:after="120" w:line="276"/>
      </w:pPr>
      <w:r>
        <w:rPr>
          <w:rFonts w:ascii="Times New Roman" w:cs="Times New Roman" w:eastAsia="Times New Roman" w:hAnsi="Times New Roman"/>
          <w:sz w:val="24"/>
          <w:szCs w:val="24"/>
        </w:rPr>
        <w:t xml:space="preserve">6. </w:t>
      </w:r>
      <w:r>
        <w:rPr>
          <w:rFonts w:ascii="Times New Roman" w:cs="Times New Roman" w:eastAsia="Times New Roman" w:hAnsi="Times New Roman"/>
          <w:b/>
          <w:bCs/>
          <w:sz w:val="24"/>
          <w:szCs w:val="24"/>
        </w:rPr>
        <w:t xml:space="preserve">Prompt steering.</w:t>
      </w:r>
      <w:r>
        <w:rPr>
          <w:rFonts w:ascii="Times New Roman" w:cs="Times New Roman" w:eastAsia="Times New Roman" w:hAnsi="Times New Roman"/>
          <w:sz w:val="24"/>
          <w:szCs w:val="24"/>
        </w:rPr>
        <w:t xml:space="preserve"> Epistemic framing produces refusal on 80% of fabrication-risk model-topic pairs; authority framing produces fabrication at the same rate. Steering is semantic, not geometric.</w:t>
      </w:r>
    </w:p>
    <w:p>
      <w:pPr>
        <w:spacing w:after="120" w:line="276"/>
      </w:pPr>
      <w:r>
        <w:rPr>
          <w:rFonts w:ascii="Times New Roman" w:cs="Times New Roman" w:eastAsia="Times New Roman" w:hAnsi="Times New Roman"/>
          <w:sz w:val="24"/>
          <w:szCs w:val="24"/>
        </w:rPr>
        <w:t xml:space="preserve">7. </w:t>
      </w:r>
      <w:r>
        <w:rPr>
          <w:rFonts w:ascii="Times New Roman" w:cs="Times New Roman" w:eastAsia="Times New Roman" w:hAnsi="Times New Roman"/>
          <w:b/>
          <w:bCs/>
          <w:sz w:val="24"/>
          <w:szCs w:val="24"/>
        </w:rPr>
        <w:t xml:space="preserve">Approximately 235× refusal texture</w:t>
      </w:r>
      <w:r>
        <w:rPr>
          <w:rFonts w:ascii="Times New Roman" w:cs="Times New Roman" w:eastAsia="Times New Roman" w:hAnsi="Times New Roman"/>
          <w:sz w:val="24"/>
          <w:szCs w:val="24"/>
        </w:rPr>
        <w:t xml:space="preserve"> in the output distribution, and early detection via the hidden state trajectory (2–10 tokens ahead of DR).</w:t>
      </w:r>
    </w:p>
    <w:p>
      <w:pPr>
        <w:pStyle w:val="Heading2"/>
        <w:spacing w:before="240" w:after="120"/>
      </w:pPr>
      <w:r>
        <w:rPr>
          <w:rFonts w:ascii="Times New Roman" w:cs="Times New Roman" w:eastAsia="Times New Roman" w:hAnsi="Times New Roman"/>
          <w:b/>
          <w:bCs/>
          <w:sz w:val="28"/>
          <w:szCs w:val="28"/>
        </w:rPr>
        <w:t xml:space="preserve">2. Background and Related Work</w:t>
      </w:r>
    </w:p>
    <w:p>
      <w:pPr>
        <w:pStyle w:val="Heading3"/>
        <w:spacing w:before="200" w:after="100"/>
      </w:pPr>
      <w:r>
        <w:rPr>
          <w:rFonts w:ascii="Times New Roman" w:cs="Times New Roman" w:eastAsia="Times New Roman" w:hAnsi="Times New Roman"/>
          <w:b/>
          <w:bCs/>
          <w:sz w:val="24"/>
          <w:szCs w:val="24"/>
        </w:rPr>
        <w:t xml:space="preserve">2.1 Language Model Interpretability</w:t>
      </w:r>
    </w:p>
    <w:p>
      <w:pPr>
        <w:spacing w:after="120" w:line="276"/>
      </w:pPr>
      <w:r>
        <w:rPr>
          <w:rFonts w:ascii="Times New Roman" w:cs="Times New Roman" w:eastAsia="Times New Roman" w:hAnsi="Times New Roman"/>
          <w:sz w:val="24"/>
          <w:szCs w:val="24"/>
        </w:rPr>
        <w:t xml:space="preserve">Mechanistic interpretability [2, 3] traces circuits inside transformers but requires deep access to model internals and produces model-specific results. Probing classifiers [4] train auxiliary models on hidden states but require labeled data and instrumented runs. Representation engineering [5] identifies concept directions in activation space but requires access to intermediate activations.</w:t>
      </w:r>
    </w:p>
    <w:p>
      <w:pPr>
        <w:pStyle w:val="Heading3"/>
        <w:spacing w:before="200" w:after="100"/>
      </w:pPr>
      <w:r>
        <w:rPr>
          <w:rFonts w:ascii="Times New Roman" w:cs="Times New Roman" w:eastAsia="Times New Roman" w:hAnsi="Times New Roman"/>
          <w:b/>
          <w:bCs/>
          <w:sz w:val="24"/>
          <w:szCs w:val="24"/>
        </w:rPr>
        <w:t xml:space="preserve">2.2 The Logit Lens and Tuned Lens</w:t>
      </w:r>
    </w:p>
    <w:p>
      <w:pPr>
        <w:spacing w:after="120" w:line="276"/>
      </w:pPr>
      <w:r>
        <w:rPr>
          <w:rFonts w:ascii="Times New Roman" w:cs="Times New Roman" w:eastAsia="Times New Roman" w:hAnsi="Times New Roman"/>
          <w:sz w:val="24"/>
          <w:szCs w:val="24"/>
        </w:rPr>
        <w:t xml:space="preserve">The logit lens [7] projects intermediate hidden states at each transformer layer through the unembedding matrix to produce token predictions, revealing what the model "would predict" at each layer of processing. The tuned lens [8] learns affine transformations per layer to improve these projections. Both methods require access to intermediate activations.</w:t>
      </w:r>
    </w:p>
    <w:p>
      <w:pPr>
        <w:spacing w:after="120" w:line="276"/>
      </w:pPr>
      <w:r>
        <w:rPr>
          <w:rFonts w:ascii="Times New Roman" w:cs="Times New Roman" w:eastAsia="Times New Roman" w:hAnsi="Times New Roman"/>
          <w:sz w:val="24"/>
          <w:szCs w:val="24"/>
        </w:rPr>
        <w:t xml:space="preserve">The present work operates in the opposite direction: projecting final output logits backward through the pseudo-inverse to approximate the hidden state. The key distinction is both directional and temporal: the logit lens applies W to intermediate hidden states at each transformer layer; our method applies pinv(W^T) to the final output logits. The key contribution is not the linear algebra but the empirical finding that the reconstructed hidden states contain sufficient structure to separate prompted behavioral categories with very large effect sizes (d &gt; 1.0 on every model tested), and that forward projection through W decodes interpretable vocabulary at arbitrary coordinates.</w:t>
      </w:r>
    </w:p>
    <w:p>
      <w:pPr>
        <w:pStyle w:val="Heading3"/>
        <w:spacing w:before="200" w:after="100"/>
      </w:pPr>
      <w:r>
        <w:rPr>
          <w:rFonts w:ascii="Times New Roman" w:cs="Times New Roman" w:eastAsia="Times New Roman" w:hAnsi="Times New Roman"/>
          <w:b/>
          <w:bCs/>
          <w:sz w:val="24"/>
          <w:szCs w:val="24"/>
        </w:rPr>
        <w:t xml:space="preserve">2.3 Uncertainty and Fabrication Detection</w:t>
      </w:r>
    </w:p>
    <w:p>
      <w:pPr>
        <w:spacing w:after="120" w:line="276"/>
      </w:pPr>
      <w:r>
        <w:rPr>
          <w:rFonts w:ascii="Times New Roman" w:cs="Times New Roman" w:eastAsia="Times New Roman" w:hAnsi="Times New Roman"/>
          <w:sz w:val="24"/>
          <w:szCs w:val="24"/>
        </w:rPr>
        <w:t xml:space="preserve">Semantic entropy [9, 12] detects fabrication by measuring inconsistency across multiple sampled generations. Self-consistency methods [10] similarly require multiple generations per prompt. Conformal prediction approaches [11] calibrate uncertainty from held-out data. HALT [6] trains a classifier on internal representations. The DR [1] and the present methods are single-generation, training-free, and require no internal access beyond output logits and the weight file.</w:t>
      </w:r>
    </w:p>
    <w:p>
      <w:pPr>
        <w:pStyle w:val="Heading3"/>
        <w:spacing w:before="200" w:after="100"/>
      </w:pPr>
      <w:r>
        <w:rPr>
          <w:rFonts w:ascii="Times New Roman" w:cs="Times New Roman" w:eastAsia="Times New Roman" w:hAnsi="Times New Roman"/>
          <w:b/>
          <w:bCs/>
          <w:sz w:val="24"/>
          <w:szCs w:val="24"/>
        </w:rPr>
        <w:t xml:space="preserve">2.4 The Doodle Residual</w:t>
      </w:r>
    </w:p>
    <w:p>
      <w:pPr>
        <w:spacing w:after="120" w:line="276"/>
      </w:pPr>
      <w:r>
        <w:rPr>
          <w:rFonts w:ascii="Times New Roman" w:cs="Times New Roman" w:eastAsia="Times New Roman" w:hAnsi="Times New Roman"/>
          <w:sz w:val="24"/>
          <w:szCs w:val="24"/>
        </w:rPr>
        <w:t xml:space="preserve">The Doodle Residual [1] measures the shape of the per-token probability distribution. The participation ratio PR = 1/Σp_i² counts effective competing tokens. PR and top-1 probability p₁ are linearly related; the residual after subtracting this linear "wall" model correlates with factual accuracy. Validated on 11 models across 5 architectures with independent blind ground truth (Cohen's d = 0.874, 97.4% inter-judge agreement).</w:t>
      </w:r>
    </w:p>
    <w:p>
      <w:pPr>
        <w:pStyle w:val="Heading2"/>
        <w:spacing w:before="240" w:after="120"/>
      </w:pPr>
      <w:r>
        <w:rPr>
          <w:rFonts w:ascii="Times New Roman" w:cs="Times New Roman" w:eastAsia="Times New Roman" w:hAnsi="Times New Roman"/>
          <w:b/>
          <w:bCs/>
          <w:sz w:val="28"/>
          <w:szCs w:val="28"/>
        </w:rPr>
        <w:t xml:space="preserve">3. Methods</w:t>
      </w:r>
    </w:p>
    <w:p>
      <w:pPr>
        <w:pStyle w:val="Heading3"/>
        <w:spacing w:before="200" w:after="100"/>
      </w:pPr>
      <w:r>
        <w:rPr>
          <w:rFonts w:ascii="Times New Roman" w:cs="Times New Roman" w:eastAsia="Times New Roman" w:hAnsi="Times New Roman"/>
          <w:b/>
          <w:bCs/>
          <w:sz w:val="24"/>
          <w:szCs w:val="24"/>
        </w:rPr>
        <w:t xml:space="preserve">3.1 Reverse Projection</w:t>
      </w:r>
    </w:p>
    <w:p>
      <w:pPr>
        <w:spacing w:after="120" w:line="276"/>
      </w:pPr>
      <w:r>
        <w:rPr>
          <w:rFonts w:ascii="Times New Roman" w:cs="Times New Roman" w:eastAsia="Times New Roman" w:hAnsi="Times New Roman"/>
          <w:sz w:val="24"/>
          <w:szCs w:val="24"/>
        </w:rPr>
        <w:t xml:space="preserve">For a model with unembedding matrix W of dimension (V × d_model), we compute W_pinv = pinv(W^T) [dimension: d_model × V]. At each token position, given logit vector z: h_approx = W_pinv × z [dimension: d_model]. In practice, for quantized models, we use truncated SVD of collected logit vectors to approximate the projection.</w:t>
      </w:r>
    </w:p>
    <w:p>
      <w:pPr>
        <w:pStyle w:val="Heading3"/>
        <w:spacing w:before="200" w:after="100"/>
      </w:pPr>
      <w:r>
        <w:rPr>
          <w:rFonts w:ascii="Times New Roman" w:cs="Times New Roman" w:eastAsia="Times New Roman" w:hAnsi="Times New Roman"/>
          <w:b/>
          <w:bCs/>
          <w:sz w:val="24"/>
          <w:szCs w:val="24"/>
        </w:rPr>
        <w:t xml:space="preserve">3.2 Forward Projection</w:t>
      </w:r>
    </w:p>
    <w:p>
      <w:pPr>
        <w:spacing w:after="120" w:line="276"/>
      </w:pPr>
      <w:r>
        <w:rPr>
          <w:rFonts w:ascii="Times New Roman" w:cs="Times New Roman" w:eastAsia="Times New Roman" w:hAnsi="Times New Roman"/>
          <w:sz w:val="24"/>
          <w:szCs w:val="24"/>
        </w:rPr>
        <w:t xml:space="preserve">Given any coordinate vector c in the d_model-dimensional representation space: v = W^T × c, where v is a V-dimensional vector whose components represent the model's vocabulary associations at coordinate c. The highest-magnitude components identify the tokens most strongly associated with position c. When the unembedding matrix is approximated via truncated SVD, the forward projection accuracy depends on the same approximation quality as the reverse projection.</w:t>
      </w:r>
    </w:p>
    <w:p>
      <w:pPr>
        <w:pStyle w:val="Heading3"/>
        <w:spacing w:before="200" w:after="100"/>
      </w:pPr>
      <w:r>
        <w:rPr>
          <w:rFonts w:ascii="Times New Roman" w:cs="Times New Roman" w:eastAsia="Times New Roman" w:hAnsi="Times New Roman"/>
          <w:b/>
          <w:bCs/>
          <w:sz w:val="24"/>
          <w:szCs w:val="24"/>
        </w:rPr>
        <w:t xml:space="preserve">3.3 Fabrication Direction and Domain Centroids</w:t>
      </w:r>
    </w:p>
    <w:p>
      <w:pPr>
        <w:spacing w:after="120" w:line="276"/>
      </w:pPr>
      <w:r>
        <w:rPr>
          <w:rFonts w:ascii="Times New Roman" w:cs="Times New Roman" w:eastAsia="Times New Roman" w:hAnsi="Times New Roman"/>
          <w:sz w:val="24"/>
          <w:szCs w:val="24"/>
        </w:rPr>
        <w:t xml:space="preserve">The fabrication direction is the unit vector from the centroid of benign generation hidden states to the centroid of fabrication generation hidden states. Domain centroids are computed by averaging the reverse-projected hidden states from generations within each knowledge domain. The fabrication direction is computed and evaluated on the same data (no held-out split); cross-model consistency provides robustness but does not substitute for within-model cross-validation.</w:t>
      </w:r>
    </w:p>
    <w:p>
      <w:pPr>
        <w:pStyle w:val="Heading3"/>
        <w:spacing w:before="200" w:after="100"/>
      </w:pPr>
      <w:r>
        <w:rPr>
          <w:rFonts w:ascii="Times New Roman" w:cs="Times New Roman" w:eastAsia="Times New Roman" w:hAnsi="Times New Roman"/>
          <w:b/>
          <w:bCs/>
          <w:sz w:val="24"/>
          <w:szCs w:val="24"/>
        </w:rPr>
        <w:t xml:space="preserve">3.4 Pre-Generation Gate</w:t>
      </w:r>
    </w:p>
    <w:p>
      <w:pPr>
        <w:spacing w:after="120" w:line="276"/>
      </w:pPr>
      <w:r>
        <w:rPr>
          <w:rFonts w:ascii="Times New Roman" w:cs="Times New Roman" w:eastAsia="Times New Roman" w:hAnsi="Times New Roman"/>
          <w:sz w:val="24"/>
          <w:szCs w:val="24"/>
        </w:rPr>
        <w:t xml:space="preserve">During prompt processing, the model produces logit vectors at each prompt token position. We compute DR at each position using the standard PR-wall method. The maximum DR across prompt tokens serves as the prompt-level fabrication risk score. This measurement occurs during the standard forward pass, before any generation tokens are produced.</w:t>
      </w:r>
    </w:p>
    <w:p>
      <w:pPr>
        <w:pStyle w:val="Heading3"/>
        <w:spacing w:before="200" w:after="100"/>
      </w:pPr>
      <w:r>
        <w:rPr>
          <w:rFonts w:ascii="Times New Roman" w:cs="Times New Roman" w:eastAsia="Times New Roman" w:hAnsi="Times New Roman"/>
          <w:b/>
          <w:bCs/>
          <w:sz w:val="24"/>
          <w:szCs w:val="24"/>
        </w:rPr>
        <w:t xml:space="preserve">3.5 Statistical Considerations</w:t>
      </w:r>
    </w:p>
    <w:p>
      <w:pPr>
        <w:spacing w:after="120" w:line="276"/>
      </w:pPr>
      <w:r>
        <w:rPr>
          <w:rFonts w:ascii="Times New Roman" w:cs="Times New Roman" w:eastAsia="Times New Roman" w:hAnsi="Times New Roman"/>
          <w:sz w:val="24"/>
          <w:szCs w:val="24"/>
        </w:rPr>
        <w:t xml:space="preserve">Effect sizes (Cohen's d) are computed with n = 10 per group, yielding wide confidence intervals. The consistency of large effects across 11 independently tested models provides robustness. A per-model Bonferroni correction (5 comparisons per model, α = 0.01, requiring d ≈ 1.29) is applied; all fabrication d values exceed this threshold. All results are reported for temperature 0.2; generalization to other temperature settings has not been validated.</w:t>
      </w:r>
    </w:p>
    <w:p>
      <w:pPr>
        <w:pStyle w:val="Heading2"/>
        <w:spacing w:before="240" w:after="120"/>
      </w:pPr>
      <w:r>
        <w:rPr>
          <w:rFonts w:ascii="Times New Roman" w:cs="Times New Roman" w:eastAsia="Times New Roman" w:hAnsi="Times New Roman"/>
          <w:b/>
          <w:bCs/>
          <w:sz w:val="28"/>
          <w:szCs w:val="28"/>
        </w:rPr>
        <w:t xml:space="preserve">4. Experimental Setup</w:t>
      </w:r>
    </w:p>
    <w:p>
      <w:pPr>
        <w:pStyle w:val="Heading3"/>
        <w:spacing w:before="200" w:after="100"/>
      </w:pPr>
      <w:r>
        <w:rPr>
          <w:rFonts w:ascii="Times New Roman" w:cs="Times New Roman" w:eastAsia="Times New Roman" w:hAnsi="Times New Roman"/>
          <w:b/>
          <w:bCs/>
          <w:sz w:val="24"/>
          <w:szCs w:val="24"/>
        </w:rPr>
        <w:t xml:space="preserve">4.1 Models</w:t>
      </w:r>
    </w:p>
    <w:p>
      <w:pPr>
        <w:spacing w:after="120" w:line="276"/>
      </w:pPr>
      <w:r>
        <w:rPr>
          <w:rFonts w:ascii="Times New Roman" w:cs="Times New Roman" w:eastAsia="Times New Roman" w:hAnsi="Times New Roman"/>
          <w:sz w:val="24"/>
          <w:szCs w:val="24"/>
        </w:rPr>
        <w:t xml:space="preserve">The comprehensive reverse projection experiment tested 11 models on 60 prompts each (6 categories × 10 prompts): Qwen 2.5 Coder 7B and 14B, Mistral 7B (base), Llama 3.1 8B and 8B (base), Llama 3.2 3B, Phi3 Mini 3.8B, DeepSeek Coder v2 16B, Dolphin-Mistral 7B (safety-removed), Dolphin-Llama 8B (safety-removed), and Llava 7B. Two pilot models (Qwen 2.5 7B, Mistral 7B aligned) confirmed the fabrication direction finding on 20 prompts each.</w:t>
      </w:r>
    </w:p>
    <w:p>
      <w:pPr>
        <w:spacing w:after="120" w:line="276"/>
      </w:pPr>
      <w:r>
        <w:rPr>
          <w:rFonts w:ascii="Times New Roman" w:cs="Times New Roman" w:eastAsia="Times New Roman" w:hAnsi="Times New Roman"/>
          <w:sz w:val="24"/>
          <w:szCs w:val="24"/>
        </w:rPr>
        <w:t xml:space="preserve">A separate alignment geometry experiment tested 12 models on 50 prompts (5 security-relevant categories) using output-distribution metrics only. Additional experiments on token-level decoding, forward projection, pre-generation gate, and prompt steering used subsets of these models as detailed per section.</w:t>
      </w:r>
    </w:p>
    <w:p>
      <w:pPr>
        <w:spacing w:after="120" w:line="276"/>
      </w:pPr>
      <w:r>
        <w:rPr>
          <w:rFonts w:ascii="Times New Roman" w:cs="Times New Roman" w:eastAsia="Times New Roman" w:hAnsi="Times New Roman"/>
          <w:sz w:val="24"/>
          <w:szCs w:val="24"/>
        </w:rPr>
        <w:t xml:space="preserve">All models were run locally via llama-cpp-python with full logit access, temperature 0.2 (selected based on prior experimentation as the setting producing stable distribution geometry while preserving meaningful token competition), maximum 200 tokens per generation, in GGUF quantized format.</w:t>
      </w:r>
    </w:p>
    <w:p>
      <w:pPr>
        <w:pStyle w:val="Heading3"/>
        <w:spacing w:before="200" w:after="100"/>
      </w:pPr>
      <w:r>
        <w:rPr>
          <w:rFonts w:ascii="Times New Roman" w:cs="Times New Roman" w:eastAsia="Times New Roman" w:hAnsi="Times New Roman"/>
          <w:b/>
          <w:bCs/>
          <w:sz w:val="24"/>
          <w:szCs w:val="24"/>
        </w:rPr>
        <w:t xml:space="preserve">4.2 Prompt Categories</w:t>
      </w:r>
    </w:p>
    <w:p>
      <w:pPr>
        <w:spacing w:after="120" w:line="276"/>
      </w:pPr>
      <w:r>
        <w:rPr>
          <w:rFonts w:ascii="Times New Roman" w:cs="Times New Roman" w:eastAsia="Times New Roman" w:hAnsi="Times New Roman"/>
          <w:sz w:val="24"/>
          <w:szCs w:val="24"/>
        </w:rPr>
        <w:t xml:space="preserve">Six categories of 10 prompts each: Benign Knowledge (topics within training data), Fabrication Probes (entirely fictional topics designed to elicit fabrication — circularity implications discussed in Section 3.3), Mild Taboo (cautious but not refusal-worthy), Hard Refusal (harmful content that safety-trained models should refuse), Controversial but Legitimate (debate topics requiring balanced treatment), and Domain Diversity (one prompt from each of 10 knowledge domains).</w:t>
      </w:r>
    </w:p>
    <w:p>
      <w:pPr>
        <w:pStyle w:val="Heading2"/>
        <w:spacing w:before="240" w:after="120"/>
      </w:pPr>
      <w:r>
        <w:rPr>
          <w:rFonts w:ascii="Times New Roman" w:cs="Times New Roman" w:eastAsia="Times New Roman" w:hAnsi="Times New Roman"/>
          <w:b/>
          <w:bCs/>
          <w:sz w:val="28"/>
          <w:szCs w:val="28"/>
        </w:rPr>
        <w:t xml:space="preserve">5. Results: The Hidden State Map</w:t>
      </w:r>
    </w:p>
    <w:p>
      <w:pPr>
        <w:pStyle w:val="Heading3"/>
        <w:spacing w:before="200" w:after="100"/>
      </w:pPr>
      <w:r>
        <w:rPr>
          <w:rFonts w:ascii="Times New Roman" w:cs="Times New Roman" w:eastAsia="Times New Roman" w:hAnsi="Times New Roman"/>
          <w:b/>
          <w:bCs/>
          <w:sz w:val="24"/>
          <w:szCs w:val="24"/>
        </w:rPr>
        <w:t xml:space="preserve">5.1 Separable Vocabulary Trajectories</w:t>
      </w:r>
    </w:p>
    <w:p>
      <w:pPr>
        <w:spacing w:after="120" w:line="276"/>
      </w:pPr>
      <w:r>
        <w:rPr>
          <w:rFonts w:ascii="Times New Roman" w:cs="Times New Roman" w:eastAsia="Times New Roman" w:hAnsi="Times New Roman"/>
          <w:sz w:val="24"/>
          <w:szCs w:val="24"/>
        </w:rPr>
        <w:t xml:space="preserve">Five categories of prompted behavior produce statistically separable hidden state trajectories in the vocabulary-relevant projection. Table 1 shows Cohen's d for each category relative to benign knowledge across the 11 comprehensive-experiment models. These separations reflect distinguishable vocabulary neighborhoods — different types of generation head toward different regions of token space — not discrete processing circuits or walled-off computational zones. The categories were defined by the prompt design; the finding is that the model's vocabulary-relevant hidden states separate along these categories with large, consistent effect sizes.</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1: Hidden state separation by prompted category (11 models)</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Prompted Category</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Mean d</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SD</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Min</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Max</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All &gt; 1.0?</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Fabrication</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3.40</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0.97</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1.76</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5.02</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Yes (11/11)</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Mild Taboo</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2.53</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0.66</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0.64</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3.18</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10/11</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Hard Refusal</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4.78</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1.21</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2.54</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7.22</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Yes (11/11)</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Controversial</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5.53</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1.94</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0.93</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7.81</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10/11</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Domain Diversity</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2.16</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0.39</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1.40</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2.74</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Yes (11/11)</w:t>
            </w:r>
          </w:p>
        </w:tc>
      </w:tr>
    </w:tbl>
    <w:p>
      <w:pPr>
        <w:spacing w:after="120"/>
      </w:pPr>
    </w:p>
    <w:p>
      <w:pPr>
        <w:pStyle w:val="Heading3"/>
        <w:spacing w:before="200" w:after="100"/>
      </w:pPr>
      <w:r>
        <w:rPr>
          <w:rFonts w:ascii="Times New Roman" w:cs="Times New Roman" w:eastAsia="Times New Roman" w:hAnsi="Times New Roman"/>
          <w:b/>
          <w:bCs/>
          <w:sz w:val="24"/>
          <w:szCs w:val="24"/>
        </w:rPr>
        <w:t xml:space="preserve">5.2 Fabrication Direction Is Universal</w:t>
      </w:r>
    </w:p>
    <w:p>
      <w:pPr>
        <w:spacing w:after="120" w:line="276"/>
      </w:pPr>
      <w:r>
        <w:rPr>
          <w:rFonts w:ascii="Times New Roman" w:cs="Times New Roman" w:eastAsia="Times New Roman" w:hAnsi="Times New Roman"/>
          <w:sz w:val="24"/>
          <w:szCs w:val="24"/>
        </w:rPr>
        <w:t xml:space="preserve">The fabrication direction achieves d &gt; 1.0 on all 11 comprehensive-experiment models and both pilot models. This universality holds across 5 architectures (Qwen, Mistral, Llama, Phi, DeepSeek), parameter scales (3B–16B), and alignment conditions: aligned (mean d = 3.47), base/unaligned (mean d = 2.87), safety-removed (mean d = 3.66). The fabrication direction is not an artifact of safety training — base models without RLHF show the same geometric separation.</w:t>
      </w:r>
    </w:p>
    <w:p>
      <w:pPr>
        <w:pStyle w:val="Heading3"/>
        <w:spacing w:before="200" w:after="100"/>
      </w:pPr>
      <w:r>
        <w:rPr>
          <w:rFonts w:ascii="Times New Roman" w:cs="Times New Roman" w:eastAsia="Times New Roman" w:hAnsi="Times New Roman"/>
          <w:b/>
          <w:bCs/>
          <w:sz w:val="24"/>
          <w:szCs w:val="24"/>
        </w:rPr>
        <w:t xml:space="preserve">5.3 Refusal Trajectory</w:t>
      </w:r>
    </w:p>
    <w:p>
      <w:pPr>
        <w:spacing w:after="120" w:line="276"/>
      </w:pPr>
      <w:r>
        <w:rPr>
          <w:rFonts w:ascii="Times New Roman" w:cs="Times New Roman" w:eastAsia="Times New Roman" w:hAnsi="Times New Roman"/>
          <w:sz w:val="24"/>
          <w:szCs w:val="24"/>
        </w:rPr>
        <w:t xml:space="preserve">Hard refusal (mean d = 4.78) is partially aligned with the fabrication direction: mean cosine similarity = 0.56 (range: 0.32–0.99 across models). One possible interpretation is that both fabrication and refusal involve processing content outside the model's comfortable knowledge zone, producing a shared geometric component. No model shows refusal orthogonal to or opposite from fabrication.</w:t>
      </w:r>
    </w:p>
    <w:p>
      <w:pPr>
        <w:pStyle w:val="Heading3"/>
        <w:spacing w:before="200" w:after="100"/>
      </w:pPr>
      <w:r>
        <w:rPr>
          <w:rFonts w:ascii="Times New Roman" w:cs="Times New Roman" w:eastAsia="Times New Roman" w:hAnsi="Times New Roman"/>
          <w:b/>
          <w:bCs/>
          <w:sz w:val="24"/>
          <w:szCs w:val="24"/>
        </w:rPr>
        <w:t xml:space="preserve">5.4 Controversial Topics</w:t>
      </w:r>
    </w:p>
    <w:p>
      <w:pPr>
        <w:spacing w:after="120" w:line="276"/>
      </w:pPr>
      <w:r>
        <w:rPr>
          <w:rFonts w:ascii="Times New Roman" w:cs="Times New Roman" w:eastAsia="Times New Roman" w:hAnsi="Times New Roman"/>
          <w:sz w:val="24"/>
          <w:szCs w:val="24"/>
        </w:rPr>
        <w:t xml:space="preserve">Controversial but legitimate topics produce the largest separation from benign (mean d = 5.53). One possible explanation is that careful, balanced generation requires complex internal processing; an alternative is that RLHF training produces distinctive geometric signatures for controversial topics. The data do not distinguish between these interpretations.</w:t>
      </w:r>
    </w:p>
    <w:p>
      <w:pPr>
        <w:pStyle w:val="Heading2"/>
        <w:spacing w:before="240" w:after="120"/>
      </w:pPr>
      <w:r>
        <w:rPr>
          <w:rFonts w:ascii="Times New Roman" w:cs="Times New Roman" w:eastAsia="Times New Roman" w:hAnsi="Times New Roman"/>
          <w:b/>
          <w:bCs/>
          <w:sz w:val="28"/>
          <w:szCs w:val="28"/>
        </w:rPr>
        <w:t xml:space="preserve">6. Results: Alignment Geometry</w:t>
      </w:r>
    </w:p>
    <w:p>
      <w:pPr>
        <w:pStyle w:val="Heading3"/>
        <w:spacing w:before="200" w:after="100"/>
      </w:pPr>
      <w:r>
        <w:rPr>
          <w:rFonts w:ascii="Times New Roman" w:cs="Times New Roman" w:eastAsia="Times New Roman" w:hAnsi="Times New Roman"/>
          <w:b/>
          <w:bCs/>
          <w:sz w:val="24"/>
          <w:szCs w:val="24"/>
        </w:rPr>
        <w:t xml:space="preserve">6.1 The 235× Refusal Texture</w:t>
      </w:r>
    </w:p>
    <w:p>
      <w:pPr>
        <w:spacing w:after="120" w:line="276"/>
      </w:pPr>
      <w:r>
        <w:rPr>
          <w:rFonts w:ascii="Times New Roman" w:cs="Times New Roman" w:eastAsia="Times New Roman" w:hAnsi="Times New Roman"/>
          <w:sz w:val="24"/>
          <w:szCs w:val="24"/>
        </w:rPr>
        <w:t xml:space="preserve">Analysis of temporal texture features in output probability distributions reveals that safety-trained refusal produces a qualitatively different temporal pattern from all other processing modes.</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2: Temporal texture by prompted category (12 models, 50 prompts each)</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Prompted Category</w:t>
            </w:r>
          </w:p>
        </w:tc>
        <w:tc>
          <w:tcPr>
            <w:tcW w:type="dxa" w:w="1872"/>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p1_var_diff</w:t>
            </w:r>
          </w:p>
        </w:tc>
        <w:tc>
          <w:tcPr>
            <w:tcW w:type="dxa" w:w="1872"/>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dr_slope_changes</w:t>
            </w:r>
          </w:p>
        </w:tc>
        <w:tc>
          <w:tcPr>
            <w:tcW w:type="dxa" w:w="1872"/>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dr_n_runs</w:t>
            </w:r>
          </w:p>
        </w:tc>
        <w:tc>
          <w:tcPr>
            <w:tcW w:type="dxa" w:w="1872"/>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dr_spectral_entropy</w:t>
            </w:r>
          </w:p>
        </w:tc>
      </w:tr>
      <w:tr>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Benign</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0.0055</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28.2</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11.8</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2.88</w:t>
            </w:r>
          </w:p>
        </w:tc>
      </w:tr>
      <w:tr>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Fabrication</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0.0074</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29.9</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14.0</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2.88</w:t>
            </w:r>
          </w:p>
        </w:tc>
      </w:tr>
      <w:tr>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Mild Taboo</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0.0065</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29.9</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14.1</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2.89</w:t>
            </w:r>
          </w:p>
        </w:tc>
      </w:tr>
      <w:tr>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Hard Refusal</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**1.294**</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22.6</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9.9</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**2.42**</w:t>
            </w:r>
          </w:p>
        </w:tc>
      </w:tr>
      <w:tr>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Controversial</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0.0071</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30.4</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13.5</w:t>
            </w:r>
          </w:p>
        </w:tc>
        <w:tc>
          <w:tcPr>
            <w:tcW w:type="dxa" w:w="1872"/>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2.88</w:t>
            </w:r>
          </w:p>
        </w:tc>
      </w:tr>
    </w:tbl>
    <w:p>
      <w:pPr>
        <w:spacing w:after="120"/>
      </w:pPr>
    </w:p>
    <w:p>
      <w:pPr>
        <w:spacing w:after="120" w:line="276"/>
      </w:pPr>
      <w:r>
        <w:rPr>
          <w:rFonts w:ascii="Times New Roman" w:cs="Times New Roman" w:eastAsia="Times New Roman" w:hAnsi="Times New Roman"/>
          <w:sz w:val="24"/>
          <w:szCs w:val="24"/>
        </w:rPr>
        <w:t xml:space="preserve">The p1_var_diff for refusal (1.294) is approximately 235 times the benign baseline (0.0055). This signature is unique to refusal — no other processing mode produces p1_var_diff above 0.01.</w:t>
      </w:r>
    </w:p>
    <w:p>
      <w:pPr>
        <w:pStyle w:val="Heading3"/>
        <w:spacing w:before="200" w:after="100"/>
      </w:pPr>
      <w:r>
        <w:rPr>
          <w:rFonts w:ascii="Times New Roman" w:cs="Times New Roman" w:eastAsia="Times New Roman" w:hAnsi="Times New Roman"/>
          <w:b/>
          <w:bCs/>
          <w:sz w:val="24"/>
          <w:szCs w:val="24"/>
        </w:rPr>
        <w:t xml:space="preserve">6.2 Refusal Trajectory: Displacement Between Benign and Fabrication</w:t>
      </w:r>
    </w:p>
    <w:p>
      <w:pPr>
        <w:spacing w:after="120" w:line="276"/>
      </w:pPr>
      <w:r>
        <w:rPr>
          <w:rFonts w:ascii="Times New Roman" w:cs="Times New Roman" w:eastAsia="Times New Roman" w:hAnsi="Times New Roman"/>
          <w:sz w:val="24"/>
          <w:szCs w:val="24"/>
        </w:rPr>
        <w:t xml:space="preserve">An earlier analysis attempted to characterize refusal geometry through a pre/post DR split — measuring mean DR before versus after a detected refusal phrase. This approach proved unreliable: most refusals occur within the first 2–3 tokens, leaving insufficient pre-refusal data for stable estimates. Recomputed pre/post data showed 6/10 models with negative shifts and 4/10 with positive shifts, with one model (Llama 3.1 8B) showing the largest shift in the opposite direction from the hypothesized pattern (+0.140).</w:t>
      </w:r>
    </w:p>
    <w:p>
      <w:pPr>
        <w:spacing w:after="120" w:line="276"/>
      </w:pPr>
      <w:r>
        <w:rPr>
          <w:rFonts w:ascii="Times New Roman" w:cs="Times New Roman" w:eastAsia="Times New Roman" w:hAnsi="Times New Roman"/>
          <w:sz w:val="24"/>
          <w:szCs w:val="24"/>
        </w:rPr>
        <w:t xml:space="preserve">Full trajectory analysis in the reconstructed hidden state space reveals the actual refusal geometry. For each of 13 models (11 comprehensive + 2 pilot), we traced the per-token hidden state trajectory during hard refusal prompts, projecting each token onto the fabrication direction:</w:t>
      </w:r>
    </w:p>
    <w:p>
      <w:pPr>
        <w:spacing w:after="120" w:line="276"/>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13/13 models</w:t>
      </w:r>
      <w:r>
        <w:rPr>
          <w:rFonts w:ascii="Times New Roman" w:cs="Times New Roman" w:eastAsia="Times New Roman" w:hAnsi="Times New Roman"/>
          <w:sz w:val="24"/>
          <w:szCs w:val="24"/>
        </w:rPr>
        <w:t xml:space="preserve"> enter the fabrication zone (projection exceeding the midpoint between benign and fabrication centroids) during refusal processing</w:t>
      </w:r>
    </w:p>
    <w:p>
      <w:pPr>
        <w:spacing w:after="120" w:line="276"/>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12/13 models</w:t>
      </w:r>
      <w:r>
        <w:rPr>
          <w:rFonts w:ascii="Times New Roman" w:cs="Times New Roman" w:eastAsia="Times New Roman" w:hAnsi="Times New Roman"/>
          <w:sz w:val="24"/>
          <w:szCs w:val="24"/>
        </w:rPr>
        <w:t xml:space="preserve"> subsequently leave the fabrication zone during the refusal response</w:t>
      </w:r>
    </w:p>
    <w:p>
      <w:pPr>
        <w:spacing w:after="120" w:line="276"/>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10/13 models</w:t>
      </w:r>
      <w:r>
        <w:rPr>
          <w:rFonts w:ascii="Times New Roman" w:cs="Times New Roman" w:eastAsia="Times New Roman" w:hAnsi="Times New Roman"/>
          <w:sz w:val="24"/>
          <w:szCs w:val="24"/>
        </w:rPr>
        <w:t xml:space="preserve"> end the refusal response still within the fabrication zone</w:t>
      </w:r>
    </w:p>
    <w:p>
      <w:pPr>
        <w:spacing w:after="120" w:line="276"/>
      </w:pPr>
      <w:r>
        <w:rPr>
          <w:rFonts w:ascii="Times New Roman" w:cs="Times New Roman" w:eastAsia="Times New Roman" w:hAnsi="Times New Roman"/>
          <w:sz w:val="24"/>
          <w:szCs w:val="24"/>
        </w:rPr>
        <w:t xml:space="preserve">- </w:t>
      </w:r>
      <w:r>
        <w:rPr>
          <w:rFonts w:ascii="Times New Roman" w:cs="Times New Roman" w:eastAsia="Times New Roman" w:hAnsi="Times New Roman"/>
          <w:b/>
          <w:bCs/>
          <w:sz w:val="24"/>
          <w:szCs w:val="24"/>
        </w:rPr>
        <w:t xml:space="preserve">Only 1/13</w:t>
      </w:r>
      <w:r>
        <w:rPr>
          <w:rFonts w:ascii="Times New Roman" w:cs="Times New Roman" w:eastAsia="Times New Roman" w:hAnsi="Times New Roman"/>
          <w:sz w:val="24"/>
          <w:szCs w:val="24"/>
        </w:rPr>
        <w:t xml:space="preserve"> converges back toward benign territory</w:t>
      </w:r>
    </w:p>
    <w:p>
      <w:pPr>
        <w:spacing w:after="120" w:line="276"/>
      </w:pPr>
      <w:r>
        <w:rPr>
          <w:rFonts w:ascii="Times New Roman" w:cs="Times New Roman" w:eastAsia="Times New Roman" w:hAnsi="Times New Roman"/>
          <w:sz w:val="24"/>
          <w:szCs w:val="24"/>
        </w:rPr>
        <w:t xml:space="preserve">Refusal is not a transient spike followed by a return to baseline. It is a permanent displacement: the model's hidden state moves toward the fabrication region when processing dangerous content and remains displaced throughout the refusal response. The refusal trajectory occupies the space BETWEEN benign and fabrication — closer to fabrication than benign knowledge, but not as deep as actual fabrication. This is consistent with the partial cosine alignment reported in Section 5.3: the shared geometric component reflects both processing modes involving content outside the model's comfortable knowledge zone.</w:t>
      </w:r>
    </w:p>
    <w:p>
      <w:pPr>
        <w:pStyle w:val="Heading3"/>
        <w:spacing w:before="200" w:after="100"/>
      </w:pPr>
      <w:r>
        <w:rPr>
          <w:rFonts w:ascii="Times New Roman" w:cs="Times New Roman" w:eastAsia="Times New Roman" w:hAnsi="Times New Roman"/>
          <w:b/>
          <w:bCs/>
          <w:sz w:val="24"/>
          <w:szCs w:val="24"/>
        </w:rPr>
        <w:t xml:space="preserve">6.3 The DR Signal Exists Without Safety Training</w:t>
      </w:r>
    </w:p>
    <w:p>
      <w:pPr>
        <w:spacing w:after="120" w:line="276"/>
      </w:pPr>
      <w:r>
        <w:rPr>
          <w:rFonts w:ascii="Times New Roman" w:cs="Times New Roman" w:eastAsia="Times New Roman" w:hAnsi="Times New Roman"/>
          <w:sz w:val="24"/>
          <w:szCs w:val="24"/>
        </w:rPr>
        <w:t xml:space="preserve">Base models without safety training (Mistral base: d = 1.08; Llama 3.1 base: d = 0.53) show geometric separation between benign and harmful-topic processing despite never refusing. The geometric difference in processing dangerous content exists in the pretraining distribution, independent of RLHF.</w:t>
      </w:r>
    </w:p>
    <w:p>
      <w:pPr>
        <w:pStyle w:val="Heading2"/>
        <w:spacing w:before="240" w:after="120"/>
      </w:pPr>
      <w:r>
        <w:rPr>
          <w:rFonts w:ascii="Times New Roman" w:cs="Times New Roman" w:eastAsia="Times New Roman" w:hAnsi="Times New Roman"/>
          <w:b/>
          <w:bCs/>
          <w:sz w:val="28"/>
          <w:szCs w:val="28"/>
        </w:rPr>
        <w:t xml:space="preserve">7. Results: Domain Geography</w:t>
      </w:r>
    </w:p>
    <w:p>
      <w:pPr>
        <w:pStyle w:val="Heading3"/>
        <w:spacing w:before="200" w:after="100"/>
      </w:pPr>
      <w:r>
        <w:rPr>
          <w:rFonts w:ascii="Times New Roman" w:cs="Times New Roman" w:eastAsia="Times New Roman" w:hAnsi="Times New Roman"/>
          <w:b/>
          <w:bCs/>
          <w:sz w:val="24"/>
          <w:szCs w:val="24"/>
        </w:rPr>
        <w:t xml:space="preserve">7.1 Domain Centroids Are Geometrically Distinct</w:t>
      </w:r>
    </w:p>
    <w:p>
      <w:pPr>
        <w:spacing w:after="120" w:line="276"/>
      </w:pPr>
      <w:r>
        <w:rPr>
          <w:rFonts w:ascii="Times New Roman" w:cs="Times New Roman" w:eastAsia="Times New Roman" w:hAnsi="Times New Roman"/>
          <w:sz w:val="24"/>
          <w:szCs w:val="24"/>
        </w:rPr>
        <w:t xml:space="preserve">Each knowledge domain is represented by a single prompt in the current experiment. The pairwise cosine distances between domain centroids are consistently non-zero across all models and reveal a structured internal geography.</w:t>
      </w:r>
    </w:p>
    <w:p>
      <w:pPr>
        <w:pStyle w:val="Heading3"/>
        <w:spacing w:before="200" w:after="100"/>
      </w:pPr>
      <w:r>
        <w:rPr>
          <w:rFonts w:ascii="Times New Roman" w:cs="Times New Roman" w:eastAsia="Times New Roman" w:hAnsi="Times New Roman"/>
          <w:b/>
          <w:bCs/>
          <w:sz w:val="24"/>
          <w:szCs w:val="24"/>
        </w:rPr>
        <w:t xml:space="preserve">7.2 The Internal Geography Mirrors Reality</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3: Cross-model domain relationships (mean cosine distance, 11 models)</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Domain Pair</w:t>
            </w:r>
          </w:p>
        </w:tc>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Mean Distance</w:t>
            </w:r>
          </w:p>
        </w:tc>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Relationship</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Biology ↔ Medicine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0.130</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**Closest** — related fields</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Economics ↔ Computer Science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0.141</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Quantitative/analytical</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Metallurgy ↔ Astrophysics</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0.156</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Physical sciences</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Economics ↔ Philosophy</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0.158</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Abstract reasoning</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History ↔ Computer Science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0.224</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**Farthest** — distinct modes</w:t>
            </w:r>
          </w:p>
        </w:tc>
      </w:tr>
    </w:tbl>
    <w:p>
      <w:pPr>
        <w:spacing w:after="120"/>
      </w:pPr>
    </w:p>
    <w:p>
      <w:pPr>
        <w:spacing w:after="120" w:line="276"/>
      </w:pPr>
      <w:r>
        <w:rPr>
          <w:rFonts w:ascii="Times New Roman" w:cs="Times New Roman" w:eastAsia="Times New Roman" w:hAnsi="Times New Roman"/>
          <w:sz w:val="24"/>
          <w:szCs w:val="24"/>
        </w:rPr>
        <w:t xml:space="preserve">Economics is the most central domain (mean distance from all others: 0.165). These relationships emerge independently on every model tested.</w:t>
      </w:r>
    </w:p>
    <w:p>
      <w:pPr>
        <w:pStyle w:val="Heading3"/>
        <w:spacing w:before="200" w:after="100"/>
      </w:pPr>
      <w:r>
        <w:rPr>
          <w:rFonts w:ascii="Times New Roman" w:cs="Times New Roman" w:eastAsia="Times New Roman" w:hAnsi="Times New Roman"/>
          <w:b/>
          <w:bCs/>
          <w:sz w:val="24"/>
          <w:szCs w:val="24"/>
        </w:rPr>
        <w:t xml:space="preserve">7.3 Domain Vocabulary Decoding via Forward Projection</w:t>
      </w:r>
    </w:p>
    <w:p>
      <w:pPr>
        <w:spacing w:after="120" w:line="276"/>
      </w:pPr>
      <w:r>
        <w:rPr>
          <w:rFonts w:ascii="Times New Roman" w:cs="Times New Roman" w:eastAsia="Times New Roman" w:hAnsi="Times New Roman"/>
          <w:sz w:val="24"/>
          <w:szCs w:val="24"/>
        </w:rPr>
        <w:t xml:space="preserve">The domain geography is not merely geometric — it is decodable. Forward-projecting each domain centroid through the unembedding matrix reveals the vocabulary the model associates with each domain's position in representation space.</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4: Domain vocabulary decoded via forward projection (6 models tested)</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Domain</w:t>
            </w:r>
          </w:p>
        </w:tc>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Top Decoded Tokens</w:t>
            </w:r>
          </w:p>
        </w:tc>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Models Confirmed</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Law</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"federal," "judicial," "law," "legal," "court"</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Economics</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"market," "demand," "price," "consumers"</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Metallurgy</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"carbon," "iron," "coal"</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Philosophy</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"philosophy," "Kant," "philosophical"</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Medicine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"immun," "immune," "vaccine," "virus"</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Architecture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"vertical," "built," "interior," "architectural"</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Computer Science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"optimization," "gradient," "algorithm"</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5/6</w:t>
            </w:r>
          </w:p>
        </w:tc>
      </w:tr>
    </w:tbl>
    <w:p>
      <w:pPr>
        <w:spacing w:after="120"/>
      </w:pPr>
    </w:p>
    <w:p>
      <w:pPr>
        <w:spacing w:after="120" w:line="276"/>
      </w:pPr>
      <w:r>
        <w:rPr>
          <w:rFonts w:ascii="Times New Roman" w:cs="Times New Roman" w:eastAsia="Times New Roman" w:hAnsi="Times New Roman"/>
          <w:sz w:val="24"/>
          <w:szCs w:val="24"/>
        </w:rPr>
        <w:t xml:space="preserve">Models confirmed: Qwen 2.5 7B, Mistral 7B, Llama 3.1 8B, Llama 3.2 3B, and DeepSeek Coder v2 16B — spanning 4 distinct architectures (Qwen, Mistral, Llama, DeepSeek) and parameter counts from 3B to 16B.</w:t>
      </w:r>
    </w:p>
    <w:p>
      <w:pPr>
        <w:spacing w:after="120" w:line="276"/>
      </w:pPr>
      <w:r>
        <w:rPr>
          <w:rFonts w:ascii="Times New Roman" w:cs="Times New Roman" w:eastAsia="Times New Roman" w:hAnsi="Times New Roman"/>
          <w:sz w:val="24"/>
          <w:szCs w:val="24"/>
        </w:rPr>
        <w:t xml:space="preserve">Phi3 Mini (3.8B) fails: all domains decode to the same subword fragments ("rein," "dis," "hypoth"). The SVD approximation does not resolve domain-specific structure on this architecture. This negative result indicates the method's effectiveness depends on the SVD basis resolving domain-specific directions in representation space.</w:t>
      </w:r>
    </w:p>
    <w:p>
      <w:pPr>
        <w:spacing w:after="120" w:line="276"/>
      </w:pPr>
      <w:r>
        <w:rPr>
          <w:rFonts w:ascii="Times New Roman" w:cs="Times New Roman" w:eastAsia="Times New Roman" w:hAnsi="Times New Roman"/>
          <w:sz w:val="24"/>
          <w:szCs w:val="24"/>
        </w:rPr>
        <w:t xml:space="preserve">The domain vocabulary decoding confirms that the hidden state map is readable from both directions: reverse projection reconstructs the map, forward projection reads what is written at each location.</w:t>
      </w:r>
    </w:p>
    <w:p>
      <w:pPr>
        <w:pStyle w:val="Heading2"/>
        <w:spacing w:before="240" w:after="120"/>
      </w:pPr>
      <w:r>
        <w:rPr>
          <w:rFonts w:ascii="Times New Roman" w:cs="Times New Roman" w:eastAsia="Times New Roman" w:hAnsi="Times New Roman"/>
          <w:b/>
          <w:bCs/>
          <w:sz w:val="28"/>
          <w:szCs w:val="28"/>
        </w:rPr>
        <w:t xml:space="preserve">8. Results: Early Detection</w:t>
      </w:r>
    </w:p>
    <w:p>
      <w:pPr>
        <w:spacing w:after="120" w:line="276"/>
      </w:pPr>
      <w:r>
        <w:rPr>
          <w:rFonts w:ascii="Times New Roman" w:cs="Times New Roman" w:eastAsia="Times New Roman" w:hAnsi="Times New Roman"/>
          <w:sz w:val="24"/>
          <w:szCs w:val="24"/>
        </w:rPr>
        <w:t xml:space="preserve">The hidden state trajectory enters the fabrication region before the output-distribution-based DR detects it.</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5: Early detection (11 comprehensive-experiment models)</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Model</w:t>
            </w:r>
          </w:p>
        </w:tc>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Lead (tokens)</w:t>
            </w:r>
          </w:p>
        </w:tc>
        <w:tc>
          <w:tcPr>
            <w:tcW w:type="dxa" w:w="312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Hidden detects first</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Phi3 Mini</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10.2</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Llama 3.1 8B (base)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7.0</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DeepSeek Coder v2 16B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6.7</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Llava 7B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4.6</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67%</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Llama 3.1 8B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3.9</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Dolphin-Llama 8B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3.1</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90%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Qwen Coder 7B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2.1</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90%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Mistral 7B (base)</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1.7</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Llama 3.2 3B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1.4</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60%</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Qwen Coder 14B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1.1</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88%</w:t>
            </w:r>
          </w:p>
        </w:tc>
      </w:tr>
      <w:tr>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Dolphin-Mistral 7B</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w:t>
            </w:r>
          </w:p>
        </w:tc>
        <w:tc>
          <w:tcPr>
            <w:tcW w:type="dxa" w:w="312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10%</w:t>
            </w:r>
          </w:p>
        </w:tc>
      </w:tr>
    </w:tbl>
    <w:p>
      <w:pPr>
        <w:spacing w:after="120"/>
      </w:pPr>
    </w:p>
    <w:p>
      <w:pPr>
        <w:spacing w:after="120" w:line="276"/>
      </w:pPr>
      <w:r>
        <w:rPr>
          <w:rFonts w:ascii="Times New Roman" w:cs="Times New Roman" w:eastAsia="Times New Roman" w:hAnsi="Times New Roman"/>
          <w:sz w:val="24"/>
          <w:szCs w:val="24"/>
        </w:rPr>
        <w:t xml:space="preserve">Mean lead: 3.8 tokens. Four models achieve 100% early detection rate. Dolphin-Mistral 7B is a notable outlier providing no lead.</w:t>
      </w:r>
    </w:p>
    <w:p>
      <w:pPr>
        <w:pStyle w:val="Heading2"/>
        <w:spacing w:before="240" w:after="120"/>
      </w:pPr>
      <w:r>
        <w:rPr>
          <w:rFonts w:ascii="Times New Roman" w:cs="Times New Roman" w:eastAsia="Times New Roman" w:hAnsi="Times New Roman"/>
          <w:b/>
          <w:bCs/>
          <w:sz w:val="28"/>
          <w:szCs w:val="28"/>
        </w:rPr>
        <w:t xml:space="preserve">9. Results: The Fabrication Mechanism</w:t>
      </w:r>
    </w:p>
    <w:p>
      <w:pPr>
        <w:pStyle w:val="Heading3"/>
        <w:spacing w:before="200" w:after="100"/>
      </w:pPr>
      <w:r>
        <w:rPr>
          <w:rFonts w:ascii="Times New Roman" w:cs="Times New Roman" w:eastAsia="Times New Roman" w:hAnsi="Times New Roman"/>
          <w:b/>
          <w:bCs/>
          <w:sz w:val="24"/>
          <w:szCs w:val="24"/>
        </w:rPr>
        <w:t xml:space="preserve">9.1 Token-Level Vocabulary Decoding</w:t>
      </w:r>
    </w:p>
    <w:p>
      <w:pPr>
        <w:spacing w:after="120" w:line="276"/>
      </w:pPr>
      <w:r>
        <w:rPr>
          <w:rFonts w:ascii="Times New Roman" w:cs="Times New Roman" w:eastAsia="Times New Roman" w:hAnsi="Times New Roman"/>
          <w:sz w:val="24"/>
          <w:szCs w:val="24"/>
        </w:rPr>
        <w:t xml:space="preserve">At each token position during generation, the reverse-projected hidden state can be forward-projected to decode what vocabulary the model associates with that position. By examining the tokens at extreme positions along the fabrication direction — the most fabrication-like and most knowledge-like hidden states — we decode what fabrication and knowledge look like at the vocabulary level.</w:t>
      </w:r>
    </w:p>
    <w:p>
      <w:pPr>
        <w:spacing w:after="120" w:line="276"/>
      </w:pPr>
      <w:r>
        <w:rPr>
          <w:rFonts w:ascii="Times New Roman" w:cs="Times New Roman" w:eastAsia="Times New Roman" w:hAnsi="Times New Roman"/>
          <w:sz w:val="24"/>
          <w:szCs w:val="24"/>
        </w:rPr>
        <w:t xml:space="preserve">At the knowledge extreme (lowest fabrication direction projection), decoded vocabulary consists of content-specific tokens: "mass," "cloud," "rain," "fuel," "air," "carbon," "energy," "oxygen," "hydrogen," "algebra." These tokens carry specific semantic content.</w:t>
      </w:r>
    </w:p>
    <w:p>
      <w:pPr>
        <w:spacing w:after="120" w:line="276"/>
      </w:pPr>
      <w:r>
        <w:rPr>
          <w:rFonts w:ascii="Times New Roman" w:cs="Times New Roman" w:eastAsia="Times New Roman" w:hAnsi="Times New Roman"/>
          <w:sz w:val="24"/>
          <w:szCs w:val="24"/>
        </w:rPr>
        <w:t xml:space="preserve">At the fabrication extreme (highest projection), decoded vocabulary consists of embellishment and authority-marker tokens: "remarkable," "crucial," "fascinating," "specific," "actual," "historical," "census," "official." These tokens convey an impression of authority without carrying domain-specific information.</w:t>
      </w:r>
    </w:p>
    <w:p>
      <w:pPr>
        <w:pStyle w:val="Heading3"/>
        <w:spacing w:before="200" w:after="100"/>
      </w:pPr>
      <w:r>
        <w:rPr>
          <w:rFonts w:ascii="Times New Roman" w:cs="Times New Roman" w:eastAsia="Times New Roman" w:hAnsi="Times New Roman"/>
          <w:b/>
          <w:bCs/>
          <w:sz w:val="24"/>
          <w:szCs w:val="24"/>
        </w:rPr>
        <w:t xml:space="preserve">9.2 Same-Prompt Confirmation</w:t>
      </w:r>
    </w:p>
    <w:p>
      <w:pPr>
        <w:spacing w:after="120" w:line="276"/>
      </w:pPr>
      <w:r>
        <w:rPr>
          <w:rFonts w:ascii="Times New Roman" w:cs="Times New Roman" w:eastAsia="Times New Roman" w:hAnsi="Times New Roman"/>
          <w:sz w:val="24"/>
          <w:szCs w:val="24"/>
        </w:rPr>
        <w:t xml:space="preserve">Within a single fabrication generation on Mistral 7B, the most knowledge-like token position decodes to "It," "In," "Some" (neutral framing). The most fabrication-like token position in the same generation decodes to "remarkable," "broad," "crucial." Tokens gained at the fabrication extreme: "crucial" (+10.0), "fascinating" (+9.1), "key" (+8.9). Tokens lost: "It" (−11.4), "Something" (−11.3). On Llama 3.2 3B: tokens gained include "specific" (+14.5), "existence" (+13.6), "availability" (+13.6). The pattern is consistent across 4 tested models (Qwen, Mistral, Llama 8B, Llama 3B).</w:t>
      </w:r>
    </w:p>
    <w:p>
      <w:pPr>
        <w:pStyle w:val="Heading3"/>
        <w:spacing w:before="200" w:after="100"/>
      </w:pPr>
      <w:r>
        <w:rPr>
          <w:rFonts w:ascii="Times New Roman" w:cs="Times New Roman" w:eastAsia="Times New Roman" w:hAnsi="Times New Roman"/>
          <w:b/>
          <w:bCs/>
          <w:sz w:val="24"/>
          <w:szCs w:val="24"/>
        </w:rPr>
        <w:t xml:space="preserve">9.3 The DR Mechanism</w:t>
      </w:r>
    </w:p>
    <w:p>
      <w:pPr>
        <w:spacing w:after="120" w:line="276"/>
      </w:pPr>
      <w:r>
        <w:rPr>
          <w:rFonts w:ascii="Times New Roman" w:cs="Times New Roman" w:eastAsia="Times New Roman" w:hAnsi="Times New Roman"/>
          <w:sz w:val="24"/>
          <w:szCs w:val="24"/>
        </w:rPr>
        <w:t xml:space="preserve">This finding provides a mechanistic interpretation of the Doodle Residual. Knowledge retrieval produces probability distributions dominated by a single correct, specific token — resulting in low participation ratio and negative DR. Fabrication produces probability distributions where many interchangeable embellishment tokens compete for probability mass — each roughly equally plausible, none specifically correct — resulting in high participation ratio and positive DR. The Doodle Residual measures this excess competition: the difference between the observed token competition and the competition expected for the model's confidence level.</w:t>
      </w:r>
    </w:p>
    <w:p>
      <w:pPr>
        <w:spacing w:after="120" w:line="276"/>
      </w:pPr>
      <w:r>
        <w:rPr>
          <w:rFonts w:ascii="Times New Roman" w:cs="Times New Roman" w:eastAsia="Times New Roman" w:hAnsi="Times New Roman"/>
          <w:sz w:val="24"/>
          <w:szCs w:val="24"/>
        </w:rPr>
        <w:t xml:space="preserve">The Rayleigh hypothesis (Section 13.2) is rejected as the mechanism. The most parsimonious mechanism is vocabulary competition: knowledge has one right answer, fabrication has many interchangeable vague ones.</w:t>
      </w:r>
    </w:p>
    <w:p>
      <w:pPr>
        <w:pStyle w:val="Heading3"/>
        <w:spacing w:before="200" w:after="100"/>
      </w:pPr>
      <w:r>
        <w:rPr>
          <w:rFonts w:ascii="Times New Roman" w:cs="Times New Roman" w:eastAsia="Times New Roman" w:hAnsi="Times New Roman"/>
          <w:b/>
          <w:bCs/>
          <w:sz w:val="24"/>
          <w:szCs w:val="24"/>
        </w:rPr>
        <w:t xml:space="preserve">9.4 Temporal Dynamics of Fabrication (Preliminary)</w:t>
      </w:r>
    </w:p>
    <w:p>
      <w:pPr>
        <w:spacing w:after="120" w:line="276"/>
      </w:pPr>
      <w:r>
        <w:rPr>
          <w:rFonts w:ascii="Times New Roman" w:cs="Times New Roman" w:eastAsia="Times New Roman" w:hAnsi="Times New Roman"/>
          <w:sz w:val="24"/>
          <w:szCs w:val="24"/>
        </w:rPr>
        <w:t xml:space="preserve">Tracking the embellishment ratio (proportion of embellishment tokens among the top-20 decoded vocabulary at each position) across full generations reveals that fabrication is not a mode switch. Across 4 models and 32 prompts, the embellishment ratio never sustains above 0.5 for 5 consecutive tokens on any prompt. Fabrication prompts show slightly higher embellishment ratios than benign (difference: +0.008 to +0.052, r = +0.08 to +0.18 with fabrication projection, all significant at p &lt; 0.001). Fabrication is intermixed with content at the token level — the model does not "switch to fabricating" but produces a mixture where embellishment tokens win slightly more often.</w:t>
      </w:r>
    </w:p>
    <w:p>
      <w:pPr>
        <w:spacing w:after="120" w:line="276"/>
      </w:pPr>
      <w:r>
        <w:rPr>
          <w:rFonts w:ascii="Times New Roman" w:cs="Times New Roman" w:eastAsia="Times New Roman" w:hAnsi="Times New Roman"/>
          <w:sz w:val="24"/>
          <w:szCs w:val="24"/>
        </w:rPr>
        <w:t xml:space="preserve">Signal analysis of the fabrication direction projection treated as a time series reveals that fabrication waveforms have higher velocity variance (d = +0.93 to +3.56 across models) but smoother velocity autocorrelation (d = +1.64 to +2.84 on 3/4 models) compared to knowledge waveforms. The model's hidden state moves in larger but more coherent sweeps through representation space during fabrication. These signal-level findings are preliminary (n = 3 per category per model) and require larger samples for confirmation.</w:t>
      </w:r>
    </w:p>
    <w:p>
      <w:pPr>
        <w:pStyle w:val="Heading2"/>
        <w:spacing w:before="240" w:after="120"/>
      </w:pPr>
      <w:r>
        <w:rPr>
          <w:rFonts w:ascii="Times New Roman" w:cs="Times New Roman" w:eastAsia="Times New Roman" w:hAnsi="Times New Roman"/>
          <w:b/>
          <w:bCs/>
          <w:sz w:val="28"/>
          <w:szCs w:val="28"/>
        </w:rPr>
        <w:t xml:space="preserve">10. Results: Pre-Generation Fabrication Detection</w:t>
      </w:r>
    </w:p>
    <w:p>
      <w:pPr>
        <w:pStyle w:val="Heading3"/>
        <w:spacing w:before="200" w:after="100"/>
      </w:pPr>
      <w:r>
        <w:rPr>
          <w:rFonts w:ascii="Times New Roman" w:cs="Times New Roman" w:eastAsia="Times New Roman" w:hAnsi="Times New Roman"/>
          <w:b/>
          <w:bCs/>
          <w:sz w:val="24"/>
          <w:szCs w:val="24"/>
        </w:rPr>
        <w:t xml:space="preserve">10.1 The Decision Landscape</w:t>
      </w:r>
    </w:p>
    <w:p>
      <w:pPr>
        <w:spacing w:after="120" w:line="276"/>
      </w:pPr>
      <w:r>
        <w:rPr>
          <w:rFonts w:ascii="Times New Roman" w:cs="Times New Roman" w:eastAsia="Times New Roman" w:hAnsi="Times New Roman"/>
          <w:sz w:val="24"/>
          <w:szCs w:val="24"/>
        </w:rPr>
        <w:t xml:space="preserve">During prompt processing, the model produces logit distributions at each prompt token position as part of its standard next-token prediction. Computing DR at each prompt position reveals that the model registers uncertainty about unfamiliar topics while still reading the question, before generating any output.</w:t>
      </w:r>
    </w:p>
    <w:p>
      <w:pPr>
        <w:spacing w:after="120" w:line="276"/>
      </w:pPr>
      <w:r>
        <w:rPr>
          <w:rFonts w:ascii="Times New Roman" w:cs="Times New Roman" w:eastAsia="Times New Roman" w:hAnsi="Times New Roman"/>
          <w:sz w:val="24"/>
          <w:szCs w:val="24"/>
        </w:rPr>
        <w:t xml:space="preserve">Example: Llama 3.1 8B processing "Tell me about the Thornwall Census of 1897":</w:t>
      </w:r>
    </w:p>
    <w:p>
      <w:pPr>
        <w:spacing w:after="120" w:line="276"/>
      </w:pPr>
      <w:r>
        <w:rPr>
          <w:rFonts w:ascii="Times New Roman" w:cs="Times New Roman" w:eastAsia="Times New Roman" w:hAnsi="Times New Roman"/>
          <w:sz w:val="24"/>
          <w:szCs w:val="24"/>
        </w:rPr>
        <w:t xml:space="preserve">- At "Census": DR = +1.563, PR = 4.1 (four tokens competing)</w:t>
      </w:r>
    </w:p>
    <w:p>
      <w:pPr>
        <w:spacing w:after="120" w:line="276"/>
      </w:pPr>
      <w:r>
        <w:rPr>
          <w:rFonts w:ascii="Times New Roman" w:cs="Times New Roman" w:eastAsia="Times New Roman" w:hAnsi="Times New Roman"/>
          <w:sz w:val="24"/>
          <w:szCs w:val="24"/>
        </w:rPr>
        <w:t xml:space="preserve">- At the space before "189": DR = +1.942, PR = 4.5</w:t>
      </w:r>
    </w:p>
    <w:p>
      <w:pPr>
        <w:spacing w:after="120" w:line="276"/>
      </w:pPr>
      <w:r>
        <w:rPr>
          <w:rFonts w:ascii="Times New Roman" w:cs="Times New Roman" w:eastAsia="Times New Roman" w:hAnsi="Times New Roman"/>
          <w:sz w:val="24"/>
          <w:szCs w:val="24"/>
        </w:rPr>
        <w:t xml:space="preserve">Processing "Explain how photosynthesis converts sunlight into energy":</w:t>
      </w:r>
    </w:p>
    <w:p>
      <w:pPr>
        <w:spacing w:after="120" w:line="276"/>
      </w:pPr>
      <w:r>
        <w:rPr>
          <w:rFonts w:ascii="Times New Roman" w:cs="Times New Roman" w:eastAsia="Times New Roman" w:hAnsi="Times New Roman"/>
          <w:sz w:val="24"/>
          <w:szCs w:val="24"/>
        </w:rPr>
        <w:t xml:space="preserve">- At "photosynthesis": DR = 0.000, PR = 1.0 (one dominant token)</w:t>
      </w:r>
    </w:p>
    <w:p>
      <w:pPr>
        <w:spacing w:after="120" w:line="276"/>
      </w:pPr>
      <w:r>
        <w:rPr>
          <w:rFonts w:ascii="Times New Roman" w:cs="Times New Roman" w:eastAsia="Times New Roman" w:hAnsi="Times New Roman"/>
          <w:sz w:val="24"/>
          <w:szCs w:val="24"/>
        </w:rPr>
        <w:t xml:space="preserve">The model knows it doesn't know while reading the question.</w:t>
      </w:r>
    </w:p>
    <w:p>
      <w:pPr>
        <w:pStyle w:val="Heading3"/>
        <w:spacing w:before="200" w:after="100"/>
      </w:pPr>
      <w:r>
        <w:rPr>
          <w:rFonts w:ascii="Times New Roman" w:cs="Times New Roman" w:eastAsia="Times New Roman" w:hAnsi="Times New Roman"/>
          <w:b/>
          <w:bCs/>
          <w:sz w:val="24"/>
          <w:szCs w:val="24"/>
        </w:rPr>
        <w:t xml:space="preserve">10.2 Pre-Generation Gate Performance</w:t>
      </w:r>
    </w:p>
    <w:p>
      <w:pPr>
        <w:spacing w:after="120" w:line="276"/>
      </w:pPr>
      <w:r>
        <w:rPr>
          <w:rFonts w:ascii="Times New Roman" w:cs="Times New Roman" w:eastAsia="Times New Roman" w:hAnsi="Times New Roman"/>
          <w:sz w:val="24"/>
          <w:szCs w:val="24"/>
        </w:rPr>
        <w:t xml:space="preserve">Using maximum prompt-phase DR as a binary classifier for real versus fictional topics (10 real, 10 fictional topics per model):</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6: Pre-generation gate performance (4 models)</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560"/>
        <w:gridCol w:w="1560"/>
        <w:gridCol w:w="1560"/>
        <w:gridCol w:w="1560"/>
        <w:gridCol w:w="1560"/>
      </w:tblGrid>
      <w:tr>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Model</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Real maxDR</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Fictional maxDR</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Cohen's d</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AUC</w:t>
            </w:r>
          </w:p>
        </w:tc>
        <w:tc>
          <w:tcPr>
            <w:tcW w:type="dxa" w:w="156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p-value</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Mistral 7B</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+0.104</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+0.372</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+0.95</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0.91</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0.048</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Qwen 2.5 7B</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+0.033</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+0.171</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+0.94</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0.76</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0.049</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Llama 3.2 3B</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+0.238</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+0.559</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+0.80</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0.70</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0.091</w:t>
            </w:r>
          </w:p>
        </w:tc>
      </w:tr>
      <w:tr>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Llama 3.1 8B</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+0.127</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+0.446</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+0.58</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0.71</w:t>
            </w:r>
          </w:p>
        </w:tc>
        <w:tc>
          <w:tcPr>
            <w:tcW w:type="dxa" w:w="156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0.210</w:t>
            </w:r>
          </w:p>
        </w:tc>
      </w:tr>
    </w:tbl>
    <w:p>
      <w:pPr>
        <w:spacing w:after="120"/>
      </w:pPr>
    </w:p>
    <w:p>
      <w:pPr>
        <w:spacing w:after="120" w:line="276"/>
      </w:pPr>
      <w:r>
        <w:rPr>
          <w:rFonts w:ascii="Times New Roman" w:cs="Times New Roman" w:eastAsia="Times New Roman" w:hAnsi="Times New Roman"/>
          <w:sz w:val="24"/>
          <w:szCs w:val="24"/>
        </w:rPr>
        <w:t xml:space="preserve">The gate achieves statistically significant separation (p &lt; 0.05) on 2 of 4 tested models, with all 4 showing the expected directional effect. The gate detects unusual vocabulary in prompts — topics where the model's vocabulary representation is sparse or conflicted. Fictional topics with plausible-sounding names may not trigger the gate. The pre-generation gate was tested on a small sample (20 topics per model); larger validation is needed.</w:t>
      </w:r>
    </w:p>
    <w:p>
      <w:pPr>
        <w:pStyle w:val="Heading2"/>
        <w:spacing w:before="240" w:after="120"/>
      </w:pPr>
      <w:r>
        <w:rPr>
          <w:rFonts w:ascii="Times New Roman" w:cs="Times New Roman" w:eastAsia="Times New Roman" w:hAnsi="Times New Roman"/>
          <w:b/>
          <w:bCs/>
          <w:sz w:val="28"/>
          <w:szCs w:val="28"/>
        </w:rPr>
        <w:t xml:space="preserve">11. Results: Prompt Steering</w:t>
      </w:r>
    </w:p>
    <w:p>
      <w:pPr>
        <w:pStyle w:val="Heading3"/>
        <w:spacing w:before="200" w:after="100"/>
      </w:pPr>
      <w:r>
        <w:rPr>
          <w:rFonts w:ascii="Times New Roman" w:cs="Times New Roman" w:eastAsia="Times New Roman" w:hAnsi="Times New Roman"/>
          <w:b/>
          <w:bCs/>
          <w:sz w:val="24"/>
          <w:szCs w:val="24"/>
        </w:rPr>
        <w:t xml:space="preserve">11.1 Semantic Framing Determines Fabrication Behavior</w:t>
      </w:r>
    </w:p>
    <w:p>
      <w:pPr>
        <w:spacing w:after="120" w:line="276"/>
      </w:pPr>
      <w:r>
        <w:rPr>
          <w:rFonts w:ascii="Times New Roman" w:cs="Times New Roman" w:eastAsia="Times New Roman" w:hAnsi="Times New Roman"/>
          <w:sz w:val="24"/>
          <w:szCs w:val="24"/>
        </w:rPr>
        <w:t xml:space="preserve">The same fictional topic, presented with different prompt framings, produces dramatically different model behavior:</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Table 7: Prompt steering results (4 models, 5 fictional topics)</w:t>
      </w:r>
      <w:r>
        <w:rPr>
          <w:rFonts w:ascii="Times New Roman" w:cs="Times New Roman" w:eastAsia="Times New Roman" w:hAnsi="Times New Roman"/>
          <w:sz w:val="24"/>
          <w:szCs w:val="24"/>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Framing</w:t>
            </w:r>
          </w:p>
        </w:tc>
        <w:tc>
          <w:tcPr>
            <w:tcW w:type="dxa" w:w="234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Modal Response</w:t>
            </w:r>
          </w:p>
        </w:tc>
        <w:tc>
          <w:tcPr>
            <w:tcW w:type="dxa" w:w="234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Models Showing Effect</w:t>
            </w:r>
          </w:p>
        </w:tc>
        <w:tc>
          <w:tcPr>
            <w:tcW w:type="dxa" w:w="234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Pair Rate</w:t>
            </w:r>
          </w:p>
        </w:tc>
      </w:tr>
      <w:tr>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Epistemic ("I'm testing whether AI fabricates")</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REFUSED</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4/4 models</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80% (16/20)</w:t>
            </w:r>
          </w:p>
        </w:tc>
      </w:tr>
      <w:tr>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Hedge request ("if you're not sure, say so")</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REFUSED</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4/4 models</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80% (16/20)</w:t>
            </w:r>
          </w:p>
        </w:tc>
      </w:tr>
      <w:tr>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Direct challenge ("does this exist?")</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FABRICATED</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4/4 models</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80% (16/20)</w:t>
            </w:r>
          </w:p>
        </w:tc>
      </w:tr>
      <w:tr>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Authority push ("as a leading historian")</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FABRICATED</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4/4 models</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80% (16/20)</w:t>
            </w:r>
          </w:p>
        </w:tc>
      </w:tr>
      <w:tr>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Bare (no framing)</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FABRICATED</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3/4 models</w:t>
            </w:r>
          </w:p>
        </w:tc>
        <w:tc>
          <w:tcPr>
            <w:tcW w:type="dxa" w:w="234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75% (15/20)</w:t>
            </w:r>
          </w:p>
        </w:tc>
      </w:tr>
    </w:tbl>
    <w:p>
      <w:pPr>
        <w:spacing w:after="120"/>
      </w:pPr>
    </w:p>
    <w:p>
      <w:pPr>
        <w:spacing w:after="120" w:line="276"/>
      </w:pPr>
      <w:r>
        <w:rPr>
          <w:rFonts w:ascii="Times New Roman" w:cs="Times New Roman" w:eastAsia="Times New Roman" w:hAnsi="Times New Roman"/>
          <w:sz w:val="24"/>
          <w:szCs w:val="24"/>
        </w:rPr>
        <w:t xml:space="preserve">Epistemic framing triggers refusal on 80% of model-topic pairs (16/20); authority framing triggers fabrication on 80% (16/20). The framing effect is topic-dependent: one fictional topic with a plausible-sounding name (resembling a real term in the domain) produced fabrication under all framings on all models (0/12 model-framing pairs refused, comprising 4 models × 3 framings); conversely, one topic with an obviously unusual name produced refusal even without framing.</w:t>
      </w:r>
    </w:p>
    <w:p>
      <w:pPr>
        <w:pStyle w:val="Heading3"/>
        <w:spacing w:before="200" w:after="100"/>
      </w:pPr>
      <w:r>
        <w:rPr>
          <w:rFonts w:ascii="Times New Roman" w:cs="Times New Roman" w:eastAsia="Times New Roman" w:hAnsi="Times New Roman"/>
          <w:b/>
          <w:bCs/>
          <w:sz w:val="24"/>
          <w:szCs w:val="24"/>
        </w:rPr>
        <w:t xml:space="preserve">11.2 Steering Is Semantic, Not Geometric</w:t>
      </w:r>
    </w:p>
    <w:p>
      <w:pPr>
        <w:spacing w:after="120" w:line="276"/>
      </w:pPr>
      <w:r>
        <w:rPr>
          <w:rFonts w:ascii="Times New Roman" w:cs="Times New Roman" w:eastAsia="Times New Roman" w:hAnsi="Times New Roman"/>
          <w:sz w:val="24"/>
          <w:szCs w:val="24"/>
        </w:rPr>
        <w:t xml:space="preserve">The onset projection — the model's position on the fabrication direction at the first generated token — does not predict whether the model will refuse or fabricate. On all 4 tested models, the mean onset projection for refused prompts overlaps with the mean for fabricated prompts. The model's geometric position at generation onset does not determine its behavioral response; only the semantic content of the framing words determines whether the model refuses or fabricates.</w:t>
      </w:r>
    </w:p>
    <w:p>
      <w:pPr>
        <w:spacing w:after="120" w:line="276"/>
      </w:pPr>
      <w:r>
        <w:rPr>
          <w:rFonts w:ascii="Times New Roman" w:cs="Times New Roman" w:eastAsia="Times New Roman" w:hAnsi="Times New Roman"/>
          <w:sz w:val="24"/>
          <w:szCs w:val="24"/>
        </w:rPr>
        <w:t xml:space="preserve">This means fabrication prevention requires linguistic intervention (reframing the prompt with epistemic language), not geometric intervention (adjusting the hidden state position). A combined system would use the pre-generation gate (Section 10) to detect fabrication risk geometrically, then apply epistemic framing to prevent fabrication semantically.</w:t>
      </w:r>
    </w:p>
    <w:p>
      <w:pPr>
        <w:pStyle w:val="Heading2"/>
        <w:spacing w:before="240" w:after="120"/>
      </w:pPr>
      <w:r>
        <w:rPr>
          <w:rFonts w:ascii="Times New Roman" w:cs="Times New Roman" w:eastAsia="Times New Roman" w:hAnsi="Times New Roman"/>
          <w:b/>
          <w:bCs/>
          <w:sz w:val="28"/>
          <w:szCs w:val="28"/>
        </w:rPr>
        <w:t xml:space="preserve">12. Two Uncorrelated Signals</w:t>
      </w:r>
    </w:p>
    <w:p>
      <w:pPr>
        <w:pStyle w:val="Heading3"/>
        <w:spacing w:before="200" w:after="100"/>
      </w:pPr>
      <w:r>
        <w:rPr>
          <w:rFonts w:ascii="Times New Roman" w:cs="Times New Roman" w:eastAsia="Times New Roman" w:hAnsi="Times New Roman"/>
          <w:b/>
          <w:bCs/>
          <w:sz w:val="24"/>
          <w:szCs w:val="24"/>
        </w:rPr>
        <w:t xml:space="preserve">12.1 Statistical Uncorrelatedness</w:t>
      </w:r>
    </w:p>
    <w:p>
      <w:pPr>
        <w:spacing w:after="120" w:line="276"/>
      </w:pPr>
      <w:r>
        <w:rPr>
          <w:rFonts w:ascii="Times New Roman" w:cs="Times New Roman" w:eastAsia="Times New Roman" w:hAnsi="Times New Roman"/>
          <w:sz w:val="24"/>
          <w:szCs w:val="24"/>
        </w:rPr>
        <w:t xml:space="preserve">The Doodle Residual and the hidden-state fabrication direction projection are both derived from the same per-token logit vector. Despite sharing the same data source, they produce statistically uncorrelated outputs at the per-token level: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Metric Pair (11 models)</w:t>
            </w:r>
          </w:p>
        </w:tc>
        <w:tc>
          <w:tcPr>
            <w:tcW w:type="dxa" w:w="4680"/>
            <w:tcBorders>
              <w:top w:val="single" w:color="999999" w:sz="1"/>
              <w:left w:val="single" w:color="999999" w:sz="1"/>
              <w:bottom w:val="single" w:color="999999" w:sz="1"/>
              <w:right w:val="single" w:color="999999" w:sz="1"/>
            </w:tcBorders>
            <w:shd w:fill="E8E8E8" w:val="clear"/>
            <w:tcMar>
              <w:top w:type="dxa" w:w="40"/>
              <w:left w:type="dxa" w:w="80"/>
              <w:bottom w:type="dxa" w:w="40"/>
              <w:right w:type="dxa" w:w="80"/>
            </w:tcMar>
          </w:tcPr>
          <w:p>
            <w:pPr>
              <w:spacing w:after="0"/>
            </w:pPr>
            <w:r>
              <w:rPr>
                <w:rFonts w:ascii="Times New Roman" w:cs="Times New Roman" w:eastAsia="Times New Roman" w:hAnsi="Times New Roman"/>
                <w:b/>
                <w:bCs/>
                <w:sz w:val="20"/>
                <w:szCs w:val="20"/>
              </w:rPr>
              <w:t xml:space="preserve">Mean Abs. Correlation</w:t>
            </w:r>
          </w:p>
        </w:tc>
      </w:tr>
      <w:tr>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DR vs Hidden state norm</w:t>
            </w:r>
          </w:p>
        </w:tc>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0.06</w:t>
            </w:r>
          </w:p>
        </w:tc>
      </w:tr>
      <w:tr>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DR vs Hidden state velocity</w:t>
            </w:r>
          </w:p>
        </w:tc>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0.04</w:t>
            </w:r>
          </w:p>
        </w:tc>
      </w:tr>
      <w:tr>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DR vs Rayleigh quotient</w:t>
            </w:r>
          </w:p>
        </w:tc>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0.04</w:t>
            </w:r>
          </w:p>
        </w:tc>
      </w:tr>
      <w:tr>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DR vs Best principal component</w:t>
            </w:r>
          </w:p>
        </w:tc>
        <w:tc>
          <w:tcPr>
            <w:tcW w:type="dxa" w:w="4680"/>
            <w:tcBorders>
              <w:top w:val="single" w:color="999999" w:sz="1"/>
              <w:left w:val="single" w:color="999999" w:sz="1"/>
              <w:bottom w:val="single" w:color="999999" w:sz="1"/>
              <w:right w:val="single" w:color="999999" w:sz="1"/>
            </w:tcBorders>
            <w:tcMar>
              <w:top w:type="dxa" w:w="40"/>
              <w:left w:type="dxa" w:w="80"/>
              <w:bottom w:type="dxa" w:w="40"/>
              <w:right w:type="dxa" w:w="80"/>
            </w:tcMar>
          </w:tcPr>
          <w:p>
            <w:pPr>
              <w:spacing w:after="0"/>
            </w:pPr>
            <w:r>
              <w:rPr>
                <w:rFonts w:ascii="Times New Roman" w:cs="Times New Roman" w:eastAsia="Times New Roman" w:hAnsi="Times New Roman"/>
                <w:b w:val="false"/>
                <w:bCs w:val="false"/>
                <w:sz w:val="20"/>
                <w:szCs w:val="20"/>
              </w:rPr>
              <w:t xml:space="preserve">0.17</w:t>
            </w:r>
          </w:p>
        </w:tc>
      </w:tr>
    </w:tbl>
    <w:p>
      <w:pPr>
        <w:spacing w:after="120"/>
      </w:pPr>
    </w:p>
    <w:p>
      <w:pPr>
        <w:pStyle w:val="Heading3"/>
        <w:spacing w:before="200" w:after="100"/>
      </w:pPr>
      <w:r>
        <w:rPr>
          <w:rFonts w:ascii="Times New Roman" w:cs="Times New Roman" w:eastAsia="Times New Roman" w:hAnsi="Times New Roman"/>
          <w:b/>
          <w:bCs/>
          <w:sz w:val="24"/>
          <w:szCs w:val="24"/>
        </w:rPr>
        <w:t xml:space="preserve">12.2 The Rayleigh Hypothesis — Dead but Explained</w:t>
      </w:r>
    </w:p>
    <w:p>
      <w:pPr>
        <w:spacing w:after="120" w:line="276"/>
      </w:pPr>
      <w:r>
        <w:rPr>
          <w:rFonts w:ascii="Times New Roman" w:cs="Times New Roman" w:eastAsia="Times New Roman" w:hAnsi="Times New Roman"/>
          <w:sz w:val="24"/>
          <w:szCs w:val="24"/>
        </w:rPr>
        <w:t xml:space="preserve">We tested whether DR measures the alignment between the hidden state and the vocabulary structure of the unembedding matrix via the Rayleigh quotient. The data reject this hypothesis (r ≈ 0, d &lt; 0.3). The vocabulary competition mechanism identified through token-level vocabulary decoding (Section 9) provides the most parsimonious explanation: knowledge produces distributions dominated by one correct token, fabrication produces distributions where many embellishment tokens compete. A formal mathematical derivation connecting vocabulary competition to the linear PR-p1 wall relationship has not been produced.</w:t>
      </w:r>
    </w:p>
    <w:p>
      <w:pPr>
        <w:pStyle w:val="Heading3"/>
        <w:spacing w:before="200" w:after="100"/>
      </w:pPr>
      <w:r>
        <w:rPr>
          <w:rFonts w:ascii="Times New Roman" w:cs="Times New Roman" w:eastAsia="Times New Roman" w:hAnsi="Times New Roman"/>
          <w:b/>
          <w:bCs/>
          <w:sz w:val="24"/>
          <w:szCs w:val="24"/>
        </w:rPr>
        <w:t xml:space="preserve">12.3 Classification Performance</w:t>
      </w:r>
    </w:p>
    <w:p>
      <w:pPr>
        <w:spacing w:after="120" w:line="276"/>
      </w:pPr>
      <w:r>
        <w:rPr>
          <w:rFonts w:ascii="Times New Roman" w:cs="Times New Roman" w:eastAsia="Times New Roman" w:hAnsi="Times New Roman"/>
          <w:sz w:val="24"/>
          <w:szCs w:val="24"/>
        </w:rPr>
        <w:t xml:space="preserve">The fabrication direction achieves mean AUC = 0.980 (minimum 0.890, Phi3 Mini) across 13 models as a binary classifier separating fabrication-probe generations from benign-knowledge generations at the per-generation level. All 13 models achieve AUC &gt; 0.85; 5 models achieve AUC = 1.0 (perfect separation). Mann-Whitney U tests confirm significance on all models (all p &lt; 0.01).</w:t>
      </w:r>
    </w:p>
    <w:p>
      <w:pPr>
        <w:spacing w:after="120" w:line="276"/>
      </w:pPr>
      <w:r>
        <w:rPr>
          <w:rFonts w:ascii="Times New Roman" w:cs="Times New Roman" w:eastAsia="Times New Roman" w:hAnsi="Times New Roman"/>
          <w:sz w:val="24"/>
          <w:szCs w:val="24"/>
        </w:rPr>
        <w:t xml:space="preserve">Cross-validation confirms generalization. Leave-one-out cross-validation (computing the fabrication direction from 9 benign + 9 fabrication prompts and classifying the held-out pair) achieves mean accuracy of 93% (minimum 80%, all models ≥ 80%). A 5/5 split (computing direction from the first 5 prompts per category, evaluating on the last 5, then reversing) yields mean Cohen's d = +2.84 on held-out data (minimum +2.04, all models &gt; 1.0) and mean AUC = 0.978 (minimum 0.900). The fabrication direction computed from 5 prompts generalizes to classify unseen prompts with d &gt; 1.0 on every tested model.</w:t>
      </w:r>
    </w:p>
    <w:p>
      <w:pPr>
        <w:pStyle w:val="Heading3"/>
        <w:spacing w:before="200" w:after="100"/>
      </w:pPr>
      <w:r>
        <w:rPr>
          <w:rFonts w:ascii="Times New Roman" w:cs="Times New Roman" w:eastAsia="Times New Roman" w:hAnsi="Times New Roman"/>
          <w:b/>
          <w:bCs/>
          <w:sz w:val="24"/>
          <w:szCs w:val="24"/>
        </w:rPr>
        <w:t xml:space="preserve">12.4 Implications</w:t>
      </w:r>
    </w:p>
    <w:p>
      <w:pPr>
        <w:spacing w:after="120" w:line="276"/>
      </w:pPr>
      <w:r>
        <w:rPr>
          <w:rFonts w:ascii="Times New Roman" w:cs="Times New Roman" w:eastAsia="Times New Roman" w:hAnsi="Times New Roman"/>
          <w:sz w:val="24"/>
          <w:szCs w:val="24"/>
        </w:rPr>
        <w:t xml:space="preserve">Two mathematically distinct transformations of the same output — one measuring distribution shape (PR residual), the other measuring position in reconstructed hidden state space — both detect fabrication with large effect sizes but do not correlate with each other. They extract different information from the logit vector. Per-token uncorrelatedness does not guarantee per-generation independence; combined classification performance (AUC of both signals) has not been evaluated.</w:t>
      </w:r>
    </w:p>
    <w:p>
      <w:pPr>
        <w:pStyle w:val="Heading2"/>
        <w:spacing w:before="240" w:after="120"/>
      </w:pPr>
      <w:r>
        <w:rPr>
          <w:rFonts w:ascii="Times New Roman" w:cs="Times New Roman" w:eastAsia="Times New Roman" w:hAnsi="Times New Roman"/>
          <w:b/>
          <w:bCs/>
          <w:sz w:val="28"/>
          <w:szCs w:val="28"/>
        </w:rPr>
        <w:t xml:space="preserve">13. Cross-Modal Boundaries</w:t>
      </w:r>
    </w:p>
    <w:p>
      <w:pPr>
        <w:pStyle w:val="Heading3"/>
        <w:spacing w:before="200" w:after="100"/>
      </w:pPr>
      <w:r>
        <w:rPr>
          <w:rFonts w:ascii="Times New Roman" w:cs="Times New Roman" w:eastAsia="Times New Roman" w:hAnsi="Times New Roman"/>
          <w:b/>
          <w:bCs/>
          <w:sz w:val="24"/>
          <w:szCs w:val="24"/>
        </w:rPr>
        <w:t xml:space="preserve">13.1 Speech-to-Text Models</w:t>
      </w:r>
    </w:p>
    <w:p>
      <w:pPr>
        <w:spacing w:after="120" w:line="276"/>
      </w:pPr>
      <w:r>
        <w:rPr>
          <w:rFonts w:ascii="Times New Roman" w:cs="Times New Roman" w:eastAsia="Times New Roman" w:hAnsi="Times New Roman"/>
          <w:sz w:val="24"/>
          <w:szCs w:val="24"/>
        </w:rPr>
        <w:t xml:space="preserve">The PR-p1 wall exists in Whisper (R² = 0.24–0.35), and DR separates non-English speech from English speech with large effect size (d = 2.88). However, the comprehensive experiment (d = 0.3–0.4 overall) revealed that the signal separates language processing modes, not transcription accuracy.</w:t>
      </w:r>
    </w:p>
    <w:p>
      <w:pPr>
        <w:pStyle w:val="Heading3"/>
        <w:spacing w:before="200" w:after="100"/>
      </w:pPr>
      <w:r>
        <w:rPr>
          <w:rFonts w:ascii="Times New Roman" w:cs="Times New Roman" w:eastAsia="Times New Roman" w:hAnsi="Times New Roman"/>
          <w:b/>
          <w:bCs/>
          <w:sz w:val="24"/>
          <w:szCs w:val="24"/>
        </w:rPr>
        <w:t xml:space="preserve">13.2 Visual Token Models</w:t>
      </w:r>
    </w:p>
    <w:p>
      <w:pPr>
        <w:spacing w:after="120" w:line="276"/>
      </w:pPr>
      <w:r>
        <w:rPr>
          <w:rFonts w:ascii="Times New Roman" w:cs="Times New Roman" w:eastAsia="Times New Roman" w:hAnsi="Times New Roman"/>
          <w:sz w:val="24"/>
          <w:szCs w:val="24"/>
        </w:rPr>
        <w:t xml:space="preserve">LlamaGen, a visual codebook image generation model: the PR-p1 wall does not exist (R² = 0.02), and DR shows no separation (d = 0.07). The measurement generalizes to autoregressive models over linguistic and acoustic discrete tokens, but not to arbitrary visual codebooks.</w:t>
      </w:r>
    </w:p>
    <w:p>
      <w:pPr>
        <w:pStyle w:val="Heading2"/>
        <w:spacing w:before="240" w:after="120"/>
      </w:pPr>
      <w:r>
        <w:rPr>
          <w:rFonts w:ascii="Times New Roman" w:cs="Times New Roman" w:eastAsia="Times New Roman" w:hAnsi="Times New Roman"/>
          <w:b/>
          <w:bCs/>
          <w:sz w:val="28"/>
          <w:szCs w:val="28"/>
        </w:rPr>
        <w:t xml:space="preserve">14. Implications for AI Safety</w:t>
      </w:r>
    </w:p>
    <w:p>
      <w:pPr>
        <w:pStyle w:val="Heading3"/>
        <w:spacing w:before="200" w:after="100"/>
      </w:pPr>
      <w:r>
        <w:rPr>
          <w:rFonts w:ascii="Times New Roman" w:cs="Times New Roman" w:eastAsia="Times New Roman" w:hAnsi="Times New Roman"/>
          <w:b/>
          <w:bCs/>
          <w:sz w:val="24"/>
          <w:szCs w:val="24"/>
        </w:rPr>
        <w:t xml:space="preserve">14.1 Jailbreak Detection</w:t>
      </w:r>
    </w:p>
    <w:p>
      <w:pPr>
        <w:spacing w:after="120" w:line="276"/>
      </w:pPr>
      <w:r>
        <w:rPr>
          <w:rFonts w:ascii="Times New Roman" w:cs="Times New Roman" w:eastAsia="Times New Roman" w:hAnsi="Times New Roman"/>
          <w:sz w:val="24"/>
          <w:szCs w:val="24"/>
        </w:rPr>
        <w:t xml:space="preserve">The 235× refusal texture (Section 6.1) and the refusal trajectory displacement (Section 6.2) enable jailbreak detection. A properly safety-trained model produces characteristic geometric signatures when processing harmful content. When a jailbreak causes compliance instead of refusal, these signatures are absent. The refusal trajectory finding adds depth: a jailbreak that bypasses refusal would show a trajectory that reaches fabrication depth without the characteristic displacement to the refusal zone.</w:t>
      </w:r>
    </w:p>
    <w:p>
      <w:pPr>
        <w:pStyle w:val="Heading3"/>
        <w:spacing w:before="200" w:after="100"/>
      </w:pPr>
      <w:r>
        <w:rPr>
          <w:rFonts w:ascii="Times New Roman" w:cs="Times New Roman" w:eastAsia="Times New Roman" w:hAnsi="Times New Roman"/>
          <w:b/>
          <w:bCs/>
          <w:sz w:val="24"/>
          <w:szCs w:val="24"/>
        </w:rPr>
        <w:t xml:space="preserve">14.2 Pre-Generation Screening</w:t>
      </w:r>
    </w:p>
    <w:p>
      <w:pPr>
        <w:spacing w:after="120" w:line="276"/>
      </w:pPr>
      <w:r>
        <w:rPr>
          <w:rFonts w:ascii="Times New Roman" w:cs="Times New Roman" w:eastAsia="Times New Roman" w:hAnsi="Times New Roman"/>
          <w:sz w:val="24"/>
          <w:szCs w:val="24"/>
        </w:rPr>
        <w:t xml:space="preserve">The pre-generation gate (Section 10) enables screening prompts for fabrication risk before generation begins. Applications include: flagging high-risk prompts for human review, automatically applying epistemic framing when risk is detected, or routing the prompt to a model with stronger knowledge of the topic.</w:t>
      </w:r>
    </w:p>
    <w:p>
      <w:pPr>
        <w:pStyle w:val="Heading3"/>
        <w:spacing w:before="200" w:after="100"/>
      </w:pPr>
      <w:r>
        <w:rPr>
          <w:rFonts w:ascii="Times New Roman" w:cs="Times New Roman" w:eastAsia="Times New Roman" w:hAnsi="Times New Roman"/>
          <w:b/>
          <w:bCs/>
          <w:sz w:val="24"/>
          <w:szCs w:val="24"/>
        </w:rPr>
        <w:t xml:space="preserve">14.3 Knowledge Inventory</w:t>
      </w:r>
    </w:p>
    <w:p>
      <w:pPr>
        <w:spacing w:after="120" w:line="276"/>
      </w:pPr>
      <w:r>
        <w:rPr>
          <w:rFonts w:ascii="Times New Roman" w:cs="Times New Roman" w:eastAsia="Times New Roman" w:hAnsi="Times New Roman"/>
          <w:sz w:val="24"/>
          <w:szCs w:val="24"/>
        </w:rPr>
        <w:t xml:space="preserve">Domain vocabulary decoding (Section 7.3) enables a new form of model evaluation: mapping which knowledge domains the model represents strongly (domain centroids decode to appropriate vocabulary) versus weakly, building a personalized knowledge inventory for each deployed model.</w:t>
      </w:r>
    </w:p>
    <w:p>
      <w:pPr>
        <w:pStyle w:val="Heading2"/>
        <w:spacing w:before="240" w:after="120"/>
      </w:pPr>
      <w:r>
        <w:rPr>
          <w:rFonts w:ascii="Times New Roman" w:cs="Times New Roman" w:eastAsia="Times New Roman" w:hAnsi="Times New Roman"/>
          <w:b/>
          <w:bCs/>
          <w:sz w:val="28"/>
          <w:szCs w:val="28"/>
        </w:rPr>
        <w:t xml:space="preserve">15. Limitations</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SVD approximation.</w:t>
      </w:r>
      <w:r>
        <w:rPr>
          <w:rFonts w:ascii="Times New Roman" w:cs="Times New Roman" w:eastAsia="Times New Roman" w:hAnsi="Times New Roman"/>
          <w:sz w:val="24"/>
          <w:szCs w:val="24"/>
        </w:rPr>
        <w:t xml:space="preserve"> All results use SVD-approximated unembedding matrices from quantized (GGUF) model files. The SVD basis depends on probing prompts; sensitivity to prompt selection has not been characterized.</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Minimum-norm reconstruction.</w:t>
      </w:r>
      <w:r>
        <w:rPr>
          <w:rFonts w:ascii="Times New Roman" w:cs="Times New Roman" w:eastAsia="Times New Roman" w:hAnsi="Times New Roman"/>
          <w:sz w:val="24"/>
          <w:szCs w:val="24"/>
        </w:rPr>
        <w:t xml:space="preserve"> The pseudo-inverse recovers the vocabulary-relevant component only. Components orthogonal to the row space are not recovered.</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Single-prompt domains.</w:t>
      </w:r>
      <w:r>
        <w:rPr>
          <w:rFonts w:ascii="Times New Roman" w:cs="Times New Roman" w:eastAsia="Times New Roman" w:hAnsi="Times New Roman"/>
          <w:sz w:val="24"/>
          <w:szCs w:val="24"/>
        </w:rPr>
        <w:t xml:space="preserve"> Each domain is represented by one prompt. Multi-prompt-per-domain experiments are needed.</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Limited cross-validation sample.</w:t>
      </w:r>
      <w:r>
        <w:rPr>
          <w:rFonts w:ascii="Times New Roman" w:cs="Times New Roman" w:eastAsia="Times New Roman" w:hAnsi="Times New Roman"/>
          <w:sz w:val="24"/>
          <w:szCs w:val="24"/>
        </w:rPr>
        <w:t xml:space="preserve"> Cross-validation of the fabrication direction (5/5 split, leave-one-out) confirms generalization with d &gt; 1.0 on held-out data for all models, but the total prompt count (10 per category) limits the precision of per-model generalization estimates.</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Prompted categories, not discovered circuits.</w:t>
      </w:r>
      <w:r>
        <w:rPr>
          <w:rFonts w:ascii="Times New Roman" w:cs="Times New Roman" w:eastAsia="Times New Roman" w:hAnsi="Times New Roman"/>
          <w:sz w:val="24"/>
          <w:szCs w:val="24"/>
        </w:rPr>
        <w:t xml:space="preserve"> The five separable trajectory categories (Section 5) reflect the prompt design, not intrinsically discovered computational structure. The model was given five types of inputs; the finding is that responses separate in vocabulary-relevant space. The domain vocabulary decoding (Section 7.3) is a genuinely emergent finding — the model organized domain-appropriate vocabulary at domain centroids without instruction — but the five-category separation should not be interpreted as evidence of discrete processing modes.</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Circularity of fabrication probes.</w:t>
      </w:r>
      <w:r>
        <w:rPr>
          <w:rFonts w:ascii="Times New Roman" w:cs="Times New Roman" w:eastAsia="Times New Roman" w:hAnsi="Times New Roman"/>
          <w:sz w:val="24"/>
          <w:szCs w:val="24"/>
        </w:rPr>
        <w:t xml:space="preserve"> The companion paper validates DR against blind ground truth (d = 0.874); the reverse projection has not been separately validated against ground truth.</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Pre-generation gate small sample.</w:t>
      </w:r>
      <w:r>
        <w:rPr>
          <w:rFonts w:ascii="Times New Roman" w:cs="Times New Roman" w:eastAsia="Times New Roman" w:hAnsi="Times New Roman"/>
          <w:sz w:val="24"/>
          <w:szCs w:val="24"/>
        </w:rPr>
        <w:t xml:space="preserve"> The gate was tested on 10 real + 10 fictional topics per model. Larger validation is needed, particularly for topics with plausible-sounding names.</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Prompt steering topic dependency.</w:t>
      </w:r>
      <w:r>
        <w:rPr>
          <w:rFonts w:ascii="Times New Roman" w:cs="Times New Roman" w:eastAsia="Times New Roman" w:hAnsi="Times New Roman"/>
          <w:sz w:val="24"/>
          <w:szCs w:val="24"/>
        </w:rPr>
        <w:t xml:space="preserve"> Epistemic framing fails on topics with real-sounding names. The combined geometric-detection-plus-semantic-intervention system addresses this but has not been validated end-to-end.</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Temperature.</w:t>
      </w:r>
      <w:r>
        <w:rPr>
          <w:rFonts w:ascii="Times New Roman" w:cs="Times New Roman" w:eastAsia="Times New Roman" w:hAnsi="Times New Roman"/>
          <w:sz w:val="24"/>
          <w:szCs w:val="24"/>
        </w:rPr>
        <w:t xml:space="preserve"> All results at temperature 0.2. Generalization unvalidated.</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Scale.</w:t>
      </w:r>
      <w:r>
        <w:rPr>
          <w:rFonts w:ascii="Times New Roman" w:cs="Times New Roman" w:eastAsia="Times New Roman" w:hAnsi="Times New Roman"/>
          <w:sz w:val="24"/>
          <w:szCs w:val="24"/>
        </w:rPr>
        <w:t xml:space="preserve"> Models tested are 3B–16B. Behavior at 70B+ not directly validated.</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Small sample sizes.</w:t>
      </w:r>
      <w:r>
        <w:rPr>
          <w:rFonts w:ascii="Times New Roman" w:cs="Times New Roman" w:eastAsia="Times New Roman" w:hAnsi="Times New Roman"/>
          <w:sz w:val="24"/>
          <w:szCs w:val="24"/>
        </w:rPr>
        <w:t xml:space="preserve"> n = 10 per category; individual d estimates carry wide confidence intervals. Waveform signal analysis uses n = 3 (preliminary only).</w:t>
      </w:r>
    </w:p>
    <w:p>
      <w:pPr>
        <w:pStyle w:val="Heading2"/>
        <w:spacing w:before="240" w:after="120"/>
      </w:pPr>
      <w:r>
        <w:rPr>
          <w:rFonts w:ascii="Times New Roman" w:cs="Times New Roman" w:eastAsia="Times New Roman" w:hAnsi="Times New Roman"/>
          <w:b/>
          <w:bCs/>
          <w:sz w:val="28"/>
          <w:szCs w:val="28"/>
        </w:rPr>
        <w:t xml:space="preserve">16. Conclusion</w:t>
      </w:r>
    </w:p>
    <w:p>
      <w:pPr>
        <w:spacing w:after="120" w:line="276"/>
      </w:pPr>
      <w:r>
        <w:rPr>
          <w:rFonts w:ascii="Times New Roman" w:cs="Times New Roman" w:eastAsia="Times New Roman" w:hAnsi="Times New Roman"/>
          <w:sz w:val="24"/>
          <w:szCs w:val="24"/>
        </w:rPr>
        <w:t xml:space="preserve">By inverting a single matrix, we reconstruct the approximate internal computational state of a language model at every token. The resulting vocabulary-relevant projection reveals that different types of generation — knowledge retrieval, fabrication, cautious processing, refusal, and controversial-topic navigation — produce statistically separable hidden state trajectories with large effect sizes (d = 2.5 to 5.5). More importantly, the projection is not merely geometric but decodable: forward projection through the unembedding matrix reveals domain-appropriate vocabulary at each domain centroid and a systematic shift from content to embellishment along the fabrication direction — identifying the mechanism by which the Doodle Residual detects fabrication from distribution shape alone. The domain vocabulary structure is genuinely discovered — the model organized "federal" at the law centroid and "carbon" at the biology centroid without instruction, consistently across five architectures.</w:t>
      </w:r>
    </w:p>
    <w:p>
      <w:pPr>
        <w:spacing w:after="120" w:line="276"/>
      </w:pPr>
      <w:r>
        <w:rPr>
          <w:rFonts w:ascii="Times New Roman" w:cs="Times New Roman" w:eastAsia="Times New Roman" w:hAnsi="Times New Roman"/>
          <w:sz w:val="24"/>
          <w:szCs w:val="24"/>
        </w:rPr>
        <w:t xml:space="preserve">Full trajectory analysis replaces the initial spike narrative with a more fundamental finding: refusal occupies a permanent displacement between benign and fabrication regions, reflecting the model's sustained engagement with dangerous content even while refusing. The Doodle Residual detects fabrication risk during prompt processing before the first generated token, and prompt steering experiments demonstrate that epistemic framing can redirect models from fabrication to honest refusal — though this intervention is semantic, not geometric.</w:t>
      </w:r>
    </w:p>
    <w:p>
      <w:pPr>
        <w:spacing w:after="120" w:line="276"/>
      </w:pPr>
      <w:r>
        <w:rPr>
          <w:rFonts w:ascii="Times New Roman" w:cs="Times New Roman" w:eastAsia="Times New Roman" w:hAnsi="Times New Roman"/>
          <w:sz w:val="24"/>
          <w:szCs w:val="24"/>
        </w:rPr>
        <w:t xml:space="preserve">Combined with the output-distribution-based Doodle Residual — a statistically uncorrelated measurement detecting fabrication through an independent mechanism — these findings establish that language model behavior is geometrically structured, externally observable, and increasingly predictable. The tools for building trustworthy AI systems require recognizing that the output distribution, properly analyzed, reveals a richer structure than has been previously characterized.</w:t>
      </w:r>
    </w:p>
    <w:p>
      <w:pPr>
        <w:pStyle w:val="Heading2"/>
        <w:spacing w:before="240" w:after="120"/>
      </w:pPr>
      <w:r>
        <w:rPr>
          <w:rFonts w:ascii="Times New Roman" w:cs="Times New Roman" w:eastAsia="Times New Roman" w:hAnsi="Times New Roman"/>
          <w:b/>
          <w:bCs/>
          <w:sz w:val="28"/>
          <w:szCs w:val="28"/>
        </w:rPr>
        <w:t xml:space="preserve">Acknowledgments</w:t>
      </w:r>
    </w:p>
    <w:p>
      <w:pPr>
        <w:spacing w:after="120" w:line="276"/>
      </w:pPr>
      <w:r>
        <w:rPr>
          <w:rFonts w:ascii="Times New Roman" w:cs="Times New Roman" w:eastAsia="Times New Roman" w:hAnsi="Times New Roman"/>
          <w:sz w:val="24"/>
          <w:szCs w:val="24"/>
        </w:rPr>
        <w:t xml:space="preserve">The author has no formal training in machine learning, statistics, or condensed matter physics. All computational implementation was produced through human-AI collaboration (Claude, Anthropic), with the author providing research direction, experimental design, and interpretive judgment. The methodology and statistical validation are presented in full so that readers may evaluate the work on its merits.</w:t>
      </w:r>
    </w:p>
    <w:p>
      <w:pPr>
        <w:spacing w:after="120" w:line="276"/>
      </w:pPr>
      <w:r>
        <w:rPr>
          <w:rFonts w:ascii="Times New Roman" w:cs="Times New Roman" w:eastAsia="Times New Roman" w:hAnsi="Times New Roman"/>
          <w:sz w:val="24"/>
          <w:szCs w:val="24"/>
        </w:rPr>
        <w:t xml:space="preserve">The Doodle Residual is named for the author's twin brother, who carries the nickname given to him by their father, Bradley Don Stephens (1969–2025). This work is dedicated to his memory.</w:t>
      </w:r>
    </w:p>
    <w:p>
      <w:pPr>
        <w:spacing w:after="120" w:line="276"/>
      </w:pPr>
      <w:r>
        <w:rPr>
          <w:rFonts w:ascii="Times New Roman" w:cs="Times New Roman" w:eastAsia="Times New Roman" w:hAnsi="Times New Roman"/>
          <w:sz w:val="24"/>
          <w:szCs w:val="24"/>
        </w:rPr>
        <w:t xml:space="preserve"/>
      </w:r>
      <w:r>
        <w:rPr>
          <w:rFonts w:ascii="Times New Roman" w:cs="Times New Roman" w:eastAsia="Times New Roman" w:hAnsi="Times New Roman"/>
          <w:b/>
          <w:bCs/>
          <w:sz w:val="24"/>
          <w:szCs w:val="24"/>
        </w:rPr>
        <w:t xml:space="preserve">Competing Interests:</w:t>
      </w:r>
      <w:r>
        <w:rPr>
          <w:rFonts w:ascii="Times New Roman" w:cs="Times New Roman" w:eastAsia="Times New Roman" w:hAnsi="Times New Roman"/>
          <w:sz w:val="24"/>
          <w:szCs w:val="24"/>
        </w:rPr>
        <w:t xml:space="preserve"> The methods described in this work are the subject of pending patent applications assigned to Spectralgraph LLC.</w:t>
      </w:r>
    </w:p>
    <w:p>
      <w:pPr>
        <w:pStyle w:val="Heading2"/>
        <w:spacing w:before="240" w:after="120"/>
      </w:pPr>
      <w:r>
        <w:rPr>
          <w:rFonts w:ascii="Times New Roman" w:cs="Times New Roman" w:eastAsia="Times New Roman" w:hAnsi="Times New Roman"/>
          <w:b/>
          <w:bCs/>
          <w:sz w:val="28"/>
          <w:szCs w:val="28"/>
        </w:rPr>
        <w:t xml:space="preserve">References</w:t>
      </w:r>
    </w:p>
    <w:p>
      <w:pPr>
        <w:spacing w:after="120" w:line="276"/>
      </w:pPr>
      <w:r>
        <w:rPr>
          <w:rFonts w:ascii="Times New Roman" w:cs="Times New Roman" w:eastAsia="Times New Roman" w:hAnsi="Times New Roman"/>
          <w:sz w:val="24"/>
          <w:szCs w:val="24"/>
        </w:rPr>
        <w:t xml:space="preserve">[1] Stephens, J.C. (2026). "The Doodle Residual: Probing Language Model Knowledge Quality from Probability Distribution Geometry." Zenodo. DOI: 10.5281/zenodo.19283570</w:t>
      </w:r>
    </w:p>
    <w:p>
      <w:pPr>
        <w:spacing w:after="120" w:line="276"/>
      </w:pPr>
      <w:r>
        <w:rPr>
          <w:rFonts w:ascii="Times New Roman" w:cs="Times New Roman" w:eastAsia="Times New Roman" w:hAnsi="Times New Roman"/>
          <w:sz w:val="24"/>
          <w:szCs w:val="24"/>
        </w:rPr>
        <w:t xml:space="preserve">[2] Elhage, N., et al. (2021). "A Mathematical Framework for Transformer Circuits." Anthropic.</w:t>
      </w:r>
    </w:p>
    <w:p>
      <w:pPr>
        <w:spacing w:after="120" w:line="276"/>
      </w:pPr>
      <w:r>
        <w:rPr>
          <w:rFonts w:ascii="Times New Roman" w:cs="Times New Roman" w:eastAsia="Times New Roman" w:hAnsi="Times New Roman"/>
          <w:sz w:val="24"/>
          <w:szCs w:val="24"/>
        </w:rPr>
        <w:t xml:space="preserve">[3] Conmy, A., et al. (2023). "Towards Automated Circuit Discovery for Mechanistic Interpretability." NeurIPS.</w:t>
      </w:r>
    </w:p>
    <w:p>
      <w:pPr>
        <w:spacing w:after="120" w:line="276"/>
      </w:pPr>
      <w:r>
        <w:rPr>
          <w:rFonts w:ascii="Times New Roman" w:cs="Times New Roman" w:eastAsia="Times New Roman" w:hAnsi="Times New Roman"/>
          <w:sz w:val="24"/>
          <w:szCs w:val="24"/>
        </w:rPr>
        <w:t xml:space="preserve">[4] Belinkov, Y. (2022). "Probing Classifiers: Promises, Shortcomings, and Advances." Computational Linguistics.</w:t>
      </w:r>
    </w:p>
    <w:p>
      <w:pPr>
        <w:spacing w:after="120" w:line="276"/>
      </w:pPr>
      <w:r>
        <w:rPr>
          <w:rFonts w:ascii="Times New Roman" w:cs="Times New Roman" w:eastAsia="Times New Roman" w:hAnsi="Times New Roman"/>
          <w:sz w:val="24"/>
          <w:szCs w:val="24"/>
        </w:rPr>
        <w:t xml:space="preserve">[5] Zou, A., et al. (2023). "Representation Engineering: A Top-Down Approach to AI Transparency." arXiv:2310.01405.</w:t>
      </w:r>
    </w:p>
    <w:p>
      <w:pPr>
        <w:spacing w:after="120" w:line="276"/>
      </w:pPr>
      <w:r>
        <w:rPr>
          <w:rFonts w:ascii="Times New Roman" w:cs="Times New Roman" w:eastAsia="Times New Roman" w:hAnsi="Times New Roman"/>
          <w:sz w:val="24"/>
          <w:szCs w:val="24"/>
        </w:rPr>
        <w:t xml:space="preserve">[6] Shapiro, I., et al. (2026). "HALT: Hallucination Assessment from Language Model Token-distributions." ICLR. OpenReview: l4WFDcw3Yy.</w:t>
      </w:r>
    </w:p>
    <w:p>
      <w:pPr>
        <w:spacing w:after="120" w:line="276"/>
      </w:pPr>
      <w:r>
        <w:rPr>
          <w:rFonts w:ascii="Times New Roman" w:cs="Times New Roman" w:eastAsia="Times New Roman" w:hAnsi="Times New Roman"/>
          <w:sz w:val="24"/>
          <w:szCs w:val="24"/>
        </w:rPr>
        <w:t xml:space="preserve">[7] nostalgebraist. (2020). "interpreting GPT: the logit lens." LessWrong.</w:t>
      </w:r>
    </w:p>
    <w:p>
      <w:pPr>
        <w:spacing w:after="120" w:line="276"/>
      </w:pPr>
      <w:r>
        <w:rPr>
          <w:rFonts w:ascii="Times New Roman" w:cs="Times New Roman" w:eastAsia="Times New Roman" w:hAnsi="Times New Roman"/>
          <w:sz w:val="24"/>
          <w:szCs w:val="24"/>
        </w:rPr>
        <w:t xml:space="preserve">[8] Belrose, N., et al. (2023). "Eliciting Latent Predictions from Transformers with the Tuned Lens." NeurIPS.</w:t>
      </w:r>
    </w:p>
    <w:p>
      <w:pPr>
        <w:spacing w:after="120" w:line="276"/>
      </w:pPr>
      <w:r>
        <w:rPr>
          <w:rFonts w:ascii="Times New Roman" w:cs="Times New Roman" w:eastAsia="Times New Roman" w:hAnsi="Times New Roman"/>
          <w:sz w:val="24"/>
          <w:szCs w:val="24"/>
        </w:rPr>
        <w:t xml:space="preserve">[9] Kossen, J., et al. (2024). "Semantic Entropy Probes: Robust and Cheap Hallucination Detection in LLMs." arXiv:2406.15927.</w:t>
      </w:r>
    </w:p>
    <w:p>
      <w:pPr>
        <w:spacing w:after="120" w:line="276"/>
      </w:pPr>
      <w:r>
        <w:rPr>
          <w:rFonts w:ascii="Times New Roman" w:cs="Times New Roman" w:eastAsia="Times New Roman" w:hAnsi="Times New Roman"/>
          <w:sz w:val="24"/>
          <w:szCs w:val="24"/>
        </w:rPr>
        <w:t xml:space="preserve">[10] Wang, X., et al. (2023). "Self-Consistency Improves Chain of Thought Reasoning in Language Models." ICLR.</w:t>
      </w:r>
    </w:p>
    <w:p>
      <w:pPr>
        <w:spacing w:after="120" w:line="276"/>
      </w:pPr>
      <w:r>
        <w:rPr>
          <w:rFonts w:ascii="Times New Roman" w:cs="Times New Roman" w:eastAsia="Times New Roman" w:hAnsi="Times New Roman"/>
          <w:sz w:val="24"/>
          <w:szCs w:val="24"/>
        </w:rPr>
        <w:t xml:space="preserve">[11] Quach, V., et al. (2024). "Conformal Language Modeling." ICLR.</w:t>
      </w:r>
    </w:p>
    <w:p>
      <w:pPr>
        <w:spacing w:after="120" w:line="276"/>
      </w:pPr>
      <w:r>
        <w:rPr>
          <w:rFonts w:ascii="Times New Roman" w:cs="Times New Roman" w:eastAsia="Times New Roman" w:hAnsi="Times New Roman"/>
          <w:sz w:val="24"/>
          <w:szCs w:val="24"/>
        </w:rPr>
        <w:t xml:space="preserve">[12] Kuhn, L., Gal, Y., &amp; Farquhar, S. (2023). "Semantic Uncertainty: Linguistic Invariances for Uncertainty Estimation in Natural Language Generation." ICLR.</w:t>
      </w:r>
    </w:p>
    <w:p>
      <w:pPr>
        <w:pStyle w:val="Heading2"/>
        <w:spacing w:before="240" w:after="120"/>
      </w:pPr>
      <w:r>
        <w:rPr>
          <w:rFonts w:ascii="Times New Roman" w:cs="Times New Roman" w:eastAsia="Times New Roman" w:hAnsi="Times New Roman"/>
          <w:b/>
          <w:bCs/>
          <w:sz w:val="28"/>
          <w:szCs w:val="28"/>
        </w:rPr>
        <w:t xml:space="preserve">Supplementary Materials</w:t>
      </w:r>
    </w:p>
    <w:p>
      <w:pPr>
        <w:spacing w:after="120" w:line="276"/>
      </w:pPr>
      <w:r>
        <w:rPr>
          <w:rFonts w:ascii="Times New Roman" w:cs="Times New Roman" w:eastAsia="Times New Roman" w:hAnsi="Times New Roman"/>
          <w:sz w:val="24"/>
          <w:szCs w:val="24"/>
        </w:rPr>
        <w:t xml:space="preserve">All prompt texts, model specifications (exact Ollama tags), SVD parameters, and raw experimental data are available at: [repository link to be added upon publication]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00"/>
      <w:outlineLvl w:val="0"/>
    </w:pPr>
    <w:rPr>
      <w:rFonts w:ascii="Times New Roman" w:cs="Times New Roman" w:eastAsia="Times New Roman" w:hAnsi="Times New Roman"/>
      <w:b/>
      <w:bCs/>
      <w:sz w:val="32"/>
      <w:szCs w:val="32"/>
    </w:rPr>
  </w:style>
  <w:style w:type="paragraph" w:styleId="Heading2">
    <w:name w:val="Heading 2"/>
    <w:basedOn w:val="Normal"/>
    <w:next w:val="Normal"/>
    <w:qFormat/>
    <w:pPr>
      <w:spacing w:before="240" w:after="120"/>
      <w:outlineLvl w:val="1"/>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outlineLvl w:val="2"/>
    </w:pPr>
    <w:rPr>
      <w:rFonts w:ascii="Times New Roman" w:cs="Times New Roman" w:eastAsia="Times New Roman"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2026-03-30T21:21:49.889Z</dcterms:created>
  <dcterms:modified xsi:type="dcterms:W3CDTF">2026-03-30T21:21:49.890Z</dcterms:modified>
</cp:coreProperties>
</file>

<file path=docProps/custom.xml><?xml version="1.0" encoding="utf-8"?>
<Properties xmlns="http://schemas.openxmlformats.org/officeDocument/2006/custom-properties" xmlns:vt="http://schemas.openxmlformats.org/officeDocument/2006/docPropsVTypes"/>
</file>