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jc w:val="center"/>
      </w:pPr>
      <w:r>
        <w:rPr>
          <w:rFonts w:ascii="Times New Roman" w:cs="Times New Roman" w:eastAsia="Times New Roman" w:hAnsi="Times New Roman"/>
          <w:b/>
          <w:bCs/>
          <w:sz w:val="32"/>
          <w:szCs w:val="32"/>
        </w:rPr>
        <w:t xml:space="preserve">Information-Geometric and Topological Features of</w:t>
      </w:r>
    </w:p>
    <w:p>
      <w:pPr>
        <w:spacing w:after="60"/>
        <w:jc w:val="center"/>
      </w:pPr>
      <w:r>
        <w:rPr>
          <w:rFonts w:ascii="Times New Roman" w:cs="Times New Roman" w:eastAsia="Times New Roman" w:hAnsi="Times New Roman"/>
          <w:b/>
          <w:bCs/>
          <w:sz w:val="32"/>
          <w:szCs w:val="32"/>
        </w:rPr>
        <w:t xml:space="preserve">AI Behavioral Signatures: A 14-Module Mathematical Framework</w:t>
      </w:r>
    </w:p>
    <w:p>
      <w:pPr>
        <w:spacing w:after="40"/>
        <w:jc w:val="center"/>
      </w:pPr>
      <w:r>
        <w:rPr>
          <w:rFonts w:ascii="Times New Roman" w:cs="Times New Roman" w:eastAsia="Times New Roman" w:hAnsi="Times New Roman"/>
          <w:sz w:val="22"/>
          <w:szCs w:val="22"/>
        </w:rPr>
        <w:t xml:space="preserve">CIJ Labs</w:t>
      </w:r>
    </w:p>
    <w:p>
      <w:pPr>
        <w:spacing w:after="40"/>
        <w:jc w:val="center"/>
      </w:pPr>
      <w:r>
        <w:rPr>
          <w:rFonts w:ascii="Times New Roman" w:cs="Times New Roman" w:eastAsia="Times New Roman" w:hAnsi="Times New Roman"/>
          <w:sz w:val="22"/>
          <w:szCs w:val="22"/>
        </w:rPr>
        <w:t xml:space="preserve">London, United Kingdom</w:t>
      </w:r>
    </w:p>
    <w:p>
      <w:pPr>
        <w:spacing w:after="40"/>
        <w:jc w:val="center"/>
      </w:pPr>
      <w:r>
        <w:rPr>
          <w:rFonts w:ascii="Times New Roman" w:cs="Times New Roman" w:eastAsia="Times New Roman" w:hAnsi="Times New Roman"/>
          <w:sz w:val="22"/>
          <w:szCs w:val="22"/>
        </w:rPr>
        <w:t xml:space="preserve">chris@cijlabs.com</w:t>
      </w:r>
    </w:p>
    <w:p>
      <w:pPr>
        <w:spacing w:after="200"/>
        <w:jc w:val="center"/>
      </w:pPr>
      <w:r>
        <w:rPr>
          <w:rFonts w:ascii="Times New Roman" w:cs="Times New Roman" w:eastAsia="Times New Roman" w:hAnsi="Times New Roman"/>
          <w:sz w:val="22"/>
          <w:szCs w:val="22"/>
        </w:rPr>
        <w:t xml:space="preserve">November 2024</w:t>
      </w:r>
    </w:p>
    <w:p>
      <w:pPr>
        <w:pStyle w:val="Heading1"/>
        <w:spacing w:before="240" w:after="120"/>
      </w:pPr>
      <w:r>
        <w:rPr>
          <w:rFonts w:ascii="Times New Roman" w:cs="Times New Roman" w:eastAsia="Times New Roman" w:hAnsi="Times New Roman"/>
          <w:b/>
          <w:bCs/>
          <w:sz w:val="28"/>
          <w:szCs w:val="28"/>
        </w:rPr>
        <w:t xml:space="preserve">Abstract</w:t>
      </w:r>
    </w:p>
    <w:p>
      <w:pPr>
        <w:spacing w:after="120" w:line="276"/>
        <w:jc w:val="both"/>
      </w:pPr>
      <w:r>
        <w:rPr>
          <w:rFonts w:ascii="Times New Roman" w:cs="Times New Roman" w:eastAsia="Times New Roman" w:hAnsi="Times New Roman"/>
          <w:sz w:val="22"/>
          <w:szCs w:val="22"/>
        </w:rPr>
        <w:t xml:space="preserve">We describe a 14-module mathematical pipeline that processes raw behavioral data through complementary mathematical frameworks spanning information theory, algebraic topology, dynamical systems, differential geometry, gauge theory, and category theory. The pipeline produces a 272-dimensional feature vector expanded to a 512-dimensional bio-hash via fixed projection. When combined with 34 surface-level behavioral features mapped into a 1,543-dimensional vector (with median fill for unmapped dimensions), the complete representation achieves 0.958 AUC (GPT-4) on LLM behavioral drift detection when trained natively on 112,360 conversation windows from 29 LMSYS models, and 0.78 AUC on cryptocurrency market data. V2 per-module feature attribution from correction_signals.json reveals that the Hodge/sheaf decomposition module (f192–f207) produces the single most important feature (f196, Cohen’s d 5–120 across 29 models), meaning that the topological decomposition of behavioral intent—separating goal-directed, exploratory, and identity-preserving behavior—is the most sensitive mathematical framework for detecting LLM behavioral drift. Expanding the pipeline from 4 core modules (34 features) to the full 14-module pipeline (784 populated features) transformed production monitoring from indiscriminate scoring (all models 0.87–0.93) to meaningful inter-model differentiation (0.075–0.894).</w:t>
      </w:r>
    </w:p>
    <w:p>
      <w:pPr>
        <w:pStyle w:val="Heading1"/>
        <w:spacing w:before="240" w:after="120"/>
      </w:pPr>
      <w:r>
        <w:rPr>
          <w:rFonts w:ascii="Times New Roman" w:cs="Times New Roman" w:eastAsia="Times New Roman" w:hAnsi="Times New Roman"/>
          <w:b/>
          <w:bCs/>
          <w:sz w:val="28"/>
          <w:szCs w:val="28"/>
        </w:rPr>
        <w:t xml:space="preserve">1  Introduction</w:t>
      </w:r>
    </w:p>
    <w:p>
      <w:pPr>
        <w:spacing w:after="120" w:line="276"/>
        <w:jc w:val="both"/>
      </w:pPr>
      <w:r>
        <w:rPr>
          <w:rFonts w:ascii="Times New Roman" w:cs="Times New Roman" w:eastAsia="Times New Roman" w:hAnsi="Times New Roman"/>
          <w:sz w:val="22"/>
          <w:szCs w:val="22"/>
        </w:rPr>
        <w:t xml:space="preserve">Behavioral monitoring systems typically rely on a small number of statistical measures: mean, variance, distribution tests, and occasionally information-theoretic quantities. While these capture some aspects of behavioral state, they miss structural properties visible only through more advanced mathematical frameworks. Topological data analysis reveals the shape of behavioral distributions. Koopman operator theory reveals deterministic dynamics hidden in apparently stochastic data. Symplectic geometry reveals conserved quantities. Each framework provides a complementary view of the same underlying behavioral state.</w:t>
      </w:r>
    </w:p>
    <w:p>
      <w:pPr>
        <w:spacing w:after="120" w:line="276"/>
        <w:jc w:val="both"/>
      </w:pPr>
      <w:r>
        <w:rPr>
          <w:rFonts w:ascii="Times New Roman" w:cs="Times New Roman" w:eastAsia="Times New Roman" w:hAnsi="Times New Roman"/>
          <w:sz w:val="22"/>
          <w:szCs w:val="22"/>
        </w:rPr>
        <w:t xml:space="preserve">We describe a pipeline that integrates 14 such frameworks into a unified feature extraction system. The design philosophy is that behavioral state is high-dimensional and no single mathematical framework captures all of it. The V2 retraining on 112,360 LLM conversation windows from 29 models now provides per-module feature attribution, revealing which mathematical frameworks contribute most to drift detection for each model architecture.</w:t>
      </w:r>
    </w:p>
    <w:p>
      <w:pPr>
        <w:pStyle w:val="Heading1"/>
        <w:spacing w:before="240" w:after="120"/>
      </w:pPr>
      <w:r>
        <w:rPr>
          <w:rFonts w:ascii="Times New Roman" w:cs="Times New Roman" w:eastAsia="Times New Roman" w:hAnsi="Times New Roman"/>
          <w:b/>
          <w:bCs/>
          <w:sz w:val="28"/>
          <w:szCs w:val="28"/>
        </w:rPr>
        <w:t xml:space="preserve">2  Pipeline Architecture</w:t>
      </w:r>
    </w:p>
    <w:p>
      <w:pPr>
        <w:spacing w:after="120" w:line="276"/>
        <w:jc w:val="both"/>
      </w:pPr>
      <w:r>
        <w:rPr>
          <w:rFonts w:ascii="Times New Roman" w:cs="Times New Roman" w:eastAsia="Times New Roman" w:hAnsi="Times New Roman"/>
          <w:sz w:val="22"/>
          <w:szCs w:val="22"/>
        </w:rPr>
        <w:t xml:space="preserve">The pipeline processes a time-series behavioral signal through 14 modules in parallel. Each module receives the same input signal and produces a fixed-length feature vector. The 14 vectors are concatenated into a 272-dimensional composite vector, which is then expanded to 512 dimensions via a fixed (non-learned) projection to produce the bio-hash. The expansion uses a deterministic linear map that preserves distance relationships while embedding the features in a higher-dimensional space. The 34 surface-level text features are mapped into a 1,543-dimensional vector with median fill for unmapped dimensions, producing the complete behavioral representation.</w:t>
      </w:r>
    </w:p>
    <w:p>
      <w:pPr>
        <w:spacing w:after="120" w:line="276"/>
        <w:jc w:val="both"/>
      </w:pPr>
      <w:r>
        <w:rPr>
          <w:rFonts w:ascii="Times New Roman" w:cs="Times New Roman" w:eastAsia="Times New Roman" w:hAnsi="Times New Roman"/>
          <w:sz w:val="22"/>
          <w:szCs w:val="22"/>
        </w:rPr>
        <w:t xml:space="preserve">Note: A 1,543D/1,544D dimension discrepancy (XGBoost expects 1,543 features; the original vector was 1,544) has been resolved with a trim operation.</w:t>
      </w:r>
    </w:p>
    <w:p>
      <w:pPr>
        <w:pStyle w:val="Heading1"/>
        <w:spacing w:before="240" w:after="120"/>
      </w:pPr>
      <w:r>
        <w:rPr>
          <w:rFonts w:ascii="Times New Roman" w:cs="Times New Roman" w:eastAsia="Times New Roman" w:hAnsi="Times New Roman"/>
          <w:b/>
          <w:bCs/>
          <w:sz w:val="28"/>
          <w:szCs w:val="28"/>
        </w:rPr>
        <w:t xml:space="preserve">3  Mathematical Modules</w:t>
      </w:r>
    </w:p>
    <w:p>
      <w:pPr>
        <w:pStyle w:val="Heading2"/>
        <w:spacing w:before="240" w:after="120"/>
      </w:pPr>
      <w:r>
        <w:rPr>
          <w:rFonts w:ascii="Times New Roman" w:cs="Times New Roman" w:eastAsia="Times New Roman" w:hAnsi="Times New Roman"/>
          <w:b/>
          <w:bCs/>
          <w:sz w:val="24"/>
          <w:szCs w:val="24"/>
        </w:rPr>
        <w:t xml:space="preserve">3.1  Wavelet Transform (32 features, f0–f31)</w:t>
      </w:r>
    </w:p>
    <w:p>
      <w:pPr>
        <w:spacing w:after="120" w:line="276"/>
        <w:jc w:val="both"/>
      </w:pPr>
      <w:r>
        <w:rPr>
          <w:rFonts w:ascii="Times New Roman" w:cs="Times New Roman" w:eastAsia="Times New Roman" w:hAnsi="Times New Roman"/>
          <w:sz w:val="22"/>
          <w:szCs w:val="22"/>
        </w:rPr>
        <w:t xml:space="preserve">Multi-resolution temporal analysis using discrete wavelet decomposition. Extracts energy at multiple time scales simultaneously using a Daubechies-4 mother wavelet with 4 levels of decomposition, producing coefficients at scales corresponding to approximately 0.25s, 0.5s, 1s, and 2s behavioral windows. Features include energy per scale, entropy per scale, and cross-scale energy ratios.</w:t>
      </w:r>
    </w:p>
    <w:p>
      <w:pPr>
        <w:pStyle w:val="Heading2"/>
        <w:spacing w:before="240" w:after="120"/>
      </w:pPr>
      <w:r>
        <w:rPr>
          <w:rFonts w:ascii="Times New Roman" w:cs="Times New Roman" w:eastAsia="Times New Roman" w:hAnsi="Times New Roman"/>
          <w:b/>
          <w:bCs/>
          <w:sz w:val="24"/>
          <w:szCs w:val="24"/>
        </w:rPr>
        <w:t xml:space="preserve">3.2  Hilbert Transform (16 features, f32–f47)</w:t>
      </w:r>
    </w:p>
    <w:p>
      <w:pPr>
        <w:spacing w:after="120" w:line="276"/>
        <w:jc w:val="both"/>
      </w:pPr>
      <w:r>
        <w:rPr>
          <w:rFonts w:ascii="Times New Roman" w:cs="Times New Roman" w:eastAsia="Times New Roman" w:hAnsi="Times New Roman"/>
          <w:sz w:val="22"/>
          <w:szCs w:val="22"/>
        </w:rPr>
        <w:t xml:space="preserve">Instantaneous phase and frequency extraction via the analytic signal. Converts a real-valued behavioral signal into a complex analytic signal from which instantaneous amplitude, frequency, and phase are extracted. Features include mean and variance of instantaneous frequency, phase coherence, and Fibonacci frequency ratios.</w:t>
      </w:r>
    </w:p>
    <w:p>
      <w:pPr>
        <w:pStyle w:val="Heading2"/>
        <w:spacing w:before="240" w:after="120"/>
      </w:pPr>
      <w:r>
        <w:rPr>
          <w:rFonts w:ascii="Times New Roman" w:cs="Times New Roman" w:eastAsia="Times New Roman" w:hAnsi="Times New Roman"/>
          <w:b/>
          <w:bCs/>
          <w:sz w:val="24"/>
          <w:szCs w:val="24"/>
        </w:rPr>
        <w:t xml:space="preserve">3.3  Persistent Homology (24 features, f48–f71)</w:t>
      </w:r>
    </w:p>
    <w:p>
      <w:pPr>
        <w:spacing w:after="120" w:line="276"/>
        <w:jc w:val="both"/>
      </w:pPr>
      <w:r>
        <w:rPr>
          <w:rFonts w:ascii="Times New Roman" w:cs="Times New Roman" w:eastAsia="Times New Roman" w:hAnsi="Times New Roman"/>
          <w:sz w:val="22"/>
          <w:szCs w:val="22"/>
        </w:rPr>
        <w:t xml:space="preserve">Topological data analysis computing birth and death times of topological features (connected components, loops, voids) across a filtration of the behavioral data point cloud. Features include Betti numbers, persistence diagram statistics, and bottleneck distances from reference topology.</w:t>
      </w:r>
    </w:p>
    <w:p>
      <w:pPr>
        <w:pStyle w:val="Heading2"/>
        <w:spacing w:before="240" w:after="120"/>
      </w:pPr>
      <w:r>
        <w:rPr>
          <w:rFonts w:ascii="Times New Roman" w:cs="Times New Roman" w:eastAsia="Times New Roman" w:hAnsi="Times New Roman"/>
          <w:b/>
          <w:bCs/>
          <w:sz w:val="24"/>
          <w:szCs w:val="24"/>
        </w:rPr>
        <w:t xml:space="preserve">3.4  Koopman Operator (24 features, f72–f95)</w:t>
      </w:r>
    </w:p>
    <w:p>
      <w:pPr>
        <w:spacing w:after="120" w:line="276"/>
        <w:jc w:val="both"/>
      </w:pPr>
      <w:r>
        <w:rPr>
          <w:rFonts w:ascii="Times New Roman" w:cs="Times New Roman" w:eastAsia="Times New Roman" w:hAnsi="Times New Roman"/>
          <w:sz w:val="22"/>
          <w:szCs w:val="22"/>
        </w:rPr>
        <w:t xml:space="preserve">Spectral analysis via Dynamic Mode Decomposition (DMD). Approximates leading Koopman eigenvalues and modes. Features include eigenvalue magnitudes (stability indicators), eigenvalue phases (oscillation frequencies), mode amplitudes, and reconstruction residuals. A stability index from the spectral radius provides deterministic prediction of time-to-drift.</w:t>
      </w:r>
    </w:p>
    <w:p>
      <w:pPr>
        <w:pStyle w:val="Heading2"/>
        <w:spacing w:before="240" w:after="120"/>
      </w:pPr>
      <w:r>
        <w:rPr>
          <w:rFonts w:ascii="Times New Roman" w:cs="Times New Roman" w:eastAsia="Times New Roman" w:hAnsi="Times New Roman"/>
          <w:b/>
          <w:bCs/>
          <w:sz w:val="24"/>
          <w:szCs w:val="24"/>
        </w:rPr>
        <w:t xml:space="preserve">3.5  Clifford E8 Algebra (28 features, f96–f123)</w:t>
      </w:r>
    </w:p>
    <w:p>
      <w:pPr>
        <w:spacing w:after="120" w:line="276"/>
        <w:jc w:val="both"/>
      </w:pPr>
      <w:r>
        <w:rPr>
          <w:rFonts w:ascii="Times New Roman" w:cs="Times New Roman" w:eastAsia="Times New Roman" w:hAnsi="Times New Roman"/>
          <w:sz w:val="22"/>
          <w:szCs w:val="22"/>
        </w:rPr>
        <w:t xml:space="preserve">Geometric analysis using Clifford algebra in the E8 root system. Projects behavioral data onto the exceptional Lie algebra E8 to detect high-dimensional geometric regularities. Features include E8 coherence, Clifford product norms, and geometric flow magnitudes.</w:t>
      </w:r>
    </w:p>
    <w:p>
      <w:pPr>
        <w:pStyle w:val="Heading2"/>
        <w:spacing w:before="240" w:after="120"/>
      </w:pPr>
      <w:r>
        <w:rPr>
          <w:rFonts w:ascii="Times New Roman" w:cs="Times New Roman" w:eastAsia="Times New Roman" w:hAnsi="Times New Roman"/>
          <w:b/>
          <w:bCs/>
          <w:sz w:val="24"/>
          <w:szCs w:val="24"/>
        </w:rPr>
        <w:t xml:space="preserve">3.6  Information Geometry (20 features, f124–f143)</w:t>
      </w:r>
    </w:p>
    <w:p>
      <w:pPr>
        <w:spacing w:after="120" w:line="276"/>
        <w:jc w:val="both"/>
      </w:pPr>
      <w:r>
        <w:rPr>
          <w:rFonts w:ascii="Times New Roman" w:cs="Times New Roman" w:eastAsia="Times New Roman" w:hAnsi="Times New Roman"/>
          <w:sz w:val="22"/>
          <w:szCs w:val="22"/>
        </w:rPr>
        <w:t xml:space="preserve">Statistical manifold analysis using the Fisher information metric. Models the space of behavioral probability distributions as a Riemannian manifold and measures geodesic distances between behavioral states. Features include Fisher information matrix eigenvalues, geodesic distances, and natural gradient components.</w:t>
      </w:r>
    </w:p>
    <w:p>
      <w:pPr>
        <w:pStyle w:val="Heading2"/>
        <w:spacing w:before="240" w:after="120"/>
      </w:pPr>
      <w:r>
        <w:rPr>
          <w:rFonts w:ascii="Times New Roman" w:cs="Times New Roman" w:eastAsia="Times New Roman" w:hAnsi="Times New Roman"/>
          <w:b/>
          <w:bCs/>
          <w:sz w:val="24"/>
          <w:szCs w:val="24"/>
        </w:rPr>
        <w:t xml:space="preserve">3.7  Symplectic Geometry (16 features, f144–f159)</w:t>
      </w:r>
    </w:p>
    <w:p>
      <w:pPr>
        <w:spacing w:after="120" w:line="276"/>
        <w:jc w:val="both"/>
      </w:pPr>
      <w:r>
        <w:rPr>
          <w:rFonts w:ascii="Times New Roman" w:cs="Times New Roman" w:eastAsia="Times New Roman" w:hAnsi="Times New Roman"/>
          <w:sz w:val="22"/>
          <w:szCs w:val="22"/>
        </w:rPr>
        <w:t xml:space="preserve">Analysis of conserved behavioral quantities via symplectic structure. Identifies quantities conserved over time and measures conservation violations. Features include symplectic form evaluations, Hamiltonian function estimates, and conservation violation magnitudes. V2 attribution shows f144 consistently in the top 10 drift features across models.</w:t>
      </w:r>
    </w:p>
    <w:p>
      <w:pPr>
        <w:pStyle w:val="Heading2"/>
        <w:spacing w:before="240" w:after="120"/>
      </w:pPr>
      <w:r>
        <w:rPr>
          <w:rFonts w:ascii="Times New Roman" w:cs="Times New Roman" w:eastAsia="Times New Roman" w:hAnsi="Times New Roman"/>
          <w:b/>
          <w:bCs/>
          <w:sz w:val="24"/>
          <w:szCs w:val="24"/>
        </w:rPr>
        <w:t xml:space="preserve">3.8  Gauge Invariance (16 features, f160–f175)</w:t>
      </w:r>
    </w:p>
    <w:p>
      <w:pPr>
        <w:spacing w:after="120" w:line="276"/>
        <w:jc w:val="both"/>
      </w:pPr>
      <w:r>
        <w:rPr>
          <w:rFonts w:ascii="Times New Roman" w:cs="Times New Roman" w:eastAsia="Times New Roman" w:hAnsi="Times New Roman"/>
          <w:sz w:val="22"/>
          <w:szCs w:val="22"/>
        </w:rPr>
        <w:t xml:space="preserve">Device and context-invariant feature extraction. Constructs features invariant under gauge transformations. Features include gauge-invariant norms, connection coefficients, and curvature measures. V2 attribution shows f160 consistently in the top 10 drift features.</w:t>
      </w:r>
    </w:p>
    <w:p>
      <w:pPr>
        <w:pStyle w:val="Heading2"/>
        <w:spacing w:before="240" w:after="120"/>
      </w:pPr>
      <w:r>
        <w:rPr>
          <w:rFonts w:ascii="Times New Roman" w:cs="Times New Roman" w:eastAsia="Times New Roman" w:hAnsi="Times New Roman"/>
          <w:b/>
          <w:bCs/>
          <w:sz w:val="24"/>
          <w:szCs w:val="24"/>
        </w:rPr>
        <w:t xml:space="preserve">3.9  Hodge Decomposition (16 features, f176–f191)</w:t>
      </w:r>
    </w:p>
    <w:p>
      <w:pPr>
        <w:spacing w:after="120" w:line="276"/>
        <w:jc w:val="both"/>
      </w:pPr>
      <w:r>
        <w:rPr>
          <w:rFonts w:ascii="Times New Roman" w:cs="Times New Roman" w:eastAsia="Times New Roman" w:hAnsi="Times New Roman"/>
          <w:sz w:val="22"/>
          <w:szCs w:val="22"/>
        </w:rPr>
        <w:t xml:space="preserve">Decomposition of behavioral flow into three orthogonal components: gradient (intention-driven), curl (exploratory), and harmonic (identity-preserving). This decomposition separates behavioral signals into goal-directed behavior, exploratory behavior, and stable identity, enabling targeted drift detection for each behavioral mode.</w:t>
      </w:r>
    </w:p>
    <w:p>
      <w:pPr>
        <w:pStyle w:val="Heading2"/>
        <w:spacing w:before="240" w:after="120"/>
      </w:pPr>
      <w:r>
        <w:rPr>
          <w:rFonts w:ascii="Times New Roman" w:cs="Times New Roman" w:eastAsia="Times New Roman" w:hAnsi="Times New Roman"/>
          <w:b/>
          <w:bCs/>
          <w:sz w:val="24"/>
          <w:szCs w:val="24"/>
        </w:rPr>
        <w:t xml:space="preserve">3.10  Sheaf Cohomology (16 features, f192–f207)</w:t>
      </w:r>
    </w:p>
    <w:p>
      <w:pPr>
        <w:spacing w:after="120" w:line="276"/>
        <w:jc w:val="both"/>
      </w:pPr>
      <w:r>
        <w:rPr>
          <w:rFonts w:ascii="Times New Roman" w:cs="Times New Roman" w:eastAsia="Times New Roman" w:hAnsi="Times New Roman"/>
          <w:sz w:val="22"/>
          <w:szCs w:val="22"/>
        </w:rPr>
        <w:t xml:space="preserve">Behavioral self-consistency analysis using sheaf theory. Models behavioral data as sections of a sheaf and measures global consistency of local behavioral patterns. Features include cohomology dimensions, consistency scores, and obstruction classes.</w:t>
      </w:r>
    </w:p>
    <w:p>
      <w:pPr>
        <w:spacing w:after="120" w:line="276"/>
        <w:jc w:val="both"/>
      </w:pPr>
      <w:r>
        <w:rPr>
          <w:rFonts w:ascii="Times New Roman" w:cs="Times New Roman" w:eastAsia="Times New Roman" w:hAnsi="Times New Roman"/>
          <w:b/>
          <w:bCs/>
          <w:sz w:val="22"/>
          <w:szCs w:val="22"/>
        </w:rPr>
        <w:t xml:space="preserve">V2 Key Finding: </w:t>
      </w:r>
      <w:r>
        <w:rPr>
          <w:rFonts w:ascii="Times New Roman" w:cs="Times New Roman" w:eastAsia="Times New Roman" w:hAnsi="Times New Roman"/>
          <w:sz w:val="22"/>
          <w:szCs w:val="22"/>
        </w:rPr>
        <w:t xml:space="preserve">Feature f196, which falls in this Hodge/sheaf range (indices 192–207), is the single most important drift feature across all 29 LMSYS models, with Cohen’s d values ranging from 5 to 120. This means the sheaf cohomology module—measuring behavioral self-consistency and the decomposition of behavioral intent—is the most sensitive mathematical framework for detecting LLM behavioral drift. This is a significant finding: topological decomposition of behavioral intent is more discriminative than energy-based measures for within-domain detection.</w:t>
      </w:r>
    </w:p>
    <w:p>
      <w:pPr>
        <w:pStyle w:val="Heading2"/>
        <w:spacing w:before="240" w:after="120"/>
      </w:pPr>
      <w:r>
        <w:rPr>
          <w:rFonts w:ascii="Times New Roman" w:cs="Times New Roman" w:eastAsia="Times New Roman" w:hAnsi="Times New Roman"/>
          <w:b/>
          <w:bCs/>
          <w:sz w:val="24"/>
          <w:szCs w:val="24"/>
        </w:rPr>
        <w:t xml:space="preserve">3.11  Riemannian Optimization (16 features, f208–f223)</w:t>
      </w:r>
    </w:p>
    <w:p>
      <w:pPr>
        <w:spacing w:after="120" w:line="276"/>
        <w:jc w:val="both"/>
      </w:pPr>
      <w:r>
        <w:rPr>
          <w:rFonts w:ascii="Times New Roman" w:cs="Times New Roman" w:eastAsia="Times New Roman" w:hAnsi="Times New Roman"/>
          <w:sz w:val="22"/>
          <w:szCs w:val="22"/>
        </w:rPr>
        <w:t xml:space="preserve">Optimal intervention path computation on the behavioral manifold. Computes geodesic paths from current state to target baseline, providing distance metrics and optimal correction trajectories. Features include geodesic distance, path curvature, and parallel transport deficits.</w:t>
      </w:r>
    </w:p>
    <w:p>
      <w:pPr>
        <w:pStyle w:val="Heading2"/>
        <w:spacing w:before="240" w:after="120"/>
      </w:pPr>
      <w:r>
        <w:rPr>
          <w:rFonts w:ascii="Times New Roman" w:cs="Times New Roman" w:eastAsia="Times New Roman" w:hAnsi="Times New Roman"/>
          <w:b/>
          <w:bCs/>
          <w:sz w:val="24"/>
          <w:szCs w:val="24"/>
        </w:rPr>
        <w:t xml:space="preserve">3.12  Quantum Probability (16 features, f224–f239)</w:t>
      </w:r>
    </w:p>
    <w:p>
      <w:pPr>
        <w:spacing w:after="120" w:line="276"/>
        <w:jc w:val="both"/>
      </w:pPr>
      <w:r>
        <w:rPr>
          <w:rFonts w:ascii="Times New Roman" w:cs="Times New Roman" w:eastAsia="Times New Roman" w:hAnsi="Times New Roman"/>
          <w:sz w:val="22"/>
          <w:szCs w:val="22"/>
        </w:rPr>
        <w:t xml:space="preserve">Non-classical behavioral pattern detection. Models behavioral states as density matrices and detects violations of classical probability. Features include von Neumann entropy, coherence measures, and Bell inequality violation proxies.</w:t>
      </w:r>
    </w:p>
    <w:p>
      <w:pPr>
        <w:pStyle w:val="Heading2"/>
        <w:spacing w:before="240" w:after="120"/>
      </w:pPr>
      <w:r>
        <w:rPr>
          <w:rFonts w:ascii="Times New Roman" w:cs="Times New Roman" w:eastAsia="Times New Roman" w:hAnsi="Times New Roman"/>
          <w:b/>
          <w:bCs/>
          <w:sz w:val="24"/>
          <w:szCs w:val="24"/>
        </w:rPr>
        <w:t xml:space="preserve">3.13  Category Theory (16 features, f240–f255)</w:t>
      </w:r>
    </w:p>
    <w:p>
      <w:pPr>
        <w:spacing w:after="120" w:line="276"/>
        <w:jc w:val="both"/>
      </w:pPr>
      <w:r>
        <w:rPr>
          <w:rFonts w:ascii="Times New Roman" w:cs="Times New Roman" w:eastAsia="Times New Roman" w:hAnsi="Times New Roman"/>
          <w:sz w:val="22"/>
          <w:szCs w:val="22"/>
        </w:rPr>
        <w:t xml:space="preserve">Cross-domain structural mapping via functorial analysis. Maps behavioral categories as functors. Features include functorial preservation scores, natural transformation magnitudes, and categorical limit/colimit distances. Specifically designed to enable cross-domain transfer.</w:t>
      </w:r>
    </w:p>
    <w:p>
      <w:pPr>
        <w:pStyle w:val="Heading2"/>
        <w:spacing w:before="240" w:after="120"/>
      </w:pPr>
      <w:r>
        <w:rPr>
          <w:rFonts w:ascii="Times New Roman" w:cs="Times New Roman" w:eastAsia="Times New Roman" w:hAnsi="Times New Roman"/>
          <w:b/>
          <w:bCs/>
          <w:sz w:val="24"/>
          <w:szCs w:val="24"/>
        </w:rPr>
        <w:t xml:space="preserve">3.14  Ergodic Theory (16 features, f256–f271)</w:t>
      </w:r>
    </w:p>
    <w:p>
      <w:pPr>
        <w:spacing w:after="120" w:line="276"/>
        <w:jc w:val="both"/>
      </w:pPr>
      <w:r>
        <w:rPr>
          <w:rFonts w:ascii="Times New Roman" w:cs="Times New Roman" w:eastAsia="Times New Roman" w:hAnsi="Times New Roman"/>
          <w:sz w:val="22"/>
          <w:szCs w:val="22"/>
        </w:rPr>
        <w:t xml:space="preserve">Regime change and mixing time analysis. Measures ergodic properties including mixing time, recurrence time, and Lyapunov exponents. Drift manifests as changes in these dynamical properties.</w:t>
      </w:r>
    </w:p>
    <w:p>
      <w:pPr>
        <w:pStyle w:val="Heading1"/>
        <w:spacing w:before="240" w:after="120"/>
      </w:pPr>
      <w:r>
        <w:rPr>
          <w:rFonts w:ascii="Times New Roman" w:cs="Times New Roman" w:eastAsia="Times New Roman" w:hAnsi="Times New Roman"/>
          <w:b/>
          <w:bCs/>
          <w:sz w:val="28"/>
          <w:szCs w:val="28"/>
        </w:rPr>
        <w:t xml:space="preserve">4  Feature Index Map</w:t>
      </w:r>
    </w:p>
    <w:p>
      <w:pPr>
        <w:spacing w:after="120" w:line="276"/>
        <w:jc w:val="both"/>
      </w:pPr>
      <w:r>
        <w:rPr>
          <w:rFonts w:ascii="Times New Roman" w:cs="Times New Roman" w:eastAsia="Times New Roman" w:hAnsi="Times New Roman"/>
          <w:sz w:val="22"/>
          <w:szCs w:val="22"/>
        </w:rPr>
        <w:t xml:space="preserve">The V2 correction_signals.json data enables precise mapping of top drift features to their originating modules. The following index ranges have been confirmed:</w:t>
      </w:r>
    </w:p>
    <w:p>
      <w:pPr>
        <w:spacing w:after="120" w:line="276"/>
        <w:jc w:val="both"/>
      </w:pPr>
      <w:r>
        <w:rPr>
          <w:rFonts w:ascii="Times New Roman" w:cs="Times New Roman" w:eastAsia="Times New Roman" w:hAnsi="Times New Roman"/>
          <w:i/>
          <w:iCs/>
          <w:sz w:val="22"/>
          <w:szCs w:val="22"/>
        </w:rPr>
        <w:t xml:space="preserve">Table 1: Feature index to module mapping.</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2000"/>
        <w:gridCol w:w="3000"/>
        <w:gridCol w:w="4000"/>
      </w:tblGrid>
      <w:tr>
        <w:tc>
          <w:tcPr>
            <w:tcW w:type="dxa" w:w="2000"/>
            <w:tcBorders>
              <w:top w:val="single" w:color="999999" w:sz="1"/>
              <w:left w:val="single" w:color="999999" w:sz="1"/>
              <w:bottom w:val="single" w:color="999999" w:sz="1"/>
              <w:right w:val="single" w:color="999999" w:sz="1"/>
            </w:tcBorders>
            <w:shd w:fill="E8E8E8" w:val="clear"/>
            <w:tcMar>
              <w:top w:type="dxa" w:w="60"/>
              <w:left w:type="dxa" w:w="100"/>
              <w:bottom w:type="dxa" w:w="60"/>
              <w:right w:type="dxa" w:w="100"/>
            </w:tcMar>
          </w:tcPr>
          <w:p>
            <w:pPr>
              <w:jc w:val="left"/>
            </w:pPr>
            <w:r>
              <w:rPr>
                <w:rFonts w:ascii="Times New Roman" w:cs="Times New Roman" w:eastAsia="Times New Roman" w:hAnsi="Times New Roman"/>
                <w:b/>
                <w:bCs/>
                <w:sz w:val="20"/>
                <w:szCs w:val="20"/>
              </w:rPr>
              <w:t xml:space="preserve">Index Range</w:t>
            </w:r>
          </w:p>
        </w:tc>
        <w:tc>
          <w:tcPr>
            <w:tcW w:type="dxa" w:w="3000"/>
            <w:tcBorders>
              <w:top w:val="single" w:color="999999" w:sz="1"/>
              <w:left w:val="single" w:color="999999" w:sz="1"/>
              <w:bottom w:val="single" w:color="999999" w:sz="1"/>
              <w:right w:val="single" w:color="999999" w:sz="1"/>
            </w:tcBorders>
            <w:shd w:fill="E8E8E8" w:val="clear"/>
            <w:tcMar>
              <w:top w:type="dxa" w:w="60"/>
              <w:left w:type="dxa" w:w="100"/>
              <w:bottom w:type="dxa" w:w="60"/>
              <w:right w:type="dxa" w:w="100"/>
            </w:tcMar>
          </w:tcPr>
          <w:p>
            <w:pPr>
              <w:jc w:val="left"/>
            </w:pPr>
            <w:r>
              <w:rPr>
                <w:rFonts w:ascii="Times New Roman" w:cs="Times New Roman" w:eastAsia="Times New Roman" w:hAnsi="Times New Roman"/>
                <w:b/>
                <w:bCs/>
                <w:sz w:val="20"/>
                <w:szCs w:val="20"/>
              </w:rPr>
              <w:t xml:space="preserve">Module</w:t>
            </w:r>
          </w:p>
        </w:tc>
        <w:tc>
          <w:tcPr>
            <w:tcW w:type="dxa" w:w="4000"/>
            <w:tcBorders>
              <w:top w:val="single" w:color="999999" w:sz="1"/>
              <w:left w:val="single" w:color="999999" w:sz="1"/>
              <w:bottom w:val="single" w:color="999999" w:sz="1"/>
              <w:right w:val="single" w:color="999999" w:sz="1"/>
            </w:tcBorders>
            <w:shd w:fill="E8E8E8" w:val="clear"/>
            <w:tcMar>
              <w:top w:type="dxa" w:w="60"/>
              <w:left w:type="dxa" w:w="100"/>
              <w:bottom w:type="dxa" w:w="60"/>
              <w:right w:type="dxa" w:w="100"/>
            </w:tcMar>
          </w:tcPr>
          <w:p>
            <w:pPr>
              <w:jc w:val="left"/>
            </w:pPr>
            <w:r>
              <w:rPr>
                <w:rFonts w:ascii="Times New Roman" w:cs="Times New Roman" w:eastAsia="Times New Roman" w:hAnsi="Times New Roman"/>
                <w:b/>
                <w:bCs/>
                <w:sz w:val="20"/>
                <w:szCs w:val="20"/>
              </w:rPr>
              <w:t xml:space="preserve">V2 Top Feature in Range</w:t>
            </w:r>
          </w:p>
        </w:tc>
      </w:tr>
      <w:tr>
        <w:tc>
          <w:tcPr>
            <w:tcW w:type="dxa" w:w="2000"/>
            <w:tcBorders>
              <w:top w:val="single" w:color="999999" w:sz="1"/>
              <w:left w:val="single" w:color="999999" w:sz="1"/>
              <w:bottom w:val="single" w:color="999999" w:sz="1"/>
              <w:right w:val="single" w:color="999999" w:sz="1"/>
            </w:tcBorders>
            <w:tcMar>
              <w:top w:type="dxa" w:w="60"/>
              <w:left w:type="dxa" w:w="100"/>
              <w:bottom w:type="dxa" w:w="60"/>
              <w:right w:type="dxa" w:w="100"/>
            </w:tcMar>
          </w:tcPr>
          <w:p>
            <w:pPr>
              <w:jc w:val="left"/>
            </w:pPr>
            <w:r>
              <w:rPr>
                <w:rFonts w:ascii="Times New Roman" w:cs="Times New Roman" w:eastAsia="Times New Roman" w:hAnsi="Times New Roman"/>
                <w:b w:val="false"/>
                <w:bCs w:val="false"/>
                <w:sz w:val="20"/>
                <w:szCs w:val="20"/>
              </w:rPr>
              <w:t xml:space="preserve">f0–f31</w:t>
            </w:r>
          </w:p>
        </w:tc>
        <w:tc>
          <w:tcPr>
            <w:tcW w:type="dxa" w:w="3000"/>
            <w:tcBorders>
              <w:top w:val="single" w:color="999999" w:sz="1"/>
              <w:left w:val="single" w:color="999999" w:sz="1"/>
              <w:bottom w:val="single" w:color="999999" w:sz="1"/>
              <w:right w:val="single" w:color="999999" w:sz="1"/>
            </w:tcBorders>
            <w:tcMar>
              <w:top w:type="dxa" w:w="60"/>
              <w:left w:type="dxa" w:w="100"/>
              <w:bottom w:type="dxa" w:w="60"/>
              <w:right w:type="dxa" w:w="100"/>
            </w:tcMar>
          </w:tcPr>
          <w:p>
            <w:pPr>
              <w:jc w:val="left"/>
            </w:pPr>
            <w:r>
              <w:rPr>
                <w:rFonts w:ascii="Times New Roman" w:cs="Times New Roman" w:eastAsia="Times New Roman" w:hAnsi="Times New Roman"/>
                <w:b w:val="false"/>
                <w:bCs w:val="false"/>
                <w:sz w:val="20"/>
                <w:szCs w:val="20"/>
              </w:rPr>
              <w:t xml:space="preserve">Wavelet Transform</w:t>
            </w:r>
          </w:p>
        </w:tc>
        <w:tc>
          <w:tcPr>
            <w:tcW w:type="dxa" w:w="4000"/>
            <w:tcBorders>
              <w:top w:val="single" w:color="999999" w:sz="1"/>
              <w:left w:val="single" w:color="999999" w:sz="1"/>
              <w:bottom w:val="single" w:color="999999" w:sz="1"/>
              <w:right w:val="single" w:color="999999" w:sz="1"/>
            </w:tcBorders>
            <w:tcMar>
              <w:top w:type="dxa" w:w="60"/>
              <w:left w:type="dxa" w:w="100"/>
              <w:bottom w:type="dxa" w:w="60"/>
              <w:right w:type="dxa" w:w="100"/>
            </w:tcMar>
          </w:tcPr>
          <w:p>
            <w:pPr>
              <w:jc w:val="left"/>
            </w:pPr>
            <w:r>
              <w:rPr>
                <w:rFonts w:ascii="Times New Roman" w:cs="Times New Roman" w:eastAsia="Times New Roman" w:hAnsi="Times New Roman"/>
                <w:b w:val="false"/>
                <w:bCs w:val="false"/>
                <w:sz w:val="20"/>
                <w:szCs w:val="20"/>
              </w:rPr>
              <w:t xml:space="preserve">—</w:t>
            </w:r>
          </w:p>
        </w:tc>
      </w:tr>
      <w:tr>
        <w:tc>
          <w:tcPr>
            <w:tcW w:type="dxa" w:w="2000"/>
            <w:tcBorders>
              <w:top w:val="single" w:color="999999" w:sz="1"/>
              <w:left w:val="single" w:color="999999" w:sz="1"/>
              <w:bottom w:val="single" w:color="999999" w:sz="1"/>
              <w:right w:val="single" w:color="999999" w:sz="1"/>
            </w:tcBorders>
            <w:tcMar>
              <w:top w:type="dxa" w:w="60"/>
              <w:left w:type="dxa" w:w="100"/>
              <w:bottom w:type="dxa" w:w="60"/>
              <w:right w:type="dxa" w:w="100"/>
            </w:tcMar>
          </w:tcPr>
          <w:p>
            <w:pPr>
              <w:jc w:val="left"/>
            </w:pPr>
            <w:r>
              <w:rPr>
                <w:rFonts w:ascii="Times New Roman" w:cs="Times New Roman" w:eastAsia="Times New Roman" w:hAnsi="Times New Roman"/>
                <w:b w:val="false"/>
                <w:bCs w:val="false"/>
                <w:sz w:val="20"/>
                <w:szCs w:val="20"/>
              </w:rPr>
              <w:t xml:space="preserve">f32–f47</w:t>
            </w:r>
          </w:p>
        </w:tc>
        <w:tc>
          <w:tcPr>
            <w:tcW w:type="dxa" w:w="3000"/>
            <w:tcBorders>
              <w:top w:val="single" w:color="999999" w:sz="1"/>
              <w:left w:val="single" w:color="999999" w:sz="1"/>
              <w:bottom w:val="single" w:color="999999" w:sz="1"/>
              <w:right w:val="single" w:color="999999" w:sz="1"/>
            </w:tcBorders>
            <w:tcMar>
              <w:top w:type="dxa" w:w="60"/>
              <w:left w:type="dxa" w:w="100"/>
              <w:bottom w:type="dxa" w:w="60"/>
              <w:right w:type="dxa" w:w="100"/>
            </w:tcMar>
          </w:tcPr>
          <w:p>
            <w:pPr>
              <w:jc w:val="left"/>
            </w:pPr>
            <w:r>
              <w:rPr>
                <w:rFonts w:ascii="Times New Roman" w:cs="Times New Roman" w:eastAsia="Times New Roman" w:hAnsi="Times New Roman"/>
                <w:b w:val="false"/>
                <w:bCs w:val="false"/>
                <w:sz w:val="20"/>
                <w:szCs w:val="20"/>
              </w:rPr>
              <w:t xml:space="preserve">Hilbert Transform</w:t>
            </w:r>
          </w:p>
        </w:tc>
        <w:tc>
          <w:tcPr>
            <w:tcW w:type="dxa" w:w="4000"/>
            <w:tcBorders>
              <w:top w:val="single" w:color="999999" w:sz="1"/>
              <w:left w:val="single" w:color="999999" w:sz="1"/>
              <w:bottom w:val="single" w:color="999999" w:sz="1"/>
              <w:right w:val="single" w:color="999999" w:sz="1"/>
            </w:tcBorders>
            <w:tcMar>
              <w:top w:type="dxa" w:w="60"/>
              <w:left w:type="dxa" w:w="100"/>
              <w:bottom w:type="dxa" w:w="60"/>
              <w:right w:type="dxa" w:w="100"/>
            </w:tcMar>
          </w:tcPr>
          <w:p>
            <w:pPr>
              <w:jc w:val="left"/>
            </w:pPr>
            <w:r>
              <w:rPr>
                <w:rFonts w:ascii="Times New Roman" w:cs="Times New Roman" w:eastAsia="Times New Roman" w:hAnsi="Times New Roman"/>
                <w:b w:val="false"/>
                <w:bCs w:val="false"/>
                <w:sz w:val="20"/>
                <w:szCs w:val="20"/>
              </w:rPr>
              <w:t xml:space="preserve">—</w:t>
            </w:r>
          </w:p>
        </w:tc>
      </w:tr>
      <w:tr>
        <w:tc>
          <w:tcPr>
            <w:tcW w:type="dxa" w:w="2000"/>
            <w:tcBorders>
              <w:top w:val="single" w:color="999999" w:sz="1"/>
              <w:left w:val="single" w:color="999999" w:sz="1"/>
              <w:bottom w:val="single" w:color="999999" w:sz="1"/>
              <w:right w:val="single" w:color="999999" w:sz="1"/>
            </w:tcBorders>
            <w:tcMar>
              <w:top w:type="dxa" w:w="60"/>
              <w:left w:type="dxa" w:w="100"/>
              <w:bottom w:type="dxa" w:w="60"/>
              <w:right w:type="dxa" w:w="100"/>
            </w:tcMar>
          </w:tcPr>
          <w:p>
            <w:pPr>
              <w:jc w:val="left"/>
            </w:pPr>
            <w:r>
              <w:rPr>
                <w:rFonts w:ascii="Times New Roman" w:cs="Times New Roman" w:eastAsia="Times New Roman" w:hAnsi="Times New Roman"/>
                <w:b w:val="false"/>
                <w:bCs w:val="false"/>
                <w:sz w:val="20"/>
                <w:szCs w:val="20"/>
              </w:rPr>
              <w:t xml:space="preserve">f48–f71</w:t>
            </w:r>
          </w:p>
        </w:tc>
        <w:tc>
          <w:tcPr>
            <w:tcW w:type="dxa" w:w="3000"/>
            <w:tcBorders>
              <w:top w:val="single" w:color="999999" w:sz="1"/>
              <w:left w:val="single" w:color="999999" w:sz="1"/>
              <w:bottom w:val="single" w:color="999999" w:sz="1"/>
              <w:right w:val="single" w:color="999999" w:sz="1"/>
            </w:tcBorders>
            <w:tcMar>
              <w:top w:type="dxa" w:w="60"/>
              <w:left w:type="dxa" w:w="100"/>
              <w:bottom w:type="dxa" w:w="60"/>
              <w:right w:type="dxa" w:w="100"/>
            </w:tcMar>
          </w:tcPr>
          <w:p>
            <w:pPr>
              <w:jc w:val="left"/>
            </w:pPr>
            <w:r>
              <w:rPr>
                <w:rFonts w:ascii="Times New Roman" w:cs="Times New Roman" w:eastAsia="Times New Roman" w:hAnsi="Times New Roman"/>
                <w:b w:val="false"/>
                <w:bCs w:val="false"/>
                <w:sz w:val="20"/>
                <w:szCs w:val="20"/>
              </w:rPr>
              <w:t xml:space="preserve">Persistent Homology</w:t>
            </w:r>
          </w:p>
        </w:tc>
        <w:tc>
          <w:tcPr>
            <w:tcW w:type="dxa" w:w="4000"/>
            <w:tcBorders>
              <w:top w:val="single" w:color="999999" w:sz="1"/>
              <w:left w:val="single" w:color="999999" w:sz="1"/>
              <w:bottom w:val="single" w:color="999999" w:sz="1"/>
              <w:right w:val="single" w:color="999999" w:sz="1"/>
            </w:tcBorders>
            <w:tcMar>
              <w:top w:type="dxa" w:w="60"/>
              <w:left w:type="dxa" w:w="100"/>
              <w:bottom w:type="dxa" w:w="60"/>
              <w:right w:type="dxa" w:w="100"/>
            </w:tcMar>
          </w:tcPr>
          <w:p>
            <w:pPr>
              <w:jc w:val="left"/>
            </w:pPr>
            <w:r>
              <w:rPr>
                <w:rFonts w:ascii="Times New Roman" w:cs="Times New Roman" w:eastAsia="Times New Roman" w:hAnsi="Times New Roman"/>
                <w:b w:val="false"/>
                <w:bCs w:val="false"/>
                <w:sz w:val="20"/>
                <w:szCs w:val="20"/>
              </w:rPr>
              <w:t xml:space="preserve">—</w:t>
            </w:r>
          </w:p>
        </w:tc>
      </w:tr>
      <w:tr>
        <w:tc>
          <w:tcPr>
            <w:tcW w:type="dxa" w:w="2000"/>
            <w:tcBorders>
              <w:top w:val="single" w:color="999999" w:sz="1"/>
              <w:left w:val="single" w:color="999999" w:sz="1"/>
              <w:bottom w:val="single" w:color="999999" w:sz="1"/>
              <w:right w:val="single" w:color="999999" w:sz="1"/>
            </w:tcBorders>
            <w:tcMar>
              <w:top w:type="dxa" w:w="60"/>
              <w:left w:type="dxa" w:w="100"/>
              <w:bottom w:type="dxa" w:w="60"/>
              <w:right w:type="dxa" w:w="100"/>
            </w:tcMar>
          </w:tcPr>
          <w:p>
            <w:pPr>
              <w:jc w:val="left"/>
            </w:pPr>
            <w:r>
              <w:rPr>
                <w:rFonts w:ascii="Times New Roman" w:cs="Times New Roman" w:eastAsia="Times New Roman" w:hAnsi="Times New Roman"/>
                <w:b w:val="false"/>
                <w:bCs w:val="false"/>
                <w:sz w:val="20"/>
                <w:szCs w:val="20"/>
              </w:rPr>
              <w:t xml:space="preserve">f72–f95</w:t>
            </w:r>
          </w:p>
        </w:tc>
        <w:tc>
          <w:tcPr>
            <w:tcW w:type="dxa" w:w="3000"/>
            <w:tcBorders>
              <w:top w:val="single" w:color="999999" w:sz="1"/>
              <w:left w:val="single" w:color="999999" w:sz="1"/>
              <w:bottom w:val="single" w:color="999999" w:sz="1"/>
              <w:right w:val="single" w:color="999999" w:sz="1"/>
            </w:tcBorders>
            <w:tcMar>
              <w:top w:type="dxa" w:w="60"/>
              <w:left w:type="dxa" w:w="100"/>
              <w:bottom w:type="dxa" w:w="60"/>
              <w:right w:type="dxa" w:w="100"/>
            </w:tcMar>
          </w:tcPr>
          <w:p>
            <w:pPr>
              <w:jc w:val="left"/>
            </w:pPr>
            <w:r>
              <w:rPr>
                <w:rFonts w:ascii="Times New Roman" w:cs="Times New Roman" w:eastAsia="Times New Roman" w:hAnsi="Times New Roman"/>
                <w:b w:val="false"/>
                <w:bCs w:val="false"/>
                <w:sz w:val="20"/>
                <w:szCs w:val="20"/>
              </w:rPr>
              <w:t xml:space="preserve">Koopman Operator</w:t>
            </w:r>
          </w:p>
        </w:tc>
        <w:tc>
          <w:tcPr>
            <w:tcW w:type="dxa" w:w="4000"/>
            <w:tcBorders>
              <w:top w:val="single" w:color="999999" w:sz="1"/>
              <w:left w:val="single" w:color="999999" w:sz="1"/>
              <w:bottom w:val="single" w:color="999999" w:sz="1"/>
              <w:right w:val="single" w:color="999999" w:sz="1"/>
            </w:tcBorders>
            <w:tcMar>
              <w:top w:type="dxa" w:w="60"/>
              <w:left w:type="dxa" w:w="100"/>
              <w:bottom w:type="dxa" w:w="60"/>
              <w:right w:type="dxa" w:w="100"/>
            </w:tcMar>
          </w:tcPr>
          <w:p>
            <w:pPr>
              <w:jc w:val="left"/>
            </w:pPr>
            <w:r>
              <w:rPr>
                <w:rFonts w:ascii="Times New Roman" w:cs="Times New Roman" w:eastAsia="Times New Roman" w:hAnsi="Times New Roman"/>
                <w:b w:val="false"/>
                <w:bCs w:val="false"/>
                <w:sz w:val="20"/>
                <w:szCs w:val="20"/>
              </w:rPr>
              <w:t xml:space="preserve">—</w:t>
            </w:r>
          </w:p>
        </w:tc>
      </w:tr>
      <w:tr>
        <w:tc>
          <w:tcPr>
            <w:tcW w:type="dxa" w:w="2000"/>
            <w:tcBorders>
              <w:top w:val="single" w:color="999999" w:sz="1"/>
              <w:left w:val="single" w:color="999999" w:sz="1"/>
              <w:bottom w:val="single" w:color="999999" w:sz="1"/>
              <w:right w:val="single" w:color="999999" w:sz="1"/>
            </w:tcBorders>
            <w:tcMar>
              <w:top w:type="dxa" w:w="60"/>
              <w:left w:type="dxa" w:w="100"/>
              <w:bottom w:type="dxa" w:w="60"/>
              <w:right w:type="dxa" w:w="100"/>
            </w:tcMar>
          </w:tcPr>
          <w:p>
            <w:pPr>
              <w:jc w:val="left"/>
            </w:pPr>
            <w:r>
              <w:rPr>
                <w:rFonts w:ascii="Times New Roman" w:cs="Times New Roman" w:eastAsia="Times New Roman" w:hAnsi="Times New Roman"/>
                <w:b w:val="false"/>
                <w:bCs w:val="false"/>
                <w:sz w:val="20"/>
                <w:szCs w:val="20"/>
              </w:rPr>
              <w:t xml:space="preserve">f96–f123</w:t>
            </w:r>
          </w:p>
        </w:tc>
        <w:tc>
          <w:tcPr>
            <w:tcW w:type="dxa" w:w="3000"/>
            <w:tcBorders>
              <w:top w:val="single" w:color="999999" w:sz="1"/>
              <w:left w:val="single" w:color="999999" w:sz="1"/>
              <w:bottom w:val="single" w:color="999999" w:sz="1"/>
              <w:right w:val="single" w:color="999999" w:sz="1"/>
            </w:tcBorders>
            <w:tcMar>
              <w:top w:type="dxa" w:w="60"/>
              <w:left w:type="dxa" w:w="100"/>
              <w:bottom w:type="dxa" w:w="60"/>
              <w:right w:type="dxa" w:w="100"/>
            </w:tcMar>
          </w:tcPr>
          <w:p>
            <w:pPr>
              <w:jc w:val="left"/>
            </w:pPr>
            <w:r>
              <w:rPr>
                <w:rFonts w:ascii="Times New Roman" w:cs="Times New Roman" w:eastAsia="Times New Roman" w:hAnsi="Times New Roman"/>
                <w:b w:val="false"/>
                <w:bCs w:val="false"/>
                <w:sz w:val="20"/>
                <w:szCs w:val="20"/>
              </w:rPr>
              <w:t xml:space="preserve">Clifford E8 Algebra</w:t>
            </w:r>
          </w:p>
        </w:tc>
        <w:tc>
          <w:tcPr>
            <w:tcW w:type="dxa" w:w="4000"/>
            <w:tcBorders>
              <w:top w:val="single" w:color="999999" w:sz="1"/>
              <w:left w:val="single" w:color="999999" w:sz="1"/>
              <w:bottom w:val="single" w:color="999999" w:sz="1"/>
              <w:right w:val="single" w:color="999999" w:sz="1"/>
            </w:tcBorders>
            <w:tcMar>
              <w:top w:type="dxa" w:w="60"/>
              <w:left w:type="dxa" w:w="100"/>
              <w:bottom w:type="dxa" w:w="60"/>
              <w:right w:type="dxa" w:w="100"/>
            </w:tcMar>
          </w:tcPr>
          <w:p>
            <w:pPr>
              <w:jc w:val="left"/>
            </w:pPr>
            <w:r>
              <w:rPr>
                <w:rFonts w:ascii="Times New Roman" w:cs="Times New Roman" w:eastAsia="Times New Roman" w:hAnsi="Times New Roman"/>
                <w:b w:val="false"/>
                <w:bCs w:val="false"/>
                <w:sz w:val="20"/>
                <w:szCs w:val="20"/>
              </w:rPr>
              <w:t xml:space="preserve">—</w:t>
            </w:r>
          </w:p>
        </w:tc>
      </w:tr>
      <w:tr>
        <w:tc>
          <w:tcPr>
            <w:tcW w:type="dxa" w:w="2000"/>
            <w:tcBorders>
              <w:top w:val="single" w:color="999999" w:sz="1"/>
              <w:left w:val="single" w:color="999999" w:sz="1"/>
              <w:bottom w:val="single" w:color="999999" w:sz="1"/>
              <w:right w:val="single" w:color="999999" w:sz="1"/>
            </w:tcBorders>
            <w:tcMar>
              <w:top w:type="dxa" w:w="60"/>
              <w:left w:type="dxa" w:w="100"/>
              <w:bottom w:type="dxa" w:w="60"/>
              <w:right w:type="dxa" w:w="100"/>
            </w:tcMar>
          </w:tcPr>
          <w:p>
            <w:pPr>
              <w:jc w:val="left"/>
            </w:pPr>
            <w:r>
              <w:rPr>
                <w:rFonts w:ascii="Times New Roman" w:cs="Times New Roman" w:eastAsia="Times New Roman" w:hAnsi="Times New Roman"/>
                <w:b w:val="false"/>
                <w:bCs w:val="false"/>
                <w:sz w:val="20"/>
                <w:szCs w:val="20"/>
              </w:rPr>
              <w:t xml:space="preserve">f124–f143</w:t>
            </w:r>
          </w:p>
        </w:tc>
        <w:tc>
          <w:tcPr>
            <w:tcW w:type="dxa" w:w="3000"/>
            <w:tcBorders>
              <w:top w:val="single" w:color="999999" w:sz="1"/>
              <w:left w:val="single" w:color="999999" w:sz="1"/>
              <w:bottom w:val="single" w:color="999999" w:sz="1"/>
              <w:right w:val="single" w:color="999999" w:sz="1"/>
            </w:tcBorders>
            <w:tcMar>
              <w:top w:type="dxa" w:w="60"/>
              <w:left w:type="dxa" w:w="100"/>
              <w:bottom w:type="dxa" w:w="60"/>
              <w:right w:type="dxa" w:w="100"/>
            </w:tcMar>
          </w:tcPr>
          <w:p>
            <w:pPr>
              <w:jc w:val="left"/>
            </w:pPr>
            <w:r>
              <w:rPr>
                <w:rFonts w:ascii="Times New Roman" w:cs="Times New Roman" w:eastAsia="Times New Roman" w:hAnsi="Times New Roman"/>
                <w:b w:val="false"/>
                <w:bCs w:val="false"/>
                <w:sz w:val="20"/>
                <w:szCs w:val="20"/>
              </w:rPr>
              <w:t xml:space="preserve">Information Geometry</w:t>
            </w:r>
          </w:p>
        </w:tc>
        <w:tc>
          <w:tcPr>
            <w:tcW w:type="dxa" w:w="4000"/>
            <w:tcBorders>
              <w:top w:val="single" w:color="999999" w:sz="1"/>
              <w:left w:val="single" w:color="999999" w:sz="1"/>
              <w:bottom w:val="single" w:color="999999" w:sz="1"/>
              <w:right w:val="single" w:color="999999" w:sz="1"/>
            </w:tcBorders>
            <w:tcMar>
              <w:top w:type="dxa" w:w="60"/>
              <w:left w:type="dxa" w:w="100"/>
              <w:bottom w:type="dxa" w:w="60"/>
              <w:right w:type="dxa" w:w="100"/>
            </w:tcMar>
          </w:tcPr>
          <w:p>
            <w:pPr>
              <w:jc w:val="left"/>
            </w:pPr>
            <w:r>
              <w:rPr>
                <w:rFonts w:ascii="Times New Roman" w:cs="Times New Roman" w:eastAsia="Times New Roman" w:hAnsi="Times New Roman"/>
                <w:b w:val="false"/>
                <w:bCs w:val="false"/>
                <w:sz w:val="20"/>
                <w:szCs w:val="20"/>
              </w:rPr>
              <w:t xml:space="preserve">—</w:t>
            </w:r>
          </w:p>
        </w:tc>
      </w:tr>
      <w:tr>
        <w:tc>
          <w:tcPr>
            <w:tcW w:type="dxa" w:w="2000"/>
            <w:tcBorders>
              <w:top w:val="single" w:color="999999" w:sz="1"/>
              <w:left w:val="single" w:color="999999" w:sz="1"/>
              <w:bottom w:val="single" w:color="999999" w:sz="1"/>
              <w:right w:val="single" w:color="999999" w:sz="1"/>
            </w:tcBorders>
            <w:tcMar>
              <w:top w:type="dxa" w:w="60"/>
              <w:left w:type="dxa" w:w="100"/>
              <w:bottom w:type="dxa" w:w="60"/>
              <w:right w:type="dxa" w:w="100"/>
            </w:tcMar>
          </w:tcPr>
          <w:p>
            <w:pPr>
              <w:jc w:val="left"/>
            </w:pPr>
            <w:r>
              <w:rPr>
                <w:rFonts w:ascii="Times New Roman" w:cs="Times New Roman" w:eastAsia="Times New Roman" w:hAnsi="Times New Roman"/>
                <w:b w:val="false"/>
                <w:bCs w:val="false"/>
                <w:sz w:val="20"/>
                <w:szCs w:val="20"/>
              </w:rPr>
              <w:t xml:space="preserve">f144–f159</w:t>
            </w:r>
          </w:p>
        </w:tc>
        <w:tc>
          <w:tcPr>
            <w:tcW w:type="dxa" w:w="3000"/>
            <w:tcBorders>
              <w:top w:val="single" w:color="999999" w:sz="1"/>
              <w:left w:val="single" w:color="999999" w:sz="1"/>
              <w:bottom w:val="single" w:color="999999" w:sz="1"/>
              <w:right w:val="single" w:color="999999" w:sz="1"/>
            </w:tcBorders>
            <w:tcMar>
              <w:top w:type="dxa" w:w="60"/>
              <w:left w:type="dxa" w:w="100"/>
              <w:bottom w:type="dxa" w:w="60"/>
              <w:right w:type="dxa" w:w="100"/>
            </w:tcMar>
          </w:tcPr>
          <w:p>
            <w:pPr>
              <w:jc w:val="left"/>
            </w:pPr>
            <w:r>
              <w:rPr>
                <w:rFonts w:ascii="Times New Roman" w:cs="Times New Roman" w:eastAsia="Times New Roman" w:hAnsi="Times New Roman"/>
                <w:b w:val="false"/>
                <w:bCs w:val="false"/>
                <w:sz w:val="20"/>
                <w:szCs w:val="20"/>
              </w:rPr>
              <w:t xml:space="preserve">Symplectic Geometry</w:t>
            </w:r>
          </w:p>
        </w:tc>
        <w:tc>
          <w:tcPr>
            <w:tcW w:type="dxa" w:w="4000"/>
            <w:tcBorders>
              <w:top w:val="single" w:color="999999" w:sz="1"/>
              <w:left w:val="single" w:color="999999" w:sz="1"/>
              <w:bottom w:val="single" w:color="999999" w:sz="1"/>
              <w:right w:val="single" w:color="999999" w:sz="1"/>
            </w:tcBorders>
            <w:tcMar>
              <w:top w:type="dxa" w:w="60"/>
              <w:left w:type="dxa" w:w="100"/>
              <w:bottom w:type="dxa" w:w="60"/>
              <w:right w:type="dxa" w:w="100"/>
            </w:tcMar>
          </w:tcPr>
          <w:p>
            <w:pPr>
              <w:jc w:val="left"/>
            </w:pPr>
            <w:r>
              <w:rPr>
                <w:rFonts w:ascii="Times New Roman" w:cs="Times New Roman" w:eastAsia="Times New Roman" w:hAnsi="Times New Roman"/>
                <w:b w:val="false"/>
                <w:bCs w:val="false"/>
                <w:sz w:val="20"/>
                <w:szCs w:val="20"/>
              </w:rPr>
              <w:t xml:space="preserve">f144, f145 (top 10)</w:t>
            </w:r>
          </w:p>
        </w:tc>
      </w:tr>
      <w:tr>
        <w:tc>
          <w:tcPr>
            <w:tcW w:type="dxa" w:w="2000"/>
            <w:tcBorders>
              <w:top w:val="single" w:color="999999" w:sz="1"/>
              <w:left w:val="single" w:color="999999" w:sz="1"/>
              <w:bottom w:val="single" w:color="999999" w:sz="1"/>
              <w:right w:val="single" w:color="999999" w:sz="1"/>
            </w:tcBorders>
            <w:tcMar>
              <w:top w:type="dxa" w:w="60"/>
              <w:left w:type="dxa" w:w="100"/>
              <w:bottom w:type="dxa" w:w="60"/>
              <w:right w:type="dxa" w:w="100"/>
            </w:tcMar>
          </w:tcPr>
          <w:p>
            <w:pPr>
              <w:jc w:val="left"/>
            </w:pPr>
            <w:r>
              <w:rPr>
                <w:rFonts w:ascii="Times New Roman" w:cs="Times New Roman" w:eastAsia="Times New Roman" w:hAnsi="Times New Roman"/>
                <w:b w:val="false"/>
                <w:bCs w:val="false"/>
                <w:sz w:val="20"/>
                <w:szCs w:val="20"/>
              </w:rPr>
              <w:t xml:space="preserve">f160–f175</w:t>
            </w:r>
          </w:p>
        </w:tc>
        <w:tc>
          <w:tcPr>
            <w:tcW w:type="dxa" w:w="3000"/>
            <w:tcBorders>
              <w:top w:val="single" w:color="999999" w:sz="1"/>
              <w:left w:val="single" w:color="999999" w:sz="1"/>
              <w:bottom w:val="single" w:color="999999" w:sz="1"/>
              <w:right w:val="single" w:color="999999" w:sz="1"/>
            </w:tcBorders>
            <w:tcMar>
              <w:top w:type="dxa" w:w="60"/>
              <w:left w:type="dxa" w:w="100"/>
              <w:bottom w:type="dxa" w:w="60"/>
              <w:right w:type="dxa" w:w="100"/>
            </w:tcMar>
          </w:tcPr>
          <w:p>
            <w:pPr>
              <w:jc w:val="left"/>
            </w:pPr>
            <w:r>
              <w:rPr>
                <w:rFonts w:ascii="Times New Roman" w:cs="Times New Roman" w:eastAsia="Times New Roman" w:hAnsi="Times New Roman"/>
                <w:b w:val="false"/>
                <w:bCs w:val="false"/>
                <w:sz w:val="20"/>
                <w:szCs w:val="20"/>
              </w:rPr>
              <w:t xml:space="preserve">Gauge Invariance</w:t>
            </w:r>
          </w:p>
        </w:tc>
        <w:tc>
          <w:tcPr>
            <w:tcW w:type="dxa" w:w="4000"/>
            <w:tcBorders>
              <w:top w:val="single" w:color="999999" w:sz="1"/>
              <w:left w:val="single" w:color="999999" w:sz="1"/>
              <w:bottom w:val="single" w:color="999999" w:sz="1"/>
              <w:right w:val="single" w:color="999999" w:sz="1"/>
            </w:tcBorders>
            <w:tcMar>
              <w:top w:type="dxa" w:w="60"/>
              <w:left w:type="dxa" w:w="100"/>
              <w:bottom w:type="dxa" w:w="60"/>
              <w:right w:type="dxa" w:w="100"/>
            </w:tcMar>
          </w:tcPr>
          <w:p>
            <w:pPr>
              <w:jc w:val="left"/>
            </w:pPr>
            <w:r>
              <w:rPr>
                <w:rFonts w:ascii="Times New Roman" w:cs="Times New Roman" w:eastAsia="Times New Roman" w:hAnsi="Times New Roman"/>
                <w:b w:val="false"/>
                <w:bCs w:val="false"/>
                <w:sz w:val="20"/>
                <w:szCs w:val="20"/>
              </w:rPr>
              <w:t xml:space="preserve">f160 (top 10)</w:t>
            </w:r>
          </w:p>
        </w:tc>
      </w:tr>
      <w:tr>
        <w:tc>
          <w:tcPr>
            <w:tcW w:type="dxa" w:w="2000"/>
            <w:tcBorders>
              <w:top w:val="single" w:color="999999" w:sz="1"/>
              <w:left w:val="single" w:color="999999" w:sz="1"/>
              <w:bottom w:val="single" w:color="999999" w:sz="1"/>
              <w:right w:val="single" w:color="999999" w:sz="1"/>
            </w:tcBorders>
            <w:tcMar>
              <w:top w:type="dxa" w:w="60"/>
              <w:left w:type="dxa" w:w="100"/>
              <w:bottom w:type="dxa" w:w="60"/>
              <w:right w:type="dxa" w:w="100"/>
            </w:tcMar>
          </w:tcPr>
          <w:p>
            <w:pPr>
              <w:jc w:val="left"/>
            </w:pPr>
            <w:r>
              <w:rPr>
                <w:rFonts w:ascii="Times New Roman" w:cs="Times New Roman" w:eastAsia="Times New Roman" w:hAnsi="Times New Roman"/>
                <w:b w:val="false"/>
                <w:bCs w:val="false"/>
                <w:sz w:val="20"/>
                <w:szCs w:val="20"/>
              </w:rPr>
              <w:t xml:space="preserve">f176–f191</w:t>
            </w:r>
          </w:p>
        </w:tc>
        <w:tc>
          <w:tcPr>
            <w:tcW w:type="dxa" w:w="3000"/>
            <w:tcBorders>
              <w:top w:val="single" w:color="999999" w:sz="1"/>
              <w:left w:val="single" w:color="999999" w:sz="1"/>
              <w:bottom w:val="single" w:color="999999" w:sz="1"/>
              <w:right w:val="single" w:color="999999" w:sz="1"/>
            </w:tcBorders>
            <w:tcMar>
              <w:top w:type="dxa" w:w="60"/>
              <w:left w:type="dxa" w:w="100"/>
              <w:bottom w:type="dxa" w:w="60"/>
              <w:right w:type="dxa" w:w="100"/>
            </w:tcMar>
          </w:tcPr>
          <w:p>
            <w:pPr>
              <w:jc w:val="left"/>
            </w:pPr>
            <w:r>
              <w:rPr>
                <w:rFonts w:ascii="Times New Roman" w:cs="Times New Roman" w:eastAsia="Times New Roman" w:hAnsi="Times New Roman"/>
                <w:b w:val="false"/>
                <w:bCs w:val="false"/>
                <w:sz w:val="20"/>
                <w:szCs w:val="20"/>
              </w:rPr>
              <w:t xml:space="preserve">Hodge Decomposition</w:t>
            </w:r>
          </w:p>
        </w:tc>
        <w:tc>
          <w:tcPr>
            <w:tcW w:type="dxa" w:w="4000"/>
            <w:tcBorders>
              <w:top w:val="single" w:color="999999" w:sz="1"/>
              <w:left w:val="single" w:color="999999" w:sz="1"/>
              <w:bottom w:val="single" w:color="999999" w:sz="1"/>
              <w:right w:val="single" w:color="999999" w:sz="1"/>
            </w:tcBorders>
            <w:tcMar>
              <w:top w:type="dxa" w:w="60"/>
              <w:left w:type="dxa" w:w="100"/>
              <w:bottom w:type="dxa" w:w="60"/>
              <w:right w:type="dxa" w:w="100"/>
            </w:tcMar>
          </w:tcPr>
          <w:p>
            <w:pPr>
              <w:jc w:val="left"/>
            </w:pPr>
            <w:r>
              <w:rPr>
                <w:rFonts w:ascii="Times New Roman" w:cs="Times New Roman" w:eastAsia="Times New Roman" w:hAnsi="Times New Roman"/>
                <w:b w:val="false"/>
                <w:bCs w:val="false"/>
                <w:sz w:val="20"/>
                <w:szCs w:val="20"/>
              </w:rPr>
              <w:t xml:space="preserve">—</w:t>
            </w:r>
          </w:p>
        </w:tc>
      </w:tr>
      <w:tr>
        <w:tc>
          <w:tcPr>
            <w:tcW w:type="dxa" w:w="2000"/>
            <w:tcBorders>
              <w:top w:val="single" w:color="999999" w:sz="1"/>
              <w:left w:val="single" w:color="999999" w:sz="1"/>
              <w:bottom w:val="single" w:color="999999" w:sz="1"/>
              <w:right w:val="single" w:color="999999" w:sz="1"/>
            </w:tcBorders>
            <w:tcMar>
              <w:top w:type="dxa" w:w="60"/>
              <w:left w:type="dxa" w:w="100"/>
              <w:bottom w:type="dxa" w:w="60"/>
              <w:right w:type="dxa" w:w="100"/>
            </w:tcMar>
          </w:tcPr>
          <w:p>
            <w:pPr>
              <w:jc w:val="left"/>
            </w:pPr>
            <w:r>
              <w:rPr>
                <w:rFonts w:ascii="Times New Roman" w:cs="Times New Roman" w:eastAsia="Times New Roman" w:hAnsi="Times New Roman"/>
                <w:b w:val="false"/>
                <w:bCs w:val="false"/>
                <w:sz w:val="20"/>
                <w:szCs w:val="20"/>
              </w:rPr>
              <w:t xml:space="preserve">f192–f207</w:t>
            </w:r>
          </w:p>
        </w:tc>
        <w:tc>
          <w:tcPr>
            <w:tcW w:type="dxa" w:w="3000"/>
            <w:tcBorders>
              <w:top w:val="single" w:color="999999" w:sz="1"/>
              <w:left w:val="single" w:color="999999" w:sz="1"/>
              <w:bottom w:val="single" w:color="999999" w:sz="1"/>
              <w:right w:val="single" w:color="999999" w:sz="1"/>
            </w:tcBorders>
            <w:tcMar>
              <w:top w:type="dxa" w:w="60"/>
              <w:left w:type="dxa" w:w="100"/>
              <w:bottom w:type="dxa" w:w="60"/>
              <w:right w:type="dxa" w:w="100"/>
            </w:tcMar>
          </w:tcPr>
          <w:p>
            <w:pPr>
              <w:jc w:val="left"/>
            </w:pPr>
            <w:r>
              <w:rPr>
                <w:rFonts w:ascii="Times New Roman" w:cs="Times New Roman" w:eastAsia="Times New Roman" w:hAnsi="Times New Roman"/>
                <w:b w:val="false"/>
                <w:bCs w:val="false"/>
                <w:sz w:val="20"/>
                <w:szCs w:val="20"/>
              </w:rPr>
              <w:t xml:space="preserve">Sheaf Cohomology</w:t>
            </w:r>
          </w:p>
        </w:tc>
        <w:tc>
          <w:tcPr>
            <w:tcW w:type="dxa" w:w="4000"/>
            <w:tcBorders>
              <w:top w:val="single" w:color="999999" w:sz="1"/>
              <w:left w:val="single" w:color="999999" w:sz="1"/>
              <w:bottom w:val="single" w:color="999999" w:sz="1"/>
              <w:right w:val="single" w:color="999999" w:sz="1"/>
            </w:tcBorders>
            <w:tcMar>
              <w:top w:type="dxa" w:w="60"/>
              <w:left w:type="dxa" w:w="100"/>
              <w:bottom w:type="dxa" w:w="60"/>
              <w:right w:type="dxa" w:w="100"/>
            </w:tcMar>
          </w:tcPr>
          <w:p>
            <w:pPr>
              <w:jc w:val="left"/>
            </w:pPr>
            <w:r>
              <w:rPr>
                <w:rFonts w:ascii="Times New Roman" w:cs="Times New Roman" w:eastAsia="Times New Roman" w:hAnsi="Times New Roman"/>
                <w:b w:val="false"/>
                <w:bCs w:val="false"/>
                <w:sz w:val="20"/>
                <w:szCs w:val="20"/>
              </w:rPr>
              <w:t xml:space="preserve">f196 (#1), f195, f192</w:t>
            </w:r>
          </w:p>
        </w:tc>
      </w:tr>
      <w:tr>
        <w:tc>
          <w:tcPr>
            <w:tcW w:type="dxa" w:w="2000"/>
            <w:tcBorders>
              <w:top w:val="single" w:color="999999" w:sz="1"/>
              <w:left w:val="single" w:color="999999" w:sz="1"/>
              <w:bottom w:val="single" w:color="999999" w:sz="1"/>
              <w:right w:val="single" w:color="999999" w:sz="1"/>
            </w:tcBorders>
            <w:tcMar>
              <w:top w:type="dxa" w:w="60"/>
              <w:left w:type="dxa" w:w="100"/>
              <w:bottom w:type="dxa" w:w="60"/>
              <w:right w:type="dxa" w:w="100"/>
            </w:tcMar>
          </w:tcPr>
          <w:p>
            <w:pPr>
              <w:jc w:val="left"/>
            </w:pPr>
            <w:r>
              <w:rPr>
                <w:rFonts w:ascii="Times New Roman" w:cs="Times New Roman" w:eastAsia="Times New Roman" w:hAnsi="Times New Roman"/>
                <w:b w:val="false"/>
                <w:bCs w:val="false"/>
                <w:sz w:val="20"/>
                <w:szCs w:val="20"/>
              </w:rPr>
              <w:t xml:space="preserve">f208–f223</w:t>
            </w:r>
          </w:p>
        </w:tc>
        <w:tc>
          <w:tcPr>
            <w:tcW w:type="dxa" w:w="3000"/>
            <w:tcBorders>
              <w:top w:val="single" w:color="999999" w:sz="1"/>
              <w:left w:val="single" w:color="999999" w:sz="1"/>
              <w:bottom w:val="single" w:color="999999" w:sz="1"/>
              <w:right w:val="single" w:color="999999" w:sz="1"/>
            </w:tcBorders>
            <w:tcMar>
              <w:top w:type="dxa" w:w="60"/>
              <w:left w:type="dxa" w:w="100"/>
              <w:bottom w:type="dxa" w:w="60"/>
              <w:right w:type="dxa" w:w="100"/>
            </w:tcMar>
          </w:tcPr>
          <w:p>
            <w:pPr>
              <w:jc w:val="left"/>
            </w:pPr>
            <w:r>
              <w:rPr>
                <w:rFonts w:ascii="Times New Roman" w:cs="Times New Roman" w:eastAsia="Times New Roman" w:hAnsi="Times New Roman"/>
                <w:b w:val="false"/>
                <w:bCs w:val="false"/>
                <w:sz w:val="20"/>
                <w:szCs w:val="20"/>
              </w:rPr>
              <w:t xml:space="preserve">Riemannian Optimization</w:t>
            </w:r>
          </w:p>
        </w:tc>
        <w:tc>
          <w:tcPr>
            <w:tcW w:type="dxa" w:w="4000"/>
            <w:tcBorders>
              <w:top w:val="single" w:color="999999" w:sz="1"/>
              <w:left w:val="single" w:color="999999" w:sz="1"/>
              <w:bottom w:val="single" w:color="999999" w:sz="1"/>
              <w:right w:val="single" w:color="999999" w:sz="1"/>
            </w:tcBorders>
            <w:tcMar>
              <w:top w:type="dxa" w:w="60"/>
              <w:left w:type="dxa" w:w="100"/>
              <w:bottom w:type="dxa" w:w="60"/>
              <w:right w:type="dxa" w:w="100"/>
            </w:tcMar>
          </w:tcPr>
          <w:p>
            <w:pPr>
              <w:jc w:val="left"/>
            </w:pPr>
            <w:r>
              <w:rPr>
                <w:rFonts w:ascii="Times New Roman" w:cs="Times New Roman" w:eastAsia="Times New Roman" w:hAnsi="Times New Roman"/>
                <w:b w:val="false"/>
                <w:bCs w:val="false"/>
                <w:sz w:val="20"/>
                <w:szCs w:val="20"/>
              </w:rPr>
              <w:t xml:space="preserve">—</w:t>
            </w:r>
          </w:p>
        </w:tc>
      </w:tr>
      <w:tr>
        <w:tc>
          <w:tcPr>
            <w:tcW w:type="dxa" w:w="2000"/>
            <w:tcBorders>
              <w:top w:val="single" w:color="999999" w:sz="1"/>
              <w:left w:val="single" w:color="999999" w:sz="1"/>
              <w:bottom w:val="single" w:color="999999" w:sz="1"/>
              <w:right w:val="single" w:color="999999" w:sz="1"/>
            </w:tcBorders>
            <w:tcMar>
              <w:top w:type="dxa" w:w="60"/>
              <w:left w:type="dxa" w:w="100"/>
              <w:bottom w:type="dxa" w:w="60"/>
              <w:right w:type="dxa" w:w="100"/>
            </w:tcMar>
          </w:tcPr>
          <w:p>
            <w:pPr>
              <w:jc w:val="left"/>
            </w:pPr>
            <w:r>
              <w:rPr>
                <w:rFonts w:ascii="Times New Roman" w:cs="Times New Roman" w:eastAsia="Times New Roman" w:hAnsi="Times New Roman"/>
                <w:b w:val="false"/>
                <w:bCs w:val="false"/>
                <w:sz w:val="20"/>
                <w:szCs w:val="20"/>
              </w:rPr>
              <w:t xml:space="preserve">f224–f239</w:t>
            </w:r>
          </w:p>
        </w:tc>
        <w:tc>
          <w:tcPr>
            <w:tcW w:type="dxa" w:w="3000"/>
            <w:tcBorders>
              <w:top w:val="single" w:color="999999" w:sz="1"/>
              <w:left w:val="single" w:color="999999" w:sz="1"/>
              <w:bottom w:val="single" w:color="999999" w:sz="1"/>
              <w:right w:val="single" w:color="999999" w:sz="1"/>
            </w:tcBorders>
            <w:tcMar>
              <w:top w:type="dxa" w:w="60"/>
              <w:left w:type="dxa" w:w="100"/>
              <w:bottom w:type="dxa" w:w="60"/>
              <w:right w:type="dxa" w:w="100"/>
            </w:tcMar>
          </w:tcPr>
          <w:p>
            <w:pPr>
              <w:jc w:val="left"/>
            </w:pPr>
            <w:r>
              <w:rPr>
                <w:rFonts w:ascii="Times New Roman" w:cs="Times New Roman" w:eastAsia="Times New Roman" w:hAnsi="Times New Roman"/>
                <w:b w:val="false"/>
                <w:bCs w:val="false"/>
                <w:sz w:val="20"/>
                <w:szCs w:val="20"/>
              </w:rPr>
              <w:t xml:space="preserve">Quantum Probability</w:t>
            </w:r>
          </w:p>
        </w:tc>
        <w:tc>
          <w:tcPr>
            <w:tcW w:type="dxa" w:w="4000"/>
            <w:tcBorders>
              <w:top w:val="single" w:color="999999" w:sz="1"/>
              <w:left w:val="single" w:color="999999" w:sz="1"/>
              <w:bottom w:val="single" w:color="999999" w:sz="1"/>
              <w:right w:val="single" w:color="999999" w:sz="1"/>
            </w:tcBorders>
            <w:tcMar>
              <w:top w:type="dxa" w:w="60"/>
              <w:left w:type="dxa" w:w="100"/>
              <w:bottom w:type="dxa" w:w="60"/>
              <w:right w:type="dxa" w:w="100"/>
            </w:tcMar>
          </w:tcPr>
          <w:p>
            <w:pPr>
              <w:jc w:val="left"/>
            </w:pPr>
            <w:r>
              <w:rPr>
                <w:rFonts w:ascii="Times New Roman" w:cs="Times New Roman" w:eastAsia="Times New Roman" w:hAnsi="Times New Roman"/>
                <w:b w:val="false"/>
                <w:bCs w:val="false"/>
                <w:sz w:val="20"/>
                <w:szCs w:val="20"/>
              </w:rPr>
              <w:t xml:space="preserve">—</w:t>
            </w:r>
          </w:p>
        </w:tc>
      </w:tr>
      <w:tr>
        <w:tc>
          <w:tcPr>
            <w:tcW w:type="dxa" w:w="2000"/>
            <w:tcBorders>
              <w:top w:val="single" w:color="999999" w:sz="1"/>
              <w:left w:val="single" w:color="999999" w:sz="1"/>
              <w:bottom w:val="single" w:color="999999" w:sz="1"/>
              <w:right w:val="single" w:color="999999" w:sz="1"/>
            </w:tcBorders>
            <w:tcMar>
              <w:top w:type="dxa" w:w="60"/>
              <w:left w:type="dxa" w:w="100"/>
              <w:bottom w:type="dxa" w:w="60"/>
              <w:right w:type="dxa" w:w="100"/>
            </w:tcMar>
          </w:tcPr>
          <w:p>
            <w:pPr>
              <w:jc w:val="left"/>
            </w:pPr>
            <w:r>
              <w:rPr>
                <w:rFonts w:ascii="Times New Roman" w:cs="Times New Roman" w:eastAsia="Times New Roman" w:hAnsi="Times New Roman"/>
                <w:b w:val="false"/>
                <w:bCs w:val="false"/>
                <w:sz w:val="20"/>
                <w:szCs w:val="20"/>
              </w:rPr>
              <w:t xml:space="preserve">f240–f255</w:t>
            </w:r>
          </w:p>
        </w:tc>
        <w:tc>
          <w:tcPr>
            <w:tcW w:type="dxa" w:w="3000"/>
            <w:tcBorders>
              <w:top w:val="single" w:color="999999" w:sz="1"/>
              <w:left w:val="single" w:color="999999" w:sz="1"/>
              <w:bottom w:val="single" w:color="999999" w:sz="1"/>
              <w:right w:val="single" w:color="999999" w:sz="1"/>
            </w:tcBorders>
            <w:tcMar>
              <w:top w:type="dxa" w:w="60"/>
              <w:left w:type="dxa" w:w="100"/>
              <w:bottom w:type="dxa" w:w="60"/>
              <w:right w:type="dxa" w:w="100"/>
            </w:tcMar>
          </w:tcPr>
          <w:p>
            <w:pPr>
              <w:jc w:val="left"/>
            </w:pPr>
            <w:r>
              <w:rPr>
                <w:rFonts w:ascii="Times New Roman" w:cs="Times New Roman" w:eastAsia="Times New Roman" w:hAnsi="Times New Roman"/>
                <w:b w:val="false"/>
                <w:bCs w:val="false"/>
                <w:sz w:val="20"/>
                <w:szCs w:val="20"/>
              </w:rPr>
              <w:t xml:space="preserve">Category Theory</w:t>
            </w:r>
          </w:p>
        </w:tc>
        <w:tc>
          <w:tcPr>
            <w:tcW w:type="dxa" w:w="4000"/>
            <w:tcBorders>
              <w:top w:val="single" w:color="999999" w:sz="1"/>
              <w:left w:val="single" w:color="999999" w:sz="1"/>
              <w:bottom w:val="single" w:color="999999" w:sz="1"/>
              <w:right w:val="single" w:color="999999" w:sz="1"/>
            </w:tcBorders>
            <w:tcMar>
              <w:top w:type="dxa" w:w="60"/>
              <w:left w:type="dxa" w:w="100"/>
              <w:bottom w:type="dxa" w:w="60"/>
              <w:right w:type="dxa" w:w="100"/>
            </w:tcMar>
          </w:tcPr>
          <w:p>
            <w:pPr>
              <w:jc w:val="left"/>
            </w:pPr>
            <w:r>
              <w:rPr>
                <w:rFonts w:ascii="Times New Roman" w:cs="Times New Roman" w:eastAsia="Times New Roman" w:hAnsi="Times New Roman"/>
                <w:b w:val="false"/>
                <w:bCs w:val="false"/>
                <w:sz w:val="20"/>
                <w:szCs w:val="20"/>
              </w:rPr>
              <w:t xml:space="preserve">—</w:t>
            </w:r>
          </w:p>
        </w:tc>
      </w:tr>
      <w:tr>
        <w:tc>
          <w:tcPr>
            <w:tcW w:type="dxa" w:w="2000"/>
            <w:tcBorders>
              <w:top w:val="single" w:color="999999" w:sz="1"/>
              <w:left w:val="single" w:color="999999" w:sz="1"/>
              <w:bottom w:val="single" w:color="999999" w:sz="1"/>
              <w:right w:val="single" w:color="999999" w:sz="1"/>
            </w:tcBorders>
            <w:tcMar>
              <w:top w:type="dxa" w:w="60"/>
              <w:left w:type="dxa" w:w="100"/>
              <w:bottom w:type="dxa" w:w="60"/>
              <w:right w:type="dxa" w:w="100"/>
            </w:tcMar>
          </w:tcPr>
          <w:p>
            <w:pPr>
              <w:jc w:val="left"/>
            </w:pPr>
            <w:r>
              <w:rPr>
                <w:rFonts w:ascii="Times New Roman" w:cs="Times New Roman" w:eastAsia="Times New Roman" w:hAnsi="Times New Roman"/>
                <w:b w:val="false"/>
                <w:bCs w:val="false"/>
                <w:sz w:val="20"/>
                <w:szCs w:val="20"/>
              </w:rPr>
              <w:t xml:space="preserve">f256–f271</w:t>
            </w:r>
          </w:p>
        </w:tc>
        <w:tc>
          <w:tcPr>
            <w:tcW w:type="dxa" w:w="3000"/>
            <w:tcBorders>
              <w:top w:val="single" w:color="999999" w:sz="1"/>
              <w:left w:val="single" w:color="999999" w:sz="1"/>
              <w:bottom w:val="single" w:color="999999" w:sz="1"/>
              <w:right w:val="single" w:color="999999" w:sz="1"/>
            </w:tcBorders>
            <w:tcMar>
              <w:top w:type="dxa" w:w="60"/>
              <w:left w:type="dxa" w:w="100"/>
              <w:bottom w:type="dxa" w:w="60"/>
              <w:right w:type="dxa" w:w="100"/>
            </w:tcMar>
          </w:tcPr>
          <w:p>
            <w:pPr>
              <w:jc w:val="left"/>
            </w:pPr>
            <w:r>
              <w:rPr>
                <w:rFonts w:ascii="Times New Roman" w:cs="Times New Roman" w:eastAsia="Times New Roman" w:hAnsi="Times New Roman"/>
                <w:b w:val="false"/>
                <w:bCs w:val="false"/>
                <w:sz w:val="20"/>
                <w:szCs w:val="20"/>
              </w:rPr>
              <w:t xml:space="preserve">Ergodic Theory</w:t>
            </w:r>
          </w:p>
        </w:tc>
        <w:tc>
          <w:tcPr>
            <w:tcW w:type="dxa" w:w="4000"/>
            <w:tcBorders>
              <w:top w:val="single" w:color="999999" w:sz="1"/>
              <w:left w:val="single" w:color="999999" w:sz="1"/>
              <w:bottom w:val="single" w:color="999999" w:sz="1"/>
              <w:right w:val="single" w:color="999999" w:sz="1"/>
            </w:tcBorders>
            <w:tcMar>
              <w:top w:type="dxa" w:w="60"/>
              <w:left w:type="dxa" w:w="100"/>
              <w:bottom w:type="dxa" w:w="60"/>
              <w:right w:type="dxa" w:w="100"/>
            </w:tcMar>
          </w:tcPr>
          <w:p>
            <w:pPr>
              <w:jc w:val="left"/>
            </w:pPr>
            <w:r>
              <w:rPr>
                <w:rFonts w:ascii="Times New Roman" w:cs="Times New Roman" w:eastAsia="Times New Roman" w:hAnsi="Times New Roman"/>
                <w:b w:val="false"/>
                <w:bCs w:val="false"/>
                <w:sz w:val="20"/>
                <w:szCs w:val="20"/>
              </w:rPr>
              <w:t xml:space="preserve">—</w:t>
            </w:r>
          </w:p>
        </w:tc>
      </w:tr>
      <w:tr>
        <w:tc>
          <w:tcPr>
            <w:tcW w:type="dxa" w:w="2000"/>
            <w:tcBorders>
              <w:top w:val="single" w:color="999999" w:sz="1"/>
              <w:left w:val="single" w:color="999999" w:sz="1"/>
              <w:bottom w:val="single" w:color="999999" w:sz="1"/>
              <w:right w:val="single" w:color="999999" w:sz="1"/>
            </w:tcBorders>
            <w:tcMar>
              <w:top w:type="dxa" w:w="60"/>
              <w:left w:type="dxa" w:w="100"/>
              <w:bottom w:type="dxa" w:w="60"/>
              <w:right w:type="dxa" w:w="100"/>
            </w:tcMar>
          </w:tcPr>
          <w:p>
            <w:pPr>
              <w:jc w:val="left"/>
            </w:pPr>
            <w:r>
              <w:rPr>
                <w:rFonts w:ascii="Times New Roman" w:cs="Times New Roman" w:eastAsia="Times New Roman" w:hAnsi="Times New Roman"/>
                <w:b w:val="false"/>
                <w:bCs w:val="false"/>
                <w:sz w:val="20"/>
                <w:szCs w:val="20"/>
              </w:rPr>
              <w:t xml:space="preserve">f465–f467</w:t>
            </w:r>
          </w:p>
        </w:tc>
        <w:tc>
          <w:tcPr>
            <w:tcW w:type="dxa" w:w="3000"/>
            <w:tcBorders>
              <w:top w:val="single" w:color="999999" w:sz="1"/>
              <w:left w:val="single" w:color="999999" w:sz="1"/>
              <w:bottom w:val="single" w:color="999999" w:sz="1"/>
              <w:right w:val="single" w:color="999999" w:sz="1"/>
            </w:tcBorders>
            <w:tcMar>
              <w:top w:type="dxa" w:w="60"/>
              <w:left w:type="dxa" w:w="100"/>
              <w:bottom w:type="dxa" w:w="60"/>
              <w:right w:type="dxa" w:w="100"/>
            </w:tcMar>
          </w:tcPr>
          <w:p>
            <w:pPr>
              <w:jc w:val="left"/>
            </w:pPr>
            <w:r>
              <w:rPr>
                <w:rFonts w:ascii="Times New Roman" w:cs="Times New Roman" w:eastAsia="Times New Roman" w:hAnsi="Times New Roman"/>
                <w:b w:val="false"/>
                <w:bCs w:val="false"/>
                <w:sz w:val="20"/>
                <w:szCs w:val="20"/>
              </w:rPr>
              <w:t xml:space="preserve">Entropy cluster (expanded)</w:t>
            </w:r>
          </w:p>
        </w:tc>
        <w:tc>
          <w:tcPr>
            <w:tcW w:type="dxa" w:w="4000"/>
            <w:tcBorders>
              <w:top w:val="single" w:color="999999" w:sz="1"/>
              <w:left w:val="single" w:color="999999" w:sz="1"/>
              <w:bottom w:val="single" w:color="999999" w:sz="1"/>
              <w:right w:val="single" w:color="999999" w:sz="1"/>
            </w:tcBorders>
            <w:tcMar>
              <w:top w:type="dxa" w:w="60"/>
              <w:left w:type="dxa" w:w="100"/>
              <w:bottom w:type="dxa" w:w="60"/>
              <w:right w:type="dxa" w:w="100"/>
            </w:tcMar>
          </w:tcPr>
          <w:p>
            <w:pPr>
              <w:jc w:val="left"/>
            </w:pPr>
            <w:r>
              <w:rPr>
                <w:rFonts w:ascii="Times New Roman" w:cs="Times New Roman" w:eastAsia="Times New Roman" w:hAnsi="Times New Roman"/>
                <w:b w:val="false"/>
                <w:bCs w:val="false"/>
                <w:sz w:val="20"/>
                <w:szCs w:val="20"/>
              </w:rPr>
              <w:t xml:space="preserve">f465, f467 (top 10)</w:t>
            </w:r>
          </w:p>
        </w:tc>
      </w:tr>
      <w:tr>
        <w:tc>
          <w:tcPr>
            <w:tcW w:type="dxa" w:w="2000"/>
            <w:tcBorders>
              <w:top w:val="single" w:color="999999" w:sz="1"/>
              <w:left w:val="single" w:color="999999" w:sz="1"/>
              <w:bottom w:val="single" w:color="999999" w:sz="1"/>
              <w:right w:val="single" w:color="999999" w:sz="1"/>
            </w:tcBorders>
            <w:tcMar>
              <w:top w:type="dxa" w:w="60"/>
              <w:left w:type="dxa" w:w="100"/>
              <w:bottom w:type="dxa" w:w="60"/>
              <w:right w:type="dxa" w:w="100"/>
            </w:tcMar>
          </w:tcPr>
          <w:p>
            <w:pPr>
              <w:jc w:val="left"/>
            </w:pPr>
            <w:r>
              <w:rPr>
                <w:rFonts w:ascii="Times New Roman" w:cs="Times New Roman" w:eastAsia="Times New Roman" w:hAnsi="Times New Roman"/>
                <w:b w:val="false"/>
                <w:bCs w:val="false"/>
                <w:sz w:val="20"/>
                <w:szCs w:val="20"/>
              </w:rPr>
              <w:t xml:space="preserve">f1171–f1174</w:t>
            </w:r>
          </w:p>
        </w:tc>
        <w:tc>
          <w:tcPr>
            <w:tcW w:type="dxa" w:w="3000"/>
            <w:tcBorders>
              <w:top w:val="single" w:color="999999" w:sz="1"/>
              <w:left w:val="single" w:color="999999" w:sz="1"/>
              <w:bottom w:val="single" w:color="999999" w:sz="1"/>
              <w:right w:val="single" w:color="999999" w:sz="1"/>
            </w:tcBorders>
            <w:tcMar>
              <w:top w:type="dxa" w:w="60"/>
              <w:left w:type="dxa" w:w="100"/>
              <w:bottom w:type="dxa" w:w="60"/>
              <w:right w:type="dxa" w:w="100"/>
            </w:tcMar>
          </w:tcPr>
          <w:p>
            <w:pPr>
              <w:jc w:val="left"/>
            </w:pPr>
            <w:r>
              <w:rPr>
                <w:rFonts w:ascii="Times New Roman" w:cs="Times New Roman" w:eastAsia="Times New Roman" w:hAnsi="Times New Roman"/>
                <w:b w:val="false"/>
                <w:bCs w:val="false"/>
                <w:sz w:val="20"/>
                <w:szCs w:val="20"/>
              </w:rPr>
              <w:t xml:space="preserve">Vocab/repetition cluster</w:t>
            </w:r>
          </w:p>
        </w:tc>
        <w:tc>
          <w:tcPr>
            <w:tcW w:type="dxa" w:w="4000"/>
            <w:tcBorders>
              <w:top w:val="single" w:color="999999" w:sz="1"/>
              <w:left w:val="single" w:color="999999" w:sz="1"/>
              <w:bottom w:val="single" w:color="999999" w:sz="1"/>
              <w:right w:val="single" w:color="999999" w:sz="1"/>
            </w:tcBorders>
            <w:tcMar>
              <w:top w:type="dxa" w:w="60"/>
              <w:left w:type="dxa" w:w="100"/>
              <w:bottom w:type="dxa" w:w="60"/>
              <w:right w:type="dxa" w:w="100"/>
            </w:tcMar>
          </w:tcPr>
          <w:p>
            <w:pPr>
              <w:jc w:val="left"/>
            </w:pPr>
            <w:r>
              <w:rPr>
                <w:rFonts w:ascii="Times New Roman" w:cs="Times New Roman" w:eastAsia="Times New Roman" w:hAnsi="Times New Roman"/>
                <w:b w:val="false"/>
                <w:bCs w:val="false"/>
                <w:sz w:val="20"/>
                <w:szCs w:val="20"/>
              </w:rPr>
              <w:t xml:space="preserve">f1171 (top 10)</w:t>
            </w:r>
          </w:p>
        </w:tc>
      </w:tr>
      <w:tr>
        <w:tc>
          <w:tcPr>
            <w:tcW w:type="dxa" w:w="2000"/>
            <w:tcBorders>
              <w:top w:val="single" w:color="999999" w:sz="1"/>
              <w:left w:val="single" w:color="999999" w:sz="1"/>
              <w:bottom w:val="single" w:color="999999" w:sz="1"/>
              <w:right w:val="single" w:color="999999" w:sz="1"/>
            </w:tcBorders>
            <w:tcMar>
              <w:top w:type="dxa" w:w="60"/>
              <w:left w:type="dxa" w:w="100"/>
              <w:bottom w:type="dxa" w:w="60"/>
              <w:right w:type="dxa" w:w="100"/>
            </w:tcMar>
          </w:tcPr>
          <w:p>
            <w:pPr>
              <w:jc w:val="left"/>
            </w:pPr>
            <w:r>
              <w:rPr>
                <w:rFonts w:ascii="Times New Roman" w:cs="Times New Roman" w:eastAsia="Times New Roman" w:hAnsi="Times New Roman"/>
                <w:b w:val="false"/>
                <w:bCs w:val="false"/>
                <w:sz w:val="20"/>
                <w:szCs w:val="20"/>
              </w:rPr>
              <w:t xml:space="preserve">f1536–f1537</w:t>
            </w:r>
          </w:p>
        </w:tc>
        <w:tc>
          <w:tcPr>
            <w:tcW w:type="dxa" w:w="3000"/>
            <w:tcBorders>
              <w:top w:val="single" w:color="999999" w:sz="1"/>
              <w:left w:val="single" w:color="999999" w:sz="1"/>
              <w:bottom w:val="single" w:color="999999" w:sz="1"/>
              <w:right w:val="single" w:color="999999" w:sz="1"/>
            </w:tcBorders>
            <w:tcMar>
              <w:top w:type="dxa" w:w="60"/>
              <w:left w:type="dxa" w:w="100"/>
              <w:bottom w:type="dxa" w:w="60"/>
              <w:right w:type="dxa" w:w="100"/>
            </w:tcMar>
          </w:tcPr>
          <w:p>
            <w:pPr>
              <w:jc w:val="left"/>
            </w:pPr>
            <w:r>
              <w:rPr>
                <w:rFonts w:ascii="Times New Roman" w:cs="Times New Roman" w:eastAsia="Times New Roman" w:hAnsi="Times New Roman"/>
                <w:b w:val="false"/>
                <w:bCs w:val="false"/>
                <w:sz w:val="20"/>
                <w:szCs w:val="20"/>
              </w:rPr>
              <w:t xml:space="preserve">Energy Distance</w:t>
            </w:r>
          </w:p>
        </w:tc>
        <w:tc>
          <w:tcPr>
            <w:tcW w:type="dxa" w:w="4000"/>
            <w:tcBorders>
              <w:top w:val="single" w:color="999999" w:sz="1"/>
              <w:left w:val="single" w:color="999999" w:sz="1"/>
              <w:bottom w:val="single" w:color="999999" w:sz="1"/>
              <w:right w:val="single" w:color="999999" w:sz="1"/>
            </w:tcBorders>
            <w:tcMar>
              <w:top w:type="dxa" w:w="60"/>
              <w:left w:type="dxa" w:w="100"/>
              <w:bottom w:type="dxa" w:w="60"/>
              <w:right w:type="dxa" w:w="100"/>
            </w:tcMar>
          </w:tcPr>
          <w:p>
            <w:pPr>
              <w:jc w:val="left"/>
            </w:pPr>
            <w:r>
              <w:rPr>
                <w:rFonts w:ascii="Times New Roman" w:cs="Times New Roman" w:eastAsia="Times New Roman" w:hAnsi="Times New Roman"/>
                <w:b w:val="false"/>
                <w:bCs w:val="false"/>
                <w:sz w:val="20"/>
                <w:szCs w:val="20"/>
              </w:rPr>
              <w:t xml:space="preserve">f1536 (top 5)</w:t>
            </w:r>
          </w:p>
        </w:tc>
      </w:tr>
    </w:tbl>
    <w:p>
      <w:pPr>
        <w:spacing w:after="120" w:line="276"/>
        <w:jc w:val="both"/>
      </w:pPr>
      <w:r>
        <w:rPr>
          <w:rFonts w:ascii="Times New Roman" w:cs="Times New Roman" w:eastAsia="Times New Roman" w:hAnsi="Times New Roman"/>
          <w:sz w:val="22"/>
          <w:szCs w:val="22"/>
        </w:rPr>
        <w:t xml:space="preserve"/>
      </w:r>
    </w:p>
    <w:p>
      <w:pPr>
        <w:spacing w:after="120" w:line="276"/>
        <w:jc w:val="both"/>
      </w:pPr>
      <w:r>
        <w:rPr>
          <w:rFonts w:ascii="Times New Roman" w:cs="Times New Roman" w:eastAsia="Times New Roman" w:hAnsi="Times New Roman"/>
          <w:sz w:val="22"/>
          <w:szCs w:val="22"/>
        </w:rPr>
        <w:t xml:space="preserve">The dominance of the sheaf cohomology module (f192–f207) in V2 LLM-native training reveals that behavioral self-consistency—the degree to which local behavioral patterns are globally coherent—is the most sensitive indicator of LLM drift. The symplectic/gauge cluster (f144, f145, f160) being consistently in the top 10 indicates that conservation violations and context-invariant features also contribute significantly.</w:t>
      </w:r>
    </w:p>
    <w:p>
      <w:pPr>
        <w:pStyle w:val="Heading1"/>
        <w:spacing w:before="240" w:after="120"/>
      </w:pPr>
      <w:r>
        <w:rPr>
          <w:rFonts w:ascii="Times New Roman" w:cs="Times New Roman" w:eastAsia="Times New Roman" w:hAnsi="Times New Roman"/>
          <w:b/>
          <w:bCs/>
          <w:sz w:val="28"/>
          <w:szCs w:val="28"/>
        </w:rPr>
        <w:t xml:space="preserve">5  Integration and Validation</w:t>
      </w:r>
    </w:p>
    <w:p>
      <w:pPr>
        <w:pStyle w:val="Heading2"/>
        <w:spacing w:before="240" w:after="120"/>
      </w:pPr>
      <w:r>
        <w:rPr>
          <w:rFonts w:ascii="Times New Roman" w:cs="Times New Roman" w:eastAsia="Times New Roman" w:hAnsi="Times New Roman"/>
          <w:b/>
          <w:bCs/>
          <w:sz w:val="24"/>
          <w:szCs w:val="24"/>
        </w:rPr>
        <w:t xml:space="preserve">5.1  Feature Space Expansion Impact</w:t>
      </w:r>
    </w:p>
    <w:p>
      <w:pPr>
        <w:spacing w:after="120" w:line="276"/>
        <w:jc w:val="both"/>
      </w:pPr>
      <w:r>
        <w:rPr>
          <w:rFonts w:ascii="Times New Roman" w:cs="Times New Roman" w:eastAsia="Times New Roman" w:hAnsi="Times New Roman"/>
          <w:i/>
          <w:iCs/>
          <w:sz w:val="22"/>
          <w:szCs w:val="22"/>
        </w:rPr>
        <w:t xml:space="preserve">Table 2: Feature space expansion impact.</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2200"/>
        <w:gridCol w:w="1800"/>
        <w:gridCol w:w="1200"/>
        <w:gridCol w:w="3800"/>
      </w:tblGrid>
      <w:tr>
        <w:tc>
          <w:tcPr>
            <w:tcW w:type="dxa" w:w="2200"/>
            <w:tcBorders>
              <w:top w:val="single" w:color="999999" w:sz="1"/>
              <w:left w:val="single" w:color="999999" w:sz="1"/>
              <w:bottom w:val="single" w:color="999999" w:sz="1"/>
              <w:right w:val="single" w:color="999999" w:sz="1"/>
            </w:tcBorders>
            <w:shd w:fill="E8E8E8" w:val="clear"/>
            <w:tcMar>
              <w:top w:type="dxa" w:w="60"/>
              <w:left w:type="dxa" w:w="100"/>
              <w:bottom w:type="dxa" w:w="60"/>
              <w:right w:type="dxa" w:w="100"/>
            </w:tcMar>
          </w:tcPr>
          <w:p>
            <w:pPr>
              <w:jc w:val="left"/>
            </w:pPr>
            <w:r>
              <w:rPr>
                <w:rFonts w:ascii="Times New Roman" w:cs="Times New Roman" w:eastAsia="Times New Roman" w:hAnsi="Times New Roman"/>
                <w:b/>
                <w:bCs/>
                <w:sz w:val="20"/>
                <w:szCs w:val="20"/>
              </w:rPr>
              <w:t xml:space="preserve">Configuration</w:t>
            </w:r>
          </w:p>
        </w:tc>
        <w:tc>
          <w:tcPr>
            <w:tcW w:type="dxa" w:w="1800"/>
            <w:tcBorders>
              <w:top w:val="single" w:color="999999" w:sz="1"/>
              <w:left w:val="single" w:color="999999" w:sz="1"/>
              <w:bottom w:val="single" w:color="999999" w:sz="1"/>
              <w:right w:val="single" w:color="999999" w:sz="1"/>
            </w:tcBorders>
            <w:shd w:fill="E8E8E8" w:val="clear"/>
            <w:tcMar>
              <w:top w:type="dxa" w:w="60"/>
              <w:left w:type="dxa" w:w="100"/>
              <w:bottom w:type="dxa" w:w="60"/>
              <w:right w:type="dxa" w:w="100"/>
            </w:tcMar>
          </w:tcPr>
          <w:p>
            <w:pPr>
              <w:jc w:val="left"/>
            </w:pPr>
            <w:r>
              <w:rPr>
                <w:rFonts w:ascii="Times New Roman" w:cs="Times New Roman" w:eastAsia="Times New Roman" w:hAnsi="Times New Roman"/>
                <w:b/>
                <w:bCs/>
                <w:sz w:val="20"/>
                <w:szCs w:val="20"/>
              </w:rPr>
              <w:t xml:space="preserve">Populated Features</w:t>
            </w:r>
          </w:p>
        </w:tc>
        <w:tc>
          <w:tcPr>
            <w:tcW w:type="dxa" w:w="1200"/>
            <w:tcBorders>
              <w:top w:val="single" w:color="999999" w:sz="1"/>
              <w:left w:val="single" w:color="999999" w:sz="1"/>
              <w:bottom w:val="single" w:color="999999" w:sz="1"/>
              <w:right w:val="single" w:color="999999" w:sz="1"/>
            </w:tcBorders>
            <w:shd w:fill="E8E8E8" w:val="clear"/>
            <w:tcMar>
              <w:top w:type="dxa" w:w="60"/>
              <w:left w:type="dxa" w:w="100"/>
              <w:bottom w:type="dxa" w:w="60"/>
              <w:right w:type="dxa" w:w="100"/>
            </w:tcMar>
          </w:tcPr>
          <w:p>
            <w:pPr>
              <w:jc w:val="left"/>
            </w:pPr>
            <w:r>
              <w:rPr>
                <w:rFonts w:ascii="Times New Roman" w:cs="Times New Roman" w:eastAsia="Times New Roman" w:hAnsi="Times New Roman"/>
                <w:b/>
                <w:bCs/>
                <w:sz w:val="20"/>
                <w:szCs w:val="20"/>
              </w:rPr>
              <w:t xml:space="preserve">Coverage</w:t>
            </w:r>
          </w:p>
        </w:tc>
        <w:tc>
          <w:tcPr>
            <w:tcW w:type="dxa" w:w="3800"/>
            <w:tcBorders>
              <w:top w:val="single" w:color="999999" w:sz="1"/>
              <w:left w:val="single" w:color="999999" w:sz="1"/>
              <w:bottom w:val="single" w:color="999999" w:sz="1"/>
              <w:right w:val="single" w:color="999999" w:sz="1"/>
            </w:tcBorders>
            <w:shd w:fill="E8E8E8" w:val="clear"/>
            <w:tcMar>
              <w:top w:type="dxa" w:w="60"/>
              <w:left w:type="dxa" w:w="100"/>
              <w:bottom w:type="dxa" w:w="60"/>
              <w:right w:type="dxa" w:w="100"/>
            </w:tcMar>
          </w:tcPr>
          <w:p>
            <w:pPr>
              <w:jc w:val="left"/>
            </w:pPr>
            <w:r>
              <w:rPr>
                <w:rFonts w:ascii="Times New Roman" w:cs="Times New Roman" w:eastAsia="Times New Roman" w:hAnsi="Times New Roman"/>
                <w:b/>
                <w:bCs/>
                <w:sz w:val="20"/>
                <w:szCs w:val="20"/>
              </w:rPr>
              <w:t xml:space="preserve">Production Effect</w:t>
            </w:r>
          </w:p>
        </w:tc>
      </w:tr>
      <w:tr>
        <w:tc>
          <w:tcPr>
            <w:tcW w:type="dxa" w:w="2200"/>
            <w:tcBorders>
              <w:top w:val="single" w:color="999999" w:sz="1"/>
              <w:left w:val="single" w:color="999999" w:sz="1"/>
              <w:bottom w:val="single" w:color="999999" w:sz="1"/>
              <w:right w:val="single" w:color="999999" w:sz="1"/>
            </w:tcBorders>
            <w:tcMar>
              <w:top w:type="dxa" w:w="60"/>
              <w:left w:type="dxa" w:w="100"/>
              <w:bottom w:type="dxa" w:w="60"/>
              <w:right w:type="dxa" w:w="100"/>
            </w:tcMar>
          </w:tcPr>
          <w:p>
            <w:pPr>
              <w:jc w:val="left"/>
            </w:pPr>
            <w:r>
              <w:rPr>
                <w:rFonts w:ascii="Times New Roman" w:cs="Times New Roman" w:eastAsia="Times New Roman" w:hAnsi="Times New Roman"/>
                <w:b w:val="false"/>
                <w:bCs w:val="false"/>
                <w:sz w:val="20"/>
                <w:szCs w:val="20"/>
              </w:rPr>
              <w:t xml:space="preserve">4 Core Modules</w:t>
            </w:r>
          </w:p>
        </w:tc>
        <w:tc>
          <w:tcPr>
            <w:tcW w:type="dxa" w:w="1800"/>
            <w:tcBorders>
              <w:top w:val="single" w:color="999999" w:sz="1"/>
              <w:left w:val="single" w:color="999999" w:sz="1"/>
              <w:bottom w:val="single" w:color="999999" w:sz="1"/>
              <w:right w:val="single" w:color="999999" w:sz="1"/>
            </w:tcBorders>
            <w:tcMar>
              <w:top w:type="dxa" w:w="60"/>
              <w:left w:type="dxa" w:w="100"/>
              <w:bottom w:type="dxa" w:w="60"/>
              <w:right w:type="dxa" w:w="100"/>
            </w:tcMar>
          </w:tcPr>
          <w:p>
            <w:pPr>
              <w:jc w:val="left"/>
            </w:pPr>
            <w:r>
              <w:rPr>
                <w:rFonts w:ascii="Times New Roman" w:cs="Times New Roman" w:eastAsia="Times New Roman" w:hAnsi="Times New Roman"/>
                <w:b w:val="false"/>
                <w:bCs w:val="false"/>
                <w:sz w:val="20"/>
                <w:szCs w:val="20"/>
              </w:rPr>
              <w:t xml:space="preserve">34</w:t>
            </w:r>
          </w:p>
        </w:tc>
        <w:tc>
          <w:tcPr>
            <w:tcW w:type="dxa" w:w="1200"/>
            <w:tcBorders>
              <w:top w:val="single" w:color="999999" w:sz="1"/>
              <w:left w:val="single" w:color="999999" w:sz="1"/>
              <w:bottom w:val="single" w:color="999999" w:sz="1"/>
              <w:right w:val="single" w:color="999999" w:sz="1"/>
            </w:tcBorders>
            <w:tcMar>
              <w:top w:type="dxa" w:w="60"/>
              <w:left w:type="dxa" w:w="100"/>
              <w:bottom w:type="dxa" w:w="60"/>
              <w:right w:type="dxa" w:w="100"/>
            </w:tcMar>
          </w:tcPr>
          <w:p>
            <w:pPr>
              <w:jc w:val="left"/>
            </w:pPr>
            <w:r>
              <w:rPr>
                <w:rFonts w:ascii="Times New Roman" w:cs="Times New Roman" w:eastAsia="Times New Roman" w:hAnsi="Times New Roman"/>
                <w:b w:val="false"/>
                <w:bCs w:val="false"/>
                <w:sz w:val="20"/>
                <w:szCs w:val="20"/>
              </w:rPr>
              <w:t xml:space="preserve">2.2%</w:t>
            </w:r>
          </w:p>
        </w:tc>
        <w:tc>
          <w:tcPr>
            <w:tcW w:type="dxa" w:w="3800"/>
            <w:tcBorders>
              <w:top w:val="single" w:color="999999" w:sz="1"/>
              <w:left w:val="single" w:color="999999" w:sz="1"/>
              <w:bottom w:val="single" w:color="999999" w:sz="1"/>
              <w:right w:val="single" w:color="999999" w:sz="1"/>
            </w:tcBorders>
            <w:tcMar>
              <w:top w:type="dxa" w:w="60"/>
              <w:left w:type="dxa" w:w="100"/>
              <w:bottom w:type="dxa" w:w="60"/>
              <w:right w:type="dxa" w:w="100"/>
            </w:tcMar>
          </w:tcPr>
          <w:p>
            <w:pPr>
              <w:jc w:val="left"/>
            </w:pPr>
            <w:r>
              <w:rPr>
                <w:rFonts w:ascii="Times New Roman" w:cs="Times New Roman" w:eastAsia="Times New Roman" w:hAnsi="Times New Roman"/>
                <w:b w:val="false"/>
                <w:bCs w:val="false"/>
                <w:sz w:val="20"/>
                <w:szCs w:val="20"/>
              </w:rPr>
              <w:t xml:space="preserve">All models 0.87–0.93 (no differentiation)</w:t>
            </w:r>
          </w:p>
        </w:tc>
      </w:tr>
      <w:tr>
        <w:tc>
          <w:tcPr>
            <w:tcW w:type="dxa" w:w="2200"/>
            <w:tcBorders>
              <w:top w:val="single" w:color="999999" w:sz="1"/>
              <w:left w:val="single" w:color="999999" w:sz="1"/>
              <w:bottom w:val="single" w:color="999999" w:sz="1"/>
              <w:right w:val="single" w:color="999999" w:sz="1"/>
            </w:tcBorders>
            <w:tcMar>
              <w:top w:type="dxa" w:w="60"/>
              <w:left w:type="dxa" w:w="100"/>
              <w:bottom w:type="dxa" w:w="60"/>
              <w:right w:type="dxa" w:w="100"/>
            </w:tcMar>
          </w:tcPr>
          <w:p>
            <w:pPr>
              <w:jc w:val="left"/>
            </w:pPr>
            <w:r>
              <w:rPr>
                <w:rFonts w:ascii="Times New Roman" w:cs="Times New Roman" w:eastAsia="Times New Roman" w:hAnsi="Times New Roman"/>
                <w:b w:val="false"/>
                <w:bCs w:val="false"/>
                <w:sz w:val="20"/>
                <w:szCs w:val="20"/>
              </w:rPr>
              <w:t xml:space="preserve">14 Full Modules</w:t>
            </w:r>
          </w:p>
        </w:tc>
        <w:tc>
          <w:tcPr>
            <w:tcW w:type="dxa" w:w="1800"/>
            <w:tcBorders>
              <w:top w:val="single" w:color="999999" w:sz="1"/>
              <w:left w:val="single" w:color="999999" w:sz="1"/>
              <w:bottom w:val="single" w:color="999999" w:sz="1"/>
              <w:right w:val="single" w:color="999999" w:sz="1"/>
            </w:tcBorders>
            <w:tcMar>
              <w:top w:type="dxa" w:w="60"/>
              <w:left w:type="dxa" w:w="100"/>
              <w:bottom w:type="dxa" w:w="60"/>
              <w:right w:type="dxa" w:w="100"/>
            </w:tcMar>
          </w:tcPr>
          <w:p>
            <w:pPr>
              <w:jc w:val="left"/>
            </w:pPr>
            <w:r>
              <w:rPr>
                <w:rFonts w:ascii="Times New Roman" w:cs="Times New Roman" w:eastAsia="Times New Roman" w:hAnsi="Times New Roman"/>
                <w:b w:val="false"/>
                <w:bCs w:val="false"/>
                <w:sz w:val="20"/>
                <w:szCs w:val="20"/>
              </w:rPr>
              <w:t xml:space="preserve">784</w:t>
            </w:r>
          </w:p>
        </w:tc>
        <w:tc>
          <w:tcPr>
            <w:tcW w:type="dxa" w:w="1200"/>
            <w:tcBorders>
              <w:top w:val="single" w:color="999999" w:sz="1"/>
              <w:left w:val="single" w:color="999999" w:sz="1"/>
              <w:bottom w:val="single" w:color="999999" w:sz="1"/>
              <w:right w:val="single" w:color="999999" w:sz="1"/>
            </w:tcBorders>
            <w:tcMar>
              <w:top w:type="dxa" w:w="60"/>
              <w:left w:type="dxa" w:w="100"/>
              <w:bottom w:type="dxa" w:w="60"/>
              <w:right w:type="dxa" w:w="100"/>
            </w:tcMar>
          </w:tcPr>
          <w:p>
            <w:pPr>
              <w:jc w:val="left"/>
            </w:pPr>
            <w:r>
              <w:rPr>
                <w:rFonts w:ascii="Times New Roman" w:cs="Times New Roman" w:eastAsia="Times New Roman" w:hAnsi="Times New Roman"/>
                <w:b w:val="false"/>
                <w:bCs w:val="false"/>
                <w:sz w:val="20"/>
                <w:szCs w:val="20"/>
              </w:rPr>
              <w:t xml:space="preserve">50.8%</w:t>
            </w:r>
          </w:p>
        </w:tc>
        <w:tc>
          <w:tcPr>
            <w:tcW w:type="dxa" w:w="3800"/>
            <w:tcBorders>
              <w:top w:val="single" w:color="999999" w:sz="1"/>
              <w:left w:val="single" w:color="999999" w:sz="1"/>
              <w:bottom w:val="single" w:color="999999" w:sz="1"/>
              <w:right w:val="single" w:color="999999" w:sz="1"/>
            </w:tcBorders>
            <w:tcMar>
              <w:top w:type="dxa" w:w="60"/>
              <w:left w:type="dxa" w:w="100"/>
              <w:bottom w:type="dxa" w:w="60"/>
              <w:right w:type="dxa" w:w="100"/>
            </w:tcMar>
          </w:tcPr>
          <w:p>
            <w:pPr>
              <w:jc w:val="left"/>
            </w:pPr>
            <w:r>
              <w:rPr>
                <w:rFonts w:ascii="Times New Roman" w:cs="Times New Roman" w:eastAsia="Times New Roman" w:hAnsi="Times New Roman"/>
                <w:b w:val="false"/>
                <w:bCs w:val="false"/>
                <w:sz w:val="20"/>
                <w:szCs w:val="20"/>
              </w:rPr>
              <w:t xml:space="preserve">Models 0.075–0.894 (clear differentiation)</w:t>
            </w:r>
          </w:p>
        </w:tc>
      </w:tr>
      <w:tr>
        <w:tc>
          <w:tcPr>
            <w:tcW w:type="dxa" w:w="2200"/>
            <w:tcBorders>
              <w:top w:val="single" w:color="999999" w:sz="1"/>
              <w:left w:val="single" w:color="999999" w:sz="1"/>
              <w:bottom w:val="single" w:color="999999" w:sz="1"/>
              <w:right w:val="single" w:color="999999" w:sz="1"/>
            </w:tcBorders>
            <w:tcMar>
              <w:top w:type="dxa" w:w="60"/>
              <w:left w:type="dxa" w:w="100"/>
              <w:bottom w:type="dxa" w:w="60"/>
              <w:right w:type="dxa" w:w="100"/>
            </w:tcMar>
          </w:tcPr>
          <w:p>
            <w:pPr>
              <w:jc w:val="left"/>
            </w:pPr>
            <w:r>
              <w:rPr>
                <w:rFonts w:ascii="Times New Roman" w:cs="Times New Roman" w:eastAsia="Times New Roman" w:hAnsi="Times New Roman"/>
                <w:b w:val="false"/>
                <w:bCs w:val="false"/>
                <w:sz w:val="20"/>
                <w:szCs w:val="20"/>
              </w:rPr>
              <w:t xml:space="preserve">Full + Surface (V1)</w:t>
            </w:r>
          </w:p>
        </w:tc>
        <w:tc>
          <w:tcPr>
            <w:tcW w:type="dxa" w:w="1800"/>
            <w:tcBorders>
              <w:top w:val="single" w:color="999999" w:sz="1"/>
              <w:left w:val="single" w:color="999999" w:sz="1"/>
              <w:bottom w:val="single" w:color="999999" w:sz="1"/>
              <w:right w:val="single" w:color="999999" w:sz="1"/>
            </w:tcBorders>
            <w:tcMar>
              <w:top w:type="dxa" w:w="60"/>
              <w:left w:type="dxa" w:w="100"/>
              <w:bottom w:type="dxa" w:w="60"/>
              <w:right w:type="dxa" w:w="100"/>
            </w:tcMar>
          </w:tcPr>
          <w:p>
            <w:pPr>
              <w:jc w:val="left"/>
            </w:pPr>
            <w:r>
              <w:rPr>
                <w:rFonts w:ascii="Times New Roman" w:cs="Times New Roman" w:eastAsia="Times New Roman" w:hAnsi="Times New Roman"/>
                <w:b w:val="false"/>
                <w:bCs w:val="false"/>
                <w:sz w:val="20"/>
                <w:szCs w:val="20"/>
              </w:rPr>
              <w:t xml:space="preserve">1,544</w:t>
            </w:r>
          </w:p>
        </w:tc>
        <w:tc>
          <w:tcPr>
            <w:tcW w:type="dxa" w:w="1200"/>
            <w:tcBorders>
              <w:top w:val="single" w:color="999999" w:sz="1"/>
              <w:left w:val="single" w:color="999999" w:sz="1"/>
              <w:bottom w:val="single" w:color="999999" w:sz="1"/>
              <w:right w:val="single" w:color="999999" w:sz="1"/>
            </w:tcBorders>
            <w:tcMar>
              <w:top w:type="dxa" w:w="60"/>
              <w:left w:type="dxa" w:w="100"/>
              <w:bottom w:type="dxa" w:w="60"/>
              <w:right w:type="dxa" w:w="100"/>
            </w:tcMar>
          </w:tcPr>
          <w:p>
            <w:pPr>
              <w:jc w:val="left"/>
            </w:pPr>
            <w:r>
              <w:rPr>
                <w:rFonts w:ascii="Times New Roman" w:cs="Times New Roman" w:eastAsia="Times New Roman" w:hAnsi="Times New Roman"/>
                <w:b w:val="false"/>
                <w:bCs w:val="false"/>
                <w:sz w:val="20"/>
                <w:szCs w:val="20"/>
              </w:rPr>
              <w:t xml:space="preserve">100%</w:t>
            </w:r>
          </w:p>
        </w:tc>
        <w:tc>
          <w:tcPr>
            <w:tcW w:type="dxa" w:w="3800"/>
            <w:tcBorders>
              <w:top w:val="single" w:color="999999" w:sz="1"/>
              <w:left w:val="single" w:color="999999" w:sz="1"/>
              <w:bottom w:val="single" w:color="999999" w:sz="1"/>
              <w:right w:val="single" w:color="999999" w:sz="1"/>
            </w:tcBorders>
            <w:tcMar>
              <w:top w:type="dxa" w:w="60"/>
              <w:left w:type="dxa" w:w="100"/>
              <w:bottom w:type="dxa" w:w="60"/>
              <w:right w:type="dxa" w:w="100"/>
            </w:tcMar>
          </w:tcPr>
          <w:p>
            <w:pPr>
              <w:jc w:val="left"/>
            </w:pPr>
            <w:r>
              <w:rPr>
                <w:rFonts w:ascii="Times New Roman" w:cs="Times New Roman" w:eastAsia="Times New Roman" w:hAnsi="Times New Roman"/>
                <w:b w:val="false"/>
                <w:bCs w:val="false"/>
                <w:sz w:val="20"/>
                <w:szCs w:val="20"/>
              </w:rPr>
              <w:t xml:space="preserve">Classification at 0.96 AUC</w:t>
            </w:r>
          </w:p>
        </w:tc>
      </w:tr>
      <w:tr>
        <w:tc>
          <w:tcPr>
            <w:tcW w:type="dxa" w:w="2200"/>
            <w:tcBorders>
              <w:top w:val="single" w:color="999999" w:sz="1"/>
              <w:left w:val="single" w:color="999999" w:sz="1"/>
              <w:bottom w:val="single" w:color="999999" w:sz="1"/>
              <w:right w:val="single" w:color="999999" w:sz="1"/>
            </w:tcBorders>
            <w:tcMar>
              <w:top w:type="dxa" w:w="60"/>
              <w:left w:type="dxa" w:w="100"/>
              <w:bottom w:type="dxa" w:w="60"/>
              <w:right w:type="dxa" w:w="100"/>
            </w:tcMar>
          </w:tcPr>
          <w:p>
            <w:pPr>
              <w:jc w:val="left"/>
            </w:pPr>
            <w:r>
              <w:rPr>
                <w:rFonts w:ascii="Times New Roman" w:cs="Times New Roman" w:eastAsia="Times New Roman" w:hAnsi="Times New Roman"/>
                <w:b w:val="false"/>
                <w:bCs w:val="false"/>
                <w:sz w:val="20"/>
                <w:szCs w:val="20"/>
              </w:rPr>
              <w:t xml:space="preserve">Full + Surface (V2)</w:t>
            </w:r>
          </w:p>
        </w:tc>
        <w:tc>
          <w:tcPr>
            <w:tcW w:type="dxa" w:w="1800"/>
            <w:tcBorders>
              <w:top w:val="single" w:color="999999" w:sz="1"/>
              <w:left w:val="single" w:color="999999" w:sz="1"/>
              <w:bottom w:val="single" w:color="999999" w:sz="1"/>
              <w:right w:val="single" w:color="999999" w:sz="1"/>
            </w:tcBorders>
            <w:tcMar>
              <w:top w:type="dxa" w:w="60"/>
              <w:left w:type="dxa" w:w="100"/>
              <w:bottom w:type="dxa" w:w="60"/>
              <w:right w:type="dxa" w:w="100"/>
            </w:tcMar>
          </w:tcPr>
          <w:p>
            <w:pPr>
              <w:jc w:val="left"/>
            </w:pPr>
            <w:r>
              <w:rPr>
                <w:rFonts w:ascii="Times New Roman" w:cs="Times New Roman" w:eastAsia="Times New Roman" w:hAnsi="Times New Roman"/>
                <w:b w:val="false"/>
                <w:bCs w:val="false"/>
                <w:sz w:val="20"/>
                <w:szCs w:val="20"/>
              </w:rPr>
              <w:t xml:space="preserve">1,543</w:t>
            </w:r>
          </w:p>
        </w:tc>
        <w:tc>
          <w:tcPr>
            <w:tcW w:type="dxa" w:w="1200"/>
            <w:tcBorders>
              <w:top w:val="single" w:color="999999" w:sz="1"/>
              <w:left w:val="single" w:color="999999" w:sz="1"/>
              <w:bottom w:val="single" w:color="999999" w:sz="1"/>
              <w:right w:val="single" w:color="999999" w:sz="1"/>
            </w:tcBorders>
            <w:tcMar>
              <w:top w:type="dxa" w:w="60"/>
              <w:left w:type="dxa" w:w="100"/>
              <w:bottom w:type="dxa" w:w="60"/>
              <w:right w:type="dxa" w:w="100"/>
            </w:tcMar>
          </w:tcPr>
          <w:p>
            <w:pPr>
              <w:jc w:val="left"/>
            </w:pPr>
            <w:r>
              <w:rPr>
                <w:rFonts w:ascii="Times New Roman" w:cs="Times New Roman" w:eastAsia="Times New Roman" w:hAnsi="Times New Roman"/>
                <w:b w:val="false"/>
                <w:bCs w:val="false"/>
                <w:sz w:val="20"/>
                <w:szCs w:val="20"/>
              </w:rPr>
              <w:t xml:space="preserve">100%</w:t>
            </w:r>
          </w:p>
        </w:tc>
        <w:tc>
          <w:tcPr>
            <w:tcW w:type="dxa" w:w="3800"/>
            <w:tcBorders>
              <w:top w:val="single" w:color="999999" w:sz="1"/>
              <w:left w:val="single" w:color="999999" w:sz="1"/>
              <w:bottom w:val="single" w:color="999999" w:sz="1"/>
              <w:right w:val="single" w:color="999999" w:sz="1"/>
            </w:tcBorders>
            <w:tcMar>
              <w:top w:type="dxa" w:w="60"/>
              <w:left w:type="dxa" w:w="100"/>
              <w:bottom w:type="dxa" w:w="60"/>
              <w:right w:type="dxa" w:w="100"/>
            </w:tcMar>
          </w:tcPr>
          <w:p>
            <w:pPr>
              <w:jc w:val="left"/>
            </w:pPr>
            <w:r>
              <w:rPr>
                <w:rFonts w:ascii="Times New Roman" w:cs="Times New Roman" w:eastAsia="Times New Roman" w:hAnsi="Times New Roman"/>
                <w:b w:val="false"/>
                <w:bCs w:val="false"/>
                <w:sz w:val="20"/>
                <w:szCs w:val="20"/>
              </w:rPr>
              <w:t xml:space="preserve">Per-model AUCs 0.66–1.00</w:t>
            </w:r>
          </w:p>
        </w:tc>
      </w:tr>
    </w:tbl>
    <w:p>
      <w:pPr>
        <w:spacing w:after="120" w:line="276"/>
        <w:jc w:val="both"/>
      </w:pPr>
      <w:r>
        <w:rPr>
          <w:rFonts w:ascii="Times New Roman" w:cs="Times New Roman" w:eastAsia="Times New Roman" w:hAnsi="Times New Roman"/>
          <w:sz w:val="22"/>
          <w:szCs w:val="22"/>
        </w:rPr>
        <w:t xml:space="preserve"/>
      </w:r>
    </w:p>
    <w:p>
      <w:pPr>
        <w:spacing w:after="120" w:line="276"/>
        <w:jc w:val="both"/>
      </w:pPr>
      <w:r>
        <w:rPr>
          <w:rFonts w:ascii="Times New Roman" w:cs="Times New Roman" w:eastAsia="Times New Roman" w:hAnsi="Times New Roman"/>
          <w:sz w:val="22"/>
          <w:szCs w:val="22"/>
        </w:rPr>
        <w:t xml:space="preserve">The expansion from 34 populated features to 784 had a dramatic effect on production monitoring. With only 4 core modules, the classifier lacked feature resolution to distinguish between models. With the full 14-module pipeline, the same classifier produced scores ranging from 0.075 to 0.894 with meaningful inter-model variation. The V2 LLM-native training further improved this to per-model AUCs ranging from 0.66 to 1.00.</w:t>
      </w:r>
    </w:p>
    <w:p>
      <w:pPr>
        <w:pStyle w:val="Heading2"/>
        <w:spacing w:before="240" w:after="120"/>
      </w:pPr>
      <w:r>
        <w:rPr>
          <w:rFonts w:ascii="Times New Roman" w:cs="Times New Roman" w:eastAsia="Times New Roman" w:hAnsi="Times New Roman"/>
          <w:b/>
          <w:bCs/>
          <w:sz w:val="24"/>
          <w:szCs w:val="24"/>
        </w:rPr>
        <w:t xml:space="preserve">5.2  Module Contribution Analysis</w:t>
      </w:r>
    </w:p>
    <w:p>
      <w:pPr>
        <w:spacing w:after="120" w:line="276"/>
        <w:jc w:val="both"/>
      </w:pPr>
      <w:r>
        <w:rPr>
          <w:rFonts w:ascii="Times New Roman" w:cs="Times New Roman" w:eastAsia="Times New Roman" w:hAnsi="Times New Roman"/>
          <w:sz w:val="22"/>
          <w:szCs w:val="22"/>
        </w:rPr>
        <w:t xml:space="preserve">Each module contributes complementary information. The V2 per-module attribution reveals a hierarchy: sheaf cohomology (behavioral self-consistency) is the most important module for LLM drift detection, followed by symplectic/gauge invariance (conserved quantities and context-invariance), entropy measures (distributional disorder), and Energy Distance (distributional change). The wavelet, Hilbert, Koopman, and persistent homology modules capture temporal and topological dynamics that contribute to the overall representation even though individual features from these modules do not appear in the top 10.</w:t>
      </w:r>
    </w:p>
    <w:p>
      <w:pPr>
        <w:pStyle w:val="Heading1"/>
        <w:spacing w:before="240" w:after="120"/>
      </w:pPr>
      <w:r>
        <w:rPr>
          <w:rFonts w:ascii="Times New Roman" w:cs="Times New Roman" w:eastAsia="Times New Roman" w:hAnsi="Times New Roman"/>
          <w:b/>
          <w:bCs/>
          <w:sz w:val="28"/>
          <w:szCs w:val="28"/>
        </w:rPr>
        <w:t xml:space="preserve">6  Design Principles</w:t>
      </w:r>
    </w:p>
    <w:p>
      <w:pPr>
        <w:spacing w:after="120" w:line="276"/>
        <w:jc w:val="both"/>
      </w:pPr>
      <w:r>
        <w:rPr>
          <w:rFonts w:ascii="Times New Roman" w:cs="Times New Roman" w:eastAsia="Times New Roman" w:hAnsi="Times New Roman"/>
          <w:sz w:val="22"/>
          <w:szCs w:val="22"/>
        </w:rPr>
        <w:t xml:space="preserve">Three principles guided the pipeline design. First, determinism: every operation is a fixed mathematical function with no learned parameters. Second, complementarity: each module captures a different mathematical property, minimizing redundancy. Third, domain agnosticism: no module uses domain-specific knowledge. The input is a numerical time series; the modules do not know whether the numbers represent token probabilities, trading volumes, or vital signs.</w:t>
      </w:r>
    </w:p>
    <w:p>
      <w:pPr>
        <w:spacing w:after="120" w:line="276"/>
        <w:jc w:val="both"/>
      </w:pPr>
      <w:r>
        <w:rPr>
          <w:rFonts w:ascii="Times New Roman" w:cs="Times New Roman" w:eastAsia="Times New Roman" w:hAnsi="Times New Roman"/>
          <w:sz w:val="22"/>
          <w:szCs w:val="22"/>
        </w:rPr>
        <w:t xml:space="preserve">The V2 results partially challenge the third principle. While the pipeline itself is domain-agnostic, the feature importance hierarchy is domain-dependent: Energy Distance dominates in cross-domain transfer, while Hodge/sheaf decomposition dominates in LLM-native training. The pipeline is universal; the interpretation is domain-specific.</w:t>
      </w:r>
    </w:p>
    <w:p>
      <w:pPr>
        <w:pStyle w:val="Heading1"/>
        <w:spacing w:before="240" w:after="120"/>
      </w:pPr>
      <w:r>
        <w:rPr>
          <w:rFonts w:ascii="Times New Roman" w:cs="Times New Roman" w:eastAsia="Times New Roman" w:hAnsi="Times New Roman"/>
          <w:b/>
          <w:bCs/>
          <w:sz w:val="28"/>
          <w:szCs w:val="28"/>
        </w:rPr>
        <w:t xml:space="preserve">7  Limitations</w:t>
      </w:r>
    </w:p>
    <w:p>
      <w:pPr>
        <w:spacing w:after="120" w:line="276"/>
        <w:jc w:val="both"/>
      </w:pPr>
      <w:r>
        <w:rPr>
          <w:rFonts w:ascii="Times New Roman" w:cs="Times New Roman" w:eastAsia="Times New Roman" w:hAnsi="Times New Roman"/>
          <w:sz w:val="22"/>
          <w:szCs w:val="22"/>
        </w:rPr>
        <w:t xml:space="preserve">The pipeline is computationally intensive. The theoretical justification for some modules (particularly E8 Clifford algebra and quantum probability) in behavioral data contexts is speculative; they are included because they empirically improve classification, not because of strong theoretical arguments for why behavioral data should exhibit E8 structure or quantum probability effects. The 272-to-512 expansion is a fixed linear projection chosen for practical compatibility. The exact mapping of f196 to sheaf cohomology versus Hodge decomposition needs precise confirmation against the pipeline’s index scheme, as these two modules occupy adjacent index ranges (f176–f191 for Hodge, f192–f207 for sheaf). The 1,543D/1,544D dimension discrepancy has been resolved with a trim but warrants documentation in the codebase.</w:t>
      </w:r>
    </w:p>
    <w:p>
      <w:pPr>
        <w:pStyle w:val="Heading1"/>
        <w:spacing w:before="240" w:after="120"/>
      </w:pPr>
      <w:r>
        <w:rPr>
          <w:rFonts w:ascii="Times New Roman" w:cs="Times New Roman" w:eastAsia="Times New Roman" w:hAnsi="Times New Roman"/>
          <w:b/>
          <w:bCs/>
          <w:sz w:val="28"/>
          <w:szCs w:val="28"/>
        </w:rPr>
        <w:t xml:space="preserve">8  Conclusion</w:t>
      </w:r>
    </w:p>
    <w:p>
      <w:pPr>
        <w:spacing w:after="120" w:line="276"/>
        <w:jc w:val="both"/>
      </w:pPr>
      <w:r>
        <w:rPr>
          <w:rFonts w:ascii="Times New Roman" w:cs="Times New Roman" w:eastAsia="Times New Roman" w:hAnsi="Times New Roman"/>
          <w:sz w:val="22"/>
          <w:szCs w:val="22"/>
        </w:rPr>
        <w:t xml:space="preserve">We have described a 14-module mathematical pipeline that combines information-theoretic, topological, geometric, algebraic, and probabilistic frameworks into a unified behavioral feature extraction system. The V2 per-module attribution reveals that sheaf cohomology (behavioral self-consistency) produces the single most important drift feature (f196, Cohen’s d 5–120), meaning that the topological decomposition of behavioral intent is the most sensitive mathematical framework for detecting LLM behavioral drift. Expanding from 4 to 14 modules transformed production monitoring from indiscriminate scoring to meaningful inter-model differentiation, and V2 LLM-native training achieves per-model AUCs up to 0.958.</w:t>
      </w:r>
    </w:p>
    <w:p>
      <w:r>
        <w:br w:type="page"/>
      </w:r>
    </w:p>
    <w:p>
      <w:pPr>
        <w:pStyle w:val="Heading1"/>
        <w:spacing w:before="240" w:after="120"/>
      </w:pPr>
      <w:r>
        <w:rPr>
          <w:rFonts w:ascii="Times New Roman" w:cs="Times New Roman" w:eastAsia="Times New Roman" w:hAnsi="Times New Roman"/>
          <w:b/>
          <w:bCs/>
          <w:sz w:val="28"/>
          <w:szCs w:val="28"/>
        </w:rPr>
        <w:t xml:space="preserve">References</w:t>
      </w:r>
    </w:p>
    <w:p>
      <w:pPr>
        <w:spacing w:after="120" w:line="276"/>
        <w:jc w:val="both"/>
      </w:pPr>
      <w:r>
        <w:rPr>
          <w:rFonts w:ascii="Times New Roman" w:cs="Times New Roman" w:eastAsia="Times New Roman" w:hAnsi="Times New Roman"/>
          <w:sz w:val="22"/>
          <w:szCs w:val="22"/>
        </w:rPr>
        <w:t xml:space="preserve">[1] Mallat, S. (1999). A Wavelet Tour of Signal Processing. Academic Press.</w:t>
      </w:r>
    </w:p>
    <w:p>
      <w:pPr>
        <w:spacing w:after="120" w:line="276"/>
        <w:jc w:val="both"/>
      </w:pPr>
      <w:r>
        <w:rPr>
          <w:rFonts w:ascii="Times New Roman" w:cs="Times New Roman" w:eastAsia="Times New Roman" w:hAnsi="Times New Roman"/>
          <w:sz w:val="22"/>
          <w:szCs w:val="22"/>
        </w:rPr>
        <w:t xml:space="preserve">[2] Edelsbrunner, H. and Harer, J. (2010). Computational Topology. AMS.</w:t>
      </w:r>
    </w:p>
    <w:p>
      <w:pPr>
        <w:spacing w:after="120" w:line="276"/>
        <w:jc w:val="both"/>
      </w:pPr>
      <w:r>
        <w:rPr>
          <w:rFonts w:ascii="Times New Roman" w:cs="Times New Roman" w:eastAsia="Times New Roman" w:hAnsi="Times New Roman"/>
          <w:sz w:val="22"/>
          <w:szCs w:val="22"/>
        </w:rPr>
        <w:t xml:space="preserve">[3] Mezic, I. (2005). Spectral Properties of Dynamical Systems. Nonlinear Dynamics.</w:t>
      </w:r>
    </w:p>
    <w:p>
      <w:pPr>
        <w:spacing w:after="120" w:line="276"/>
        <w:jc w:val="both"/>
      </w:pPr>
      <w:r>
        <w:rPr>
          <w:rFonts w:ascii="Times New Roman" w:cs="Times New Roman" w:eastAsia="Times New Roman" w:hAnsi="Times New Roman"/>
          <w:sz w:val="22"/>
          <w:szCs w:val="22"/>
        </w:rPr>
        <w:t xml:space="preserve">[4] Amari, S. (2016). Information Geometry and Its Applications. Springer.</w:t>
      </w:r>
    </w:p>
    <w:p>
      <w:pPr>
        <w:spacing w:after="120" w:line="276"/>
        <w:jc w:val="both"/>
      </w:pPr>
      <w:r>
        <w:rPr>
          <w:rFonts w:ascii="Times New Roman" w:cs="Times New Roman" w:eastAsia="Times New Roman" w:hAnsi="Times New Roman"/>
          <w:sz w:val="22"/>
          <w:szCs w:val="22"/>
        </w:rPr>
        <w:t xml:space="preserve">[5] Marsden, J. E. and Ratiu, T. S. (1999). Introduction to Mechanics and Symmetry. Springer.</w:t>
      </w:r>
    </w:p>
    <w:p>
      <w:pPr>
        <w:spacing w:after="120" w:line="276"/>
        <w:jc w:val="both"/>
      </w:pPr>
      <w:r>
        <w:rPr>
          <w:rFonts w:ascii="Times New Roman" w:cs="Times New Roman" w:eastAsia="Times New Roman" w:hAnsi="Times New Roman"/>
          <w:sz w:val="22"/>
          <w:szCs w:val="22"/>
        </w:rPr>
        <w:t xml:space="preserve">[6] Bredon, G. E. (1997). Sheaf Theory. Springer.</w:t>
      </w:r>
    </w:p>
    <w:p>
      <w:pPr>
        <w:spacing w:after="120" w:line="276"/>
        <w:jc w:val="both"/>
      </w:pPr>
      <w:r>
        <w:rPr>
          <w:rFonts w:ascii="Times New Roman" w:cs="Times New Roman" w:eastAsia="Times New Roman" w:hAnsi="Times New Roman"/>
          <w:sz w:val="22"/>
          <w:szCs w:val="22"/>
        </w:rPr>
        <w:t xml:space="preserve">[7] Awodey, S. (2010). Category Theory. Oxford University Press.</w:t>
      </w:r>
    </w:p>
    <w:p>
      <w:pPr>
        <w:spacing w:after="120" w:line="276"/>
        <w:jc w:val="both"/>
      </w:pPr>
      <w:r>
        <w:rPr>
          <w:rFonts w:ascii="Times New Roman" w:cs="Times New Roman" w:eastAsia="Times New Roman" w:hAnsi="Times New Roman"/>
          <w:sz w:val="22"/>
          <w:szCs w:val="22"/>
        </w:rPr>
        <w:t xml:space="preserve">[8] CIJ Labs (2026a). Deterministic Detection of LLM Behavioral Drift. CIJ Labs Technical Report.</w:t>
      </w:r>
    </w:p>
    <w:p>
      <w:pPr>
        <w:spacing w:after="120" w:line="276"/>
        <w:jc w:val="both"/>
      </w:pPr>
      <w:r>
        <w:rPr>
          <w:rFonts w:ascii="Times New Roman" w:cs="Times New Roman" w:eastAsia="Times New Roman" w:hAnsi="Times New Roman"/>
          <w:sz w:val="22"/>
          <w:szCs w:val="22"/>
        </w:rPr>
        <w:t xml:space="preserve">[9] CIJ Labs (2026c). Comparative Behavioral Stability of Frontier LLMs. CIJ Labs Technical Report.</w:t>
      </w:r>
    </w:p>
    <w:p>
      <w:pPr>
        <w:spacing w:after="120" w:line="276"/>
        <w:jc w:val="both"/>
      </w:pPr>
      <w:r>
        <w:rPr>
          <w:rFonts w:ascii="Times New Roman" w:cs="Times New Roman" w:eastAsia="Times New Roman" w:hAnsi="Times New Roman"/>
          <w:sz w:val="22"/>
          <w:szCs w:val="22"/>
        </w:rPr>
        <w:t xml:space="preserve">[10] Shannon, C. E. (1948). A Mathematical Theory of Communication. Bell System Technical Journal.</w:t>
      </w:r>
    </w:p>
    <w:p>
      <w:pPr>
        <w:spacing w:after="120" w:line="276"/>
        <w:jc w:val="both"/>
      </w:pPr>
      <w:r>
        <w:rPr>
          <w:rFonts w:ascii="Times New Roman" w:cs="Times New Roman" w:eastAsia="Times New Roman" w:hAnsi="Times New Roman"/>
          <w:sz w:val="22"/>
          <w:szCs w:val="22"/>
        </w:rPr>
        <w:t xml:space="preserve">[11] Szekely, G. J. and Rizzo, M. L. (2004). Testing for Equal Distributions. InterStat.</w:t>
      </w:r>
    </w:p>
    <w:p>
      <w:pPr>
        <w:spacing w:after="120" w:line="276"/>
        <w:jc w:val="both"/>
      </w:pPr>
      <w:r>
        <w:rPr>
          <w:rFonts w:ascii="Times New Roman" w:cs="Times New Roman" w:eastAsia="Times New Roman" w:hAnsi="Times New Roman"/>
          <w:sz w:val="22"/>
          <w:szCs w:val="22"/>
        </w:rPr>
        <w:t xml:space="preserve"/>
      </w:r>
    </w:p>
    <w:p>
      <w:pPr>
        <w:spacing w:after="120" w:line="276"/>
        <w:jc w:val="both"/>
      </w:pPr>
      <w:r>
        <w:rPr>
          <w:rFonts w:ascii="Times New Roman" w:cs="Times New Roman" w:eastAsia="Times New Roman" w:hAnsi="Times New Roman"/>
          <w:sz w:val="22"/>
          <w:szCs w:val="22"/>
        </w:rPr>
        <w:t xml:space="preserve">Patent: GB2521226.7. Correspondence: chris@cijlabs.com.</w:t>
      </w:r>
    </w:p>
    <w:sectPr>
      <w:footerReference w:type="default" r:id="rId6"/>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Times New Roman" w:cs="Times New Roman" w:eastAsia="Times New Roman" w:hAnsi="Times New Roman"/>
        <w:sz w:val="20"/>
        <w:szCs w:val="20"/>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Heading1">
    <w:name w:val="Heading 1"/>
    <w:basedOn w:val="Normal"/>
    <w:next w:val="Normal"/>
    <w:qFormat/>
    <w:pPr>
      <w:spacing w:before="360" w:after="120"/>
      <w:outlineLvl w:val="0"/>
    </w:pPr>
    <w:rPr>
      <w:rFonts w:ascii="Times New Roman" w:cs="Times New Roman" w:eastAsia="Times New Roman" w:hAnsi="Times New Roman"/>
      <w:b/>
      <w:bCs/>
      <w:sz w:val="28"/>
      <w:szCs w:val="28"/>
    </w:rPr>
  </w:style>
  <w:style w:type="paragraph" w:styleId="Heading2">
    <w:name w:val="Heading 2"/>
    <w:basedOn w:val="Normal"/>
    <w:next w:val="Normal"/>
    <w:qFormat/>
    <w:pPr>
      <w:spacing w:before="240" w:after="120"/>
      <w:outlineLvl w:val="1"/>
    </w:pPr>
    <w:rPr>
      <w:rFonts w:ascii="Times New Roman" w:cs="Times New Roman" w:eastAsia="Times New Roman" w:hAnsi="Times New Roman"/>
      <w:b/>
      <w:bCs/>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oter" Target="footer1.xml"/><Relationship Id="rId7" Type="http://schemas.openxmlformats.org/officeDocument/2006/relationships/fontTable" Target="fontTable.xml"/></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2026-03-04T06:39:44.006Z</dcterms:created>
  <dcterms:modified xsi:type="dcterms:W3CDTF">2026-03-04T06:39:44.007Z</dcterms:modified>
</cp:coreProperties>
</file>

<file path=docProps/custom.xml><?xml version="1.0" encoding="utf-8"?>
<Properties xmlns="http://schemas.openxmlformats.org/officeDocument/2006/custom-properties" xmlns:vt="http://schemas.openxmlformats.org/officeDocument/2006/docPropsVTypes"/>
</file>