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FC3FB" w14:textId="7CE166C3" w:rsidR="00D37CD1" w:rsidRPr="00646DE1" w:rsidRDefault="00D37CD1" w:rsidP="006F5084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Ciência Cidadã em contexto escolar: uma via para a democratização do acesso à ciência</w:t>
      </w:r>
    </w:p>
    <w:p w14:paraId="2FA4DDBA" w14:textId="77777777" w:rsidR="00D37CD1" w:rsidRPr="00646DE1" w:rsidRDefault="00D37CD1" w:rsidP="0033166C">
      <w:pPr>
        <w:spacing w:after="0" w:line="240" w:lineRule="auto"/>
        <w:outlineLvl w:val="4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1F374DCC" w14:textId="49D7ECD6" w:rsidR="00F63595" w:rsidRPr="00646DE1" w:rsidRDefault="00F63595" w:rsidP="0033166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Ilídio André Costa</w:t>
      </w:r>
      <w:r w:rsidRPr="00646DE1">
        <w:rPr>
          <w:rFonts w:ascii="Times New Roman" w:eastAsia="Times New Roman" w:hAnsi="Times New Roman" w:cs="Times New Roman"/>
          <w:kern w:val="0"/>
          <w:vertAlign w:val="superscript"/>
          <w:lang w:eastAsia="pt-PT"/>
          <w14:ligatures w14:val="none"/>
        </w:rPr>
        <w:t>1</w:t>
      </w:r>
      <w:r w:rsidR="004205F6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Carla Morais</w:t>
      </w:r>
      <w:r w:rsidRPr="00646DE1">
        <w:rPr>
          <w:rFonts w:ascii="Times New Roman" w:eastAsia="Times New Roman" w:hAnsi="Times New Roman" w:cs="Times New Roman"/>
          <w:kern w:val="0"/>
          <w:vertAlign w:val="superscript"/>
          <w:lang w:eastAsia="pt-PT"/>
          <w14:ligatures w14:val="none"/>
        </w:rPr>
        <w:t>2</w:t>
      </w:r>
      <w:r w:rsidR="00800D68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Mário João Monteiro</w:t>
      </w:r>
      <w:r w:rsidR="00800D68" w:rsidRPr="00646DE1">
        <w:rPr>
          <w:rFonts w:ascii="Times New Roman" w:eastAsia="Times New Roman" w:hAnsi="Times New Roman" w:cs="Times New Roman"/>
          <w:kern w:val="0"/>
          <w:vertAlign w:val="superscript"/>
          <w:lang w:eastAsia="pt-PT"/>
          <w14:ligatures w14:val="none"/>
        </w:rPr>
        <w:t>3</w:t>
      </w:r>
    </w:p>
    <w:p w14:paraId="27B044F5" w14:textId="427EFBD2" w:rsidR="00F63595" w:rsidRPr="00646DE1" w:rsidRDefault="00F63595" w:rsidP="0033166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vertAlign w:val="superscript"/>
          <w:lang w:eastAsia="pt-PT"/>
          <w14:ligatures w14:val="none"/>
        </w:rPr>
        <w:t>1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Agrupamento de Escolas de Santa Bárbara / Planetário do Porto - Centro Ciência Viva / Instituto de Astrofísica e Ciências do Espaço - Universidade do Porto</w:t>
      </w:r>
      <w:r w:rsidR="00A25E87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/ Centro de Investigação em Química da Universidade do Porto</w:t>
      </w:r>
      <w:r w:rsidR="006F508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/ Unidade de Ensino das Ciências / Faculdade de Ciências da Universidade do Porto</w:t>
      </w:r>
      <w:r w:rsidR="00004E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Portugal, ilidioandrecosta@astro.up.pt</w:t>
      </w:r>
      <w:r w:rsidR="00FB3FCD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https://orcid.org/0000-0001-7340-7440</w:t>
      </w:r>
    </w:p>
    <w:p w14:paraId="5A1156B9" w14:textId="77777777" w:rsidR="00A25E87" w:rsidRPr="00646DE1" w:rsidRDefault="00A25E87" w:rsidP="0033166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3052272C" w14:textId="4D59A754" w:rsidR="00F63595" w:rsidRPr="00646DE1" w:rsidRDefault="00F63595" w:rsidP="0033166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vertAlign w:val="superscript"/>
          <w:lang w:eastAsia="pt-PT"/>
          <w14:ligatures w14:val="none"/>
        </w:rPr>
        <w:t>2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Centro de Investigação em Química da Universidade do Porto / Unidade de Ensino das Ciências/ Faculdade de Ciências da Universidade do Porto</w:t>
      </w:r>
      <w:r w:rsidR="00004E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Portugal, cmorais@fc.up.pt</w:t>
      </w:r>
      <w:r w:rsidR="00FB3FCD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https://orcid.org/0000-0002-2136-0019</w:t>
      </w:r>
    </w:p>
    <w:p w14:paraId="270A1369" w14:textId="77777777" w:rsidR="00800D68" w:rsidRPr="00646DE1" w:rsidRDefault="00800D68" w:rsidP="0033166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0D4B5631" w14:textId="617BD53C" w:rsidR="00800D68" w:rsidRPr="00646DE1" w:rsidRDefault="00800D68" w:rsidP="0033166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vertAlign w:val="superscript"/>
          <w:lang w:eastAsia="pt-PT"/>
          <w14:ligatures w14:val="none"/>
        </w:rPr>
        <w:t>3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Instituto de Astrofísica e Ciências do Espaço - Universidade do Porto / Departamento de Física e Astronomia - Faculdade de Ciências da Universidade do Porto</w:t>
      </w:r>
      <w:r w:rsidR="00004E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Portugal, Mario.Monteiro@astro.up.pt</w:t>
      </w:r>
      <w:r w:rsidR="00FB3FCD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https://orcid.org/0000-0003-0513-8116</w:t>
      </w:r>
    </w:p>
    <w:p w14:paraId="60B4A5D9" w14:textId="77777777" w:rsidR="00800D68" w:rsidRPr="00646DE1" w:rsidRDefault="00800D68" w:rsidP="0033166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10563031" w14:textId="0654A6A4" w:rsidR="001A5AC6" w:rsidRPr="00646DE1" w:rsidRDefault="001A5AC6" w:rsidP="0033166C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 xml:space="preserve">Palavras-chave: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Ciência cidadã, escola, ensino e divulgação das ciências, democratização da ciência</w:t>
      </w:r>
    </w:p>
    <w:p w14:paraId="03328F62" w14:textId="77777777" w:rsidR="001A5AC6" w:rsidRPr="00646DE1" w:rsidRDefault="001A5AC6" w:rsidP="0033166C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</w:p>
    <w:p w14:paraId="633D6FA4" w14:textId="77777777" w:rsidR="00E600D1" w:rsidRPr="00646DE1" w:rsidRDefault="00E600D1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1. O contexto</w:t>
      </w:r>
    </w:p>
    <w:p w14:paraId="6553D85B" w14:textId="6DA91760" w:rsidR="00F37C81" w:rsidRPr="00646DE1" w:rsidRDefault="00F37C81" w:rsidP="00F37C8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Embora nem toda a investigação tenha como propósito principal a comunicação com um público não especializado — definido por Burns, O'Connor e Stocklmayer (2003) como público leigo —, a sua relevância social deveria constituir um dos critérios fundamentais na decisão sobre a sua divulgação junto destas audiências. Para este público, tanto a compreensão dos resultados como a dos processos que os originaram representam desafios significativos. Contudo, essa compreensão torna-se particularmente pertinente no atual contexto sociotecnológico. Na verdade, a crescente influência da ciência e da tecnologia nas decisões quotidianas, aliada à proliferação de desinformação, pseudociência, práticas</w:t>
      </w:r>
      <w:r w:rsidR="00E133C9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ditas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científicas</w:t>
      </w:r>
      <w:r w:rsidR="00E133C9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mas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inadequadas e elevada taxa de obsolescência do conhecimento científico </w:t>
      </w:r>
      <w:r w:rsidR="00E659B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(Hanson et al, 2024)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exige uma abordagem mais abrangente ao conceito de literacia científica. Nes</w:t>
      </w:r>
      <w:r w:rsidR="00CD1FAC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 sentido, não basta ao cidadão conhecer os resultados da investigação: é imperativo que compreenda os processos que os sustentam</w:t>
      </w:r>
      <w:r w:rsidR="00E133C9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se se predisponha para a ação cientificamente informada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</w:t>
      </w:r>
    </w:p>
    <w:p w14:paraId="5C9FFBDD" w14:textId="32C9C13D" w:rsidR="00F37C81" w:rsidRPr="00646DE1" w:rsidRDefault="00F37C81" w:rsidP="00F37C8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Foi </w:t>
      </w:r>
      <w:r w:rsidR="00D843B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com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este enquadramento que </w:t>
      </w:r>
      <w:r w:rsidR="00D843B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emergiu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 “CoAstro: um Condomínio de @stronomia”</w:t>
      </w:r>
      <w:r w:rsidR="00D843B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 Nele propunha-se</w:t>
      </w:r>
      <w:r w:rsidR="00CD1FAC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estruturar, implementar e avaliar um mecanismo</w:t>
      </w:r>
      <w:r w:rsidR="00EA331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que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promovesse o fluxo bidirecional de conhecimento — 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substantivo, mas, também, processual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— entre a investigação e a sociedade. 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Precisamente pelos objetivos a que se</w:t>
      </w:r>
      <w:r w:rsidR="000925E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propôs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tornou-se natural que ele se assumisse como um projeto de ciência cidadã – </w:t>
      </w:r>
      <w:r w:rsidR="00E659B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 envolvimento direto de não especialistas nos processos científicos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–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sustentado pelo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envolvimento de estruturas 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de comunicação de ciência,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existentes 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em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unidades de investigação, </w:t>
      </w:r>
      <w:r w:rsidR="0085514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 pela participação de investigadores e comunicadores de ciência</w:t>
      </w:r>
      <w:r w:rsidR="00EA331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bem como na participação ativa de cidadãos não especialistas.</w:t>
      </w:r>
    </w:p>
    <w:p w14:paraId="4DF7FA91" w14:textId="6EE1F9F1" w:rsidR="00F37C81" w:rsidRPr="00646DE1" w:rsidRDefault="00F37C81" w:rsidP="00F37C8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 avaliação do projeto CoAstro deu origem a diversas publicações científicas (e.g., Costa</w:t>
      </w:r>
      <w:r w:rsidR="008D6D8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et al.,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2022; Costa</w:t>
      </w:r>
      <w:r w:rsidR="008D6D8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et al.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2021</w:t>
      </w:r>
      <w:r w:rsidR="0098671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), que, no contexto nacional, corroboram evidências anteriores sobre os efeitos transformadores da articulação entre ensino e divulgação </w:t>
      </w:r>
      <w:r w:rsidR="00EA331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das ciências,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através da escola. O denominado “efeito-escola” e o “efeito-professor”</w:t>
      </w:r>
      <w:r w:rsidR="00E659B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(Costa et al., 2022)</w:t>
      </w:r>
      <w:r w:rsidR="00D843B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–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enquanto mecanismo 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des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multiplicador de influência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s</w:t>
      </w:r>
      <w:r w:rsidR="00D843B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–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manifesta-se não apenas nos alunos, mas também nas suas famílias e na comunidade escolar</w:t>
      </w:r>
      <w:r w:rsidR="003670A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alargada. A magnitude deste impacto revela-se suficiente para alcançar comunidades tradicionalmente afastadas do envolvimento espontâneo com a ciência, não por escolha, mas por limitações estruturais no acesso democrático ao conhecimento científico.</w:t>
      </w:r>
    </w:p>
    <w:p w14:paraId="27A0B146" w14:textId="29EF92D9" w:rsidR="00D37CD1" w:rsidRPr="00646DE1" w:rsidRDefault="003670A6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Assim, no CoAstro a</w:t>
      </w:r>
      <w:r w:rsidR="00EC5E8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articulação entre a ciência cidadã e as escolas permite o envolvimento de professores, alunos e comunidades em atividades científicas </w:t>
      </w:r>
      <w:r w:rsidR="00B8793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desenvolvidas em contextos autênticos</w:t>
      </w:r>
      <w:r w:rsidR="00EC5E8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. Este processo </w:t>
      </w:r>
      <w:r w:rsidR="006C1731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tem o potencial de </w:t>
      </w:r>
      <w:r w:rsidR="00EC5E8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contribui</w:t>
      </w:r>
      <w:r w:rsidR="006C1731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r</w:t>
      </w:r>
      <w:r w:rsidR="00EC5E8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para o desenvolvimento de competências científicas e aproxima o conhecimento dos cidadãos. As escolas assumem, assim, um papel central no acesso equitativo à ciência.</w:t>
      </w:r>
    </w:p>
    <w:p w14:paraId="7737E91B" w14:textId="77777777" w:rsidR="00E659BA" w:rsidRPr="00646DE1" w:rsidRDefault="00E659BA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7F844E5D" w14:textId="2E1C21BF" w:rsidR="00E659BA" w:rsidRPr="00646DE1" w:rsidRDefault="00E659BA" w:rsidP="00E659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2. O modelo de implementação do CoAstro</w:t>
      </w:r>
    </w:p>
    <w:p w14:paraId="306A77D7" w14:textId="12E65551" w:rsidR="00E659BA" w:rsidRPr="00646DE1" w:rsidRDefault="00E659BA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Como projeto de ciência cidadã</w:t>
      </w:r>
      <w:r w:rsidR="00D0512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que, portanto, envolve não especialistas na criação de novo conhecimento</w:t>
      </w:r>
      <w:r w:rsidR="0086229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em Astronomia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o CoAstro tem, pois, objetivos científicos, mas atua também como um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lastRenderedPageBreak/>
        <w:t xml:space="preserve">mecanismo de ciência aberta, uma estratégia educativa, </w:t>
      </w:r>
      <w:r w:rsidR="0086229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alinhado com o paradigma do envolvimento do público com a ciência e a tecnologia (do inglês: </w:t>
      </w:r>
      <w:r w:rsidR="00862294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public engagement with science and technology</w:t>
      </w:r>
      <w:r w:rsidR="0086229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– PEST)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 uma ferramenta de comunicação </w:t>
      </w:r>
      <w:r w:rsidR="00D0512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de ciência.</w:t>
      </w:r>
    </w:p>
    <w:p w14:paraId="7419F367" w14:textId="5A5D1C97" w:rsidR="00D05124" w:rsidRPr="00646DE1" w:rsidRDefault="00D05124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Na verdade, o potencial educativo da ciência cidadã é reconhecido internacionalmente, como </w:t>
      </w:r>
      <w:r w:rsidR="004F536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n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 Declaração de Incheon da UNESCO para a Educação 2030 (2015), que sublinha a importância de uma educação inclusiva e equitativa. Cada vez mais, a ciência cidadã assume-se como uma estratégia que aproxima os cidadãos da investigação científica e, simultaneamente, enriquece os processos educativos. </w:t>
      </w:r>
    </w:p>
    <w:p w14:paraId="261DD4C6" w14:textId="2569EAC8" w:rsidR="00871DD2" w:rsidRPr="00646DE1" w:rsidRDefault="00871DD2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Assim, o</w:t>
      </w:r>
      <w:r w:rsidR="00C46F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="004F536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CoAstro</w:t>
      </w:r>
      <w:r w:rsidR="00C46F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é um exemplo paradigmático desta articulação entre ciência cidadã e educação. Desde 2018, tem promovido a colaboração entre investigadores, professores e comunidades escolares, com o objetivo de tornar a ciência mais acessível, participativa e significativa.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Esse condomínio agrega, pois, astrónomos do Instituto de Astrofísica e Ciências do Espaço (IA</w:t>
      </w:r>
      <w:r w:rsidR="00597B1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Portugal), professores do 1º ciclo e comunicadores de ciência do Planetário do Porto – Centro Ciência Viva. Todos com um objetivo comum: levar conhecimentos e processos científicos a audiências que tipicamente não se envolvem espontaneamente com a astronomia. </w:t>
      </w:r>
    </w:p>
    <w:p w14:paraId="12E2E215" w14:textId="703BCF8B" w:rsidR="00C46F7B" w:rsidRPr="00646DE1" w:rsidRDefault="00871DD2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Em cada ano letivo, o </w:t>
      </w:r>
      <w:r w:rsidR="00C46F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modelo de intervenção do CoAstro organiza-se em duas fases complementares. A primeira, denominada “ComCiência”, envolve a integração de professores em equipas de investigação </w:t>
      </w:r>
      <w:r w:rsidR="00635371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do IA</w:t>
      </w:r>
      <w:r w:rsidR="00C46F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permitindo-lhes </w:t>
      </w:r>
      <w:r w:rsidR="00597B1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um contacto direto</w:t>
      </w:r>
      <w:r w:rsidR="00C46F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com a prática científica. Esta imersão contribui para o enriquecimento profissional dos docentes e para a criação de pontes entre o conhecimento científico e a prática pedagógica. A segunda fase, “Con(s)ciência”, é dedicada à dinamização de atividades educativas e de divulgação científica, concebidas pelos próprios professores em colaboração com</w:t>
      </w:r>
      <w:r w:rsidR="00597B1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os</w:t>
      </w:r>
      <w:r w:rsidR="00C46F7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astrónomos e comunicadores de ciência. Estas atividades incluem formação contínua de docentes, sessões de planetário, oficinas temáticas, observações astronómicas e festivais de ciência, envolvendo toda a comunidade educativa.</w:t>
      </w:r>
    </w:p>
    <w:p w14:paraId="35CF7086" w14:textId="523AFC91" w:rsidR="00635371" w:rsidRPr="00646DE1" w:rsidRDefault="00635371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Em conjunto, estas </w:t>
      </w:r>
      <w:r w:rsidR="00597B1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duas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grandes etapas do CoAstro garantem que a investigação científica se articula diretamente com a prática educativa e com a comunidade escolar. O “ComCiência”, </w:t>
      </w:r>
      <w:r w:rsidR="000250DD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que em cada ano letivo poderá decorrer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entre janeiro e julho, foi estruturada em torno de dois projetos orientados para objetivos científicos específicos definidos pelos astrónomos: o “projeto estrelas” e o “projeto planetas”. No projeto Estrelas, os professores iniciaram o trabalho com a análise de espectros estelares padrão, aprendendo a interpretar a luz das estrelas para dela extrair parâmetros fundamentais. Com base nos dados observacionais mais recentes, calcularam luminosidades estelares e realizaram classificações estelares, cujos resultados foram posteriormente validados por astrónomos. No projeto Planetas, os professores receberam formação introdutória sobre a linguagem de programação </w:t>
      </w:r>
      <w:r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Python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aplicaram os conhecimentos adquiridos na criação de um vídeo sobre um trânsito de Mercúrio (em frente ao Sol). Esta formação permitiu-lhes analisar dados fotométricos de missões como o </w:t>
      </w:r>
      <w:r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Transiting Exoplanet Survey Satellite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(TESS), da NASA, identificando potenciais exoplanetas (planetas fora do Sistema Solar). As descobertas foram validadas e comunicadas através da plataforma de ciência cidadã </w:t>
      </w:r>
      <w:r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Planet Hunters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coordenada por astrónomos da Universidade de Oxford</w:t>
      </w:r>
      <w:r w:rsidR="00F25B5E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(Cardamone et al, 2009)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</w:t>
      </w:r>
    </w:p>
    <w:p w14:paraId="4C9F7DC1" w14:textId="6793099F" w:rsidR="00635371" w:rsidRPr="00646DE1" w:rsidRDefault="00635371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 segunda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etapa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do CoAstro – o “Con(s)ciência” – é centrada na educação e comunicação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de ciência. Tem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início</w:t>
      </w:r>
      <w:r w:rsidR="00275F1C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em cada ano letivo,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em fevereiro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visa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o envolvimento direto das escolas. Nesta etapa, astrónomos, comunicadores de ciência e professores colaboram na conceção e implementação de atividades de divulgação em astronomia, adaptadas às necessidades das respetivas comunidades escolares.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Esta etapa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inicia-se com 25 horas de formação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contínua docente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dinamizadas por um dos professores e comunicador de ciência do CoAstro (designado de mediador do CoAstro)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um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outro elemento do Planetário do Porto. Esta formação baseia-se na exploração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 kit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educativo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d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European Space Education Resource Office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(ESERO) (ESERO-Portugal, 2018).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Os seus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recursos oferecem ferramentas flexíveis para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utilizar a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astronomia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como ciência portal para o ensino de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diferentes 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áreas curriculares disciplinares (Português, Matemática, Estudo do Meio, Expressões Artísticas</w:t>
      </w:r>
      <w:r w:rsidR="009662D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…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 Esta formação, aliada à experiência adquirida na fase de investigação</w:t>
      </w:r>
      <w:r w:rsidR="002E013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“ComCiência”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capacita os docentes para desenvolver</w:t>
      </w:r>
      <w:r w:rsidR="009662D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em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iniciativas inovadoras que levam a astronomia às salas de aula e </w:t>
      </w:r>
      <w:r w:rsidR="009662D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às oportunidades não formais de ensino, dirigidas a toda a comunidade educativa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</w:t>
      </w:r>
    </w:p>
    <w:p w14:paraId="1DA831E0" w14:textId="0380ED35" w:rsidR="00635371" w:rsidRPr="00646DE1" w:rsidRDefault="00635371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Ao longo de todo o processo, os astrónomos e comunicadores de ciência prestam apoio científico e logístico, enquanto o mediador assegura a coordenação e coerência das atividades.</w:t>
      </w:r>
    </w:p>
    <w:p w14:paraId="6DE5017A" w14:textId="68FBEF98" w:rsidR="00635371" w:rsidRPr="00646DE1" w:rsidRDefault="00635371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Ao articular a participação em investigação com ações educativas adaptadas, o CoAstro </w:t>
      </w:r>
      <w:r w:rsidR="0075401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cria condições para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que os benefícios da ciência cidadã se </w:t>
      </w:r>
      <w:r w:rsidR="0075401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possam estender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para além dos professores envolvidos,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lastRenderedPageBreak/>
        <w:t>alcançando toda a comunidade escolar. Promove-se, assim, a literacia científica, o entusiasmo pela astronomia e uma ligação mais forte entre as escolas e o universo científico (Costa et al., 2021</w:t>
      </w:r>
      <w:r w:rsidR="0098671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b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).</w:t>
      </w:r>
    </w:p>
    <w:p w14:paraId="76F2A8B4" w14:textId="77777777" w:rsidR="001036E6" w:rsidRPr="00646DE1" w:rsidRDefault="001036E6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26DC00ED" w14:textId="39B1A380" w:rsidR="0076744E" w:rsidRPr="00646DE1" w:rsidRDefault="0076744E" w:rsidP="007674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3. Resultados iniciais do CoAstro</w:t>
      </w:r>
    </w:p>
    <w:p w14:paraId="4266FC81" w14:textId="7C9071C2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Entre janeiro e julho de 2019, o CoAstro foi avaliado através de um estudo de caso. A recolha de dados foi realizada por meio de entrevistas, observações e grupos focais, permitindo uma triangulação metodológica que alargou o alcance da análise e contribuiu para mitigar os riscos de subjetividade típicos da investigação qualitativa (Costa et al., 2020a; Costa et al., 2020b; Costa</w:t>
      </w:r>
      <w:r w:rsidR="0098671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et al.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2021</w:t>
      </w:r>
      <w:r w:rsidR="0098671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b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).</w:t>
      </w:r>
    </w:p>
    <w:p w14:paraId="42C8834E" w14:textId="6F9BC831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Assim, já em 2019 se verificava que o CoAstro apresentava resultados científicos, mas, tão ou mais importante, contribuía efetivamente para a comunicação e educação científicas.</w:t>
      </w:r>
    </w:p>
    <w:p w14:paraId="4C29B252" w14:textId="5FF2DFCF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Na componente científica, os resultados demonstraram a relevância do envolvimento dos professores na investigação. Os participantes contribuíram para a determinação da composição química e da luminosidade de mais de 57.000 estrelas e estiveram potencialmente envolvidos na validação da descoberta e caracterização de um planeta através do projeto </w:t>
      </w:r>
      <w:r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Planet Hunters TESS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. Esta última contribuição culminou na publicação dos resultados na revista </w:t>
      </w:r>
      <w:r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Monthly Notices of the Royal Astronomical Society</w:t>
      </w:r>
      <w:r w:rsidR="00F25B5E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(Cardamone et al, 2009)</w:t>
      </w:r>
      <w:r w:rsidR="00E73C4C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</w:t>
      </w:r>
    </w:p>
    <w:p w14:paraId="03F1ACEB" w14:textId="6847835E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Contudo, a avaliação do projeto demonstrou que o CoAstro </w:t>
      </w:r>
      <w:r w:rsidR="009662D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aliou aos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objetivos científicos</w:t>
      </w:r>
      <w:r w:rsidR="009662D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uma modelo de trabalho que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funcion</w:t>
      </w:r>
      <w:r w:rsidR="009662D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ou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como uma plataforma para a construção de relações colaborativas que sustentaram tanto a divulgação como a educação em astronomia. Professores, astrónomos e comunicadores de ciência trabalharam em conjunto num processo coordenado, e todos os participantes reconheceram que os resultados obtidos não teriam sido possíveis sem o contributo conjunto dos três grupos. Os comunicadores de ciência, em particular, destacaram o reconhecimento e valorização do seu conhecimento técnico por parte do projeto, sublinhando também o empenho dos professores do ensino básico, cuja predisposição para se envolverem com a astronomia e influência precoce sobre os alunos foram considerados cruciais para a alteração das suas atitudes em relação à astronomia e à forma como esta ciência se constrói.</w:t>
      </w:r>
    </w:p>
    <w:p w14:paraId="698374DB" w14:textId="6302E204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Um dos resultados centrais foi o reconhecimento unânime do papel do mediador. Este revelou-se fundamental para o cumprimento de prazos, na síntese dos resultados do projeto e na produção de guias de tarefas que traduziam os materiais dos astrónomos, em recursos acessíveis para os professores. </w:t>
      </w:r>
    </w:p>
    <w:p w14:paraId="7326EC51" w14:textId="3840CC53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Os participantes valorizaram ainda o reforço das relações institucionais entre o Instituto de Astrofísica e Ciências do Espaço (IA), o Planetário do Porto – Centro Ciência Viva (PP-CCV) e a comunidade em geral. </w:t>
      </w:r>
      <w:r w:rsidR="0072399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ambiente colaborativo criado pelo CoAstro reforçou a confiança dos professores no seu trabalho e a sua confiança para participarem nos processos de tomada de decisão, não se limitando a seguirem orientações impostas por outros. </w:t>
      </w:r>
    </w:p>
    <w:p w14:paraId="3744DBCF" w14:textId="412F5E17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Outro resultado relevante foi o aprofundamento da compreensão, por parte dos participantes, dos objetivos e da importância da comunicação de ciência. Astrónomos e comunicadores de ciência relataram o desenvolvimento de novas competências. Para os astrónomos, o projeto também transformou a perceção sobre o papel dos professores e comunicadores, reconhecendo-os como co-criadores e não apenas como </w:t>
      </w:r>
      <w:r w:rsidR="003472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agentes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passivos</w:t>
      </w:r>
      <w:r w:rsidR="003472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no processo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 Embora os comunicadores de ciência não tenham reportado uma mudança semelhante, todos os</w:t>
      </w:r>
      <w:r w:rsidR="00E73C4C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outros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grupos reconheceram que as suas funções se expandiram significativamente para além das expectativas convencionais.</w:t>
      </w:r>
    </w:p>
    <w:p w14:paraId="67B15BC1" w14:textId="53EBCD3F" w:rsidR="007E167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De forma mais abrangente, o CoAstro demonstrou que a ciência cidadã pode estabelecer ligações entre as escolas e fontes fiáveis e atualizadas de conhecimento científico. </w:t>
      </w:r>
    </w:p>
    <w:p w14:paraId="6220FECE" w14:textId="72D97769" w:rsidR="0076744E" w:rsidRPr="00646DE1" w:rsidRDefault="007E167E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 dinâmica colaborativa do projeto promoveu um envolvimento genuinamente bidirecional: entre escolas e famílias, entre investigação em astronomia e educação, e entre a ciência e o público em geral. Ao fazê-lo, o CoAstro reduziu a distância entre a investigação científica e a sociedade, integrando os resultados científicos em práticas pedagógicas </w:t>
      </w:r>
      <w:r w:rsidR="003472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desenhadas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pelos </w:t>
      </w:r>
      <w:r w:rsidR="003472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professores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 Importa sublinhar que a natureza sustentada destas interações sugere que o seu impacto poderá ser mais duradouro do que o das iniciativas convencionais de divulgação em astronomia, com potencial para alcançar públicos que habitualmente se encontram afastados do discurso científico.</w:t>
      </w:r>
    </w:p>
    <w:p w14:paraId="49FE9EED" w14:textId="77777777" w:rsidR="005A7C3A" w:rsidRPr="00646DE1" w:rsidRDefault="005A7C3A" w:rsidP="007E167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467795DF" w14:textId="77777777" w:rsidR="0076744E" w:rsidRPr="00646DE1" w:rsidRDefault="0076744E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15B70F73" w14:textId="2DB32471" w:rsidR="005A7C3A" w:rsidRPr="00646DE1" w:rsidRDefault="005A7C3A" w:rsidP="005A7C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 xml:space="preserve">3. Mapeamento </w:t>
      </w:r>
      <w:r w:rsidR="00785818"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 xml:space="preserve">nacional </w:t>
      </w: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de envolvimento público com a ciência</w:t>
      </w:r>
    </w:p>
    <w:p w14:paraId="7A42C714" w14:textId="37481B40" w:rsidR="00785818" w:rsidRPr="00646DE1" w:rsidRDefault="005A7C3A" w:rsidP="00440F0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Após esta avaliação inicial do CoAstro, o caminho futuro do projeto teria, forçosamente de </w:t>
      </w:r>
      <w:r w:rsidR="0072399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incluir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comunidades que tipicamente não se envolvem espontaneamente com a astronomia. 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Tal, não decorrente 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lastRenderedPageBreak/>
        <w:t>de uma falta de interesse por parte das populações, mas sim de desigualdades no acesso à ciência – falhas na democratização do acesso à ciência. Assim, determinar quais seriam essas comunidades, foi o objetivo seguinte do projeto. Para tal, em 2024, foi realizado um mapeamento nacional que identificou os municípios do continente português com menor acesso a iniciativas científicas</w:t>
      </w:r>
      <w:r w:rsidR="00785818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(Costa</w:t>
      </w:r>
      <w:r w:rsidR="0098671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et al.</w:t>
      </w:r>
      <w:r w:rsidR="00785818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</w:t>
      </w:r>
      <w:r w:rsidR="0098671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2024</w:t>
      </w:r>
      <w:r w:rsidR="00785818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. </w:t>
      </w:r>
    </w:p>
    <w:p w14:paraId="253C5C59" w14:textId="7E2BD568" w:rsidR="00071504" w:rsidRPr="00646DE1" w:rsidRDefault="00071504" w:rsidP="00BC28D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Nesse mapeamento procurou-se identificar os Agrupamentos de Escolas e Escolas não Agrupadas do sistema público de ensino em Portugal Continental com menor grau de envolvimento com a ciência, nomeadamente com a astronomia. </w:t>
      </w:r>
    </w:p>
    <w:p w14:paraId="107B7973" w14:textId="77777777" w:rsidR="00785818" w:rsidRPr="00646DE1" w:rsidRDefault="00785818" w:rsidP="00440F0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3AB87269" w14:textId="189A0FD7" w:rsidR="00440F06" w:rsidRPr="00646DE1" w:rsidRDefault="009A1BF4" w:rsidP="00440F0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O mapeamento assim gerado permitiu ao 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CoAstro pass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ar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a direcionar a sua intervenção para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os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territórios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identificados e, assim,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testar e validar o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seu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modelo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de intervenção</w:t>
      </w:r>
      <w:r w:rsidR="00440F06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em contextos de maior vulnerabilidade científica.</w:t>
      </w:r>
    </w:p>
    <w:p w14:paraId="6A3E14BB" w14:textId="5109F69E" w:rsidR="00440F06" w:rsidRPr="00646DE1" w:rsidRDefault="00440F06" w:rsidP="005A7C3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4683A4D5" w14:textId="0F9497BE" w:rsidR="00262103" w:rsidRPr="00646DE1" w:rsidRDefault="00262103" w:rsidP="002621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bookmarkStart w:id="0" w:name="_Hlk212626416"/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4. O “Con(s)ciência” nos municípios mapeados</w:t>
      </w:r>
    </w:p>
    <w:bookmarkEnd w:id="0"/>
    <w:p w14:paraId="3A174121" w14:textId="0713EC79" w:rsidR="00440F06" w:rsidRPr="00646DE1" w:rsidRDefault="00262103" w:rsidP="005A7C3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No final de 2024, o CoAstro estava preparado para implementar </w:t>
      </w:r>
      <w:r w:rsidR="00695D9D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 “Con(s)ciência”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nos dois primeiros municípios mapeados: Boticas e Ribeira de Pena.</w:t>
      </w:r>
    </w:p>
    <w:p w14:paraId="0B8E874E" w14:textId="24F21795" w:rsidR="00262103" w:rsidRPr="00646DE1" w:rsidRDefault="00262103" w:rsidP="005A7C3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Numa fase preparatória</w:t>
      </w:r>
      <w:r w:rsidR="00D8176D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da intervenção, contactaram-se as Câmaras Municipais</w:t>
      </w:r>
      <w:r w:rsidR="00236A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(organismos com competências diretas sobre os primeiros anos da escolaridade obrigatória)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os Agrupamentos de Escolas e o Centro de Formação de Associação de Escolas. A esta última entidade cabe disponibilizar formação contínua a professores e outros profissionais da educação, promovendo o desenvolvimento profissional e a melhoria da qualidade do ensino em escolas associadas (tipicamente esta estrutura abarca</w:t>
      </w:r>
      <w:r w:rsidR="00236A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uma área de influência intermunicipal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</w:t>
      </w:r>
      <w:r w:rsidR="00236A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. 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Numa</w:t>
      </w:r>
      <w:r w:rsidR="00D749F8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primeira análise esses contactos possibilitaram verificar se os dados mapeados correspondiam à perceção dessas instituições, sobre o contexto do seu município. </w:t>
      </w:r>
      <w:r w:rsidR="00236A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Desses contactos resultou</w:t>
      </w:r>
      <w:r w:rsidR="00D749F8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também,</w:t>
      </w:r>
      <w:r w:rsidR="00236A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o co-desenho do modelo de intervenção do “Con(s)ciência” que, logo à partida e até por serem municípios mapeados pelo CoAstro, têm circunstâncias específicas que teriam de ser atendidas na projetada intervenção.</w:t>
      </w:r>
    </w:p>
    <w:p w14:paraId="421C3EE0" w14:textId="4775542D" w:rsidR="00262103" w:rsidRPr="00646DE1" w:rsidRDefault="00236AB5" w:rsidP="005A7C3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Ainda que com várias especificidades municipais</w:t>
      </w:r>
      <w:r w:rsidR="002621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poder-se-á dizer que, de forma genérica</w:t>
      </w:r>
      <w:r w:rsidR="002621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foram 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identificados</w:t>
      </w:r>
      <w:r w:rsidR="002621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três eixos de intervenção: i) alunos; ii) professores; iii) comunidade municipal. </w:t>
      </w:r>
    </w:p>
    <w:p w14:paraId="4DBF2624" w14:textId="74F173B8" w:rsidR="007926AF" w:rsidRPr="00646DE1" w:rsidRDefault="00262103" w:rsidP="00236AB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Atuando </w:t>
      </w:r>
      <w:r w:rsidR="00236A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num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continuum, o processo </w:t>
      </w:r>
      <w:r w:rsidR="00236A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visou, inicialmente os professores. Estes foram convidados para a realização da formação contínua do CoAstro (já acima detalhada), mas com condições logísticas especiais, de forma a motivar a participação de quem, tipicamente, não se envolve espontaneamente com a astronomia. </w:t>
      </w:r>
      <w:r w:rsidR="007926AF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É exemplo do que se acaba de dizer a inclusão, no processo formativo, de visitas guiadas a dois Centros Ciência Viva (Planetário do Porto &amp; Galeria da Biodiversidade) e a uma unidade de investigação (o Instituto de Astrofísica e Ciências do Espaço, em concreto, o seu polo do Porto – Centro de Astrofísica da Universidade do Porto).</w:t>
      </w:r>
    </w:p>
    <w:p w14:paraId="02A541A0" w14:textId="3F80F78F" w:rsidR="00262103" w:rsidRPr="00646DE1" w:rsidRDefault="00236AB5" w:rsidP="00236AB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Em paralelo</w:t>
      </w:r>
      <w:r w:rsidR="007926AF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com o decorrer das sessões formativas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os profissionais do Planetário do Porto – Centro Ciência Viva, realizaram atividades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nas escolas,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com os alunos: sessões de planetário portátil; oficinas pedagógicas; observações astronómicas; astronomia de carne e osso (encontro com astrónomos). O envolvimento dos professores e alunos, pretendia um exercício de influências mútuas que 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atuassem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de forma sinérgica. Por outro lado, seriam estes os intervenientes que motivariam a participação da restante comunidade municipal, nas atividades pensadas especificamente para 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esse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público-alvo. Assim, para todos e num momento terminal da intervenção do CoAstro, organizaram-se Feiras de Ciência / Noites de Ciência, abertas a todos os interessados.</w:t>
      </w:r>
    </w:p>
    <w:p w14:paraId="075269C8" w14:textId="5E944C18" w:rsidR="006407A5" w:rsidRPr="00646DE1" w:rsidRDefault="006407A5" w:rsidP="00236AB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 objetivo último deste novo desenho do CoAstro era, pois, o de colocar a ciência na escola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;</w:t>
      </w:r>
      <w:r w:rsidR="00803A4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criar um espaço de afinidade permanente com os docentes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;</w:t>
      </w:r>
      <w:r w:rsidR="00803A4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estabelecer dinâmicas locais de envolvimento com a ciência, pela demonstração de que, efetivamente, os munícipes tinham interesse e valorizavam iniciativas de envolvimento com a ciência. Tal, de uma forma que essas dinâmicas perdurassem para além da intervenção do CoAstro.</w:t>
      </w:r>
    </w:p>
    <w:p w14:paraId="65CEBB25" w14:textId="77777777" w:rsidR="00803A4B" w:rsidRPr="00646DE1" w:rsidRDefault="00803A4B" w:rsidP="00803A4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1584A4AD" w14:textId="3EDC86A8" w:rsidR="00803A4B" w:rsidRPr="00646DE1" w:rsidRDefault="00803A4B" w:rsidP="00803A4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</w:t>
      </w:r>
      <w:r w:rsidR="00331C2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análise da intervenção junto destes dois primeiros municípios revelou, contra a expectativa das próprias estruturas concelhias e escolas, a participação direta de mais de um milhar de pessoas (alunos, professores e restantes elementos da comunidade municipal). Assim, a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experiência demonstrou que, com os recursos certos e uma abordagem co</w:t>
      </w:r>
      <w:r w:rsidR="00F20A0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-desenhada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é possível transformar as escolas em centros de dinamização científica local. Através da ciência cidadã, os alunos tornam-se participantes ativos na construção do conhecimento, os professores assumem o papel de mediadores entre a ciência e a comunidade, e as famílias e instituições locais são envolvidas em processos de consciencialização 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lastRenderedPageBreak/>
        <w:t>científica. Esta dinâmica contribui não só para o reforço das competências científicas</w:t>
      </w:r>
      <w:r w:rsidR="00331C24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educacionais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mas também para o fortalecimento das relações institucionais dentro das comunidades.</w:t>
      </w:r>
    </w:p>
    <w:p w14:paraId="13BDDA8D" w14:textId="77777777" w:rsidR="001036E6" w:rsidRPr="00646DE1" w:rsidRDefault="001036E6" w:rsidP="0033166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1337E0AD" w14:textId="614A5CA2" w:rsidR="00331C24" w:rsidRPr="00646DE1" w:rsidRDefault="00331C24" w:rsidP="00331C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5. Conclusões e implicações futuras</w:t>
      </w:r>
    </w:p>
    <w:p w14:paraId="37691390" w14:textId="2F731A5F" w:rsidR="00514763" w:rsidRPr="00646DE1" w:rsidRDefault="00635371" w:rsidP="0079237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Os dados recolhidos ao longo do projeto deram origem a diversas publicações científicas</w:t>
      </w:r>
      <w:r w:rsidR="0079237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(1 capítulo de livro; 1 tese de doutoramento; 1 artigo em revista científica; 6 artigos em conferência; 7 resumos em conferencias; 1 póster científico</w:t>
      </w:r>
      <w:r w:rsidR="004825A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que reforçam a evidência sobre os benefícios da integração entre ensino e divulgação científica através da escola.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O projeto, até ao momento, para além da quase meia centena de presença nos media, foi finalista do </w:t>
      </w:r>
      <w:r w:rsidR="00514763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Science Breakthrough of the Year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, categoria de </w:t>
      </w:r>
      <w:r w:rsidR="00514763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Science Engagement</w:t>
      </w:r>
      <w:r w:rsidR="004825AB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</w:t>
      </w:r>
      <w:r w:rsidR="00514763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 xml:space="preserve"> 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em dois anos diferentes (2021 e 2023 –</w:t>
      </w:r>
      <w:r w:rsidR="00514763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– Falling Walls Foundation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). </w:t>
      </w:r>
      <w:r w:rsidR="00D1395F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F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oi</w:t>
      </w:r>
      <w:r w:rsidR="00D1395F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, ainda,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finalista nacional do </w:t>
      </w:r>
      <w:r w:rsidR="00514763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Science on Stage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2021 (categoria </w:t>
      </w:r>
      <w:r w:rsidR="00514763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Collaboration in STEM Education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</w:t>
      </w:r>
      <w:r w:rsidR="0079237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s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elecionado para o </w:t>
      </w:r>
      <w:r w:rsidR="00514763"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Festival Internacional de Ciência 22</w:t>
      </w:r>
      <w:r w:rsidR="0079237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 Encontra-se r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eferenciado em 4 base de dados nacionais / internacionais de </w:t>
      </w:r>
      <w:r w:rsidR="0079237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«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boas práticas</w:t>
      </w:r>
      <w:r w:rsidR="0079237A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», tendo sido objeto de várias comunicações convidadas.</w:t>
      </w:r>
    </w:p>
    <w:p w14:paraId="6A5B7552" w14:textId="4B35D55A" w:rsidR="00331C24" w:rsidRPr="00646DE1" w:rsidRDefault="0079237A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Todos es</w:t>
      </w:r>
      <w:r w:rsidR="00635371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tes resultados confirmam que a ciência cidadã, quando bem estruturada e contextualizada, pode ser uma ferramenta poderosa para o acesso à ciência e o desenvolvimento de comunidades mais informadas e participativas.</w:t>
      </w:r>
      <w:r w:rsidR="0026210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</w:p>
    <w:p w14:paraId="43EBFED0" w14:textId="77777777" w:rsidR="00514763" w:rsidRPr="00646DE1" w:rsidRDefault="00331C24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O CoAstro continuará a trabalhar, para encontrar formas de financiamento que lhe permitam, no mínimo, intervir em todos os municípios mapeados. </w:t>
      </w:r>
      <w:r w:rsidR="00514763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Em 2025 já está a decorrer a intervenção junto de um outro concelho e há a expectativa fundada de que no período 2026 a 2028 existam condições financeiras para o projeto continuar.</w:t>
      </w:r>
    </w:p>
    <w:p w14:paraId="15BAD832" w14:textId="31469307" w:rsidR="00514763" w:rsidRPr="00646DE1" w:rsidRDefault="00514763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Paralelamente, é intenção do projeto passar a disponibilizar recursos educativos, baseados em ciência contemporânea (inovações científicas – resultados e processos recentemente publicados), com ligação direta com os referenciais curriculares e alicerçados na metodologia de </w:t>
      </w:r>
      <w:r w:rsidRPr="00646DE1">
        <w:rPr>
          <w:rFonts w:ascii="Times New Roman" w:eastAsia="Times New Roman" w:hAnsi="Times New Roman" w:cs="Times New Roman"/>
          <w:i/>
          <w:iCs/>
          <w:kern w:val="0"/>
          <w:lang w:eastAsia="pt-PT"/>
          <w14:ligatures w14:val="none"/>
        </w:rPr>
        <w:t>inquiry based learning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</w:t>
      </w:r>
    </w:p>
    <w:p w14:paraId="6077BEC1" w14:textId="77777777" w:rsidR="00D1395F" w:rsidRPr="00646DE1" w:rsidRDefault="00D1395F" w:rsidP="0051476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36BBE9CA" w14:textId="28D72373" w:rsidR="00514763" w:rsidRPr="00646DE1" w:rsidRDefault="00514763" w:rsidP="0051476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Na partilha do modelo de operacionalização do CoAstro, destacou-se a sua estrutura, os seus princípios orientadores e os resultados obtidos até ao momento. Trata-se de um modelo replicável, que pode ser adaptado a diferentes contextos geográficos e institucionais, e que demonstra como a ciência cidadã, quando integrada de forma estratégica nas escolas, pode ser uma via eficaz para a democratização do acesso à ciência. Ao colocar a escola no centro da ação científica, o projeto CoAstro mostra que é possível construir comunidades mais informadas, participativas e capacitadas para enfrentar os desafios das sociedades modernas.</w:t>
      </w:r>
    </w:p>
    <w:p w14:paraId="54BECC99" w14:textId="77777777" w:rsidR="00514763" w:rsidRPr="00646DE1" w:rsidRDefault="00514763" w:rsidP="006353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26C14CF5" w14:textId="62E7FDD6" w:rsidR="00E600D1" w:rsidRPr="00646DE1" w:rsidRDefault="00E600D1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5. Declaração de uso de IA</w:t>
      </w:r>
    </w:p>
    <w:p w14:paraId="36A5D7A9" w14:textId="65CC8BF1" w:rsidR="00297CEF" w:rsidRPr="00646DE1" w:rsidRDefault="00297CEF" w:rsidP="00297CE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A IA foi utilizada para reescrever / verificar a correta utilização da língua portuguesa</w:t>
      </w:r>
      <w:r w:rsidR="00D23BC1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e o correto uso das normas APA, nas referências.</w:t>
      </w:r>
    </w:p>
    <w:p w14:paraId="5A475BA1" w14:textId="77777777" w:rsidR="00E600D1" w:rsidRPr="00646DE1" w:rsidRDefault="00E600D1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</w:p>
    <w:p w14:paraId="6D8882C4" w14:textId="247AFEF5" w:rsidR="00E600D1" w:rsidRPr="00646DE1" w:rsidRDefault="00E600D1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6. Agradecimentos e financiamento</w:t>
      </w:r>
    </w:p>
    <w:p w14:paraId="5B7FEE23" w14:textId="18663FDA" w:rsidR="00CD1FAC" w:rsidRPr="00646DE1" w:rsidRDefault="004F5365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Este trabalho teve o apoio da Fundação para a Ciência e a Tecnologia (FCT) através do financiamento</w:t>
      </w:r>
      <w:r w:rsidR="00D974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do Instituto de Astrofísica e Ciências do Espaço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</w:t>
      </w:r>
      <w:r w:rsidR="00D974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(</w:t>
      </w: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UID/04434/2025</w:t>
      </w:r>
      <w:r w:rsidR="00D974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);</w:t>
      </w:r>
      <w:r w:rsidR="009A59F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Faculdade de Ciências da Universidade do Porto (Projet</w:t>
      </w:r>
      <w:r w:rsidR="00D974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o</w:t>
      </w:r>
      <w:r w:rsidR="009A59F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UIDB/00081/2025) </w:t>
      </w:r>
      <w:r w:rsidR="00D974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</w:t>
      </w:r>
      <w:r w:rsidR="009A59F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IMS—Institute of Molecular Sciences</w:t>
      </w:r>
      <w:r w:rsidR="00D974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 xml:space="preserve"> (</w:t>
      </w:r>
      <w:r w:rsidR="009A59F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LA/P/0056/2020</w:t>
      </w:r>
      <w:r w:rsidR="00D974B5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)</w:t>
      </w:r>
      <w:r w:rsidR="009A59F2"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.</w:t>
      </w:r>
    </w:p>
    <w:p w14:paraId="1F14A027" w14:textId="77777777" w:rsidR="00D974B5" w:rsidRPr="00646DE1" w:rsidRDefault="00D974B5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</w:p>
    <w:p w14:paraId="35D2CFCF" w14:textId="5D5530AA" w:rsidR="00E600D1" w:rsidRPr="00646DE1" w:rsidRDefault="00E600D1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>7. Referências</w:t>
      </w:r>
    </w:p>
    <w:p w14:paraId="426A14F4" w14:textId="77777777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Burns, T. W., O'Connor, D. J., &amp; Stocklmayer, S. M. (2003). Science communication: A contemporary definition.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Public Understanding of Science, 12(2), 183–202. https://doi.org/10.1177/09636625030122004</w:t>
      </w:r>
    </w:p>
    <w:p w14:paraId="4DE65A21" w14:textId="198B0479" w:rsidR="00F25B5E" w:rsidRPr="00646DE1" w:rsidRDefault="00F25B5E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hAnsi="Times New Roman" w:cs="Times New Roman"/>
        </w:rPr>
        <w:t xml:space="preserve">Cardamone, C., Schawinski, K., Sarzi, M., Bamford, S. P., Bennert, N., Urry, C. M., Lintott, C. J., Keel, W. C., Parejko, J. K., Nichol, R. C., Thomas, D., Andreescu, D., Murray, P., Raddick, M. J., Slosar, A., Szalay, A. S., Vandenberg, J., &amp; Edmondson, E. M. ... Nichol, R. C. (2009). </w:t>
      </w:r>
      <w:r w:rsidRPr="00646DE1">
        <w:rPr>
          <w:rStyle w:val="nfase"/>
          <w:rFonts w:ascii="Times New Roman" w:hAnsi="Times New Roman" w:cs="Times New Roman"/>
        </w:rPr>
        <w:t>Galaxy Zoo Green Peas: Discovery of a class of compact extremely star-forming galaxies</w:t>
      </w:r>
      <w:r w:rsidRPr="00646DE1">
        <w:rPr>
          <w:rFonts w:ascii="Times New Roman" w:hAnsi="Times New Roman" w:cs="Times New Roman"/>
        </w:rPr>
        <w:t xml:space="preserve">. </w:t>
      </w:r>
      <w:r w:rsidRPr="00646DE1">
        <w:rPr>
          <w:rStyle w:val="nfase"/>
          <w:rFonts w:ascii="Times New Roman" w:hAnsi="Times New Roman" w:cs="Times New Roman"/>
        </w:rPr>
        <w:t>Monthly Notices of the Royal Astronomical Society</w:t>
      </w:r>
      <w:r w:rsidRPr="00646DE1">
        <w:rPr>
          <w:rFonts w:ascii="Times New Roman" w:hAnsi="Times New Roman" w:cs="Times New Roman"/>
        </w:rPr>
        <w:t xml:space="preserve">, </w:t>
      </w:r>
      <w:r w:rsidRPr="00646DE1">
        <w:rPr>
          <w:rStyle w:val="nfase"/>
          <w:rFonts w:ascii="Times New Roman" w:hAnsi="Times New Roman" w:cs="Times New Roman"/>
        </w:rPr>
        <w:t>399</w:t>
      </w:r>
      <w:r w:rsidRPr="00646DE1">
        <w:rPr>
          <w:rFonts w:ascii="Times New Roman" w:hAnsi="Times New Roman" w:cs="Times New Roman"/>
        </w:rPr>
        <w:t>(3), 1191–1205. https://doi.org/10.1111/j.1365-2966.2009.15383.x</w:t>
      </w:r>
    </w:p>
    <w:p w14:paraId="7AB29D9E" w14:textId="2EE2CD2F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lastRenderedPageBreak/>
        <w:t xml:space="preserve">Costa, I. A., Morais, C., &amp; Monteiro, M. J. (2020a). CoAstro: @n Astronomy Condo – Development of teachers’ knowledge of astronomy through a citizen science project.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International Technology, Education and Development Conference, Valência.</w:t>
      </w:r>
    </w:p>
    <w:p w14:paraId="3155B374" w14:textId="77777777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Costa, I. A., Morais, C., &amp; Monteiro, M. J. (2020b). CoAstro: @n Astronomy Condo – Teachers’ attitudes and epistemological beliefs towards science in a citizen science project.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Education and New Developments, Zagreb.</w:t>
      </w:r>
    </w:p>
    <w:p w14:paraId="3FD24920" w14:textId="77777777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Costa, I. A., Morais, C., &amp; Monteiro, M. J. (2021a). CoAstro: @n Astronomy Condo – Teachers’ attitudes and epistemological beliefs towards science in a citizen science project. In M. Carmo (Ed.),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Education Applications &amp; Developments VI – Advances in Education and Educational Trends Series (pp. 66–75). inSciencePress.</w:t>
      </w:r>
    </w:p>
    <w:p w14:paraId="014C1E41" w14:textId="77777777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Costa, I. A., Morais, C., &amp; Monteiro, M. J. (2021b). CoAstro Citizen Science Project: Contributions to teaching practices, attitudes, and beliefs towards science.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ESERA2021, Braga.</w:t>
      </w:r>
    </w:p>
    <w:p w14:paraId="60315DFB" w14:textId="77777777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Costa, I. A., Morais, C. S., &amp; Monteiro, M. J. (2022). Citizen science through schools: The importance of interpersonal relationships.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Cuadernos.info, 52, 113–135. https://doi.org/10.7764/cdi.52.39405</w:t>
      </w:r>
    </w:p>
    <w:p w14:paraId="60EF5321" w14:textId="77777777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Costa, I. A., Silva, A., &amp; Pires, F. (2024). Mapeamento de envolvimento público: uma via para democratizar o acesso à ciência. In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Atas do Congresso SciCom 2024. SciCom – Congresso de Comunicação de Ciência. https://scicom.pt/congresso2024/files/PPT_mapeamento_envolvimento_Scicom_1715334560.pdf</w:t>
      </w:r>
    </w:p>
    <w:p w14:paraId="58550256" w14:textId="77777777" w:rsidR="00B078F4" w:rsidRPr="00646DE1" w:rsidRDefault="00B078F4" w:rsidP="005361AD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CVnE. (2022, 2024).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Clubes Ciência Viva nas Escolas. https://clubes.cienciaviva.pt/</w:t>
      </w:r>
    </w:p>
    <w:p w14:paraId="504785EB" w14:textId="77777777" w:rsidR="00B078F4" w:rsidRPr="00646DE1" w:rsidRDefault="00B078F4" w:rsidP="00B078F4">
      <w:pPr>
        <w:spacing w:after="200" w:line="276" w:lineRule="auto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ESERO-Portugal. (2018, 2022).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Kit – Compreender a Terra através do Espaço. ESERO-Portugal. https://www.esero.pt/uploads/20180820161429_ESERO-Compreender_Terra_Atraves_Espaco.pdf</w:t>
      </w:r>
    </w:p>
    <w:p w14:paraId="62E958B1" w14:textId="77777777" w:rsidR="00B078F4" w:rsidRPr="00646DE1" w:rsidRDefault="00B078F4" w:rsidP="00B078F4">
      <w:pPr>
        <w:spacing w:after="200" w:line="276" w:lineRule="auto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Hanson, M. A., Gómez Barreiro, P., Crosetto, P., &amp; Brockington, D. (2024). The strain on scientific publishing.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Quantitative Science Studies, 5(4), 823–843. https://doi.org/10.1162/qss_a_00327</w:t>
      </w:r>
    </w:p>
    <w:p w14:paraId="0C5FC5C9" w14:textId="338A6848" w:rsidR="008D6D82" w:rsidRPr="00646DE1" w:rsidRDefault="00B078F4" w:rsidP="002B7304">
      <w:pPr>
        <w:spacing w:after="200" w:line="276" w:lineRule="auto"/>
        <w:rPr>
          <w:rFonts w:ascii="Times New Roman" w:eastAsia="MS Mincho" w:hAnsi="Times New Roman" w:cs="Times New Roman"/>
          <w:kern w:val="0"/>
          <w:lang w:val="en-US"/>
          <w14:ligatures w14:val="none"/>
        </w:rPr>
      </w:pPr>
      <w:r w:rsidRPr="00646DE1">
        <w:rPr>
          <w:rFonts w:ascii="Times New Roman" w:eastAsia="MS Mincho" w:hAnsi="Times New Roman" w:cs="Times New Roman"/>
          <w:kern w:val="0"/>
          <w:lang w:val="en-US"/>
          <w14:ligatures w14:val="none"/>
        </w:rPr>
        <w:t xml:space="preserve">UNESCO. (2015). </w:t>
      </w:r>
      <w:r w:rsidRPr="00646DE1">
        <w:rPr>
          <w:rFonts w:ascii="Times New Roman" w:eastAsia="MS Mincho" w:hAnsi="Times New Roman" w:cs="Times New Roman"/>
          <w:i/>
          <w:kern w:val="0"/>
          <w:lang w:val="en-US"/>
          <w14:ligatures w14:val="none"/>
        </w:rPr>
        <w:t>Education 2030 Incheon Declaration: Towards inclusive and equitable quality education and lifelong learning for all. UNESCO Institute for Lifelong Learning.</w:t>
      </w:r>
    </w:p>
    <w:p w14:paraId="4A8ACBE9" w14:textId="68E25696" w:rsidR="00E600D1" w:rsidRPr="00646DE1" w:rsidRDefault="00E600D1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b/>
          <w:bCs/>
          <w:kern w:val="0"/>
          <w:lang w:eastAsia="pt-PT"/>
          <w14:ligatures w14:val="none"/>
        </w:rPr>
        <w:t xml:space="preserve">8. Licença </w:t>
      </w:r>
    </w:p>
    <w:p w14:paraId="53585004" w14:textId="7DA904D2" w:rsidR="00E600D1" w:rsidRPr="00646DE1" w:rsidRDefault="00E600D1" w:rsidP="00E600D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PT"/>
          <w14:ligatures w14:val="none"/>
        </w:rPr>
      </w:pPr>
      <w:r w:rsidRPr="00646DE1">
        <w:rPr>
          <w:rFonts w:ascii="Times New Roman" w:eastAsia="Times New Roman" w:hAnsi="Times New Roman" w:cs="Times New Roman"/>
          <w:kern w:val="0"/>
          <w:lang w:eastAsia="pt-PT"/>
          <w14:ligatures w14:val="none"/>
        </w:rPr>
        <w:t>Este resumo ampliado distribui-se através de uma licença Creative Commons Attribution Non Commercial Share Alike 4.0 International (CC-BY-NC-SA 4.0)</w:t>
      </w:r>
    </w:p>
    <w:sectPr w:rsidR="00E600D1" w:rsidRPr="00646DE1" w:rsidSect="0033166C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483134"/>
    <w:multiLevelType w:val="hybridMultilevel"/>
    <w:tmpl w:val="E0CC6DE0"/>
    <w:lvl w:ilvl="0" w:tplc="5816BC9A">
      <w:start w:val="1"/>
      <w:numFmt w:val="lowerRoman"/>
      <w:lvlText w:val="%1)"/>
      <w:lvlJc w:val="left"/>
      <w:pPr>
        <w:ind w:left="1428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033656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7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p9ref04s29ere20sqx0rz0dsa0afteds0v&quot;&gt;Biblioteca Referências-Converted_atualizacao_2020&lt;record-ids&gt;&lt;item&gt;13&lt;/item&gt;&lt;item&gt;119&lt;/item&gt;&lt;item&gt;212&lt;/item&gt;&lt;item&gt;241&lt;/item&gt;&lt;item&gt;355&lt;/item&gt;&lt;item&gt;369&lt;/item&gt;&lt;item&gt;370&lt;/item&gt;&lt;item&gt;378&lt;/item&gt;&lt;/record-ids&gt;&lt;/item&gt;&lt;/Libraries&gt;"/>
  </w:docVars>
  <w:rsids>
    <w:rsidRoot w:val="00F63595"/>
    <w:rsid w:val="00004E7B"/>
    <w:rsid w:val="000250DD"/>
    <w:rsid w:val="00042975"/>
    <w:rsid w:val="00071504"/>
    <w:rsid w:val="000925E2"/>
    <w:rsid w:val="000A1245"/>
    <w:rsid w:val="000C52BE"/>
    <w:rsid w:val="001036E6"/>
    <w:rsid w:val="00117923"/>
    <w:rsid w:val="001301A7"/>
    <w:rsid w:val="0015252A"/>
    <w:rsid w:val="001A2751"/>
    <w:rsid w:val="001A5AC6"/>
    <w:rsid w:val="001B0112"/>
    <w:rsid w:val="001C288B"/>
    <w:rsid w:val="001C5824"/>
    <w:rsid w:val="00236AB5"/>
    <w:rsid w:val="00262103"/>
    <w:rsid w:val="00275F1C"/>
    <w:rsid w:val="002768F0"/>
    <w:rsid w:val="00286BAE"/>
    <w:rsid w:val="00297CEF"/>
    <w:rsid w:val="002B7304"/>
    <w:rsid w:val="002E0132"/>
    <w:rsid w:val="0033166C"/>
    <w:rsid w:val="00331C24"/>
    <w:rsid w:val="003332AB"/>
    <w:rsid w:val="00346386"/>
    <w:rsid w:val="00347203"/>
    <w:rsid w:val="003670A6"/>
    <w:rsid w:val="003A0F84"/>
    <w:rsid w:val="003C3BB7"/>
    <w:rsid w:val="003D13D8"/>
    <w:rsid w:val="004205F6"/>
    <w:rsid w:val="00440F06"/>
    <w:rsid w:val="00444207"/>
    <w:rsid w:val="004825AB"/>
    <w:rsid w:val="004D3D94"/>
    <w:rsid w:val="004F5365"/>
    <w:rsid w:val="00506504"/>
    <w:rsid w:val="00514763"/>
    <w:rsid w:val="005361AD"/>
    <w:rsid w:val="0059503D"/>
    <w:rsid w:val="00597B12"/>
    <w:rsid w:val="005A1E60"/>
    <w:rsid w:val="005A7C3A"/>
    <w:rsid w:val="005C72A0"/>
    <w:rsid w:val="005F6372"/>
    <w:rsid w:val="00635371"/>
    <w:rsid w:val="006407A5"/>
    <w:rsid w:val="00646DE1"/>
    <w:rsid w:val="00663ED8"/>
    <w:rsid w:val="0066470A"/>
    <w:rsid w:val="00695D9D"/>
    <w:rsid w:val="006C1731"/>
    <w:rsid w:val="006C5FD6"/>
    <w:rsid w:val="006F0CDF"/>
    <w:rsid w:val="006F5084"/>
    <w:rsid w:val="0072399B"/>
    <w:rsid w:val="0074155B"/>
    <w:rsid w:val="00754015"/>
    <w:rsid w:val="00762B87"/>
    <w:rsid w:val="0076744E"/>
    <w:rsid w:val="00785818"/>
    <w:rsid w:val="0079237A"/>
    <w:rsid w:val="007926AF"/>
    <w:rsid w:val="007A1E08"/>
    <w:rsid w:val="007D5CE5"/>
    <w:rsid w:val="007E167E"/>
    <w:rsid w:val="007F42CE"/>
    <w:rsid w:val="00800D68"/>
    <w:rsid w:val="00803A4B"/>
    <w:rsid w:val="00847A59"/>
    <w:rsid w:val="0085514A"/>
    <w:rsid w:val="00860945"/>
    <w:rsid w:val="00862294"/>
    <w:rsid w:val="00871DD2"/>
    <w:rsid w:val="00881A9C"/>
    <w:rsid w:val="00884188"/>
    <w:rsid w:val="008B695C"/>
    <w:rsid w:val="008D601D"/>
    <w:rsid w:val="008D6D82"/>
    <w:rsid w:val="00937EA6"/>
    <w:rsid w:val="00964E0A"/>
    <w:rsid w:val="009662D2"/>
    <w:rsid w:val="00986714"/>
    <w:rsid w:val="009A1BF4"/>
    <w:rsid w:val="009A59F2"/>
    <w:rsid w:val="009C2ED4"/>
    <w:rsid w:val="00A25E87"/>
    <w:rsid w:val="00A56F21"/>
    <w:rsid w:val="00A65135"/>
    <w:rsid w:val="00AE7EE8"/>
    <w:rsid w:val="00B078F4"/>
    <w:rsid w:val="00B27D32"/>
    <w:rsid w:val="00B8627A"/>
    <w:rsid w:val="00B87936"/>
    <w:rsid w:val="00BC28D6"/>
    <w:rsid w:val="00C46F7B"/>
    <w:rsid w:val="00CD1FAC"/>
    <w:rsid w:val="00CE18EA"/>
    <w:rsid w:val="00D05124"/>
    <w:rsid w:val="00D1395F"/>
    <w:rsid w:val="00D15736"/>
    <w:rsid w:val="00D23BC1"/>
    <w:rsid w:val="00D37CD1"/>
    <w:rsid w:val="00D45C15"/>
    <w:rsid w:val="00D749F8"/>
    <w:rsid w:val="00D8176D"/>
    <w:rsid w:val="00D843B6"/>
    <w:rsid w:val="00D974B5"/>
    <w:rsid w:val="00DA10A2"/>
    <w:rsid w:val="00E1235A"/>
    <w:rsid w:val="00E133C9"/>
    <w:rsid w:val="00E600D1"/>
    <w:rsid w:val="00E659BA"/>
    <w:rsid w:val="00E73C4C"/>
    <w:rsid w:val="00EA3316"/>
    <w:rsid w:val="00EA7548"/>
    <w:rsid w:val="00EB6AE4"/>
    <w:rsid w:val="00EC5E82"/>
    <w:rsid w:val="00F207CA"/>
    <w:rsid w:val="00F20A04"/>
    <w:rsid w:val="00F25B5E"/>
    <w:rsid w:val="00F37C81"/>
    <w:rsid w:val="00F63595"/>
    <w:rsid w:val="00FA2982"/>
    <w:rsid w:val="00FA725B"/>
    <w:rsid w:val="00FB3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254DE"/>
  <w15:chartTrackingRefBased/>
  <w15:docId w15:val="{3EED5191-B663-4CCB-8429-496F71B55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763"/>
  </w:style>
  <w:style w:type="paragraph" w:styleId="Ttulo5">
    <w:name w:val="heading 5"/>
    <w:basedOn w:val="Normal"/>
    <w:link w:val="Ttulo5Carter"/>
    <w:uiPriority w:val="9"/>
    <w:qFormat/>
    <w:rsid w:val="00F6359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pt-PT"/>
      <w14:ligatures w14:val="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arter">
    <w:name w:val="Título 5 Caráter"/>
    <w:basedOn w:val="Tipodeletrapredefinidodopargrafo"/>
    <w:link w:val="Ttulo5"/>
    <w:uiPriority w:val="9"/>
    <w:rsid w:val="00F63595"/>
    <w:rPr>
      <w:rFonts w:ascii="Times New Roman" w:eastAsia="Times New Roman" w:hAnsi="Times New Roman" w:cs="Times New Roman"/>
      <w:b/>
      <w:bCs/>
      <w:kern w:val="0"/>
      <w:sz w:val="20"/>
      <w:szCs w:val="20"/>
      <w:lang w:eastAsia="pt-PT"/>
      <w14:ligatures w14:val="none"/>
    </w:rPr>
  </w:style>
  <w:style w:type="paragraph" w:customStyle="1" w:styleId="fs-6">
    <w:name w:val="fs-6"/>
    <w:basedOn w:val="Normal"/>
    <w:rsid w:val="00F63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  <w:style w:type="paragraph" w:customStyle="1" w:styleId="fw-lighter">
    <w:name w:val="fw-lighter"/>
    <w:basedOn w:val="Normal"/>
    <w:rsid w:val="00F63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  <w:style w:type="paragraph" w:styleId="Reviso">
    <w:name w:val="Revision"/>
    <w:hidden/>
    <w:uiPriority w:val="99"/>
    <w:semiHidden/>
    <w:rsid w:val="00EC5E82"/>
    <w:pPr>
      <w:spacing w:after="0" w:line="240" w:lineRule="auto"/>
    </w:pPr>
    <w:rPr>
      <w:lang w:val="en-GB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B87936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B87936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B87936"/>
    <w:rPr>
      <w:sz w:val="20"/>
      <w:szCs w:val="20"/>
      <w:lang w:val="en-GB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B8793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B87936"/>
    <w:rPr>
      <w:b/>
      <w:bCs/>
      <w:sz w:val="20"/>
      <w:szCs w:val="20"/>
      <w:lang w:val="en-GB"/>
    </w:rPr>
  </w:style>
  <w:style w:type="paragraph" w:customStyle="1" w:styleId="EndNoteBibliographyTitle">
    <w:name w:val="EndNote Bibliography Title"/>
    <w:basedOn w:val="Normal"/>
    <w:link w:val="EndNoteBibliographyTitleCarter"/>
    <w:rsid w:val="0074155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ter">
    <w:name w:val="EndNote Bibliography Title Caráter"/>
    <w:basedOn w:val="Tipodeletrapredefinidodopargrafo"/>
    <w:link w:val="EndNoteBibliographyTitle"/>
    <w:rsid w:val="0074155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ter"/>
    <w:rsid w:val="0074155B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arter">
    <w:name w:val="EndNote Bibliography Caráter"/>
    <w:basedOn w:val="Tipodeletrapredefinidodopargrafo"/>
    <w:link w:val="EndNoteBibliography"/>
    <w:rsid w:val="0074155B"/>
    <w:rPr>
      <w:rFonts w:ascii="Calibri" w:hAnsi="Calibri" w:cs="Calibri"/>
      <w:noProof/>
      <w:lang w:val="en-US"/>
    </w:rPr>
  </w:style>
  <w:style w:type="character" w:styleId="Hiperligao">
    <w:name w:val="Hyperlink"/>
    <w:basedOn w:val="Tipodeletrapredefinidodopargrafo"/>
    <w:uiPriority w:val="99"/>
    <w:unhideWhenUsed/>
    <w:rsid w:val="0074155B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74155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600D1"/>
    <w:pPr>
      <w:ind w:left="720"/>
      <w:contextualSpacing/>
    </w:pPr>
  </w:style>
  <w:style w:type="character" w:styleId="nfase">
    <w:name w:val="Emphasis"/>
    <w:basedOn w:val="Tipodeletrapredefinidodopargrafo"/>
    <w:uiPriority w:val="20"/>
    <w:qFormat/>
    <w:rsid w:val="00F25B5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5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3871</Words>
  <Characters>20907</Characters>
  <Application>Microsoft Office Word</Application>
  <DocSecurity>0</DocSecurity>
  <Lines>174</Lines>
  <Paragraphs>49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Universidade do Porto</Company>
  <LinksUpToDate>false</LinksUpToDate>
  <CharactersWithSpaces>24729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Ilídio André Costa</dc:creator>
  <cp:keywords/>
  <dc:description/>
  <cp:lastModifiedBy>Ilídio André Costa</cp:lastModifiedBy>
  <cp:revision>4</cp:revision>
  <dcterms:created xsi:type="dcterms:W3CDTF">2025-10-30T13:15:00Z</dcterms:created>
  <dcterms:modified xsi:type="dcterms:W3CDTF">2025-10-30T18:07:00Z</dcterms:modified>
</cp:coreProperties>
</file>