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13656B" w14:textId="7599719E" w:rsidR="005D3061" w:rsidRDefault="006423A5" w:rsidP="004A5F57">
      <w:pPr>
        <w:pStyle w:val="Ttulo1"/>
        <w:jc w:val="center"/>
        <w:rPr>
          <w:rFonts w:ascii="Times New Roman" w:hAnsi="Times New Roman" w:cs="Times New Roman"/>
          <w:b/>
          <w:color w:val="auto"/>
        </w:rPr>
      </w:pPr>
      <w:r w:rsidRPr="006423A5">
        <w:rPr>
          <w:rFonts w:ascii="Times New Roman" w:hAnsi="Times New Roman" w:cs="Times New Roman"/>
          <w:b/>
          <w:color w:val="auto"/>
        </w:rPr>
        <w:t>CONJUNTO FERRAMENTAL PYTENTE</w:t>
      </w:r>
    </w:p>
    <w:p w14:paraId="3009734F" w14:textId="77777777" w:rsidR="004A5F57" w:rsidRPr="004A5F57" w:rsidRDefault="004A5F57" w:rsidP="004A5F57"/>
    <w:p w14:paraId="038BBE60" w14:textId="68DC4543" w:rsidR="00AB6EA1" w:rsidRDefault="00194A63">
      <w:pPr>
        <w:rPr>
          <w:rStyle w:val="nfaseIntensa"/>
          <w:rFonts w:ascii="Times New Roman" w:hAnsi="Times New Roman" w:cs="Times New Roman"/>
          <w:color w:val="auto"/>
        </w:rPr>
      </w:pPr>
      <w:r w:rsidRPr="006423A5">
        <w:rPr>
          <w:rStyle w:val="nfaseIntensa"/>
          <w:rFonts w:ascii="Times New Roman" w:hAnsi="Times New Roman" w:cs="Times New Roman"/>
          <w:color w:val="auto"/>
        </w:rPr>
        <w:t>Raulivan Rodrigo da Silva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 xml:space="preserve">, </w:t>
      </w:r>
      <w:r w:rsidR="00236935" w:rsidRPr="006423A5">
        <w:rPr>
          <w:rStyle w:val="nfaseIntensa"/>
          <w:rFonts w:ascii="Times New Roman" w:hAnsi="Times New Roman" w:cs="Times New Roman"/>
          <w:color w:val="auto"/>
        </w:rPr>
        <w:t>Centro Federal de Educação Tecnológica de Minas Gerais (CEFET-MG)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>,</w:t>
      </w:r>
      <w:r w:rsidR="00DC71BC">
        <w:rPr>
          <w:rStyle w:val="nfaseIntensa"/>
          <w:rFonts w:ascii="Times New Roman" w:hAnsi="Times New Roman" w:cs="Times New Roman"/>
          <w:color w:val="auto"/>
        </w:rPr>
        <w:t xml:space="preserve"> Brasil</w:t>
      </w:r>
      <w:r w:rsidR="00AB6EA1">
        <w:rPr>
          <w:rStyle w:val="nfaseIntensa"/>
          <w:rFonts w:ascii="Times New Roman" w:hAnsi="Times New Roman" w:cs="Times New Roman"/>
          <w:color w:val="auto"/>
        </w:rPr>
        <w:t>,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 xml:space="preserve"> </w:t>
      </w:r>
      <w:r w:rsidRPr="006423A5">
        <w:rPr>
          <w:rStyle w:val="nfaseIntensa"/>
          <w:rFonts w:ascii="Times New Roman" w:hAnsi="Times New Roman" w:cs="Times New Roman"/>
          <w:color w:val="auto"/>
        </w:rPr>
        <w:t>raulivan@cefetmg.br</w:t>
      </w:r>
      <w:r w:rsidR="00AB6EA1">
        <w:rPr>
          <w:rStyle w:val="nfaseIntensa"/>
          <w:rFonts w:ascii="Times New Roman" w:hAnsi="Times New Roman" w:cs="Times New Roman"/>
          <w:color w:val="auto"/>
        </w:rPr>
        <w:t xml:space="preserve">, </w:t>
      </w:r>
      <w:r w:rsidR="00AB6EA1" w:rsidRPr="00AB6EA1">
        <w:rPr>
          <w:rStyle w:val="nfaseIntensa"/>
          <w:rFonts w:ascii="Times New Roman" w:hAnsi="Times New Roman" w:cs="Times New Roman"/>
          <w:color w:val="auto"/>
        </w:rPr>
        <w:t>https://orcid.org/0000-0002-2740-1045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 xml:space="preserve">; </w:t>
      </w:r>
    </w:p>
    <w:p w14:paraId="63A7D793" w14:textId="086BB437" w:rsidR="000932B5" w:rsidRDefault="006A1DDE">
      <w:pPr>
        <w:rPr>
          <w:rStyle w:val="nfaseIntensa"/>
          <w:rFonts w:ascii="Times New Roman" w:hAnsi="Times New Roman" w:cs="Times New Roman"/>
          <w:color w:val="auto"/>
        </w:rPr>
      </w:pPr>
      <w:r w:rsidRPr="006423A5">
        <w:rPr>
          <w:rStyle w:val="nfaseIntensa"/>
          <w:rFonts w:ascii="Times New Roman" w:hAnsi="Times New Roman" w:cs="Times New Roman"/>
          <w:color w:val="auto"/>
        </w:rPr>
        <w:t>Thiago Magela Rodrigues Dias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 xml:space="preserve">, </w:t>
      </w:r>
      <w:r w:rsidRPr="006423A5">
        <w:rPr>
          <w:rStyle w:val="nfaseIntensa"/>
          <w:rFonts w:ascii="Times New Roman" w:hAnsi="Times New Roman" w:cs="Times New Roman"/>
          <w:color w:val="auto"/>
        </w:rPr>
        <w:t>Centro Federal de Educação Tecnológica de Minas Gerais (CEFET-MG)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>,</w:t>
      </w:r>
      <w:r w:rsidR="000932B5">
        <w:rPr>
          <w:rStyle w:val="nfaseIntensa"/>
          <w:rFonts w:ascii="Times New Roman" w:hAnsi="Times New Roman" w:cs="Times New Roman"/>
          <w:color w:val="auto"/>
        </w:rPr>
        <w:t xml:space="preserve"> Brasil,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 xml:space="preserve"> </w:t>
      </w:r>
      <w:r w:rsidR="00515F55" w:rsidRPr="006423A5">
        <w:rPr>
          <w:rStyle w:val="nfaseIntensa"/>
          <w:rFonts w:ascii="Times New Roman" w:hAnsi="Times New Roman" w:cs="Times New Roman"/>
          <w:color w:val="auto"/>
        </w:rPr>
        <w:t>thiagomagela@cefetmg.br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 xml:space="preserve">, </w:t>
      </w:r>
      <w:r w:rsidR="003E111A" w:rsidRPr="003E111A">
        <w:rPr>
          <w:rStyle w:val="nfaseIntensa"/>
          <w:rFonts w:ascii="Times New Roman" w:hAnsi="Times New Roman" w:cs="Times New Roman"/>
          <w:color w:val="auto"/>
        </w:rPr>
        <w:t>https://orcid.org/0000-0001-5057-9936</w:t>
      </w:r>
      <w:r w:rsidR="003E111A">
        <w:rPr>
          <w:rStyle w:val="nfaseIntensa"/>
          <w:rFonts w:ascii="Times New Roman" w:hAnsi="Times New Roman" w:cs="Times New Roman"/>
          <w:color w:val="auto"/>
        </w:rPr>
        <w:t>;</w:t>
      </w:r>
    </w:p>
    <w:p w14:paraId="51267716" w14:textId="55433D91" w:rsidR="005D3061" w:rsidRPr="006423A5" w:rsidRDefault="00A147D3">
      <w:pPr>
        <w:rPr>
          <w:rStyle w:val="nfaseIntensa"/>
          <w:rFonts w:ascii="Times New Roman" w:hAnsi="Times New Roman" w:cs="Times New Roman"/>
          <w:color w:val="auto"/>
        </w:rPr>
      </w:pPr>
      <w:r w:rsidRPr="006423A5">
        <w:rPr>
          <w:rStyle w:val="nfaseIntensa"/>
          <w:rFonts w:ascii="Times New Roman" w:hAnsi="Times New Roman" w:cs="Times New Roman"/>
          <w:color w:val="auto"/>
        </w:rPr>
        <w:t>Washington Luís Ribeiro de Carvalho Segundo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 xml:space="preserve">, </w:t>
      </w:r>
      <w:r w:rsidR="0071657D" w:rsidRPr="006423A5">
        <w:rPr>
          <w:rStyle w:val="nfaseIntensa"/>
          <w:rFonts w:ascii="Times New Roman" w:hAnsi="Times New Roman" w:cs="Times New Roman"/>
          <w:color w:val="auto"/>
        </w:rPr>
        <w:t>Instituto Brasileiro de Informação em Ciência e Tecnologia (IBICT)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>,</w:t>
      </w:r>
      <w:r w:rsidR="003E111A">
        <w:rPr>
          <w:rStyle w:val="nfaseIntensa"/>
          <w:rFonts w:ascii="Times New Roman" w:hAnsi="Times New Roman" w:cs="Times New Roman"/>
          <w:color w:val="auto"/>
        </w:rPr>
        <w:t xml:space="preserve"> Brasil,</w:t>
      </w:r>
      <w:r w:rsidR="00BC175C" w:rsidRPr="006423A5">
        <w:rPr>
          <w:rStyle w:val="nfaseIntensa"/>
          <w:rFonts w:ascii="Times New Roman" w:hAnsi="Times New Roman" w:cs="Times New Roman"/>
          <w:color w:val="auto"/>
        </w:rPr>
        <w:t xml:space="preserve"> </w:t>
      </w:r>
      <w:r w:rsidR="00A05E45" w:rsidRPr="006423A5">
        <w:rPr>
          <w:rStyle w:val="nfaseIntensa"/>
          <w:rFonts w:ascii="Times New Roman" w:hAnsi="Times New Roman" w:cs="Times New Roman"/>
          <w:color w:val="auto"/>
        </w:rPr>
        <w:t>washingtonsegundo@ibict.br</w:t>
      </w:r>
      <w:r w:rsidR="003E111A">
        <w:rPr>
          <w:rStyle w:val="nfaseIntensa"/>
          <w:rFonts w:ascii="Times New Roman" w:hAnsi="Times New Roman" w:cs="Times New Roman"/>
          <w:color w:val="auto"/>
        </w:rPr>
        <w:t xml:space="preserve">, </w:t>
      </w:r>
      <w:r w:rsidR="003E111A" w:rsidRPr="003E111A">
        <w:rPr>
          <w:rStyle w:val="nfaseIntensa"/>
          <w:rFonts w:ascii="Times New Roman" w:hAnsi="Times New Roman" w:cs="Times New Roman"/>
          <w:color w:val="auto"/>
        </w:rPr>
        <w:t>https://orcid.org/0000-0003-3635-9384</w:t>
      </w:r>
      <w:r w:rsidR="004A5F57">
        <w:rPr>
          <w:rStyle w:val="nfaseIntensa"/>
          <w:rFonts w:ascii="Times New Roman" w:hAnsi="Times New Roman" w:cs="Times New Roman"/>
          <w:color w:val="auto"/>
        </w:rPr>
        <w:t>.</w:t>
      </w:r>
    </w:p>
    <w:p w14:paraId="4BB37031" w14:textId="1A14559F" w:rsidR="005D3061" w:rsidRPr="006423A5" w:rsidRDefault="00132E29">
      <w:pPr>
        <w:pStyle w:val="Ttulo1"/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</w:pPr>
      <w:r w:rsidRPr="006423A5"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  <w:t>Palavras chaves</w:t>
      </w:r>
    </w:p>
    <w:p w14:paraId="626039F6" w14:textId="091333D7" w:rsidR="00BB3816" w:rsidRPr="006423A5" w:rsidRDefault="00A242F3" w:rsidP="004A5F57">
      <w:pPr>
        <w:rPr>
          <w:rStyle w:val="nfaseIntensa"/>
          <w:rFonts w:ascii="Times New Roman" w:hAnsi="Times New Roman" w:cs="Times New Roman"/>
          <w:color w:val="auto"/>
        </w:rPr>
      </w:pPr>
      <w:r w:rsidRPr="006423A5">
        <w:rPr>
          <w:rStyle w:val="nfaseIntensa"/>
          <w:rFonts w:ascii="Times New Roman" w:hAnsi="Times New Roman" w:cs="Times New Roman"/>
          <w:color w:val="auto"/>
        </w:rPr>
        <w:t>Patent</w:t>
      </w:r>
      <w:r w:rsidR="004A5F57">
        <w:rPr>
          <w:rStyle w:val="nfaseIntensa"/>
          <w:rFonts w:ascii="Times New Roman" w:hAnsi="Times New Roman" w:cs="Times New Roman"/>
          <w:color w:val="auto"/>
        </w:rPr>
        <w:t>e</w:t>
      </w:r>
      <w:r w:rsidR="0038616C">
        <w:rPr>
          <w:rStyle w:val="nfaseIntensa"/>
          <w:rFonts w:ascii="Times New Roman" w:hAnsi="Times New Roman" w:cs="Times New Roman"/>
          <w:color w:val="auto"/>
        </w:rPr>
        <w:t>,</w:t>
      </w:r>
      <w:r w:rsidRPr="006423A5">
        <w:rPr>
          <w:rStyle w:val="nfaseIntensa"/>
          <w:rFonts w:ascii="Times New Roman" w:hAnsi="Times New Roman" w:cs="Times New Roman"/>
          <w:color w:val="auto"/>
        </w:rPr>
        <w:t xml:space="preserve"> Automação</w:t>
      </w:r>
      <w:r w:rsidR="0038616C">
        <w:rPr>
          <w:rStyle w:val="nfaseIntensa"/>
          <w:rFonts w:ascii="Times New Roman" w:hAnsi="Times New Roman" w:cs="Times New Roman"/>
          <w:color w:val="auto"/>
        </w:rPr>
        <w:t>,</w:t>
      </w:r>
      <w:r w:rsidRPr="006423A5">
        <w:rPr>
          <w:rStyle w:val="nfaseIntensa"/>
          <w:rFonts w:ascii="Times New Roman" w:hAnsi="Times New Roman" w:cs="Times New Roman"/>
          <w:color w:val="auto"/>
        </w:rPr>
        <w:t xml:space="preserve"> Coleta</w:t>
      </w:r>
      <w:r w:rsidR="0038616C">
        <w:rPr>
          <w:rStyle w:val="nfaseIntensa"/>
          <w:rFonts w:ascii="Times New Roman" w:hAnsi="Times New Roman" w:cs="Times New Roman"/>
          <w:color w:val="auto"/>
        </w:rPr>
        <w:t>,</w:t>
      </w:r>
      <w:r w:rsidRPr="006423A5">
        <w:rPr>
          <w:rStyle w:val="nfaseIntensa"/>
          <w:rFonts w:ascii="Times New Roman" w:hAnsi="Times New Roman" w:cs="Times New Roman"/>
          <w:color w:val="auto"/>
        </w:rPr>
        <w:t xml:space="preserve"> Espacenet</w:t>
      </w:r>
      <w:r w:rsidR="0038616C">
        <w:rPr>
          <w:rStyle w:val="nfaseIntensa"/>
          <w:rFonts w:ascii="Times New Roman" w:hAnsi="Times New Roman" w:cs="Times New Roman"/>
          <w:color w:val="auto"/>
        </w:rPr>
        <w:t xml:space="preserve">, </w:t>
      </w:r>
      <w:r w:rsidR="00BD2FBE">
        <w:rPr>
          <w:rStyle w:val="nfaseIntensa"/>
          <w:rFonts w:ascii="Times New Roman" w:hAnsi="Times New Roman" w:cs="Times New Roman"/>
          <w:color w:val="auto"/>
        </w:rPr>
        <w:t>Ba</w:t>
      </w:r>
      <w:r w:rsidR="00517F47">
        <w:rPr>
          <w:rStyle w:val="nfaseIntensa"/>
          <w:rFonts w:ascii="Times New Roman" w:hAnsi="Times New Roman" w:cs="Times New Roman"/>
          <w:color w:val="auto"/>
        </w:rPr>
        <w:t>nco de dados</w:t>
      </w:r>
      <w:r w:rsidR="001F1523" w:rsidRPr="006423A5">
        <w:rPr>
          <w:rStyle w:val="nfaseIntensa"/>
          <w:rFonts w:ascii="Times New Roman" w:hAnsi="Times New Roman" w:cs="Times New Roman"/>
          <w:color w:val="auto"/>
        </w:rPr>
        <w:t>.</w:t>
      </w:r>
    </w:p>
    <w:p w14:paraId="28D9B0D1" w14:textId="4FAA002A" w:rsidR="00650624" w:rsidRPr="006423A5" w:rsidRDefault="00717DA2" w:rsidP="00E251DD">
      <w:pPr>
        <w:pStyle w:val="Ttulo1"/>
        <w:numPr>
          <w:ilvl w:val="0"/>
          <w:numId w:val="4"/>
        </w:numPr>
        <w:ind w:left="426"/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</w:pPr>
      <w:r w:rsidRPr="006423A5"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  <w:t>Introdução</w:t>
      </w:r>
    </w:p>
    <w:p w14:paraId="02721609" w14:textId="77777777" w:rsidR="00650624" w:rsidRPr="006423A5" w:rsidRDefault="00650624" w:rsidP="00650624">
      <w:pPr>
        <w:rPr>
          <w:rFonts w:ascii="Times New Roman" w:hAnsi="Times New Roman" w:cs="Times New Roman"/>
        </w:rPr>
      </w:pPr>
    </w:p>
    <w:p w14:paraId="6F6C4231" w14:textId="6607D071" w:rsidR="00384239" w:rsidRDefault="00384239" w:rsidP="0022005D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384239">
        <w:rPr>
          <w:rStyle w:val="nfaseIntensa"/>
          <w:rFonts w:ascii="Times New Roman" w:hAnsi="Times New Roman" w:cs="Times New Roman"/>
          <w:i w:val="0"/>
          <w:iCs w:val="0"/>
          <w:color w:val="auto"/>
        </w:rPr>
        <w:t>O campo da Propriedade Intelectual desempenha um papel central no fomento à inovação em diversas áreas do conhecimento. De acordo com dados da OMPI, foram realizados mundialmente 3,4 milhões de pedidos de patente no ano de 2021, representando um crescimento de 3,6% em comparação aos anos anteriores (WIPO, 2022). No Brasil, conforme informações do INPI, foram depositadas 20.343 patentes entre janeiro e setembro de 2024, o que representa um aumento de 1,5% em relação ao mesmo período do ano anterior (INPI, 2024). Esses dados evidenciam uma tendência de crescimento no número de depósitos de patentes tanto em âmbito global quanto nacional, destacando a crescente importância das patentes como ferramenta estratégica para empresas e pesquisadores.</w:t>
      </w:r>
    </w:p>
    <w:p w14:paraId="1D8F1282" w14:textId="5C74E637" w:rsidR="00374A86" w:rsidRDefault="00374A86" w:rsidP="0022005D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374A86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Tanto as patentes concedidas quanto os pedidos de patente em fase de exame contêm informações tecnológicas de grande valor para inventores, empresários e instituições de pesquisa. O valor informacional de um documento de patente é uma de suas características mais importantes, especialmente no âmbito da pesquisa e do desenvolvimento tecnológico. Segundo Reymond e </w:t>
      </w:r>
      <w:proofErr w:type="spellStart"/>
      <w:r w:rsidRPr="00374A86">
        <w:rPr>
          <w:rStyle w:val="nfaseIntensa"/>
          <w:rFonts w:ascii="Times New Roman" w:hAnsi="Times New Roman" w:cs="Times New Roman"/>
          <w:i w:val="0"/>
          <w:iCs w:val="0"/>
          <w:color w:val="auto"/>
        </w:rPr>
        <w:t>Quoniam</w:t>
      </w:r>
      <w:proofErr w:type="spellEnd"/>
      <w:r w:rsidRPr="00374A86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(2018), isso se deve ao fato de tais documentos fornecerem informações técnicas detalhadas e atualizadas, que raramente são disponibilizadas em outras fontes de informação.</w:t>
      </w:r>
    </w:p>
    <w:p w14:paraId="28E3B9D1" w14:textId="3293258B" w:rsidR="00936B5B" w:rsidRDefault="00936B5B" w:rsidP="0022005D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936B5B">
        <w:rPr>
          <w:rStyle w:val="nfaseIntensa"/>
          <w:rFonts w:ascii="Times New Roman" w:hAnsi="Times New Roman" w:cs="Times New Roman"/>
          <w:i w:val="0"/>
          <w:iCs w:val="0"/>
          <w:color w:val="auto"/>
        </w:rPr>
        <w:t>Neste panorama, os documentos de patentes representam uma das fontes mais ricas e abrangentes de informação tecnológica e científica disponíveis. No entanto, a complexidade terminológica, a estrutura dos registros e as restrições de acesso existentes nos repositórios online dificultam o uso efetivo desses dados por pesquisadores e analistas. Nesse contexto, a lacuna entre a abundância de dados disponíveis e a sua efetiva utilização como fonte de pesquisa científica ainda persiste.</w:t>
      </w:r>
    </w:p>
    <w:p w14:paraId="16881E6C" w14:textId="7196DE4E" w:rsidR="0096568C" w:rsidRDefault="0096568C" w:rsidP="0022005D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96568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Apesar do acesso facilitado pelos diversos repositórios disponíveis na internet, o acesso a documentos de patentes não é uma tarefa trivial, estando sujeito a diversas limitações, como o volume de dados que pode ser manipulado em um único processo, restrições de horário para consulta e limitações nos filtros e critérios de seleção. Essas barreiras dificultam a recuperação de conjuntos de dados mais amplos, como, por exemplo, a recuperação de todas as patentes depositadas em determinado país. Embora o conteúdo dos documentos de patentes seja de acesso público e gratuito, muitos pesquisadores optam por utilizar repositórios de patentes pagos, como o </w:t>
      </w:r>
      <w:proofErr w:type="spellStart"/>
      <w:r w:rsidRPr="0096568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Derwent</w:t>
      </w:r>
      <w:proofErr w:type="spellEnd"/>
      <w:r w:rsidRPr="0096568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</w:t>
      </w:r>
      <w:proofErr w:type="spellStart"/>
      <w:r w:rsidRPr="0096568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Innovation</w:t>
      </w:r>
      <w:proofErr w:type="spellEnd"/>
      <w:r w:rsidRPr="0096568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Index e o Orbit </w:t>
      </w:r>
      <w:proofErr w:type="spellStart"/>
      <w:r w:rsidRPr="0096568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Intelligence</w:t>
      </w:r>
      <w:proofErr w:type="spellEnd"/>
      <w:r w:rsidRPr="0096568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, como uma alternativa às limitações encontradas. Isso gera uma dualidade em relação ao direito da sociedade ao acesso público e gratuito aos documentos de patentes.</w:t>
      </w:r>
    </w:p>
    <w:p w14:paraId="17683B2B" w14:textId="08B9AAFE" w:rsidR="00FB60FB" w:rsidRDefault="00FB60FB" w:rsidP="0022005D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FB60FB">
        <w:rPr>
          <w:rStyle w:val="nfaseIntensa"/>
          <w:rFonts w:ascii="Times New Roman" w:hAnsi="Times New Roman" w:cs="Times New Roman"/>
          <w:i w:val="0"/>
          <w:iCs w:val="0"/>
          <w:color w:val="auto"/>
        </w:rPr>
        <w:lastRenderedPageBreak/>
        <w:t xml:space="preserve">Logo, a ferramenta Pytente surge como uma proposta para mitigar tais barreiras, integrando princípios da Ciência da Informação e da Ciência da Computação na criação de um ambiente que favorece o acesso, a análise e a visualização de informações contidas em repositórios de patentes. O desenvolvimento da ferramenta foi orientado pela necessidade de oferecer recursos técnicos que possibilitem tanto o tratamento automatizado de grandes volumes de dados quanto a viabilização da extração de conhecimento por meio de análises </w:t>
      </w:r>
      <w:proofErr w:type="spellStart"/>
      <w:r w:rsidRPr="00FB60FB">
        <w:rPr>
          <w:rStyle w:val="nfaseIntensa"/>
          <w:rFonts w:ascii="Times New Roman" w:hAnsi="Times New Roman" w:cs="Times New Roman"/>
          <w:i w:val="0"/>
          <w:iCs w:val="0"/>
          <w:color w:val="auto"/>
        </w:rPr>
        <w:t>patentométricas</w:t>
      </w:r>
      <w:proofErr w:type="spellEnd"/>
      <w:r w:rsidRPr="00FB60FB">
        <w:rPr>
          <w:rStyle w:val="nfaseIntensa"/>
          <w:rFonts w:ascii="Times New Roman" w:hAnsi="Times New Roman" w:cs="Times New Roman"/>
          <w:i w:val="0"/>
          <w:iCs w:val="0"/>
          <w:color w:val="auto"/>
        </w:rPr>
        <w:t>, bibliométricas e semânticas.</w:t>
      </w:r>
    </w:p>
    <w:p w14:paraId="3F74B2FB" w14:textId="5D2CDE1D" w:rsidR="001015F4" w:rsidRDefault="001015F4" w:rsidP="0022005D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1015F4">
        <w:rPr>
          <w:rStyle w:val="nfaseIntensa"/>
          <w:rFonts w:ascii="Times New Roman" w:hAnsi="Times New Roman" w:cs="Times New Roman"/>
          <w:i w:val="0"/>
          <w:iCs w:val="0"/>
          <w:color w:val="auto"/>
        </w:rPr>
        <w:t>Assim, este trabalho apresenta a concepção, o desenvolvimento e os resultados preliminares da ferramenta Pytente, destacando sua relevância como instrumento de apoio à pesquisa e à inovação tecnológica.</w:t>
      </w:r>
    </w:p>
    <w:p w14:paraId="55952443" w14:textId="50E567C4" w:rsidR="00046516" w:rsidRPr="006423A5" w:rsidRDefault="00046516" w:rsidP="00E251DD">
      <w:pPr>
        <w:pStyle w:val="Ttulo1"/>
        <w:numPr>
          <w:ilvl w:val="1"/>
          <w:numId w:val="5"/>
        </w:numPr>
        <w:ind w:left="709"/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</w:pPr>
      <w:r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  <w:t>Objetivo</w:t>
      </w:r>
    </w:p>
    <w:p w14:paraId="166FAEE4" w14:textId="77777777" w:rsidR="00046516" w:rsidRDefault="00046516" w:rsidP="00F06FC3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</w:p>
    <w:p w14:paraId="1AA66FC3" w14:textId="22FA1588" w:rsidR="000A56A1" w:rsidRPr="008F7621" w:rsidRDefault="00802839" w:rsidP="000A56A1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802839">
        <w:rPr>
          <w:rStyle w:val="nfaseIntensa"/>
          <w:rFonts w:ascii="Times New Roman" w:hAnsi="Times New Roman" w:cs="Times New Roman"/>
          <w:i w:val="0"/>
          <w:iCs w:val="0"/>
          <w:color w:val="auto"/>
        </w:rPr>
        <w:t>Diante desse cenário,</w:t>
      </w:r>
      <w:r w:rsidR="0044381E" w:rsidRPr="0044381E">
        <w:t xml:space="preserve"> </w:t>
      </w:r>
      <w:r w:rsidR="00F6625E">
        <w:t>o</w:t>
      </w:r>
      <w:r w:rsidR="0044381E" w:rsidRPr="0044381E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objetivo deste trabalho é apresentar o desenvolvimento e as </w:t>
      </w:r>
      <w:r w:rsidR="00F6625E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principais </w:t>
      </w:r>
      <w:r w:rsidR="0044381E" w:rsidRPr="0044381E">
        <w:rPr>
          <w:rStyle w:val="nfaseIntensa"/>
          <w:rFonts w:ascii="Times New Roman" w:hAnsi="Times New Roman" w:cs="Times New Roman"/>
          <w:i w:val="0"/>
          <w:iCs w:val="0"/>
          <w:color w:val="auto"/>
        </w:rPr>
        <w:t>funcionalidades da ferramenta Pytente, destacando sua contribuição para a ampliação do uso dos dados de patentes em contextos científicos e tecnológicos.</w:t>
      </w:r>
      <w:r w:rsidR="000A56A1" w:rsidRPr="000A56A1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</w:t>
      </w:r>
      <w:r w:rsidR="000A56A1" w:rsidRPr="008F7621">
        <w:rPr>
          <w:rStyle w:val="nfaseIntensa"/>
          <w:rFonts w:ascii="Times New Roman" w:hAnsi="Times New Roman" w:cs="Times New Roman"/>
          <w:i w:val="0"/>
          <w:iCs w:val="0"/>
          <w:color w:val="auto"/>
        </w:rPr>
        <w:t>De forma específica, busca-se:</w:t>
      </w:r>
    </w:p>
    <w:p w14:paraId="7E1A4156" w14:textId="77777777" w:rsidR="000A56A1" w:rsidRPr="000A56A1" w:rsidRDefault="000A56A1" w:rsidP="000A56A1">
      <w:pPr>
        <w:pStyle w:val="PargrafodaLista"/>
        <w:numPr>
          <w:ilvl w:val="0"/>
          <w:numId w:val="6"/>
        </w:numPr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0A56A1">
        <w:rPr>
          <w:rStyle w:val="nfaseIntensa"/>
          <w:rFonts w:ascii="Times New Roman" w:hAnsi="Times New Roman" w:cs="Times New Roman"/>
          <w:i w:val="0"/>
          <w:iCs w:val="0"/>
          <w:color w:val="auto"/>
        </w:rPr>
        <w:t>Implementar mecanismos de extração e tratamento automatizado de dados de patentes em repositórios de cobertura internacional e de acesso aberto;</w:t>
      </w:r>
    </w:p>
    <w:p w14:paraId="5049749B" w14:textId="77777777" w:rsidR="000A56A1" w:rsidRPr="000A56A1" w:rsidRDefault="000A56A1" w:rsidP="000A56A1">
      <w:pPr>
        <w:pStyle w:val="PargrafodaLista"/>
        <w:numPr>
          <w:ilvl w:val="0"/>
          <w:numId w:val="6"/>
        </w:numPr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0A56A1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Propor uma estratégia baseada em técnicas de </w:t>
      </w:r>
      <w:proofErr w:type="spellStart"/>
      <w:r w:rsidRPr="000A56A1">
        <w:rPr>
          <w:rStyle w:val="nfaseIntensa"/>
          <w:rFonts w:ascii="Times New Roman" w:hAnsi="Times New Roman" w:cs="Times New Roman"/>
          <w:i w:val="0"/>
          <w:iCs w:val="0"/>
          <w:color w:val="auto"/>
        </w:rPr>
        <w:t>LLMs</w:t>
      </w:r>
      <w:proofErr w:type="spellEnd"/>
      <w:r w:rsidRPr="000A56A1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(</w:t>
      </w:r>
      <w:r w:rsidRPr="00335A0E">
        <w:rPr>
          <w:rStyle w:val="nfaseIntensa"/>
          <w:rFonts w:ascii="Times New Roman" w:hAnsi="Times New Roman" w:cs="Times New Roman"/>
          <w:color w:val="auto"/>
        </w:rPr>
        <w:t xml:space="preserve">Large </w:t>
      </w:r>
      <w:proofErr w:type="spellStart"/>
      <w:r w:rsidRPr="00335A0E">
        <w:rPr>
          <w:rStyle w:val="nfaseIntensa"/>
          <w:rFonts w:ascii="Times New Roman" w:hAnsi="Times New Roman" w:cs="Times New Roman"/>
          <w:color w:val="auto"/>
        </w:rPr>
        <w:t>Language</w:t>
      </w:r>
      <w:proofErr w:type="spellEnd"/>
      <w:r w:rsidRPr="00335A0E">
        <w:rPr>
          <w:rStyle w:val="nfaseIntensa"/>
          <w:rFonts w:ascii="Times New Roman" w:hAnsi="Times New Roman" w:cs="Times New Roman"/>
          <w:color w:val="auto"/>
        </w:rPr>
        <w:t xml:space="preserve"> Models</w:t>
      </w:r>
      <w:r w:rsidRPr="000A56A1">
        <w:rPr>
          <w:rStyle w:val="nfaseIntensa"/>
          <w:rFonts w:ascii="Times New Roman" w:hAnsi="Times New Roman" w:cs="Times New Roman"/>
          <w:i w:val="0"/>
          <w:iCs w:val="0"/>
          <w:color w:val="auto"/>
        </w:rPr>
        <w:t>) para aprimorar a busca e a compreensão semântica de textos técnicos;</w:t>
      </w:r>
    </w:p>
    <w:p w14:paraId="1B0526BB" w14:textId="04B9F026" w:rsidR="002B6678" w:rsidRPr="006423A5" w:rsidRDefault="002B6678" w:rsidP="009646FE">
      <w:pPr>
        <w:pStyle w:val="Ttulo1"/>
        <w:numPr>
          <w:ilvl w:val="0"/>
          <w:numId w:val="4"/>
        </w:numPr>
        <w:ind w:left="426"/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</w:pPr>
      <w:r w:rsidRPr="006423A5"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  <w:t>Metodologia</w:t>
      </w:r>
      <w:r w:rsidR="00A17114"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  <w:t xml:space="preserve"> e desenvolvimento</w:t>
      </w:r>
    </w:p>
    <w:p w14:paraId="2FAB97F8" w14:textId="77777777" w:rsidR="002B6678" w:rsidRPr="006423A5" w:rsidRDefault="002B6678" w:rsidP="002B6678">
      <w:pPr>
        <w:rPr>
          <w:rStyle w:val="nfaseIntensa"/>
          <w:rFonts w:ascii="Times New Roman" w:hAnsi="Times New Roman" w:cs="Times New Roman"/>
          <w:color w:val="auto"/>
        </w:rPr>
      </w:pPr>
    </w:p>
    <w:p w14:paraId="4F3A21E7" w14:textId="77777777" w:rsidR="00A42374" w:rsidRDefault="00A42374" w:rsidP="00AB77D1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A42374">
        <w:rPr>
          <w:rStyle w:val="nfaseIntensa"/>
          <w:rFonts w:ascii="Times New Roman" w:hAnsi="Times New Roman" w:cs="Times New Roman"/>
          <w:i w:val="0"/>
          <w:iCs w:val="0"/>
          <w:color w:val="auto"/>
        </w:rPr>
        <w:t>O desenvolvimento da ferramenta Pytente foi conduzido segundo o método hipotético-dedutivo, articulando experimentação computacional e análise de dados para validar suas funcionalidades e hipóteses. A arquitetura da ferramenta foi estruturada em módulos integrados que contemplam: coleta, processamento e armazenamento de dados. Quanto aos procedimentos, este estudo combina métodos de pesquisa documental e bibliográfica, pois se baseia na análise de documentos de patentes disponíveis publicamente, além da revisão da literatura pertinente a repositórios de patentes.</w:t>
      </w:r>
    </w:p>
    <w:p w14:paraId="2A3C0D31" w14:textId="55806B38" w:rsidR="00B447AC" w:rsidRDefault="00B447AC" w:rsidP="00AB77D1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B447A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Dito isto, o desenvolvimento inicia-se com o processo de revisão bibliográfica e documental para identificar os principais repositórios de consulta de documentos de patentes. Esta investigação teve como ênfase identificar os repositórios mais relevantes que oferecem acesso aberto a dados bibliográficos de patentes, além de compreender as restrições inerentes à recuperação dessas informações. Ressalta-se que a pesquisa se concentrou em repositórios que disponibilizam dados de múltiplos escritórios de patentes, de modo a assegurar maior cobertura e representatividade no contexto global de informação tecnológica.</w:t>
      </w:r>
    </w:p>
    <w:p w14:paraId="37FC0350" w14:textId="3B6D27CA" w:rsidR="00FD1EF7" w:rsidRDefault="00FD1EF7" w:rsidP="00AB77D1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FD1EF7">
        <w:rPr>
          <w:rStyle w:val="nfaseIntensa"/>
          <w:rFonts w:ascii="Times New Roman" w:hAnsi="Times New Roman" w:cs="Times New Roman"/>
          <w:i w:val="0"/>
          <w:iCs w:val="0"/>
          <w:color w:val="auto"/>
        </w:rPr>
        <w:t>Concluído o processo de revisão bibliográfica, para definir o repositório onde seriam coletados os dados bibliográficos de patentes, foram considerados: a cobertura geográfica, a amplitude de documentos, as áreas especializadas contempladas, a atualização e manutenção dos dados disponibilizados, a interface de busca, os recursos de análise, o idioma dos dados, o custo, a relevância do repositório, a amplitude da exportação de dados e a disponibilização de recursos computacionais como API e Webservice. Logo, foi elencado o repositório Espacenet como o primeiro repositório compatível com o processo de coleta do Pytente.</w:t>
      </w:r>
    </w:p>
    <w:p w14:paraId="011AD97E" w14:textId="46D316DD" w:rsidR="003775CC" w:rsidRDefault="003775CC" w:rsidP="00AB77D1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3775C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Assim, respeitando todas as diretrizes de coleta de dados estabelecidas pela Espacenet, foi implementado um conjunto de algoritmos usando a linguagem de programação Python, que automatizam a coleta dos dados bibliográficos de patentes no repositório. Os algoritmos </w:t>
      </w:r>
      <w:r w:rsidRPr="003775CC">
        <w:rPr>
          <w:rStyle w:val="nfaseIntensa"/>
          <w:rFonts w:ascii="Times New Roman" w:hAnsi="Times New Roman" w:cs="Times New Roman"/>
          <w:i w:val="0"/>
          <w:iCs w:val="0"/>
          <w:color w:val="auto"/>
        </w:rPr>
        <w:lastRenderedPageBreak/>
        <w:t xml:space="preserve">implementados viabilizam coletas de diversas magnitudes, bem como a atualização de dados. Destaca-se que a Espacenet disponibiliza um serviço web de coleta, denominado OPS (Open Patent Services). Trata-se de um serviço que fornece acesso aos dados bibliográficos de patentes utilizando a arquitetura </w:t>
      </w:r>
      <w:proofErr w:type="spellStart"/>
      <w:r w:rsidRPr="003775C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RESTful</w:t>
      </w:r>
      <w:proofErr w:type="spellEnd"/>
      <w:r w:rsidRPr="003775C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, fator que viabilizou a implementação dos algoritmos de coleta e atualização dos dados. Os requisitos técnicos para consumir os serviços da OPS estão descritos detalhadamente na documentação oficial fornecida pelo </w:t>
      </w:r>
      <w:proofErr w:type="spellStart"/>
      <w:r w:rsidRPr="003775C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European</w:t>
      </w:r>
      <w:proofErr w:type="spellEnd"/>
      <w:r w:rsidRPr="003775C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Patent Office (</w:t>
      </w:r>
      <w:hyperlink r:id="rId8" w:history="1">
        <w:r w:rsidR="00845B5A" w:rsidRPr="00A33E6B">
          <w:rPr>
            <w:rStyle w:val="Hyperlink"/>
            <w:rFonts w:ascii="Times New Roman" w:hAnsi="Times New Roman" w:cs="Times New Roman"/>
          </w:rPr>
          <w:t>https://www.epo.org/en/searching-for-patents/data/web-services/ops</w:t>
        </w:r>
      </w:hyperlink>
      <w:r w:rsidRPr="003775C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).</w:t>
      </w:r>
    </w:p>
    <w:p w14:paraId="130C111B" w14:textId="76634D69" w:rsidR="00845B5A" w:rsidRDefault="00845B5A" w:rsidP="00AB77D1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845B5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Em continuidade, os dados coletados são tratados com o propósito de viabilizar o armazenamento e o relacionamento entre eles. Este processo compreende a descrição formal das tabelas (entidades), suas colunas (atributos), tipos de dados, restrições e os relacionamentos entre as entidades. O Modelo conceitual dos dados é apresentado pela Figura 1.</w:t>
      </w:r>
    </w:p>
    <w:p w14:paraId="26A52D1B" w14:textId="0418009D" w:rsidR="004C5CF7" w:rsidRDefault="004C5CF7" w:rsidP="004C5CF7">
      <w:pPr>
        <w:ind w:firstLine="708"/>
        <w:jc w:val="center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F61487">
        <w:rPr>
          <w:rStyle w:val="nfaseIntensa"/>
          <w:rFonts w:ascii="Times New Roman" w:hAnsi="Times New Roman" w:cs="Times New Roman"/>
          <w:b/>
          <w:bCs/>
          <w:i w:val="0"/>
          <w:iCs w:val="0"/>
          <w:color w:val="auto"/>
        </w:rPr>
        <w:t>Figura 1</w:t>
      </w:r>
      <w:r w:rsidR="00F61487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- </w:t>
      </w:r>
      <w:r w:rsidR="00F61487" w:rsidRPr="00F61487">
        <w:rPr>
          <w:rStyle w:val="nfaseIntensa"/>
          <w:rFonts w:ascii="Times New Roman" w:hAnsi="Times New Roman" w:cs="Times New Roman"/>
          <w:i w:val="0"/>
          <w:iCs w:val="0"/>
          <w:color w:val="auto"/>
        </w:rPr>
        <w:t>Modelo conceitual da entidade definidas</w:t>
      </w:r>
    </w:p>
    <w:p w14:paraId="39450C5B" w14:textId="1B53EE9E" w:rsidR="00985DE7" w:rsidRDefault="00985DE7" w:rsidP="00BE554A">
      <w:pPr>
        <w:ind w:firstLine="426"/>
        <w:jc w:val="center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>
        <w:rPr>
          <w:noProof/>
        </w:rPr>
        <w:drawing>
          <wp:inline distT="0" distB="0" distL="0" distR="0" wp14:anchorId="0E5B53B5" wp14:editId="4D2BB509">
            <wp:extent cx="4602699" cy="2053988"/>
            <wp:effectExtent l="0" t="0" r="7620" b="3810"/>
            <wp:docPr id="1191245819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245819" name="Imagem 1" descr="Dia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8489" cy="2061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E05ABB" w14:textId="06D4ABA9" w:rsidR="00F61487" w:rsidRDefault="008C254A" w:rsidP="00F61487">
      <w:pPr>
        <w:ind w:firstLine="708"/>
        <w:jc w:val="center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BE554A">
        <w:rPr>
          <w:rStyle w:val="nfaseIntensa"/>
          <w:rFonts w:ascii="Times New Roman" w:hAnsi="Times New Roman" w:cs="Times New Roman"/>
          <w:b/>
          <w:bCs/>
          <w:i w:val="0"/>
          <w:iCs w:val="0"/>
          <w:color w:val="auto"/>
        </w:rPr>
        <w:t>Fonte</w:t>
      </w:r>
      <w:r w:rsidRPr="008C254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: Elaboração do autor</w:t>
      </w:r>
    </w:p>
    <w:p w14:paraId="0A3374A4" w14:textId="77777777" w:rsidR="008972BD" w:rsidRDefault="008972BD" w:rsidP="005568AE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8972BD">
        <w:rPr>
          <w:rStyle w:val="nfaseIntensa"/>
          <w:rFonts w:ascii="Times New Roman" w:hAnsi="Times New Roman" w:cs="Times New Roman"/>
          <w:i w:val="0"/>
          <w:iCs w:val="0"/>
          <w:color w:val="auto"/>
        </w:rPr>
        <w:t>A imagem mostra a modelagem conceitual dos relacionamentos entre entidades. A entidade "Patente" é a entidade central do diagrama. Ela estabelece diversas relações com outras entidades, como "Identificador", "Classificação" e "Pessoa". A entidade "Patente" é composta por doze atributos que a caracterizam. Esses atributos foram definidos com base nos dados bibliográficos da patente, em conformidade com a Norma ST.9. A entidade "Patente" agrega os dados bibliográficos provenientes do conjunto de dados coletados na Espacenet.</w:t>
      </w:r>
    </w:p>
    <w:p w14:paraId="5A52FC6C" w14:textId="3E2BCB8F" w:rsidR="006B5978" w:rsidRDefault="006B5978" w:rsidP="005568AE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6B5978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Já a entidade "Classificação" indica as classificações associadas a uma patente. Considerando que uma patente pode receber múltiplas classificações, tornou-se necessário definir uma entidade específica para representá-las. </w:t>
      </w:r>
      <w:r w:rsidR="006B7ED5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A </w:t>
      </w:r>
      <w:r w:rsidRPr="006B5978">
        <w:rPr>
          <w:rStyle w:val="nfaseIntensa"/>
          <w:rFonts w:ascii="Times New Roman" w:hAnsi="Times New Roman" w:cs="Times New Roman"/>
          <w:i w:val="0"/>
          <w:iCs w:val="0"/>
          <w:color w:val="auto"/>
        </w:rPr>
        <w:t>entidade "Pessoa" representa os indivíduos que têm relação com a patente, como depositantes, procuradores ou inventores.</w:t>
      </w:r>
      <w:r w:rsidR="006B7ED5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</w:t>
      </w:r>
      <w:r w:rsidR="006B7ED5" w:rsidRPr="006B5978">
        <w:rPr>
          <w:rStyle w:val="nfaseIntensa"/>
          <w:rFonts w:ascii="Times New Roman" w:hAnsi="Times New Roman" w:cs="Times New Roman"/>
          <w:i w:val="0"/>
          <w:iCs w:val="0"/>
          <w:color w:val="auto"/>
        </w:rPr>
        <w:t>E, por fim, a</w:t>
      </w:r>
      <w:r w:rsidR="006B7ED5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entidade “Identificador” que armazena todas as formas de identificar uma patentes, </w:t>
      </w:r>
      <w:r w:rsidR="00D3456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as variações dos</w:t>
      </w:r>
      <w:r w:rsidR="006B7ED5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números de depósito e publicação.</w:t>
      </w:r>
    </w:p>
    <w:p w14:paraId="75A33C76" w14:textId="44B1C192" w:rsidR="00D3456A" w:rsidRDefault="00D3456A" w:rsidP="005568AE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D3456A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Definidas todas as entidades, os dados são armazenados em um banco de dados relacional, baseado no Modelo Entidade-Relacionamento introduzido por Peter Pin-Shan Chen, em 1976 (DATE, 2003). Desta forma, foi adotado o </w:t>
      </w:r>
      <w:proofErr w:type="spellStart"/>
      <w:r w:rsidRPr="00D3456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SQLite</w:t>
      </w:r>
      <w:proofErr w:type="spellEnd"/>
      <w:r w:rsidRPr="00D3456A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, uma biblioteca de banco de dados relacional que implementa um mecanismo de banco de dados SQL autônomo e sem servidor. Essas características tornam o </w:t>
      </w:r>
      <w:proofErr w:type="spellStart"/>
      <w:r w:rsidRPr="00D3456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SQLite</w:t>
      </w:r>
      <w:proofErr w:type="spellEnd"/>
      <w:r w:rsidRPr="00D3456A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uma solução prática e de fácil manipulação, além de suportar até 280 </w:t>
      </w:r>
      <w:proofErr w:type="spellStart"/>
      <w:r w:rsidRPr="00D3456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terabytes</w:t>
      </w:r>
      <w:proofErr w:type="spellEnd"/>
      <w:r w:rsidRPr="00D3456A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de dados (THE SQLITE CONSORTIUM, 2025).</w:t>
      </w:r>
    </w:p>
    <w:p w14:paraId="59444268" w14:textId="3F6288F7" w:rsidR="000E44F4" w:rsidRDefault="000E44F4" w:rsidP="005568AE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0E44F4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Todos os algoritmos gerados nos processos de coleta, tratamento e armazenamento foram compilados, estabelecendo assim o Pytente, uma ferramenta computacional para análise e recuperação de dados bibliográficos de patentes. A escolha do nome Pytente reflete uma combinação estratégica </w:t>
      </w:r>
      <w:r w:rsidRPr="000E44F4">
        <w:rPr>
          <w:rStyle w:val="nfaseIntensa"/>
          <w:rFonts w:ascii="Times New Roman" w:hAnsi="Times New Roman" w:cs="Times New Roman"/>
          <w:i w:val="0"/>
          <w:iCs w:val="0"/>
          <w:color w:val="auto"/>
        </w:rPr>
        <w:lastRenderedPageBreak/>
        <w:t>que destaca tanto a base tecnológica quanto o propósito da ferramenta: a coleta e análise de dados bibliográficos de patentes. O nome resulta da junção das palavras "Python" e "Patente", evidenciando a linguagem de programação utilizada no desenvolvimento e a natureza das informações manipuladas. Dessa forma, o nome comunica diretamente a função e o objetivo da ferramenta, facilitando o reconhecimento e a associação imediata ao seu propósito principal. A Figura 2 apresenta a arquitetura do Pytente.</w:t>
      </w:r>
    </w:p>
    <w:p w14:paraId="5BAA8132" w14:textId="5BAD547C" w:rsidR="00BE554A" w:rsidRDefault="00BE554A" w:rsidP="00BE554A">
      <w:pPr>
        <w:ind w:firstLine="708"/>
        <w:jc w:val="center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F61487">
        <w:rPr>
          <w:rStyle w:val="nfaseIntensa"/>
          <w:rFonts w:ascii="Times New Roman" w:hAnsi="Times New Roman" w:cs="Times New Roman"/>
          <w:b/>
          <w:bCs/>
          <w:i w:val="0"/>
          <w:iCs w:val="0"/>
          <w:color w:val="auto"/>
        </w:rPr>
        <w:t xml:space="preserve">Figura </w:t>
      </w:r>
      <w:r>
        <w:rPr>
          <w:rStyle w:val="nfaseIntensa"/>
          <w:rFonts w:ascii="Times New Roman" w:hAnsi="Times New Roman" w:cs="Times New Roman"/>
          <w:b/>
          <w:bCs/>
          <w:i w:val="0"/>
          <w:iCs w:val="0"/>
          <w:color w:val="auto"/>
        </w:rPr>
        <w:t>2</w:t>
      </w:r>
      <w:r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– Arquitetura do Pytente</w:t>
      </w:r>
    </w:p>
    <w:p w14:paraId="4CC655FD" w14:textId="3F8261B7" w:rsidR="00AE593C" w:rsidRDefault="008B7632" w:rsidP="00BE554A">
      <w:pPr>
        <w:ind w:firstLine="284"/>
        <w:jc w:val="center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>
        <w:rPr>
          <w:noProof/>
        </w:rPr>
        <w:drawing>
          <wp:inline distT="0" distB="0" distL="0" distR="0" wp14:anchorId="07EB7589" wp14:editId="46C89C3D">
            <wp:extent cx="4517409" cy="2209153"/>
            <wp:effectExtent l="0" t="0" r="0" b="1270"/>
            <wp:docPr id="12791427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1427" name="Imagem 1" descr="Diagrama&#10;&#10;O conteúdo gerado por IA pode estar incorreto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31381" cy="2215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0403A" w14:textId="77777777" w:rsidR="00BE554A" w:rsidRDefault="00BE554A" w:rsidP="00BE554A">
      <w:pPr>
        <w:ind w:firstLine="708"/>
        <w:jc w:val="center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BE554A">
        <w:rPr>
          <w:rStyle w:val="nfaseIntensa"/>
          <w:rFonts w:ascii="Times New Roman" w:hAnsi="Times New Roman" w:cs="Times New Roman"/>
          <w:b/>
          <w:bCs/>
          <w:i w:val="0"/>
          <w:iCs w:val="0"/>
          <w:color w:val="auto"/>
        </w:rPr>
        <w:t>Fonte</w:t>
      </w:r>
      <w:r w:rsidRPr="008C254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: Elaboração do autor</w:t>
      </w:r>
    </w:p>
    <w:p w14:paraId="57807C40" w14:textId="77777777" w:rsidR="0086505C" w:rsidRDefault="0086505C" w:rsidP="00317EF7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86505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Conforme apresentado pela figura, o Pytente não opera integralmente em um servidor remoto, sendo necessário realizar também a instalação em um computador local para seu pleno funcionamento. Sua interface web permite a construção de estratégias para coleta, tratamento e extração de subconjuntos de dados. No entanto, a execução dessas estratégias ocorre localmente, conferindo ao pesquisador maior autonomia sobre todo o processo. Para maior acessibilidade ao uso da ferramenta, a interface web pode ser acessada nos idiomas </w:t>
      </w:r>
      <w:proofErr w:type="gramStart"/>
      <w:r w:rsidRPr="0086505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Português</w:t>
      </w:r>
      <w:proofErr w:type="gramEnd"/>
      <w:r w:rsidRPr="0086505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do Brasil e </w:t>
      </w:r>
      <w:proofErr w:type="gramStart"/>
      <w:r w:rsidRPr="0086505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Inglês</w:t>
      </w:r>
      <w:proofErr w:type="gramEnd"/>
      <w:r w:rsidRPr="0086505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. </w:t>
      </w:r>
    </w:p>
    <w:p w14:paraId="78835868" w14:textId="1A674E4F" w:rsidR="00281347" w:rsidRDefault="00281347" w:rsidP="00317EF7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281347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No fluxo principal de uso da ferramenta, o pesquisador acessa a interface web (1) e define a estratégia de coleta, como, por exemplo, patentes depositadas no Brasil no ano de 2024. Em seguida, é necessário fazer o download da estratégia criada (2) para executá-la localmente no computador (3). Assim, de acordo com a estratégia definida, o Pytente acessa o repositório da Espacenet, faz a coleta dos dados bibliográficos da patente (4) e os armazena localmente no banco de dados. </w:t>
      </w:r>
      <w:r w:rsidR="0046234D">
        <w:rPr>
          <w:rStyle w:val="nfaseIntensa"/>
          <w:rFonts w:ascii="Times New Roman" w:hAnsi="Times New Roman" w:cs="Times New Roman"/>
          <w:i w:val="0"/>
          <w:iCs w:val="0"/>
          <w:color w:val="auto"/>
        </w:rPr>
        <w:t>Ademais</w:t>
      </w:r>
      <w:r w:rsidR="009230E5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, </w:t>
      </w:r>
      <w:r w:rsidR="0046234D">
        <w:rPr>
          <w:rStyle w:val="nfaseIntensa"/>
          <w:rFonts w:ascii="Times New Roman" w:hAnsi="Times New Roman" w:cs="Times New Roman"/>
          <w:i w:val="0"/>
          <w:iCs w:val="0"/>
          <w:color w:val="auto"/>
        </w:rPr>
        <w:t>é i</w:t>
      </w:r>
      <w:r w:rsidRPr="00281347">
        <w:rPr>
          <w:rStyle w:val="nfaseIntensa"/>
          <w:rFonts w:ascii="Times New Roman" w:hAnsi="Times New Roman" w:cs="Times New Roman"/>
          <w:i w:val="0"/>
          <w:iCs w:val="0"/>
          <w:color w:val="auto"/>
        </w:rPr>
        <w:t>mportante ressaltar que, de acordo com a estratégia de coleta definida, o tempo de processamento (4) pode ser alto. No entanto, o processamento pode ser interrompido e retomado do ponto em que parou sempre que o pesquisador necessitar.</w:t>
      </w:r>
    </w:p>
    <w:p w14:paraId="1AAAD534" w14:textId="1D5BFBBD" w:rsidR="004B60E1" w:rsidRDefault="009C1E75" w:rsidP="00317EF7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>
        <w:rPr>
          <w:rStyle w:val="nfaseIntensa"/>
          <w:rFonts w:ascii="Times New Roman" w:hAnsi="Times New Roman" w:cs="Times New Roman"/>
          <w:i w:val="0"/>
          <w:iCs w:val="0"/>
          <w:color w:val="auto"/>
        </w:rPr>
        <w:t>Os dados armazenados podem ser recuperando usando qualquer ferramenta</w:t>
      </w:r>
      <w:r w:rsidR="00DA5B95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compatível com o banco de dados </w:t>
      </w:r>
      <w:proofErr w:type="spellStart"/>
      <w:r w:rsidR="00DA5B95">
        <w:rPr>
          <w:rStyle w:val="nfaseIntensa"/>
          <w:rFonts w:ascii="Times New Roman" w:hAnsi="Times New Roman" w:cs="Times New Roman"/>
          <w:i w:val="0"/>
          <w:iCs w:val="0"/>
          <w:color w:val="auto"/>
        </w:rPr>
        <w:t>SQLite</w:t>
      </w:r>
      <w:proofErr w:type="spellEnd"/>
      <w:r w:rsidR="00DA5B95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, como o </w:t>
      </w:r>
      <w:r w:rsidR="006E38A7" w:rsidRPr="006E38A7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DB Browser for </w:t>
      </w:r>
      <w:proofErr w:type="spellStart"/>
      <w:r w:rsidR="006E38A7" w:rsidRPr="006E38A7">
        <w:rPr>
          <w:rStyle w:val="nfaseIntensa"/>
          <w:rFonts w:ascii="Times New Roman" w:hAnsi="Times New Roman" w:cs="Times New Roman"/>
          <w:i w:val="0"/>
          <w:iCs w:val="0"/>
          <w:color w:val="auto"/>
        </w:rPr>
        <w:t>SQLite</w:t>
      </w:r>
      <w:proofErr w:type="spellEnd"/>
      <w:r w:rsidR="006E38A7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, que pode ser acessado gratuitamente </w:t>
      </w:r>
      <w:r w:rsidR="0003005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na página do desenvolvedor</w:t>
      </w:r>
      <w:r w:rsidR="006E38A7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</w:t>
      </w:r>
      <w:r w:rsidR="0003005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(</w:t>
      </w:r>
      <w:hyperlink r:id="rId11" w:history="1">
        <w:r w:rsidR="0003005C" w:rsidRPr="00A33E6B">
          <w:rPr>
            <w:rStyle w:val="Hyperlink"/>
            <w:rFonts w:ascii="Times New Roman" w:hAnsi="Times New Roman" w:cs="Times New Roman"/>
          </w:rPr>
          <w:t>https://sqlitebrowser.org/</w:t>
        </w:r>
      </w:hyperlink>
      <w:r w:rsidR="0003005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), Entretando, como uma alternativa </w:t>
      </w:r>
      <w:r w:rsidR="00C67C07">
        <w:rPr>
          <w:rStyle w:val="nfaseIntensa"/>
          <w:rFonts w:ascii="Times New Roman" w:hAnsi="Times New Roman" w:cs="Times New Roman"/>
          <w:i w:val="0"/>
          <w:iCs w:val="0"/>
          <w:color w:val="auto"/>
        </w:rPr>
        <w:t>mais acessível, os dados podem ser recuperado usando pesquisa semântica.</w:t>
      </w:r>
    </w:p>
    <w:p w14:paraId="2693852D" w14:textId="2EC0A27A" w:rsidR="000724FC" w:rsidRDefault="000724FC" w:rsidP="000724FC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0724F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A busca semântica foi desenvolvida com base no modelo BERT (</w:t>
      </w:r>
      <w:proofErr w:type="spellStart"/>
      <w:r w:rsidRPr="00522494">
        <w:rPr>
          <w:rStyle w:val="nfaseIntensa"/>
          <w:rFonts w:ascii="Times New Roman" w:hAnsi="Times New Roman" w:cs="Times New Roman"/>
          <w:color w:val="auto"/>
        </w:rPr>
        <w:t>Bidirectional</w:t>
      </w:r>
      <w:proofErr w:type="spellEnd"/>
      <w:r w:rsidRPr="00522494">
        <w:rPr>
          <w:rStyle w:val="nfaseIntensa"/>
          <w:rFonts w:ascii="Times New Roman" w:hAnsi="Times New Roman" w:cs="Times New Roman"/>
          <w:color w:val="auto"/>
        </w:rPr>
        <w:t xml:space="preserve"> </w:t>
      </w:r>
      <w:proofErr w:type="spellStart"/>
      <w:r w:rsidRPr="00522494">
        <w:rPr>
          <w:rStyle w:val="nfaseIntensa"/>
          <w:rFonts w:ascii="Times New Roman" w:hAnsi="Times New Roman" w:cs="Times New Roman"/>
          <w:color w:val="auto"/>
        </w:rPr>
        <w:t>Encoder</w:t>
      </w:r>
      <w:proofErr w:type="spellEnd"/>
      <w:r w:rsidRPr="00522494">
        <w:rPr>
          <w:rStyle w:val="nfaseIntensa"/>
          <w:rFonts w:ascii="Times New Roman" w:hAnsi="Times New Roman" w:cs="Times New Roman"/>
          <w:color w:val="auto"/>
        </w:rPr>
        <w:t xml:space="preserve"> </w:t>
      </w:r>
      <w:proofErr w:type="spellStart"/>
      <w:r w:rsidRPr="00522494">
        <w:rPr>
          <w:rStyle w:val="nfaseIntensa"/>
          <w:rFonts w:ascii="Times New Roman" w:hAnsi="Times New Roman" w:cs="Times New Roman"/>
          <w:color w:val="auto"/>
        </w:rPr>
        <w:t>Representations</w:t>
      </w:r>
      <w:proofErr w:type="spellEnd"/>
      <w:r w:rsidRPr="00522494">
        <w:rPr>
          <w:rStyle w:val="nfaseIntensa"/>
          <w:rFonts w:ascii="Times New Roman" w:hAnsi="Times New Roman" w:cs="Times New Roman"/>
          <w:color w:val="auto"/>
        </w:rPr>
        <w:t xml:space="preserve"> from Transformers</w:t>
      </w:r>
      <w:r w:rsidRPr="000724F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), criado pela Google e classificado como um modelo de linguagem de larga escala (LLM – </w:t>
      </w:r>
      <w:r w:rsidRPr="00522494">
        <w:rPr>
          <w:rStyle w:val="nfaseIntensa"/>
          <w:rFonts w:ascii="Times New Roman" w:hAnsi="Times New Roman" w:cs="Times New Roman"/>
          <w:color w:val="auto"/>
        </w:rPr>
        <w:t xml:space="preserve">Large </w:t>
      </w:r>
      <w:proofErr w:type="spellStart"/>
      <w:r w:rsidRPr="00522494">
        <w:rPr>
          <w:rStyle w:val="nfaseIntensa"/>
          <w:rFonts w:ascii="Times New Roman" w:hAnsi="Times New Roman" w:cs="Times New Roman"/>
          <w:color w:val="auto"/>
        </w:rPr>
        <w:t>Language</w:t>
      </w:r>
      <w:proofErr w:type="spellEnd"/>
      <w:r w:rsidRPr="00522494">
        <w:rPr>
          <w:rStyle w:val="nfaseIntensa"/>
          <w:rFonts w:ascii="Times New Roman" w:hAnsi="Times New Roman" w:cs="Times New Roman"/>
          <w:color w:val="auto"/>
        </w:rPr>
        <w:t xml:space="preserve"> Model</w:t>
      </w:r>
      <w:r w:rsidRPr="000724F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). Esse tipo de modelo é treinado com grandes volumes de dados textuais e emprega técnicas de aprendizado profundo para compreender relações contextuais entre palavras. Para este estudo, foi utilizada a variante S-BERT (</w:t>
      </w:r>
      <w:proofErr w:type="spellStart"/>
      <w:r w:rsidRPr="000724F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Sentence</w:t>
      </w:r>
      <w:proofErr w:type="spellEnd"/>
      <w:r w:rsidRPr="000724F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-BERT), uma extensão do BERT otimizada para a geração de representações semânticas de sentenças, permitindo maior precisão em tarefas de similaridade textual. A implementação foi realizada por meio </w:t>
      </w:r>
      <w:r w:rsidRPr="000724FC">
        <w:rPr>
          <w:rStyle w:val="nfaseIntensa"/>
          <w:rFonts w:ascii="Times New Roman" w:hAnsi="Times New Roman" w:cs="Times New Roman"/>
          <w:i w:val="0"/>
          <w:iCs w:val="0"/>
          <w:color w:val="auto"/>
        </w:rPr>
        <w:lastRenderedPageBreak/>
        <w:t xml:space="preserve">da biblioteca Python </w:t>
      </w:r>
      <w:proofErr w:type="spellStart"/>
      <w:r w:rsidRPr="000724F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SentenceTransformer</w:t>
      </w:r>
      <w:r w:rsidR="00724698">
        <w:rPr>
          <w:rStyle w:val="nfaseIntensa"/>
          <w:rFonts w:ascii="Times New Roman" w:hAnsi="Times New Roman" w:cs="Times New Roman"/>
          <w:i w:val="0"/>
          <w:iCs w:val="0"/>
          <w:color w:val="auto"/>
        </w:rPr>
        <w:t>s</w:t>
      </w:r>
      <w:proofErr w:type="spellEnd"/>
      <w:r w:rsidRPr="000724F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, que disponibiliza recursos específicos para o cálculo de </w:t>
      </w:r>
      <w:proofErr w:type="spellStart"/>
      <w:r w:rsidRPr="000724F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embeddings</w:t>
      </w:r>
      <w:proofErr w:type="spellEnd"/>
      <w:r w:rsidRPr="000724FC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de sentenças e parágrafos.</w:t>
      </w:r>
    </w:p>
    <w:p w14:paraId="1F2B207E" w14:textId="02F7B4F0" w:rsidR="00474B2E" w:rsidRDefault="00724698" w:rsidP="00DC046A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724698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A biblioteca </w:t>
      </w:r>
      <w:proofErr w:type="spellStart"/>
      <w:r w:rsidRPr="00724698">
        <w:rPr>
          <w:rStyle w:val="nfaseIntensa"/>
          <w:rFonts w:ascii="Times New Roman" w:hAnsi="Times New Roman" w:cs="Times New Roman"/>
          <w:i w:val="0"/>
          <w:iCs w:val="0"/>
          <w:color w:val="auto"/>
        </w:rPr>
        <w:t>SentenceTransformers</w:t>
      </w:r>
      <w:proofErr w:type="spellEnd"/>
      <w:r w:rsidRPr="00724698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possibilita converter textos em vetores numéricos de alta dimensionalidade (</w:t>
      </w:r>
      <w:proofErr w:type="spellStart"/>
      <w:r w:rsidRPr="00724698">
        <w:rPr>
          <w:rStyle w:val="nfaseIntensa"/>
          <w:rFonts w:ascii="Times New Roman" w:hAnsi="Times New Roman" w:cs="Times New Roman"/>
          <w:i w:val="0"/>
          <w:iCs w:val="0"/>
          <w:color w:val="auto"/>
        </w:rPr>
        <w:t>embeddings</w:t>
      </w:r>
      <w:proofErr w:type="spellEnd"/>
      <w:r w:rsidRPr="00724698">
        <w:rPr>
          <w:rStyle w:val="nfaseIntensa"/>
          <w:rFonts w:ascii="Times New Roman" w:hAnsi="Times New Roman" w:cs="Times New Roman"/>
          <w:i w:val="0"/>
          <w:iCs w:val="0"/>
          <w:color w:val="auto"/>
        </w:rPr>
        <w:t>), preservando relações semânticas entre palavras, frases e documentos. Essa abordagem é especialmente eficaz para identificar sinônimos e medir proximidade semântica entre diferentes descrições textuais, sendo particularmente adequada para consultas em bases complexas, como repositórios de patentes.</w:t>
      </w:r>
      <w:r w:rsidR="00D905AF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</w:t>
      </w:r>
      <w:r w:rsidR="00474B2E" w:rsidRPr="00474B2E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O modelo adotado foi o “distiluse-base-multilingual-cased-v1”, pertencente à família </w:t>
      </w:r>
      <w:proofErr w:type="spellStart"/>
      <w:r w:rsidR="00474B2E" w:rsidRPr="00474B2E">
        <w:rPr>
          <w:rStyle w:val="nfaseIntensa"/>
          <w:rFonts w:ascii="Times New Roman" w:hAnsi="Times New Roman" w:cs="Times New Roman"/>
          <w:i w:val="0"/>
          <w:iCs w:val="0"/>
          <w:color w:val="auto"/>
        </w:rPr>
        <w:t>sentence-transformers</w:t>
      </w:r>
      <w:proofErr w:type="spellEnd"/>
      <w:r w:rsidR="00474B2E" w:rsidRPr="00474B2E">
        <w:rPr>
          <w:rStyle w:val="nfaseIntensa"/>
          <w:rFonts w:ascii="Times New Roman" w:hAnsi="Times New Roman" w:cs="Times New Roman"/>
          <w:i w:val="0"/>
          <w:iCs w:val="0"/>
          <w:color w:val="auto"/>
        </w:rPr>
        <w:t>. Esse modelo mapeia sentenças e parágrafos em um espaço vetorial denso de 512 dimensões, sendo amplamente reconhecido por sua eficiência em tarefas de agrupamento, classificação e recuperação semântica de informações (REIMERS; GUREVYCH, 2019)</w:t>
      </w:r>
    </w:p>
    <w:p w14:paraId="36211D97" w14:textId="32F0447A" w:rsidR="002B433A" w:rsidRDefault="002B433A" w:rsidP="00724698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2B433A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A implementação da busca semântica exigiu uma etapa preliminar de pré-processamento dos dados, destinada a estruturar o banco de patentes em formato compatível com o modelo de análise semântica. </w:t>
      </w:r>
      <w:r w:rsidR="00DC046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F</w:t>
      </w:r>
      <w:r w:rsidRPr="002B433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oram considerados apenas os campos título e resumo, por concentrarem as informações mais relevantes sobre o conteúdo técnico das invenções.</w:t>
      </w:r>
    </w:p>
    <w:p w14:paraId="375885C7" w14:textId="62A41B12" w:rsidR="00E41E2F" w:rsidRDefault="00E41E2F" w:rsidP="00724698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E41E2F">
        <w:rPr>
          <w:rStyle w:val="nfaseIntensa"/>
          <w:rFonts w:ascii="Times New Roman" w:hAnsi="Times New Roman" w:cs="Times New Roman"/>
          <w:i w:val="0"/>
          <w:iCs w:val="0"/>
          <w:color w:val="auto"/>
        </w:rPr>
        <w:t>O processo de pré-processamento foi dividido em quatro etapas principais. A primeira (i) consistiu na extração estruturada dos dados, selecionando, para cada patente, os atributos “número”, “título” e “resumo”. A segunda etapa (</w:t>
      </w:r>
      <w:proofErr w:type="spellStart"/>
      <w:r w:rsidRPr="00E41E2F">
        <w:rPr>
          <w:rStyle w:val="nfaseIntensa"/>
          <w:rFonts w:ascii="Times New Roman" w:hAnsi="Times New Roman" w:cs="Times New Roman"/>
          <w:i w:val="0"/>
          <w:iCs w:val="0"/>
          <w:color w:val="auto"/>
        </w:rPr>
        <w:t>ii</w:t>
      </w:r>
      <w:proofErr w:type="spellEnd"/>
      <w:r w:rsidRPr="00E41E2F">
        <w:rPr>
          <w:rStyle w:val="nfaseIntensa"/>
          <w:rFonts w:ascii="Times New Roman" w:hAnsi="Times New Roman" w:cs="Times New Roman"/>
          <w:i w:val="0"/>
          <w:iCs w:val="0"/>
          <w:color w:val="auto"/>
        </w:rPr>
        <w:t>) envolveu a limpeza dos dados, com a exclusão de registros incompletos ou inconsistentes. Em seguida, a terceira etapa (</w:t>
      </w:r>
      <w:proofErr w:type="spellStart"/>
      <w:r w:rsidRPr="00E41E2F">
        <w:rPr>
          <w:rStyle w:val="nfaseIntensa"/>
          <w:rFonts w:ascii="Times New Roman" w:hAnsi="Times New Roman" w:cs="Times New Roman"/>
          <w:i w:val="0"/>
          <w:iCs w:val="0"/>
          <w:color w:val="auto"/>
        </w:rPr>
        <w:t>iii</w:t>
      </w:r>
      <w:proofErr w:type="spellEnd"/>
      <w:r w:rsidRPr="00E41E2F">
        <w:rPr>
          <w:rStyle w:val="nfaseIntensa"/>
          <w:rFonts w:ascii="Times New Roman" w:hAnsi="Times New Roman" w:cs="Times New Roman"/>
          <w:i w:val="0"/>
          <w:iCs w:val="0"/>
          <w:color w:val="auto"/>
        </w:rPr>
        <w:t>) correspondeu à transformação textual, incluindo a conversão de todos os caracteres para letras minúsculas e a remoção de palavras irrelevantes (</w:t>
      </w:r>
      <w:proofErr w:type="spellStart"/>
      <w:r w:rsidRPr="00E41E2F">
        <w:rPr>
          <w:rStyle w:val="nfaseIntensa"/>
          <w:rFonts w:ascii="Times New Roman" w:hAnsi="Times New Roman" w:cs="Times New Roman"/>
          <w:i w:val="0"/>
          <w:iCs w:val="0"/>
          <w:color w:val="auto"/>
        </w:rPr>
        <w:t>stopwords</w:t>
      </w:r>
      <w:proofErr w:type="spellEnd"/>
      <w:r w:rsidRPr="00E41E2F">
        <w:rPr>
          <w:rStyle w:val="nfaseIntensa"/>
          <w:rFonts w:ascii="Times New Roman" w:hAnsi="Times New Roman" w:cs="Times New Roman"/>
          <w:i w:val="0"/>
          <w:iCs w:val="0"/>
          <w:color w:val="auto"/>
        </w:rPr>
        <w:t>), de modo a reduzir ruídos semânticos. Por fim, a quarta etapa (</w:t>
      </w:r>
      <w:proofErr w:type="spellStart"/>
      <w:r w:rsidRPr="00E41E2F">
        <w:rPr>
          <w:rStyle w:val="nfaseIntensa"/>
          <w:rFonts w:ascii="Times New Roman" w:hAnsi="Times New Roman" w:cs="Times New Roman"/>
          <w:i w:val="0"/>
          <w:iCs w:val="0"/>
          <w:color w:val="auto"/>
        </w:rPr>
        <w:t>iv</w:t>
      </w:r>
      <w:proofErr w:type="spellEnd"/>
      <w:r w:rsidRPr="00E41E2F">
        <w:rPr>
          <w:rStyle w:val="nfaseIntensa"/>
          <w:rFonts w:ascii="Times New Roman" w:hAnsi="Times New Roman" w:cs="Times New Roman"/>
          <w:i w:val="0"/>
          <w:iCs w:val="0"/>
          <w:color w:val="auto"/>
        </w:rPr>
        <w:t>) tratou da redução e consolidação dos dados, na qual os campos “título” e “resumo” foram concatenados em uma única descrição, resultando em uma base tabular simplificada com dois atributos: número da patente e descrição consolidada.</w:t>
      </w:r>
    </w:p>
    <w:p w14:paraId="38052E95" w14:textId="08868D31" w:rsidR="002B6678" w:rsidRPr="006423A5" w:rsidRDefault="002B6678" w:rsidP="007F1651">
      <w:pPr>
        <w:pStyle w:val="Ttulo1"/>
        <w:numPr>
          <w:ilvl w:val="0"/>
          <w:numId w:val="4"/>
        </w:numPr>
        <w:ind w:left="426"/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</w:pPr>
      <w:r w:rsidRPr="006423A5"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  <w:t>Resultados</w:t>
      </w:r>
    </w:p>
    <w:p w14:paraId="39D8EEFC" w14:textId="77777777" w:rsidR="002B6678" w:rsidRPr="006423A5" w:rsidRDefault="002B6678" w:rsidP="002B6678">
      <w:pPr>
        <w:rPr>
          <w:rStyle w:val="nfaseIntensa"/>
          <w:rFonts w:ascii="Times New Roman" w:hAnsi="Times New Roman" w:cs="Times New Roman"/>
          <w:color w:val="auto"/>
        </w:rPr>
      </w:pPr>
    </w:p>
    <w:p w14:paraId="1ECD9D29" w14:textId="77777777" w:rsidR="00FD272A" w:rsidRDefault="00FD272A" w:rsidP="00A63AEF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FD272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O estudo resultou na implementação de uma ferramenta computacional para análise e recuperação de dados bibliográficos de patentes. A escolha da linguagem de programação Python para o desenvolvimento da ferramenta Pytente justifica-se por sua ampla aceitação e reconhecimento, especialmente pela simplicidade e eficiência que oferece no desenvolvimento de ferramentas de mineração e análise de dados. Além disso, Python é, atualmente (2025), uma das linguagens mais utilizadas no setor tecnológico, o que reforça sua adequação para este propósito.</w:t>
      </w:r>
    </w:p>
    <w:p w14:paraId="16DA8EB9" w14:textId="77777777" w:rsidR="003A046E" w:rsidRDefault="003A046E" w:rsidP="00A63AEF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3A046E">
        <w:rPr>
          <w:rStyle w:val="nfaseIntensa"/>
          <w:rFonts w:ascii="Times New Roman" w:hAnsi="Times New Roman" w:cs="Times New Roman"/>
          <w:i w:val="0"/>
          <w:iCs w:val="0"/>
          <w:color w:val="auto"/>
        </w:rPr>
        <w:t>Para validar a viabilidade e eficácia do Pytente, a ferramenta foi executada com o objetivo de coletar o maior número possível de patentes depositadas no Brasil no período compreendido entre 1900 e 2024. Essa iniciativa teve como objetivo a obtenção de um extenso conjunto de dados que, de outra forma, não estaria prontamente acessível apenas por meio de repositórios de patentes de acesso aberto.</w:t>
      </w:r>
    </w:p>
    <w:p w14:paraId="3F05BC88" w14:textId="60B8D507" w:rsidR="008E054C" w:rsidRDefault="008E054C" w:rsidP="00A63AEF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8E054C">
        <w:rPr>
          <w:rStyle w:val="nfaseIntensa"/>
          <w:rFonts w:ascii="Times New Roman" w:hAnsi="Times New Roman" w:cs="Times New Roman"/>
          <w:i w:val="0"/>
          <w:iCs w:val="0"/>
          <w:color w:val="auto"/>
        </w:rPr>
        <w:t>A partir dessa abordagem, foi possível recuperar um total de 946.367 documentos de patentes depositadas no Brasil, dos quais 831.706 correspondem a registros únicos. Tal resultado demonstra a eficácia do Pytente na recuperação de informações a partir de repositórios de acesso aberto, respeitando integralmente as diretrizes de coleta estabelecidas pelo repositório de patentes utilizado, neste caso, o Espacenet.</w:t>
      </w:r>
    </w:p>
    <w:p w14:paraId="4768CF0B" w14:textId="6BC8AA1C" w:rsidR="009908D3" w:rsidRDefault="009908D3" w:rsidP="00A63AEF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9908D3">
        <w:rPr>
          <w:rStyle w:val="nfaseIntensa"/>
          <w:rFonts w:ascii="Times New Roman" w:hAnsi="Times New Roman" w:cs="Times New Roman"/>
          <w:i w:val="0"/>
          <w:iCs w:val="0"/>
          <w:color w:val="auto"/>
        </w:rPr>
        <w:t>Com o intuito de traçar um panorama da evolução tecnológica no Brasil entre os anos de 1900 e 2024, a Figura 3 apresenta a análise dos depósitos anuais de patentes.</w:t>
      </w:r>
    </w:p>
    <w:p w14:paraId="7F8C5681" w14:textId="2091610F" w:rsidR="00F02088" w:rsidRDefault="00F02088" w:rsidP="00F02088">
      <w:pPr>
        <w:ind w:firstLine="708"/>
        <w:jc w:val="center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F02088">
        <w:rPr>
          <w:rStyle w:val="nfaseIntensa"/>
          <w:rFonts w:ascii="Times New Roman" w:hAnsi="Times New Roman" w:cs="Times New Roman"/>
          <w:b/>
          <w:bCs/>
          <w:i w:val="0"/>
          <w:iCs w:val="0"/>
          <w:color w:val="auto"/>
        </w:rPr>
        <w:t>Figura 3</w:t>
      </w:r>
      <w:r w:rsidRPr="00F02088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– Evolução temporal do depósito de patentes por ano</w:t>
      </w:r>
    </w:p>
    <w:p w14:paraId="6488C824" w14:textId="1F3C8326" w:rsidR="00BA4028" w:rsidRDefault="00BA4028" w:rsidP="00F02088">
      <w:pPr>
        <w:ind w:firstLine="426"/>
        <w:jc w:val="center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>
        <w:rPr>
          <w:noProof/>
        </w:rPr>
        <w:lastRenderedPageBreak/>
        <w:drawing>
          <wp:inline distT="0" distB="0" distL="0" distR="0" wp14:anchorId="035357FE" wp14:editId="7618D0B5">
            <wp:extent cx="4565176" cy="3308507"/>
            <wp:effectExtent l="0" t="0" r="6985" b="6350"/>
            <wp:docPr id="1029835320" name="Imagem 2" descr="Gráfico, Histo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835320" name="Imagem 2" descr="Gráfico, Histogram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9570" cy="3311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606FC" w14:textId="77777777" w:rsidR="00F02088" w:rsidRDefault="00F02088" w:rsidP="00F02088">
      <w:pPr>
        <w:ind w:firstLine="708"/>
        <w:jc w:val="center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BE554A">
        <w:rPr>
          <w:rStyle w:val="nfaseIntensa"/>
          <w:rFonts w:ascii="Times New Roman" w:hAnsi="Times New Roman" w:cs="Times New Roman"/>
          <w:b/>
          <w:bCs/>
          <w:i w:val="0"/>
          <w:iCs w:val="0"/>
          <w:color w:val="auto"/>
        </w:rPr>
        <w:t>Fonte</w:t>
      </w:r>
      <w:r w:rsidRPr="008C254A">
        <w:rPr>
          <w:rStyle w:val="nfaseIntensa"/>
          <w:rFonts w:ascii="Times New Roman" w:hAnsi="Times New Roman" w:cs="Times New Roman"/>
          <w:i w:val="0"/>
          <w:iCs w:val="0"/>
          <w:color w:val="auto"/>
        </w:rPr>
        <w:t>: Elaboração do autor</w:t>
      </w:r>
    </w:p>
    <w:p w14:paraId="27DB9113" w14:textId="77777777" w:rsidR="00F02088" w:rsidRDefault="00F02088" w:rsidP="00F02088">
      <w:pPr>
        <w:ind w:firstLine="426"/>
        <w:jc w:val="center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</w:p>
    <w:p w14:paraId="459E2897" w14:textId="77777777" w:rsidR="009908D3" w:rsidRDefault="009908D3" w:rsidP="001603E9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9908D3">
        <w:rPr>
          <w:rStyle w:val="nfaseIntensa"/>
          <w:rFonts w:ascii="Times New Roman" w:hAnsi="Times New Roman" w:cs="Times New Roman"/>
          <w:i w:val="0"/>
          <w:iCs w:val="0"/>
          <w:color w:val="auto"/>
        </w:rPr>
        <w:t>O gráfico apresentado evidencia um crescimento expressivo no número de depósitos de patentes no Brasil ao longo dos anos, refletindo uma intensificação da atividade inovadora e do interesse na proteção de ideias e invenções no país. Durante o período analisado, a média anual de depósitos foi de aproximadamente 16.000 patentes. Ao restringir a análise aos últimos dez anos do período considerado, essa média aumenta para 17.403,60 depósitos anuais, destacando os anos de 2012, 2013 e 2011 como os mais produtivos, com 33.040, 32.345 e 31.784 depósitos, respectivamente.</w:t>
      </w:r>
    </w:p>
    <w:p w14:paraId="6DC27E96" w14:textId="6B2FC5D0" w:rsidR="002B1B62" w:rsidRDefault="00127DF5" w:rsidP="001603E9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127DF5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Por sua vez, a </w:t>
      </w:r>
      <w:r w:rsidR="003925C5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funcionalidade </w:t>
      </w:r>
      <w:r w:rsidRPr="00127DF5">
        <w:rPr>
          <w:rStyle w:val="nfaseIntensa"/>
          <w:rFonts w:ascii="Times New Roman" w:hAnsi="Times New Roman" w:cs="Times New Roman"/>
          <w:i w:val="0"/>
          <w:iCs w:val="0"/>
          <w:color w:val="auto"/>
        </w:rPr>
        <w:t>de busca semântica apresent</w:t>
      </w:r>
      <w:r w:rsidR="003925C5">
        <w:rPr>
          <w:rStyle w:val="nfaseIntensa"/>
          <w:rFonts w:ascii="Times New Roman" w:hAnsi="Times New Roman" w:cs="Times New Roman"/>
          <w:i w:val="0"/>
          <w:iCs w:val="0"/>
          <w:color w:val="auto"/>
        </w:rPr>
        <w:t>ou</w:t>
      </w:r>
      <w:r w:rsidRPr="00127DF5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resultados satisfatórios</w:t>
      </w:r>
      <w:r w:rsidR="002B1B62">
        <w:rPr>
          <w:rStyle w:val="nfaseIntensa"/>
          <w:rFonts w:ascii="Times New Roman" w:hAnsi="Times New Roman" w:cs="Times New Roman"/>
          <w:i w:val="0"/>
          <w:iCs w:val="0"/>
          <w:color w:val="auto"/>
        </w:rPr>
        <w:t>,</w:t>
      </w:r>
      <w:r w:rsidR="00EB1911" w:rsidRPr="00EB1911">
        <w:t xml:space="preserve"> </w:t>
      </w:r>
      <w:r w:rsidR="00EB1911" w:rsidRPr="00EB1911">
        <w:rPr>
          <w:rStyle w:val="nfaseIntensa"/>
          <w:rFonts w:ascii="Times New Roman" w:hAnsi="Times New Roman" w:cs="Times New Roman"/>
          <w:i w:val="0"/>
          <w:iCs w:val="0"/>
          <w:color w:val="auto"/>
        </w:rPr>
        <w:t>uma vez que, em todos os casos analisados, as patentes retornadas apresentaram correspondência significativa com os termos expressos na consulta em linguagem natural. Essa coerência evidencia a eficácia do modelo na identificação de documentos de patentes.</w:t>
      </w:r>
      <w:r w:rsidR="00F03F68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Contudo, é importante destacar que,</w:t>
      </w:r>
      <w:r w:rsidR="00F03F68" w:rsidRPr="00F03F68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os resultados que apresentam percentual de similaridade inferior a 30% demonstram, de fato, baixa relevância em relação ao termo de busca utilizado. Esses registros incluem patentes que não abordam diretamente tecnologias ou dispositivos relacionados </w:t>
      </w:r>
      <w:r w:rsidR="00F03F68">
        <w:rPr>
          <w:rStyle w:val="nfaseIntensa"/>
          <w:rFonts w:ascii="Times New Roman" w:hAnsi="Times New Roman" w:cs="Times New Roman"/>
          <w:i w:val="0"/>
          <w:iCs w:val="0"/>
          <w:color w:val="auto"/>
        </w:rPr>
        <w:t>ao termo pesquisado</w:t>
      </w:r>
      <w:r w:rsidR="00F03F68" w:rsidRPr="00F03F68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, sendo considerados ruído informacional no contexto da consulta semântica. Esses resultados reforçam </w:t>
      </w:r>
      <w:r w:rsidR="0028067F">
        <w:rPr>
          <w:rStyle w:val="nfaseIntensa"/>
          <w:rFonts w:ascii="Times New Roman" w:hAnsi="Times New Roman" w:cs="Times New Roman"/>
          <w:i w:val="0"/>
          <w:iCs w:val="0"/>
          <w:color w:val="auto"/>
        </w:rPr>
        <w:t>que</w:t>
      </w:r>
      <w:r w:rsidR="00F03F68" w:rsidRPr="00F03F68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apenas patentes com similaridade superior a 30% devem ser consideradas para fins analíticos, a fim de garantir maior precisão na recuperação da informação e relevância dos resultados obtidos.</w:t>
      </w:r>
    </w:p>
    <w:p w14:paraId="135A9356" w14:textId="7F6CF8CD" w:rsidR="002B6678" w:rsidRPr="006423A5" w:rsidRDefault="002B6678" w:rsidP="002B6678">
      <w:pPr>
        <w:pStyle w:val="Ttulo1"/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</w:pPr>
      <w:r w:rsidRPr="006423A5">
        <w:rPr>
          <w:rStyle w:val="nfaseIntensa"/>
          <w:rFonts w:ascii="Times New Roman" w:hAnsi="Times New Roman" w:cs="Times New Roman"/>
          <w:b/>
          <w:i w:val="0"/>
          <w:iCs w:val="0"/>
          <w:color w:val="auto"/>
        </w:rPr>
        <w:t>Conclusão</w:t>
      </w:r>
    </w:p>
    <w:p w14:paraId="14D310E7" w14:textId="77777777" w:rsidR="002B6678" w:rsidRPr="006423A5" w:rsidRDefault="002B6678" w:rsidP="002B6678">
      <w:pPr>
        <w:rPr>
          <w:rStyle w:val="nfaseIntensa"/>
          <w:rFonts w:ascii="Times New Roman" w:hAnsi="Times New Roman" w:cs="Times New Roman"/>
          <w:color w:val="auto"/>
        </w:rPr>
      </w:pPr>
    </w:p>
    <w:p w14:paraId="39046C8B" w14:textId="77777777" w:rsidR="00B80CD1" w:rsidRDefault="00B80CD1" w:rsidP="00210612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B80CD1">
        <w:rPr>
          <w:rStyle w:val="nfaseIntensa"/>
          <w:rFonts w:ascii="Times New Roman" w:hAnsi="Times New Roman" w:cs="Times New Roman"/>
          <w:i w:val="0"/>
          <w:iCs w:val="0"/>
          <w:color w:val="auto"/>
        </w:rPr>
        <w:t>Diante dos resultados obtidos, o conjunto ferramental Pytente mostra-se uma alternativa viável para a coleta de grandes conjuntos de dados de patentes. No contexto da Ciência Aberta, o Pytente apresenta-se como uma solução tecnológica que amplia significativamente o acesso, a transparência e a reprodutibilidade das pesquisas relacionadas à propriedade industrial e tecnológica. Sua capacidade de automatizar a coleta de grandes volumes de dados bibliográficos de patentes e armazená-los de forma estruturada facilita a formação de bases de dados locais consistentes e atualizadas, alinhadas aos princípios de acesso aberto aos dados científicos.</w:t>
      </w:r>
    </w:p>
    <w:p w14:paraId="546E73B9" w14:textId="6E8D62D9" w:rsidR="008D4D59" w:rsidRDefault="008D4D59" w:rsidP="00210612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8D4D59">
        <w:rPr>
          <w:rStyle w:val="nfaseIntensa"/>
          <w:rFonts w:ascii="Times New Roman" w:hAnsi="Times New Roman" w:cs="Times New Roman"/>
          <w:i w:val="0"/>
          <w:iCs w:val="0"/>
          <w:color w:val="auto"/>
        </w:rPr>
        <w:lastRenderedPageBreak/>
        <w:t>Sua natureza flexível possibilita a aplicação em diversos escopos de pesquisa envolvendo documentos de patentes, atendendo às demandas de pesquisadores, gestores de inovação, núcleos de inovação tecnológica (</w:t>
      </w:r>
      <w:proofErr w:type="spellStart"/>
      <w:r w:rsidRPr="008D4D59">
        <w:rPr>
          <w:rStyle w:val="nfaseIntensa"/>
          <w:rFonts w:ascii="Times New Roman" w:hAnsi="Times New Roman" w:cs="Times New Roman"/>
          <w:i w:val="0"/>
          <w:iCs w:val="0"/>
          <w:color w:val="auto"/>
        </w:rPr>
        <w:t>NITs</w:t>
      </w:r>
      <w:proofErr w:type="spellEnd"/>
      <w:r w:rsidRPr="008D4D59">
        <w:rPr>
          <w:rStyle w:val="nfaseIntensa"/>
          <w:rFonts w:ascii="Times New Roman" w:hAnsi="Times New Roman" w:cs="Times New Roman"/>
          <w:i w:val="0"/>
          <w:iCs w:val="0"/>
          <w:color w:val="auto"/>
        </w:rPr>
        <w:t>) e demais atores do ecossistema científico e tecnológico. Essa característica permite a seleção e análise de dados específicos de acordo com as necessidades de cada usuário, sem a exigência de infraestrutura computacional avançada ou conhecimento aprofundado em mineração de dados. Assim, o Pytente reforça os princípios FAIR (</w:t>
      </w:r>
      <w:proofErr w:type="spellStart"/>
      <w:r w:rsidRPr="003C0170">
        <w:rPr>
          <w:rStyle w:val="nfaseIntensa"/>
          <w:rFonts w:ascii="Times New Roman" w:hAnsi="Times New Roman" w:cs="Times New Roman"/>
          <w:color w:val="auto"/>
        </w:rPr>
        <w:t>Findable</w:t>
      </w:r>
      <w:proofErr w:type="spellEnd"/>
      <w:r w:rsidRPr="003C0170">
        <w:rPr>
          <w:rStyle w:val="nfaseIntensa"/>
          <w:rFonts w:ascii="Times New Roman" w:hAnsi="Times New Roman" w:cs="Times New Roman"/>
          <w:color w:val="auto"/>
        </w:rPr>
        <w:t xml:space="preserve">, </w:t>
      </w:r>
      <w:proofErr w:type="spellStart"/>
      <w:r w:rsidRPr="003C0170">
        <w:rPr>
          <w:rStyle w:val="nfaseIntensa"/>
          <w:rFonts w:ascii="Times New Roman" w:hAnsi="Times New Roman" w:cs="Times New Roman"/>
          <w:color w:val="auto"/>
        </w:rPr>
        <w:t>Accessible</w:t>
      </w:r>
      <w:proofErr w:type="spellEnd"/>
      <w:r w:rsidRPr="003C0170">
        <w:rPr>
          <w:rStyle w:val="nfaseIntensa"/>
          <w:rFonts w:ascii="Times New Roman" w:hAnsi="Times New Roman" w:cs="Times New Roman"/>
          <w:color w:val="auto"/>
        </w:rPr>
        <w:t xml:space="preserve">, </w:t>
      </w:r>
      <w:proofErr w:type="spellStart"/>
      <w:r w:rsidRPr="003C0170">
        <w:rPr>
          <w:rStyle w:val="nfaseIntensa"/>
          <w:rFonts w:ascii="Times New Roman" w:hAnsi="Times New Roman" w:cs="Times New Roman"/>
          <w:color w:val="auto"/>
        </w:rPr>
        <w:t>Interoperable</w:t>
      </w:r>
      <w:proofErr w:type="spellEnd"/>
      <w:r w:rsidRPr="003C0170">
        <w:rPr>
          <w:rStyle w:val="nfaseIntensa"/>
          <w:rFonts w:ascii="Times New Roman" w:hAnsi="Times New Roman" w:cs="Times New Roman"/>
          <w:color w:val="auto"/>
        </w:rPr>
        <w:t xml:space="preserve"> e </w:t>
      </w:r>
      <w:proofErr w:type="spellStart"/>
      <w:r w:rsidRPr="003C0170">
        <w:rPr>
          <w:rStyle w:val="nfaseIntensa"/>
          <w:rFonts w:ascii="Times New Roman" w:hAnsi="Times New Roman" w:cs="Times New Roman"/>
          <w:color w:val="auto"/>
        </w:rPr>
        <w:t>Reusable</w:t>
      </w:r>
      <w:proofErr w:type="spellEnd"/>
      <w:r w:rsidRPr="008D4D59">
        <w:rPr>
          <w:rStyle w:val="nfaseIntensa"/>
          <w:rFonts w:ascii="Times New Roman" w:hAnsi="Times New Roman" w:cs="Times New Roman"/>
          <w:i w:val="0"/>
          <w:iCs w:val="0"/>
          <w:color w:val="auto"/>
        </w:rPr>
        <w:t>), garantindo que os dados científicos sejam encontráveis, acessíveis, interoperáveis e reutilizáveis.</w:t>
      </w:r>
    </w:p>
    <w:p w14:paraId="56299BB5" w14:textId="77777777" w:rsidR="00801D24" w:rsidRDefault="00801D24" w:rsidP="0006488B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801D24">
        <w:rPr>
          <w:rStyle w:val="nfaseIntensa"/>
          <w:rFonts w:ascii="Times New Roman" w:hAnsi="Times New Roman" w:cs="Times New Roman"/>
          <w:i w:val="0"/>
          <w:iCs w:val="0"/>
          <w:color w:val="auto"/>
        </w:rPr>
        <w:t>De maneira geral, o Pytente atua como um facilitador que transforma informações já disponíveis em repositórios abertos em recursos ainda mais acessíveis e utilizáveis, o que é a essência da Ciência Aberta. Nesse sentido, destaca-se sua contribuição em diferentes dimensões: (1) Aceleração do Acesso a Dados Abertos: ao automatizar a coleta de dados bibliográficos de patentes em repositórios de acesso aberto, o Pytente agiliza o processo de recuperação da informação, tornando os dados de patentes rapidamente disponíveis para análise e evitando esforços manuais extensos. Essa automação reduz o tempo de busca e amplia a disponibilidade de dados relevantes à pesquisa e à inovação; (2) Promoção da Reutilização e Validação de Dados: ao garantir o armazenamento estruturado, a validação e a eliminação de registros duplicados, o Pytente assegura a qualidade e a confiabilidade dos dados, requisitos essenciais para a Ciência Aberta. Dados limpos e organizados potencializam sua reutilização em novas análises, validação de resultados e desenvolvimento de pesquisas subsequentes, ampliando o ciclo de geração e uso de conhecimento científico; (3) Facilitação da Descoberta e Inovação: suas funcionalidades de busca semântica, que permitem a recuperação de informações por meio de linguagem natural sem necessidade de expressões lógicas complexas, além da extração personalizada de subconjuntos de dados, reduzem barreiras técnicas para a exploração de patentes. Essa abordagem torna as informações tecnológicas mais acessíveis a pesquisadores de diferentes áreas do conhecimento, incluindo Ciências Humanas, Ciências Sociais Aplicadas e Saúde, fomentando a interdisciplinaridade e a inclusão digital.</w:t>
      </w:r>
    </w:p>
    <w:p w14:paraId="2A0C4BAD" w14:textId="1C68A5F2" w:rsidR="00935382" w:rsidRDefault="00935382" w:rsidP="0006488B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935382">
        <w:rPr>
          <w:rStyle w:val="nfaseIntensa"/>
          <w:rFonts w:ascii="Times New Roman" w:hAnsi="Times New Roman" w:cs="Times New Roman"/>
          <w:i w:val="0"/>
          <w:iCs w:val="0"/>
          <w:color w:val="auto"/>
        </w:rPr>
        <w:t>Ademais, ao empregar esta abordagem sistemática, espera-se que este estudo possa fornecer uma contribuição substancial para a ampliação do escopo dos estudos relacionados a documentos de patentes, proporcionando novas perspectivas e possibilidades para o progresso em diversas áreas do conhecimento.</w:t>
      </w:r>
    </w:p>
    <w:p w14:paraId="4C8DA1F5" w14:textId="77777777" w:rsidR="00F711D7" w:rsidRPr="00F711D7" w:rsidRDefault="00F711D7" w:rsidP="00F711D7">
      <w:pPr>
        <w:pStyle w:val="Ttulo1"/>
        <w:rPr>
          <w:rFonts w:ascii="Times New Roman" w:hAnsi="Times New Roman" w:cs="Times New Roman"/>
          <w:b/>
          <w:color w:val="auto"/>
        </w:rPr>
      </w:pPr>
      <w:r w:rsidRPr="00F711D7">
        <w:rPr>
          <w:rFonts w:ascii="Times New Roman" w:hAnsi="Times New Roman" w:cs="Times New Roman"/>
          <w:b/>
          <w:color w:val="auto"/>
        </w:rPr>
        <w:t>Declaração de uso de IA</w:t>
      </w:r>
    </w:p>
    <w:p w14:paraId="7DE62EB8" w14:textId="77777777" w:rsidR="00F711D7" w:rsidRDefault="00F711D7" w:rsidP="00F711D7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</w:p>
    <w:p w14:paraId="4E395458" w14:textId="279C12D1" w:rsidR="00F711D7" w:rsidRPr="006423A5" w:rsidRDefault="00F711D7" w:rsidP="00F711D7">
      <w:pPr>
        <w:ind w:firstLine="708"/>
        <w:jc w:val="both"/>
        <w:rPr>
          <w:rStyle w:val="nfaseIntensa"/>
          <w:rFonts w:ascii="Times New Roman" w:hAnsi="Times New Roman" w:cs="Times New Roman"/>
          <w:i w:val="0"/>
          <w:iCs w:val="0"/>
          <w:color w:val="auto"/>
        </w:rPr>
      </w:pPr>
      <w:r w:rsidRPr="00F711D7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Em consonância com as práticas de governança de uso de IA em atividades de pesquisa, e com os requerimentos do </w:t>
      </w:r>
      <w:proofErr w:type="spellStart"/>
      <w:r w:rsidRPr="00F711D7">
        <w:rPr>
          <w:rStyle w:val="nfaseIntensa"/>
          <w:rFonts w:ascii="Times New Roman" w:hAnsi="Times New Roman" w:cs="Times New Roman"/>
          <w:i w:val="0"/>
          <w:iCs w:val="0"/>
          <w:color w:val="auto"/>
        </w:rPr>
        <w:t>CIbCA</w:t>
      </w:r>
      <w:proofErr w:type="spellEnd"/>
      <w:r w:rsidRPr="00F711D7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2025, informamos que a ferramenta de IA </w:t>
      </w:r>
      <w:r w:rsidR="0067590D">
        <w:rPr>
          <w:rStyle w:val="nfaseIntensa"/>
          <w:rFonts w:ascii="Times New Roman" w:hAnsi="Times New Roman" w:cs="Times New Roman"/>
          <w:i w:val="0"/>
          <w:iCs w:val="0"/>
          <w:color w:val="auto"/>
        </w:rPr>
        <w:t>Gemini</w:t>
      </w:r>
      <w:r w:rsidRPr="00F711D7">
        <w:rPr>
          <w:rStyle w:val="nfaseIntensa"/>
          <w:rFonts w:ascii="Times New Roman" w:hAnsi="Times New Roman" w:cs="Times New Roman"/>
          <w:i w:val="0"/>
          <w:iCs w:val="0"/>
          <w:color w:val="auto"/>
        </w:rPr>
        <w:t xml:space="preserve"> foi utilizada para auxiliar na revisão textual e correção gramatical do trabalho. Todos os resultados gerados foram verificados, editados e corrigidos manualmente pelos autores. Nenhum dado sensível foi inserido. Foram respeitados os princípios éticos de exatidão, respeito às licenças e confidencialidade.</w:t>
      </w:r>
    </w:p>
    <w:p w14:paraId="7BEC9E93" w14:textId="6EA2987B" w:rsidR="005D3061" w:rsidRPr="006423A5" w:rsidRDefault="00A2764D">
      <w:pPr>
        <w:pStyle w:val="Ttulo1"/>
        <w:rPr>
          <w:rFonts w:ascii="Times New Roman" w:hAnsi="Times New Roman" w:cs="Times New Roman"/>
          <w:b/>
          <w:color w:val="auto"/>
        </w:rPr>
      </w:pPr>
      <w:r w:rsidRPr="006423A5">
        <w:rPr>
          <w:rFonts w:ascii="Times New Roman" w:hAnsi="Times New Roman" w:cs="Times New Roman"/>
          <w:b/>
          <w:color w:val="auto"/>
        </w:rPr>
        <w:t>Bibliografia</w:t>
      </w:r>
    </w:p>
    <w:p w14:paraId="11EBFD70" w14:textId="1A72C2EE" w:rsidR="00373846" w:rsidRDefault="00373846" w:rsidP="00F05226">
      <w:pPr>
        <w:pStyle w:val="NormalWeb"/>
        <w:spacing w:beforeAutospacing="0" w:after="0" w:afterAutospacing="0"/>
        <w:ind w:left="709" w:hanging="709"/>
        <w:textAlignment w:val="baseline"/>
        <w:rPr>
          <w:rFonts w:eastAsiaTheme="minorHAnsi"/>
          <w:sz w:val="22"/>
          <w:szCs w:val="22"/>
          <w:lang w:eastAsia="en-US"/>
        </w:rPr>
      </w:pPr>
      <w:r w:rsidRPr="00373846">
        <w:rPr>
          <w:rFonts w:eastAsiaTheme="minorHAnsi"/>
          <w:sz w:val="22"/>
          <w:szCs w:val="22"/>
          <w:lang w:eastAsia="en-US"/>
        </w:rPr>
        <w:t xml:space="preserve">Brandão, F. G. (2016). </w:t>
      </w:r>
      <w:r w:rsidRPr="00373846">
        <w:rPr>
          <w:rFonts w:eastAsiaTheme="minorHAnsi"/>
          <w:i/>
          <w:iCs/>
          <w:sz w:val="22"/>
          <w:szCs w:val="22"/>
          <w:lang w:eastAsia="en-US"/>
        </w:rPr>
        <w:t>Democratização da informação a partir do uso de repositórios digitais institucionais: Da comunicação científica às informações tecnológicas de patentes</w:t>
      </w:r>
      <w:r w:rsidRPr="00373846">
        <w:rPr>
          <w:rFonts w:eastAsiaTheme="minorHAnsi"/>
          <w:sz w:val="22"/>
          <w:szCs w:val="22"/>
          <w:lang w:eastAsia="en-US"/>
        </w:rPr>
        <w:t xml:space="preserve"> (Dissertação de mestrado, Universidade Regional Integrada do Alto Uruguai e das Missões). LUME Repositório Digital da UFRGS. </w:t>
      </w:r>
      <w:hyperlink r:id="rId13" w:tgtFrame="_blank" w:history="1">
        <w:r w:rsidRPr="00373846">
          <w:rPr>
            <w:rStyle w:val="Hyperlink"/>
            <w:rFonts w:eastAsiaTheme="minorHAnsi"/>
            <w:sz w:val="22"/>
            <w:szCs w:val="22"/>
            <w:lang w:eastAsia="en-US"/>
          </w:rPr>
          <w:t>https://lume.ufrgs.br/handle/10183/179853</w:t>
        </w:r>
      </w:hyperlink>
    </w:p>
    <w:p w14:paraId="16EA8823" w14:textId="77777777" w:rsidR="006A414F" w:rsidRDefault="00E73D4D" w:rsidP="00F05226">
      <w:pPr>
        <w:pStyle w:val="NormalWeb"/>
        <w:spacing w:beforeAutospacing="0" w:after="0" w:afterAutospacing="0"/>
        <w:ind w:left="709" w:hanging="709"/>
        <w:textAlignment w:val="baseline"/>
        <w:rPr>
          <w:rFonts w:eastAsiaTheme="minorHAnsi"/>
          <w:sz w:val="22"/>
          <w:szCs w:val="22"/>
          <w:lang w:eastAsia="en-US"/>
        </w:rPr>
      </w:pPr>
      <w:r w:rsidRPr="00E73D4D">
        <w:rPr>
          <w:rFonts w:eastAsiaTheme="minorHAnsi"/>
          <w:sz w:val="22"/>
          <w:szCs w:val="22"/>
          <w:lang w:eastAsia="en-US"/>
        </w:rPr>
        <w:t xml:space="preserve">Brasil. (1996). </w:t>
      </w:r>
      <w:r w:rsidRPr="00E73D4D">
        <w:rPr>
          <w:rFonts w:eastAsiaTheme="minorHAnsi"/>
          <w:i/>
          <w:iCs/>
          <w:sz w:val="22"/>
          <w:szCs w:val="22"/>
          <w:lang w:eastAsia="en-US"/>
        </w:rPr>
        <w:t>Lei nº 9.279, de 14 de maio de 1996</w:t>
      </w:r>
      <w:r w:rsidRPr="00E73D4D">
        <w:rPr>
          <w:rFonts w:eastAsiaTheme="minorHAnsi"/>
          <w:sz w:val="22"/>
          <w:szCs w:val="22"/>
          <w:lang w:eastAsia="en-US"/>
        </w:rPr>
        <w:t xml:space="preserve">. Presidência da República. </w:t>
      </w:r>
      <w:hyperlink r:id="rId14" w:tgtFrame="_blank" w:history="1">
        <w:r w:rsidRPr="00E73D4D">
          <w:rPr>
            <w:rStyle w:val="Hyperlink"/>
            <w:rFonts w:eastAsiaTheme="minorHAnsi"/>
            <w:sz w:val="22"/>
            <w:szCs w:val="22"/>
            <w:lang w:eastAsia="en-US"/>
          </w:rPr>
          <w:t>http://www.planalto.gov.br/ccivil_03/leis/l9279.htm</w:t>
        </w:r>
      </w:hyperlink>
    </w:p>
    <w:p w14:paraId="79619792" w14:textId="100E7D53" w:rsidR="00361542" w:rsidRDefault="00361542" w:rsidP="00F05226">
      <w:pPr>
        <w:pStyle w:val="NormalWeb"/>
        <w:spacing w:beforeAutospacing="0" w:after="0" w:afterAutospacing="0"/>
        <w:ind w:left="709" w:hanging="709"/>
        <w:textAlignment w:val="baseline"/>
        <w:rPr>
          <w:rFonts w:eastAsiaTheme="minorHAnsi"/>
          <w:sz w:val="22"/>
          <w:szCs w:val="22"/>
          <w:lang w:eastAsia="en-US"/>
        </w:rPr>
      </w:pPr>
      <w:r w:rsidRPr="00361542">
        <w:rPr>
          <w:rFonts w:eastAsiaTheme="minorHAnsi"/>
          <w:sz w:val="22"/>
          <w:szCs w:val="22"/>
          <w:lang w:eastAsia="en-US"/>
        </w:rPr>
        <w:t xml:space="preserve">Date, C. J. (2003). </w:t>
      </w:r>
      <w:r w:rsidRPr="00361542">
        <w:rPr>
          <w:rFonts w:eastAsiaTheme="minorHAnsi"/>
          <w:i/>
          <w:iCs/>
          <w:sz w:val="22"/>
          <w:szCs w:val="22"/>
          <w:lang w:eastAsia="en-US"/>
        </w:rPr>
        <w:t>Introdução a sistemas de banco de dados</w:t>
      </w:r>
      <w:r w:rsidRPr="00361542">
        <w:rPr>
          <w:rFonts w:eastAsiaTheme="minorHAnsi"/>
          <w:sz w:val="22"/>
          <w:szCs w:val="22"/>
          <w:lang w:eastAsia="en-US"/>
        </w:rPr>
        <w:t xml:space="preserve"> (8ª ed.). Elsevier.</w:t>
      </w:r>
    </w:p>
    <w:p w14:paraId="0220230D" w14:textId="47AD3689" w:rsidR="002F3821" w:rsidRDefault="002F3821" w:rsidP="00F05226">
      <w:pPr>
        <w:pStyle w:val="NormalWeb"/>
        <w:spacing w:beforeAutospacing="0" w:after="0" w:afterAutospacing="0"/>
        <w:ind w:left="709" w:hanging="709"/>
        <w:textAlignment w:val="baseline"/>
        <w:rPr>
          <w:rFonts w:eastAsiaTheme="minorHAnsi"/>
          <w:sz w:val="22"/>
          <w:szCs w:val="22"/>
          <w:lang w:eastAsia="en-US"/>
        </w:rPr>
      </w:pPr>
      <w:r w:rsidRPr="002F3821">
        <w:rPr>
          <w:rFonts w:eastAsiaTheme="minorHAnsi"/>
          <w:sz w:val="22"/>
          <w:szCs w:val="22"/>
          <w:lang w:eastAsia="en-US"/>
        </w:rPr>
        <w:t>Instituto Nacional da Propriedade Industrial. (2024, setembro). </w:t>
      </w:r>
      <w:r w:rsidRPr="002F3821">
        <w:rPr>
          <w:rFonts w:eastAsiaTheme="minorHAnsi"/>
          <w:i/>
          <w:iCs/>
          <w:sz w:val="22"/>
          <w:szCs w:val="22"/>
          <w:lang w:eastAsia="en-US"/>
        </w:rPr>
        <w:t>Boletim mensal de propriedade industrial: Estatísticas preliminares</w:t>
      </w:r>
      <w:r w:rsidRPr="002F3821">
        <w:rPr>
          <w:rFonts w:eastAsiaTheme="minorHAnsi"/>
          <w:sz w:val="22"/>
          <w:szCs w:val="22"/>
          <w:lang w:eastAsia="en-US"/>
        </w:rPr>
        <w:t>. </w:t>
      </w:r>
      <w:hyperlink r:id="rId15" w:tgtFrame="_blank" w:history="1">
        <w:r w:rsidRPr="002F3821">
          <w:rPr>
            <w:rStyle w:val="Hyperlink"/>
            <w:rFonts w:eastAsiaTheme="minorHAnsi"/>
            <w:sz w:val="22"/>
            <w:szCs w:val="22"/>
            <w:lang w:eastAsia="en-US"/>
          </w:rPr>
          <w:t>https://www.gov.br/inpi/pt-br/central-de-</w:t>
        </w:r>
        <w:r w:rsidRPr="002F3821">
          <w:rPr>
            <w:rStyle w:val="Hyperlink"/>
            <w:rFonts w:eastAsiaTheme="minorHAnsi"/>
            <w:sz w:val="22"/>
            <w:szCs w:val="22"/>
            <w:lang w:eastAsia="en-US"/>
          </w:rPr>
          <w:lastRenderedPageBreak/>
          <w:t>conteudo/estatisticas/arquivos/publicacoes/boletim-mensal-de-pi_resultados-de-setembro-2024_v-2.pdf</w:t>
        </w:r>
      </w:hyperlink>
    </w:p>
    <w:p w14:paraId="73C6129D" w14:textId="66A64C3D" w:rsidR="001A39E7" w:rsidRDefault="001A39E7" w:rsidP="00F05226">
      <w:pPr>
        <w:pStyle w:val="NormalWeb"/>
        <w:spacing w:beforeAutospacing="0" w:after="0" w:afterAutospacing="0"/>
        <w:ind w:left="709" w:hanging="709"/>
        <w:textAlignment w:val="baseline"/>
        <w:rPr>
          <w:rFonts w:eastAsiaTheme="minorHAnsi"/>
          <w:sz w:val="22"/>
          <w:szCs w:val="22"/>
          <w:lang w:eastAsia="en-US"/>
        </w:rPr>
      </w:pPr>
      <w:r w:rsidRPr="001A39E7">
        <w:rPr>
          <w:rFonts w:eastAsiaTheme="minorHAnsi"/>
          <w:sz w:val="22"/>
          <w:szCs w:val="22"/>
          <w:lang w:eastAsia="en-US"/>
        </w:rPr>
        <w:t xml:space="preserve">LIU, Yang. Fine-tune BERT for </w:t>
      </w:r>
      <w:proofErr w:type="spellStart"/>
      <w:r w:rsidRPr="001A39E7">
        <w:rPr>
          <w:rFonts w:eastAsiaTheme="minorHAnsi"/>
          <w:sz w:val="22"/>
          <w:szCs w:val="22"/>
          <w:lang w:eastAsia="en-US"/>
        </w:rPr>
        <w:t>Extractive</w:t>
      </w:r>
      <w:proofErr w:type="spellEnd"/>
      <w:r w:rsidRPr="001A39E7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1A39E7">
        <w:rPr>
          <w:rFonts w:eastAsiaTheme="minorHAnsi"/>
          <w:sz w:val="22"/>
          <w:szCs w:val="22"/>
          <w:lang w:eastAsia="en-US"/>
        </w:rPr>
        <w:t>Summarization</w:t>
      </w:r>
      <w:proofErr w:type="spellEnd"/>
      <w:r w:rsidRPr="001A39E7">
        <w:rPr>
          <w:rFonts w:eastAsiaTheme="minorHAnsi"/>
          <w:sz w:val="22"/>
          <w:szCs w:val="22"/>
          <w:lang w:eastAsia="en-US"/>
        </w:rPr>
        <w:t xml:space="preserve">. 10.48550/arXiv.1903.10318 </w:t>
      </w:r>
      <w:r w:rsidR="00105A1E">
        <w:rPr>
          <w:rFonts w:eastAsiaTheme="minorHAnsi"/>
          <w:sz w:val="22"/>
          <w:szCs w:val="22"/>
          <w:lang w:eastAsia="en-US"/>
        </w:rPr>
        <w:t>(</w:t>
      </w:r>
      <w:r w:rsidRPr="001A39E7">
        <w:rPr>
          <w:rFonts w:eastAsiaTheme="minorHAnsi"/>
          <w:sz w:val="22"/>
          <w:szCs w:val="22"/>
          <w:lang w:eastAsia="en-US"/>
        </w:rPr>
        <w:t>2019</w:t>
      </w:r>
      <w:r w:rsidR="00105A1E">
        <w:rPr>
          <w:rFonts w:eastAsiaTheme="minorHAnsi"/>
          <w:sz w:val="22"/>
          <w:szCs w:val="22"/>
          <w:lang w:eastAsia="en-US"/>
        </w:rPr>
        <w:t>)</w:t>
      </w:r>
      <w:r w:rsidRPr="001A39E7">
        <w:rPr>
          <w:rFonts w:eastAsiaTheme="minorHAnsi"/>
          <w:sz w:val="22"/>
          <w:szCs w:val="22"/>
          <w:lang w:eastAsia="en-US"/>
        </w:rPr>
        <w:t>.</w:t>
      </w:r>
    </w:p>
    <w:p w14:paraId="31A8C9E9" w14:textId="79DCE38D" w:rsidR="00F21EBD" w:rsidRDefault="00F21EBD" w:rsidP="00F05226">
      <w:pPr>
        <w:pStyle w:val="NormalWeb"/>
        <w:spacing w:beforeAutospacing="0" w:after="0" w:afterAutospacing="0"/>
        <w:ind w:left="709" w:hanging="709"/>
        <w:textAlignment w:val="baseline"/>
        <w:rPr>
          <w:rFonts w:eastAsiaTheme="minorHAnsi"/>
          <w:sz w:val="22"/>
          <w:szCs w:val="22"/>
          <w:lang w:eastAsia="en-US"/>
        </w:rPr>
      </w:pPr>
      <w:r w:rsidRPr="00F21EBD">
        <w:rPr>
          <w:rFonts w:eastAsiaTheme="minorHAnsi"/>
          <w:sz w:val="22"/>
          <w:szCs w:val="22"/>
          <w:lang w:eastAsia="en-US"/>
        </w:rPr>
        <w:t xml:space="preserve">Pires, E. A., Ribeiro, N. M., &amp; Quintella, C. M. (2020). Sistemas de busca de patentes: Análise comparativa entre Espacenet, </w:t>
      </w:r>
      <w:proofErr w:type="spellStart"/>
      <w:r w:rsidRPr="00F21EBD">
        <w:rPr>
          <w:rFonts w:eastAsiaTheme="minorHAnsi"/>
          <w:sz w:val="22"/>
          <w:szCs w:val="22"/>
          <w:lang w:eastAsia="en-US"/>
        </w:rPr>
        <w:t>Patentscope</w:t>
      </w:r>
      <w:proofErr w:type="spellEnd"/>
      <w:r w:rsidRPr="00F21EBD">
        <w:rPr>
          <w:rFonts w:eastAsiaTheme="minorHAnsi"/>
          <w:sz w:val="22"/>
          <w:szCs w:val="22"/>
          <w:lang w:eastAsia="en-US"/>
        </w:rPr>
        <w:t xml:space="preserve">, Google </w:t>
      </w:r>
      <w:proofErr w:type="spellStart"/>
      <w:r w:rsidRPr="00F21EBD">
        <w:rPr>
          <w:rFonts w:eastAsiaTheme="minorHAnsi"/>
          <w:sz w:val="22"/>
          <w:szCs w:val="22"/>
          <w:lang w:eastAsia="en-US"/>
        </w:rPr>
        <w:t>Patents</w:t>
      </w:r>
      <w:proofErr w:type="spellEnd"/>
      <w:r w:rsidRPr="00F21EBD">
        <w:rPr>
          <w:rFonts w:eastAsiaTheme="minorHAnsi"/>
          <w:sz w:val="22"/>
          <w:szCs w:val="22"/>
          <w:lang w:eastAsia="en-US"/>
        </w:rPr>
        <w:t xml:space="preserve">, Lens, </w:t>
      </w:r>
      <w:proofErr w:type="spellStart"/>
      <w:r w:rsidRPr="00F21EBD">
        <w:rPr>
          <w:rFonts w:eastAsiaTheme="minorHAnsi"/>
          <w:sz w:val="22"/>
          <w:szCs w:val="22"/>
          <w:lang w:eastAsia="en-US"/>
        </w:rPr>
        <w:t>Derwent</w:t>
      </w:r>
      <w:proofErr w:type="spellEnd"/>
      <w:r w:rsidRPr="00F21EBD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F21EBD">
        <w:rPr>
          <w:rFonts w:eastAsiaTheme="minorHAnsi"/>
          <w:sz w:val="22"/>
          <w:szCs w:val="22"/>
          <w:lang w:eastAsia="en-US"/>
        </w:rPr>
        <w:t>Innovation</w:t>
      </w:r>
      <w:proofErr w:type="spellEnd"/>
      <w:r w:rsidRPr="00F21EBD">
        <w:rPr>
          <w:rFonts w:eastAsiaTheme="minorHAnsi"/>
          <w:sz w:val="22"/>
          <w:szCs w:val="22"/>
          <w:lang w:eastAsia="en-US"/>
        </w:rPr>
        <w:t xml:space="preserve"> Index e Orbit </w:t>
      </w:r>
      <w:proofErr w:type="spellStart"/>
      <w:r w:rsidRPr="00F21EBD">
        <w:rPr>
          <w:rFonts w:eastAsiaTheme="minorHAnsi"/>
          <w:sz w:val="22"/>
          <w:szCs w:val="22"/>
          <w:lang w:eastAsia="en-US"/>
        </w:rPr>
        <w:t>Intelligence</w:t>
      </w:r>
      <w:proofErr w:type="spellEnd"/>
      <w:r w:rsidRPr="00F21EBD">
        <w:rPr>
          <w:rFonts w:eastAsiaTheme="minorHAnsi"/>
          <w:sz w:val="22"/>
          <w:szCs w:val="22"/>
          <w:lang w:eastAsia="en-US"/>
        </w:rPr>
        <w:t xml:space="preserve">. </w:t>
      </w:r>
      <w:r w:rsidRPr="00F21EBD">
        <w:rPr>
          <w:rFonts w:eastAsiaTheme="minorHAnsi"/>
          <w:i/>
          <w:iCs/>
          <w:sz w:val="22"/>
          <w:szCs w:val="22"/>
          <w:lang w:eastAsia="en-US"/>
        </w:rPr>
        <w:t>Cadernos de Prospecção</w:t>
      </w:r>
      <w:r w:rsidRPr="00F21EBD">
        <w:rPr>
          <w:rFonts w:eastAsiaTheme="minorHAnsi"/>
          <w:sz w:val="22"/>
          <w:szCs w:val="22"/>
          <w:lang w:eastAsia="en-US"/>
        </w:rPr>
        <w:t xml:space="preserve">, </w:t>
      </w:r>
      <w:r w:rsidRPr="00F21EBD">
        <w:rPr>
          <w:rFonts w:eastAsiaTheme="minorHAnsi"/>
          <w:i/>
          <w:iCs/>
          <w:sz w:val="22"/>
          <w:szCs w:val="22"/>
          <w:lang w:eastAsia="en-US"/>
        </w:rPr>
        <w:t>13</w:t>
      </w:r>
      <w:r w:rsidRPr="00F21EBD">
        <w:rPr>
          <w:rFonts w:eastAsiaTheme="minorHAnsi"/>
          <w:sz w:val="22"/>
          <w:szCs w:val="22"/>
          <w:lang w:eastAsia="en-US"/>
        </w:rPr>
        <w:t xml:space="preserve">(1), 13–35. </w:t>
      </w:r>
      <w:hyperlink r:id="rId16" w:tgtFrame="_blank" w:history="1">
        <w:r w:rsidRPr="00F21EBD">
          <w:rPr>
            <w:rStyle w:val="Hyperlink"/>
            <w:rFonts w:eastAsiaTheme="minorHAnsi"/>
            <w:sz w:val="22"/>
            <w:szCs w:val="22"/>
            <w:lang w:eastAsia="en-US"/>
          </w:rPr>
          <w:t>https://doi.org/10.9771/cp.v13i1.35147</w:t>
        </w:r>
      </w:hyperlink>
    </w:p>
    <w:p w14:paraId="3BD4D408" w14:textId="2286F78A" w:rsidR="000F4590" w:rsidRDefault="000F4590" w:rsidP="00F05226">
      <w:pPr>
        <w:pStyle w:val="NormalWeb"/>
        <w:spacing w:beforeAutospacing="0" w:after="0" w:afterAutospacing="0"/>
        <w:ind w:left="709" w:hanging="709"/>
        <w:textAlignment w:val="baseline"/>
        <w:rPr>
          <w:rFonts w:eastAsiaTheme="minorHAnsi"/>
          <w:sz w:val="22"/>
          <w:szCs w:val="22"/>
          <w:lang w:eastAsia="en-US"/>
        </w:rPr>
      </w:pPr>
      <w:proofErr w:type="spellStart"/>
      <w:r w:rsidRPr="000F4590">
        <w:rPr>
          <w:rFonts w:eastAsiaTheme="minorHAnsi"/>
          <w:sz w:val="22"/>
          <w:szCs w:val="22"/>
          <w:lang w:eastAsia="en-US"/>
        </w:rPr>
        <w:t>Reimers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, N., &amp; </w:t>
      </w:r>
      <w:proofErr w:type="spellStart"/>
      <w:r w:rsidRPr="000F4590">
        <w:rPr>
          <w:rFonts w:eastAsiaTheme="minorHAnsi"/>
          <w:sz w:val="22"/>
          <w:szCs w:val="22"/>
          <w:lang w:eastAsia="en-US"/>
        </w:rPr>
        <w:t>Gurevych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, I. (2019). </w:t>
      </w:r>
      <w:proofErr w:type="spellStart"/>
      <w:r w:rsidRPr="000F4590">
        <w:rPr>
          <w:rFonts w:eastAsiaTheme="minorHAnsi"/>
          <w:sz w:val="22"/>
          <w:szCs w:val="22"/>
          <w:lang w:eastAsia="en-US"/>
        </w:rPr>
        <w:t>Sentence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-BERT: </w:t>
      </w:r>
      <w:proofErr w:type="spellStart"/>
      <w:r w:rsidRPr="000F4590">
        <w:rPr>
          <w:rFonts w:eastAsiaTheme="minorHAnsi"/>
          <w:sz w:val="22"/>
          <w:szCs w:val="22"/>
          <w:lang w:eastAsia="en-US"/>
        </w:rPr>
        <w:t>Sentence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0F4590">
        <w:rPr>
          <w:rFonts w:eastAsiaTheme="minorHAnsi"/>
          <w:sz w:val="22"/>
          <w:szCs w:val="22"/>
          <w:lang w:eastAsia="en-US"/>
        </w:rPr>
        <w:t>embeddings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0F4590">
        <w:rPr>
          <w:rFonts w:eastAsiaTheme="minorHAnsi"/>
          <w:sz w:val="22"/>
          <w:szCs w:val="22"/>
          <w:lang w:eastAsia="en-US"/>
        </w:rPr>
        <w:t>using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0F4590">
        <w:rPr>
          <w:rFonts w:eastAsiaTheme="minorHAnsi"/>
          <w:sz w:val="22"/>
          <w:szCs w:val="22"/>
          <w:lang w:eastAsia="en-US"/>
        </w:rPr>
        <w:t>Siamese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 BERT-Networks. In </w:t>
      </w:r>
      <w:proofErr w:type="spellStart"/>
      <w:r w:rsidRPr="000F4590">
        <w:rPr>
          <w:rFonts w:eastAsiaTheme="minorHAnsi"/>
          <w:i/>
          <w:iCs/>
          <w:sz w:val="22"/>
          <w:szCs w:val="22"/>
          <w:lang w:eastAsia="en-US"/>
        </w:rPr>
        <w:t>Proceedings</w:t>
      </w:r>
      <w:proofErr w:type="spellEnd"/>
      <w:r w:rsidRPr="000F4590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0F4590">
        <w:rPr>
          <w:rFonts w:eastAsiaTheme="minorHAnsi"/>
          <w:i/>
          <w:iCs/>
          <w:sz w:val="22"/>
          <w:szCs w:val="22"/>
          <w:lang w:eastAsia="en-US"/>
        </w:rPr>
        <w:t>of</w:t>
      </w:r>
      <w:proofErr w:type="spellEnd"/>
      <w:r w:rsidRPr="000F4590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0F4590">
        <w:rPr>
          <w:rFonts w:eastAsiaTheme="minorHAnsi"/>
          <w:i/>
          <w:iCs/>
          <w:sz w:val="22"/>
          <w:szCs w:val="22"/>
          <w:lang w:eastAsia="en-US"/>
        </w:rPr>
        <w:t>the</w:t>
      </w:r>
      <w:proofErr w:type="spellEnd"/>
      <w:r w:rsidRPr="000F4590">
        <w:rPr>
          <w:rFonts w:eastAsiaTheme="minorHAnsi"/>
          <w:i/>
          <w:iCs/>
          <w:sz w:val="22"/>
          <w:szCs w:val="22"/>
          <w:lang w:eastAsia="en-US"/>
        </w:rPr>
        <w:t xml:space="preserve"> 2019 </w:t>
      </w:r>
      <w:proofErr w:type="spellStart"/>
      <w:r w:rsidRPr="000F4590">
        <w:rPr>
          <w:rFonts w:eastAsiaTheme="minorHAnsi"/>
          <w:i/>
          <w:iCs/>
          <w:sz w:val="22"/>
          <w:szCs w:val="22"/>
          <w:lang w:eastAsia="en-US"/>
        </w:rPr>
        <w:t>Conference</w:t>
      </w:r>
      <w:proofErr w:type="spellEnd"/>
      <w:r w:rsidRPr="000F4590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0F4590">
        <w:rPr>
          <w:rFonts w:eastAsiaTheme="minorHAnsi"/>
          <w:i/>
          <w:iCs/>
          <w:sz w:val="22"/>
          <w:szCs w:val="22"/>
          <w:lang w:eastAsia="en-US"/>
        </w:rPr>
        <w:t>on</w:t>
      </w:r>
      <w:proofErr w:type="spellEnd"/>
      <w:r w:rsidRPr="000F4590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0F4590">
        <w:rPr>
          <w:rFonts w:eastAsiaTheme="minorHAnsi"/>
          <w:i/>
          <w:iCs/>
          <w:sz w:val="22"/>
          <w:szCs w:val="22"/>
          <w:lang w:eastAsia="en-US"/>
        </w:rPr>
        <w:t>Empirical</w:t>
      </w:r>
      <w:proofErr w:type="spellEnd"/>
      <w:r w:rsidRPr="000F4590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0F4590">
        <w:rPr>
          <w:rFonts w:eastAsiaTheme="minorHAnsi"/>
          <w:i/>
          <w:iCs/>
          <w:sz w:val="22"/>
          <w:szCs w:val="22"/>
          <w:lang w:eastAsia="en-US"/>
        </w:rPr>
        <w:t>Methods</w:t>
      </w:r>
      <w:proofErr w:type="spellEnd"/>
      <w:r w:rsidRPr="000F4590">
        <w:rPr>
          <w:rFonts w:eastAsiaTheme="minorHAnsi"/>
          <w:i/>
          <w:iCs/>
          <w:sz w:val="22"/>
          <w:szCs w:val="22"/>
          <w:lang w:eastAsia="en-US"/>
        </w:rPr>
        <w:t xml:space="preserve"> in Natural </w:t>
      </w:r>
      <w:proofErr w:type="spellStart"/>
      <w:r w:rsidRPr="000F4590">
        <w:rPr>
          <w:rFonts w:eastAsiaTheme="minorHAnsi"/>
          <w:i/>
          <w:iCs/>
          <w:sz w:val="22"/>
          <w:szCs w:val="22"/>
          <w:lang w:eastAsia="en-US"/>
        </w:rPr>
        <w:t>Language</w:t>
      </w:r>
      <w:proofErr w:type="spellEnd"/>
      <w:r w:rsidRPr="000F4590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0F4590">
        <w:rPr>
          <w:rFonts w:eastAsiaTheme="minorHAnsi"/>
          <w:i/>
          <w:iCs/>
          <w:sz w:val="22"/>
          <w:szCs w:val="22"/>
          <w:lang w:eastAsia="en-US"/>
        </w:rPr>
        <w:t>Processing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 (pp. 3982–3992). </w:t>
      </w:r>
      <w:proofErr w:type="spellStart"/>
      <w:r w:rsidRPr="000F4590">
        <w:rPr>
          <w:rFonts w:eastAsiaTheme="minorHAnsi"/>
          <w:sz w:val="22"/>
          <w:szCs w:val="22"/>
          <w:lang w:eastAsia="en-US"/>
        </w:rPr>
        <w:t>Association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 for </w:t>
      </w:r>
      <w:proofErr w:type="spellStart"/>
      <w:r w:rsidRPr="000F4590">
        <w:rPr>
          <w:rFonts w:eastAsiaTheme="minorHAnsi"/>
          <w:sz w:val="22"/>
          <w:szCs w:val="22"/>
          <w:lang w:eastAsia="en-US"/>
        </w:rPr>
        <w:t>Computational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0F4590">
        <w:rPr>
          <w:rFonts w:eastAsiaTheme="minorHAnsi"/>
          <w:sz w:val="22"/>
          <w:szCs w:val="22"/>
          <w:lang w:eastAsia="en-US"/>
        </w:rPr>
        <w:t>Linguistics</w:t>
      </w:r>
      <w:proofErr w:type="spellEnd"/>
      <w:r w:rsidRPr="000F4590">
        <w:rPr>
          <w:rFonts w:eastAsiaTheme="minorHAnsi"/>
          <w:sz w:val="22"/>
          <w:szCs w:val="22"/>
          <w:lang w:eastAsia="en-US"/>
        </w:rPr>
        <w:t xml:space="preserve">. </w:t>
      </w:r>
      <w:hyperlink r:id="rId17" w:tgtFrame="_blank" w:history="1">
        <w:r w:rsidRPr="000F4590">
          <w:rPr>
            <w:rStyle w:val="Hyperlink"/>
            <w:rFonts w:eastAsiaTheme="minorHAnsi"/>
            <w:sz w:val="22"/>
            <w:szCs w:val="22"/>
            <w:lang w:eastAsia="en-US"/>
          </w:rPr>
          <w:t>https://doi.org/10.18653/v1/D19-1410</w:t>
        </w:r>
      </w:hyperlink>
    </w:p>
    <w:p w14:paraId="69D45FC0" w14:textId="0B58C298" w:rsidR="00016A26" w:rsidRDefault="00016A26" w:rsidP="00F05226">
      <w:pPr>
        <w:pStyle w:val="NormalWeb"/>
        <w:spacing w:beforeAutospacing="0" w:after="0" w:afterAutospacing="0"/>
        <w:ind w:left="709" w:hanging="709"/>
        <w:textAlignment w:val="baseline"/>
        <w:rPr>
          <w:rFonts w:eastAsiaTheme="minorHAnsi"/>
          <w:sz w:val="22"/>
          <w:szCs w:val="22"/>
          <w:lang w:eastAsia="en-US"/>
        </w:rPr>
      </w:pPr>
      <w:r w:rsidRPr="00016A26">
        <w:rPr>
          <w:rFonts w:eastAsiaTheme="minorHAnsi"/>
          <w:sz w:val="22"/>
          <w:szCs w:val="22"/>
          <w:lang w:eastAsia="en-US"/>
        </w:rPr>
        <w:t xml:space="preserve">Reymond, D., &amp; </w:t>
      </w:r>
      <w:proofErr w:type="spellStart"/>
      <w:r w:rsidRPr="00016A26">
        <w:rPr>
          <w:rFonts w:eastAsiaTheme="minorHAnsi"/>
          <w:sz w:val="22"/>
          <w:szCs w:val="22"/>
          <w:lang w:eastAsia="en-US"/>
        </w:rPr>
        <w:t>Quoniam</w:t>
      </w:r>
      <w:proofErr w:type="spellEnd"/>
      <w:r w:rsidRPr="00016A26">
        <w:rPr>
          <w:rFonts w:eastAsiaTheme="minorHAnsi"/>
          <w:sz w:val="22"/>
          <w:szCs w:val="22"/>
          <w:lang w:eastAsia="en-US"/>
        </w:rPr>
        <w:t xml:space="preserve">, L. (2018). Patent </w:t>
      </w:r>
      <w:proofErr w:type="spellStart"/>
      <w:r w:rsidRPr="00016A26">
        <w:rPr>
          <w:rFonts w:eastAsiaTheme="minorHAnsi"/>
          <w:sz w:val="22"/>
          <w:szCs w:val="22"/>
          <w:lang w:eastAsia="en-US"/>
        </w:rPr>
        <w:t>documents</w:t>
      </w:r>
      <w:proofErr w:type="spellEnd"/>
      <w:r w:rsidRPr="00016A26">
        <w:rPr>
          <w:rFonts w:eastAsiaTheme="minorHAnsi"/>
          <w:sz w:val="22"/>
          <w:szCs w:val="22"/>
          <w:lang w:eastAsia="en-US"/>
        </w:rPr>
        <w:t xml:space="preserve"> in STEM </w:t>
      </w:r>
      <w:proofErr w:type="spellStart"/>
      <w:r w:rsidRPr="00016A26">
        <w:rPr>
          <w:rFonts w:eastAsiaTheme="minorHAnsi"/>
          <w:sz w:val="22"/>
          <w:szCs w:val="22"/>
          <w:lang w:eastAsia="en-US"/>
        </w:rPr>
        <w:t>and</w:t>
      </w:r>
      <w:proofErr w:type="spellEnd"/>
      <w:r w:rsidRPr="00016A26">
        <w:rPr>
          <w:rFonts w:eastAsiaTheme="minorHAnsi"/>
          <w:sz w:val="22"/>
          <w:szCs w:val="22"/>
          <w:lang w:eastAsia="en-US"/>
        </w:rPr>
        <w:t xml:space="preserve"> PhD </w:t>
      </w:r>
      <w:proofErr w:type="spellStart"/>
      <w:r w:rsidRPr="00016A26">
        <w:rPr>
          <w:rFonts w:eastAsiaTheme="minorHAnsi"/>
          <w:sz w:val="22"/>
          <w:szCs w:val="22"/>
          <w:lang w:eastAsia="en-US"/>
        </w:rPr>
        <w:t>education</w:t>
      </w:r>
      <w:proofErr w:type="spellEnd"/>
      <w:r w:rsidRPr="00016A26">
        <w:rPr>
          <w:rFonts w:eastAsiaTheme="minorHAnsi"/>
          <w:sz w:val="22"/>
          <w:szCs w:val="22"/>
          <w:lang w:eastAsia="en-US"/>
        </w:rPr>
        <w:t xml:space="preserve">: Open-source tools </w:t>
      </w:r>
      <w:proofErr w:type="spellStart"/>
      <w:r w:rsidRPr="00016A26">
        <w:rPr>
          <w:rFonts w:eastAsiaTheme="minorHAnsi"/>
          <w:sz w:val="22"/>
          <w:szCs w:val="22"/>
          <w:lang w:eastAsia="en-US"/>
        </w:rPr>
        <w:t>and</w:t>
      </w:r>
      <w:proofErr w:type="spellEnd"/>
      <w:r w:rsidRPr="00016A26">
        <w:rPr>
          <w:rFonts w:eastAsiaTheme="minorHAnsi"/>
          <w:sz w:val="22"/>
          <w:szCs w:val="22"/>
          <w:lang w:eastAsia="en-US"/>
        </w:rPr>
        <w:t xml:space="preserve"> some </w:t>
      </w:r>
      <w:proofErr w:type="spellStart"/>
      <w:r w:rsidRPr="00016A26">
        <w:rPr>
          <w:rFonts w:eastAsiaTheme="minorHAnsi"/>
          <w:sz w:val="22"/>
          <w:szCs w:val="22"/>
          <w:lang w:eastAsia="en-US"/>
        </w:rPr>
        <w:t>examples</w:t>
      </w:r>
      <w:proofErr w:type="spellEnd"/>
      <w:r w:rsidRPr="00016A26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016A26">
        <w:rPr>
          <w:rFonts w:eastAsiaTheme="minorHAnsi"/>
          <w:sz w:val="22"/>
          <w:szCs w:val="22"/>
          <w:lang w:eastAsia="en-US"/>
        </w:rPr>
        <w:t>to</w:t>
      </w:r>
      <w:proofErr w:type="spellEnd"/>
      <w:r w:rsidRPr="00016A26">
        <w:rPr>
          <w:rFonts w:eastAsiaTheme="minorHAnsi"/>
          <w:sz w:val="22"/>
          <w:szCs w:val="22"/>
          <w:lang w:eastAsia="en-US"/>
        </w:rPr>
        <w:t xml:space="preserve"> open </w:t>
      </w:r>
      <w:proofErr w:type="spellStart"/>
      <w:r w:rsidRPr="00016A26">
        <w:rPr>
          <w:rFonts w:eastAsiaTheme="minorHAnsi"/>
          <w:sz w:val="22"/>
          <w:szCs w:val="22"/>
          <w:lang w:eastAsia="en-US"/>
        </w:rPr>
        <w:t>discussion</w:t>
      </w:r>
      <w:proofErr w:type="spellEnd"/>
      <w:r w:rsidRPr="00016A26">
        <w:rPr>
          <w:rFonts w:eastAsiaTheme="minorHAnsi"/>
          <w:sz w:val="22"/>
          <w:szCs w:val="22"/>
          <w:lang w:eastAsia="en-US"/>
        </w:rPr>
        <w:t xml:space="preserve">. In </w:t>
      </w:r>
      <w:proofErr w:type="spellStart"/>
      <w:r w:rsidRPr="00016A26">
        <w:rPr>
          <w:rFonts w:eastAsiaTheme="minorHAnsi"/>
          <w:i/>
          <w:iCs/>
          <w:sz w:val="22"/>
          <w:szCs w:val="22"/>
          <w:lang w:eastAsia="en-US"/>
        </w:rPr>
        <w:t>Proceedings</w:t>
      </w:r>
      <w:proofErr w:type="spellEnd"/>
      <w:r w:rsidRPr="00016A26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016A26">
        <w:rPr>
          <w:rFonts w:eastAsiaTheme="minorHAnsi"/>
          <w:i/>
          <w:iCs/>
          <w:sz w:val="22"/>
          <w:szCs w:val="22"/>
          <w:lang w:eastAsia="en-US"/>
        </w:rPr>
        <w:t>of</w:t>
      </w:r>
      <w:proofErr w:type="spellEnd"/>
      <w:r w:rsidRPr="00016A26">
        <w:rPr>
          <w:rFonts w:eastAsiaTheme="minorHAnsi"/>
          <w:i/>
          <w:iCs/>
          <w:sz w:val="22"/>
          <w:szCs w:val="22"/>
          <w:lang w:eastAsia="en-US"/>
        </w:rPr>
        <w:t xml:space="preserve"> 2018 IEEE Global </w:t>
      </w:r>
      <w:proofErr w:type="spellStart"/>
      <w:r w:rsidRPr="00016A26">
        <w:rPr>
          <w:rFonts w:eastAsiaTheme="minorHAnsi"/>
          <w:i/>
          <w:iCs/>
          <w:sz w:val="22"/>
          <w:szCs w:val="22"/>
          <w:lang w:eastAsia="en-US"/>
        </w:rPr>
        <w:t>Engineering</w:t>
      </w:r>
      <w:proofErr w:type="spellEnd"/>
      <w:r w:rsidRPr="00016A26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016A26">
        <w:rPr>
          <w:rFonts w:eastAsiaTheme="minorHAnsi"/>
          <w:i/>
          <w:iCs/>
          <w:sz w:val="22"/>
          <w:szCs w:val="22"/>
          <w:lang w:eastAsia="en-US"/>
        </w:rPr>
        <w:t>Education</w:t>
      </w:r>
      <w:proofErr w:type="spellEnd"/>
      <w:r w:rsidRPr="00016A26">
        <w:rPr>
          <w:rFonts w:eastAsiaTheme="minorHAnsi"/>
          <w:i/>
          <w:iCs/>
          <w:sz w:val="22"/>
          <w:szCs w:val="22"/>
          <w:lang w:eastAsia="en-US"/>
        </w:rPr>
        <w:t xml:space="preserve"> </w:t>
      </w:r>
      <w:proofErr w:type="spellStart"/>
      <w:r w:rsidRPr="00016A26">
        <w:rPr>
          <w:rFonts w:eastAsiaTheme="minorHAnsi"/>
          <w:i/>
          <w:iCs/>
          <w:sz w:val="22"/>
          <w:szCs w:val="22"/>
          <w:lang w:eastAsia="en-US"/>
        </w:rPr>
        <w:t>Conference</w:t>
      </w:r>
      <w:proofErr w:type="spellEnd"/>
      <w:r w:rsidRPr="00016A26">
        <w:rPr>
          <w:rFonts w:eastAsiaTheme="minorHAnsi"/>
          <w:i/>
          <w:iCs/>
          <w:sz w:val="22"/>
          <w:szCs w:val="22"/>
          <w:lang w:eastAsia="en-US"/>
        </w:rPr>
        <w:t xml:space="preserve"> (EDUCON)</w:t>
      </w:r>
      <w:r w:rsidRPr="00016A26">
        <w:rPr>
          <w:rFonts w:eastAsiaTheme="minorHAnsi"/>
          <w:sz w:val="22"/>
          <w:szCs w:val="22"/>
          <w:lang w:eastAsia="en-US"/>
        </w:rPr>
        <w:t xml:space="preserve"> (pp. 4–9). IEEE. </w:t>
      </w:r>
      <w:hyperlink r:id="rId18" w:tgtFrame="_blank" w:history="1">
        <w:r w:rsidRPr="00016A26">
          <w:rPr>
            <w:rStyle w:val="Hyperlink"/>
            <w:rFonts w:eastAsiaTheme="minorHAnsi"/>
            <w:sz w:val="22"/>
            <w:szCs w:val="22"/>
            <w:lang w:eastAsia="en-US"/>
          </w:rPr>
          <w:t>https://doi.org/10.1109/EDUCON.2018.8363100</w:t>
        </w:r>
      </w:hyperlink>
    </w:p>
    <w:p w14:paraId="7AB69795" w14:textId="79A8FE11" w:rsidR="00D2114F" w:rsidRDefault="00D2114F" w:rsidP="00F05226">
      <w:pPr>
        <w:pStyle w:val="NormalWeb"/>
        <w:spacing w:beforeAutospacing="0" w:after="0" w:afterAutospacing="0"/>
        <w:ind w:left="709" w:hanging="709"/>
        <w:textAlignment w:val="baseline"/>
        <w:rPr>
          <w:rFonts w:eastAsiaTheme="minorHAnsi"/>
          <w:sz w:val="22"/>
          <w:szCs w:val="22"/>
          <w:lang w:eastAsia="en-US"/>
        </w:rPr>
      </w:pPr>
      <w:r w:rsidRPr="00D2114F">
        <w:rPr>
          <w:rFonts w:eastAsiaTheme="minorHAnsi"/>
          <w:sz w:val="22"/>
          <w:szCs w:val="22"/>
          <w:lang w:eastAsia="en-US"/>
        </w:rPr>
        <w:t xml:space="preserve">The </w:t>
      </w:r>
      <w:proofErr w:type="spellStart"/>
      <w:r w:rsidRPr="00D2114F">
        <w:rPr>
          <w:rFonts w:eastAsiaTheme="minorHAnsi"/>
          <w:sz w:val="22"/>
          <w:szCs w:val="22"/>
          <w:lang w:eastAsia="en-US"/>
        </w:rPr>
        <w:t>Sqlite</w:t>
      </w:r>
      <w:proofErr w:type="spellEnd"/>
      <w:r w:rsidRPr="00D2114F">
        <w:rPr>
          <w:rFonts w:eastAsiaTheme="minorHAnsi"/>
          <w:sz w:val="22"/>
          <w:szCs w:val="22"/>
          <w:lang w:eastAsia="en-US"/>
        </w:rPr>
        <w:t xml:space="preserve"> Consortium. (</w:t>
      </w:r>
      <w:proofErr w:type="spellStart"/>
      <w:r w:rsidRPr="00D2114F">
        <w:rPr>
          <w:rFonts w:eastAsiaTheme="minorHAnsi"/>
          <w:sz w:val="22"/>
          <w:szCs w:val="22"/>
          <w:lang w:eastAsia="en-US"/>
        </w:rPr>
        <w:t>n.d</w:t>
      </w:r>
      <w:proofErr w:type="spellEnd"/>
      <w:r w:rsidRPr="00D2114F">
        <w:rPr>
          <w:rFonts w:eastAsiaTheme="minorHAnsi"/>
          <w:sz w:val="22"/>
          <w:szCs w:val="22"/>
          <w:lang w:eastAsia="en-US"/>
        </w:rPr>
        <w:t xml:space="preserve">.). </w:t>
      </w:r>
      <w:proofErr w:type="spellStart"/>
      <w:r w:rsidRPr="00D2114F">
        <w:rPr>
          <w:rFonts w:eastAsiaTheme="minorHAnsi"/>
          <w:i/>
          <w:iCs/>
          <w:sz w:val="22"/>
          <w:szCs w:val="22"/>
          <w:lang w:eastAsia="en-US"/>
        </w:rPr>
        <w:t>SQLite</w:t>
      </w:r>
      <w:proofErr w:type="spellEnd"/>
      <w:r w:rsidRPr="00D2114F">
        <w:rPr>
          <w:rFonts w:eastAsiaTheme="minorHAnsi"/>
          <w:i/>
          <w:iCs/>
          <w:sz w:val="22"/>
          <w:szCs w:val="22"/>
          <w:lang w:eastAsia="en-US"/>
        </w:rPr>
        <w:t xml:space="preserve"> Home Page</w:t>
      </w:r>
      <w:r w:rsidRPr="00D2114F">
        <w:rPr>
          <w:rFonts w:eastAsiaTheme="minorHAnsi"/>
          <w:sz w:val="22"/>
          <w:szCs w:val="22"/>
          <w:lang w:eastAsia="en-US"/>
        </w:rPr>
        <w:t xml:space="preserve">. </w:t>
      </w:r>
      <w:proofErr w:type="spellStart"/>
      <w:r w:rsidRPr="00D2114F">
        <w:rPr>
          <w:rFonts w:eastAsiaTheme="minorHAnsi"/>
          <w:sz w:val="22"/>
          <w:szCs w:val="22"/>
          <w:lang w:eastAsia="en-US"/>
        </w:rPr>
        <w:t>SQLite</w:t>
      </w:r>
      <w:proofErr w:type="spellEnd"/>
      <w:r w:rsidRPr="00D2114F">
        <w:rPr>
          <w:rFonts w:eastAsiaTheme="minorHAnsi"/>
          <w:sz w:val="22"/>
          <w:szCs w:val="22"/>
          <w:lang w:eastAsia="en-US"/>
        </w:rPr>
        <w:t xml:space="preserve">. </w:t>
      </w:r>
      <w:hyperlink r:id="rId19" w:tgtFrame="_blank" w:history="1">
        <w:r w:rsidRPr="00D2114F">
          <w:rPr>
            <w:rStyle w:val="Hyperlink"/>
            <w:rFonts w:eastAsiaTheme="minorHAnsi"/>
            <w:sz w:val="22"/>
            <w:szCs w:val="22"/>
            <w:lang w:eastAsia="en-US"/>
          </w:rPr>
          <w:t>https://sqlite.org/index.html</w:t>
        </w:r>
      </w:hyperlink>
    </w:p>
    <w:p w14:paraId="09BECA21" w14:textId="24EE3138" w:rsidR="008000C9" w:rsidRDefault="008000C9" w:rsidP="00F05226">
      <w:pPr>
        <w:pStyle w:val="NormalWeb"/>
        <w:spacing w:beforeAutospacing="0" w:after="0" w:afterAutospacing="0"/>
        <w:ind w:left="709" w:hanging="709"/>
        <w:textAlignment w:val="baseline"/>
        <w:rPr>
          <w:rStyle w:val="nfaseIntensa"/>
          <w:rFonts w:eastAsiaTheme="minorHAnsi"/>
          <w:i w:val="0"/>
          <w:iCs w:val="0"/>
          <w:color w:val="auto"/>
          <w:sz w:val="22"/>
          <w:szCs w:val="22"/>
          <w:lang w:eastAsia="en-US"/>
        </w:rPr>
      </w:pPr>
      <w:r w:rsidRPr="008000C9">
        <w:rPr>
          <w:rFonts w:eastAsiaTheme="minorHAnsi"/>
          <w:sz w:val="22"/>
          <w:szCs w:val="22"/>
          <w:lang w:eastAsia="en-US"/>
        </w:rPr>
        <w:t xml:space="preserve">World </w:t>
      </w:r>
      <w:proofErr w:type="spellStart"/>
      <w:r w:rsidRPr="008000C9">
        <w:rPr>
          <w:rFonts w:eastAsiaTheme="minorHAnsi"/>
          <w:sz w:val="22"/>
          <w:szCs w:val="22"/>
          <w:lang w:eastAsia="en-US"/>
        </w:rPr>
        <w:t>Intellectual</w:t>
      </w:r>
      <w:proofErr w:type="spellEnd"/>
      <w:r w:rsidRPr="008000C9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8000C9">
        <w:rPr>
          <w:rFonts w:eastAsiaTheme="minorHAnsi"/>
          <w:sz w:val="22"/>
          <w:szCs w:val="22"/>
          <w:lang w:eastAsia="en-US"/>
        </w:rPr>
        <w:t>Property</w:t>
      </w:r>
      <w:proofErr w:type="spellEnd"/>
      <w:r w:rsidRPr="008000C9">
        <w:rPr>
          <w:rFonts w:eastAsiaTheme="minorHAnsi"/>
          <w:sz w:val="22"/>
          <w:szCs w:val="22"/>
          <w:lang w:eastAsia="en-US"/>
        </w:rPr>
        <w:t xml:space="preserve"> </w:t>
      </w:r>
      <w:proofErr w:type="spellStart"/>
      <w:r w:rsidRPr="008000C9">
        <w:rPr>
          <w:rFonts w:eastAsiaTheme="minorHAnsi"/>
          <w:sz w:val="22"/>
          <w:szCs w:val="22"/>
          <w:lang w:eastAsia="en-US"/>
        </w:rPr>
        <w:t>Organization</w:t>
      </w:r>
      <w:proofErr w:type="spellEnd"/>
      <w:r w:rsidRPr="008000C9">
        <w:rPr>
          <w:rFonts w:eastAsiaTheme="minorHAnsi"/>
          <w:sz w:val="22"/>
          <w:szCs w:val="22"/>
          <w:lang w:eastAsia="en-US"/>
        </w:rPr>
        <w:t xml:space="preserve">. (2022, 21 de novembro). </w:t>
      </w:r>
      <w:r w:rsidRPr="008000C9">
        <w:rPr>
          <w:rFonts w:eastAsiaTheme="minorHAnsi"/>
          <w:i/>
          <w:iCs/>
          <w:sz w:val="22"/>
          <w:szCs w:val="22"/>
          <w:lang w:eastAsia="en-US"/>
        </w:rPr>
        <w:t>Com crescimento impulsionado pela Ásia, depósitos de PI em todo o mundo registram novo recorde histórico em 2021</w:t>
      </w:r>
      <w:r w:rsidRPr="008000C9">
        <w:rPr>
          <w:rFonts w:eastAsiaTheme="minorHAnsi"/>
          <w:sz w:val="22"/>
          <w:szCs w:val="22"/>
          <w:lang w:eastAsia="en-US"/>
        </w:rPr>
        <w:t xml:space="preserve">. </w:t>
      </w:r>
      <w:hyperlink r:id="rId20" w:tgtFrame="_blank" w:history="1">
        <w:r w:rsidRPr="008000C9">
          <w:rPr>
            <w:rStyle w:val="Hyperlink"/>
            <w:rFonts w:eastAsiaTheme="minorHAnsi"/>
            <w:sz w:val="22"/>
            <w:szCs w:val="22"/>
            <w:lang w:eastAsia="en-US"/>
          </w:rPr>
          <w:t>https://www.wipo.int/pressroom/pt/articles/2022/article_0013.html</w:t>
        </w:r>
      </w:hyperlink>
    </w:p>
    <w:p w14:paraId="1C0DFE85" w14:textId="77777777" w:rsidR="00907193" w:rsidRPr="00907193" w:rsidRDefault="00907193" w:rsidP="00907193">
      <w:pPr>
        <w:pStyle w:val="Ttulo1"/>
        <w:rPr>
          <w:rFonts w:ascii="Times New Roman" w:hAnsi="Times New Roman" w:cs="Times New Roman"/>
          <w:b/>
          <w:color w:val="auto"/>
        </w:rPr>
      </w:pPr>
      <w:r w:rsidRPr="00907193">
        <w:rPr>
          <w:rFonts w:ascii="Times New Roman" w:hAnsi="Times New Roman" w:cs="Times New Roman"/>
          <w:b/>
          <w:color w:val="auto"/>
        </w:rPr>
        <w:t>Licença</w:t>
      </w:r>
    </w:p>
    <w:p w14:paraId="3460C90E" w14:textId="5FEA0623" w:rsidR="00907193" w:rsidRDefault="00907193" w:rsidP="00907193">
      <w:pPr>
        <w:pStyle w:val="NormalWeb"/>
        <w:spacing w:after="0"/>
        <w:textAlignment w:val="baseline"/>
        <w:rPr>
          <w:rStyle w:val="nfaseIntensa"/>
          <w:rFonts w:eastAsiaTheme="minorHAnsi"/>
          <w:i w:val="0"/>
          <w:iCs w:val="0"/>
          <w:color w:val="auto"/>
          <w:sz w:val="22"/>
          <w:szCs w:val="22"/>
          <w:lang w:eastAsia="en-US"/>
        </w:rPr>
      </w:pPr>
      <w:r w:rsidRPr="00907193">
        <w:rPr>
          <w:rStyle w:val="nfaseIntensa"/>
          <w:rFonts w:eastAsiaTheme="minorHAnsi"/>
          <w:i w:val="0"/>
          <w:iCs w:val="0"/>
          <w:color w:val="auto"/>
          <w:sz w:val="22"/>
          <w:szCs w:val="22"/>
          <w:lang w:eastAsia="en-US"/>
        </w:rPr>
        <w:t xml:space="preserve">“Este resumo ampliado se distribui sob a licença </w:t>
      </w:r>
      <w:proofErr w:type="spellStart"/>
      <w:r w:rsidRPr="00907193">
        <w:rPr>
          <w:rStyle w:val="nfaseIntensa"/>
          <w:rFonts w:eastAsiaTheme="minorHAnsi"/>
          <w:i w:val="0"/>
          <w:iCs w:val="0"/>
          <w:color w:val="auto"/>
          <w:sz w:val="22"/>
          <w:szCs w:val="22"/>
          <w:lang w:eastAsia="en-US"/>
        </w:rPr>
        <w:t>Creative</w:t>
      </w:r>
      <w:proofErr w:type="spellEnd"/>
      <w:r w:rsidRPr="00907193">
        <w:rPr>
          <w:rStyle w:val="nfaseIntensa"/>
          <w:rFonts w:eastAsiaTheme="minorHAnsi"/>
          <w:i w:val="0"/>
          <w:iCs w:val="0"/>
          <w:color w:val="auto"/>
          <w:sz w:val="22"/>
          <w:szCs w:val="22"/>
          <w:lang w:eastAsia="en-US"/>
        </w:rPr>
        <w:t xml:space="preserve"> Commons Atribuição-Não Comercial (CC-BY-NC 4.0).”</w:t>
      </w:r>
    </w:p>
    <w:sectPr w:rsidR="00907193" w:rsidSect="00680672">
      <w:headerReference w:type="default" r:id="rId21"/>
      <w:pgSz w:w="11907" w:h="16840" w:code="9"/>
      <w:pgMar w:top="1418" w:right="1418" w:bottom="1418" w:left="1418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87962" w14:textId="77777777" w:rsidR="000B10D9" w:rsidRPr="00280D53" w:rsidRDefault="000B10D9">
      <w:pPr>
        <w:spacing w:after="0" w:line="240" w:lineRule="auto"/>
      </w:pPr>
      <w:r w:rsidRPr="00280D53">
        <w:separator/>
      </w:r>
    </w:p>
  </w:endnote>
  <w:endnote w:type="continuationSeparator" w:id="0">
    <w:p w14:paraId="66B5013D" w14:textId="77777777" w:rsidR="000B10D9" w:rsidRPr="00280D53" w:rsidRDefault="000B10D9">
      <w:pPr>
        <w:spacing w:after="0" w:line="240" w:lineRule="auto"/>
      </w:pPr>
      <w:r w:rsidRPr="00280D53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FB9FFB" w14:textId="77777777" w:rsidR="000B10D9" w:rsidRPr="00280D53" w:rsidRDefault="000B10D9">
      <w:pPr>
        <w:spacing w:after="0" w:line="240" w:lineRule="auto"/>
      </w:pPr>
      <w:r w:rsidRPr="00280D53">
        <w:separator/>
      </w:r>
    </w:p>
  </w:footnote>
  <w:footnote w:type="continuationSeparator" w:id="0">
    <w:p w14:paraId="0B371570" w14:textId="77777777" w:rsidR="000B10D9" w:rsidRPr="00280D53" w:rsidRDefault="000B10D9">
      <w:pPr>
        <w:spacing w:after="0" w:line="240" w:lineRule="auto"/>
      </w:pPr>
      <w:r w:rsidRPr="00280D53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63EC2" w14:textId="77777777" w:rsidR="005D3061" w:rsidRPr="00280D53" w:rsidRDefault="005D3061" w:rsidP="007274E4">
    <w:pPr>
      <w:pStyle w:val="Cabealho"/>
      <w:rPr>
        <w:rFonts w:ascii="Arial" w:hAnsi="Arial" w:cs="Arial"/>
        <w:color w:val="767171" w:themeColor="background2" w:themeShade="80"/>
        <w:sz w:val="20"/>
      </w:rPr>
    </w:pPr>
  </w:p>
  <w:p w14:paraId="22B28D38" w14:textId="77777777" w:rsidR="005D3061" w:rsidRPr="00280D53" w:rsidRDefault="00BC175C">
    <w:pPr>
      <w:pStyle w:val="Cabealho"/>
      <w:tabs>
        <w:tab w:val="left" w:pos="1560"/>
      </w:tabs>
      <w:rPr>
        <w:color w:val="767171" w:themeColor="background2" w:themeShade="80"/>
      </w:rPr>
    </w:pPr>
    <w:r w:rsidRPr="00280D53">
      <w:rPr>
        <w:color w:val="767171" w:themeColor="background2" w:themeShade="80"/>
      </w:rPr>
      <w:tab/>
    </w:r>
    <w:r w:rsidRPr="00280D53">
      <w:rPr>
        <w:color w:val="767171" w:themeColor="background2" w:themeShade="8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E4B7D"/>
    <w:multiLevelType w:val="multilevel"/>
    <w:tmpl w:val="7E6099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59357C7"/>
    <w:multiLevelType w:val="hybridMultilevel"/>
    <w:tmpl w:val="8FAC5B30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2D821AEF"/>
    <w:multiLevelType w:val="hybridMultilevel"/>
    <w:tmpl w:val="DD3A9A80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50923F4F"/>
    <w:multiLevelType w:val="hybridMultilevel"/>
    <w:tmpl w:val="8E88691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355238"/>
    <w:multiLevelType w:val="multilevel"/>
    <w:tmpl w:val="F558DCC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7DBB425D"/>
    <w:multiLevelType w:val="multilevel"/>
    <w:tmpl w:val="3AC06B56"/>
    <w:lvl w:ilvl="0">
      <w:start w:val="1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 w16cid:durableId="1186600603">
    <w:abstractNumId w:val="4"/>
  </w:num>
  <w:num w:numId="2" w16cid:durableId="1119564807">
    <w:abstractNumId w:val="0"/>
  </w:num>
  <w:num w:numId="3" w16cid:durableId="1040546003">
    <w:abstractNumId w:val="1"/>
  </w:num>
  <w:num w:numId="4" w16cid:durableId="1731878626">
    <w:abstractNumId w:val="3"/>
  </w:num>
  <w:num w:numId="5" w16cid:durableId="777026811">
    <w:abstractNumId w:val="5"/>
  </w:num>
  <w:num w:numId="6" w16cid:durableId="6028041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3061"/>
    <w:rsid w:val="000004A3"/>
    <w:rsid w:val="0001093B"/>
    <w:rsid w:val="00011C9F"/>
    <w:rsid w:val="00013AD4"/>
    <w:rsid w:val="00016A26"/>
    <w:rsid w:val="000274D8"/>
    <w:rsid w:val="0003005C"/>
    <w:rsid w:val="00046395"/>
    <w:rsid w:val="00046516"/>
    <w:rsid w:val="00053B64"/>
    <w:rsid w:val="000541BE"/>
    <w:rsid w:val="00063549"/>
    <w:rsid w:val="0006488B"/>
    <w:rsid w:val="00067619"/>
    <w:rsid w:val="000724FC"/>
    <w:rsid w:val="000839E3"/>
    <w:rsid w:val="00085B3A"/>
    <w:rsid w:val="000932B5"/>
    <w:rsid w:val="000A12F6"/>
    <w:rsid w:val="000A4373"/>
    <w:rsid w:val="000A56A1"/>
    <w:rsid w:val="000A7074"/>
    <w:rsid w:val="000B10D9"/>
    <w:rsid w:val="000B26E1"/>
    <w:rsid w:val="000C5AEA"/>
    <w:rsid w:val="000C5C40"/>
    <w:rsid w:val="000C6B2C"/>
    <w:rsid w:val="000D4EFE"/>
    <w:rsid w:val="000E44F4"/>
    <w:rsid w:val="000E5BC0"/>
    <w:rsid w:val="000F4281"/>
    <w:rsid w:val="000F4590"/>
    <w:rsid w:val="001015F4"/>
    <w:rsid w:val="00105A1E"/>
    <w:rsid w:val="0011098C"/>
    <w:rsid w:val="0011102C"/>
    <w:rsid w:val="001209DC"/>
    <w:rsid w:val="00121E8C"/>
    <w:rsid w:val="00126141"/>
    <w:rsid w:val="00127DF5"/>
    <w:rsid w:val="00127E7A"/>
    <w:rsid w:val="0013188C"/>
    <w:rsid w:val="00132E29"/>
    <w:rsid w:val="0014490E"/>
    <w:rsid w:val="001603E9"/>
    <w:rsid w:val="00163A8A"/>
    <w:rsid w:val="00165C5A"/>
    <w:rsid w:val="0017631A"/>
    <w:rsid w:val="00181729"/>
    <w:rsid w:val="00182D6E"/>
    <w:rsid w:val="00182F7F"/>
    <w:rsid w:val="001843CA"/>
    <w:rsid w:val="00186729"/>
    <w:rsid w:val="00194A63"/>
    <w:rsid w:val="00194B1F"/>
    <w:rsid w:val="001A37D0"/>
    <w:rsid w:val="001A39E7"/>
    <w:rsid w:val="001A4BA7"/>
    <w:rsid w:val="001A79DB"/>
    <w:rsid w:val="001B0716"/>
    <w:rsid w:val="001C1E22"/>
    <w:rsid w:val="001C3E2F"/>
    <w:rsid w:val="001C58B8"/>
    <w:rsid w:val="001D0522"/>
    <w:rsid w:val="001E262B"/>
    <w:rsid w:val="001E3AEE"/>
    <w:rsid w:val="001E4CC6"/>
    <w:rsid w:val="001F1523"/>
    <w:rsid w:val="00203615"/>
    <w:rsid w:val="00210612"/>
    <w:rsid w:val="00212250"/>
    <w:rsid w:val="0022005D"/>
    <w:rsid w:val="0022093D"/>
    <w:rsid w:val="0022538D"/>
    <w:rsid w:val="00231D41"/>
    <w:rsid w:val="00236935"/>
    <w:rsid w:val="00236AE4"/>
    <w:rsid w:val="00237D43"/>
    <w:rsid w:val="002448E1"/>
    <w:rsid w:val="00247C6C"/>
    <w:rsid w:val="00250993"/>
    <w:rsid w:val="0025199D"/>
    <w:rsid w:val="002571E1"/>
    <w:rsid w:val="0026243F"/>
    <w:rsid w:val="00266F27"/>
    <w:rsid w:val="0027377E"/>
    <w:rsid w:val="002738A8"/>
    <w:rsid w:val="00274BB1"/>
    <w:rsid w:val="00276A6F"/>
    <w:rsid w:val="00280356"/>
    <w:rsid w:val="0028067F"/>
    <w:rsid w:val="00280D53"/>
    <w:rsid w:val="00281347"/>
    <w:rsid w:val="00283C81"/>
    <w:rsid w:val="00285E09"/>
    <w:rsid w:val="00287BC9"/>
    <w:rsid w:val="002901E9"/>
    <w:rsid w:val="002B1B62"/>
    <w:rsid w:val="002B433A"/>
    <w:rsid w:val="002B6678"/>
    <w:rsid w:val="002C1A82"/>
    <w:rsid w:val="002D3445"/>
    <w:rsid w:val="002E4C22"/>
    <w:rsid w:val="002E6ED1"/>
    <w:rsid w:val="002F0BD9"/>
    <w:rsid w:val="002F3821"/>
    <w:rsid w:val="002F3EC0"/>
    <w:rsid w:val="002F3F26"/>
    <w:rsid w:val="002F4125"/>
    <w:rsid w:val="003007C5"/>
    <w:rsid w:val="00300B69"/>
    <w:rsid w:val="003023D4"/>
    <w:rsid w:val="00313279"/>
    <w:rsid w:val="00313A24"/>
    <w:rsid w:val="003162D8"/>
    <w:rsid w:val="003167AC"/>
    <w:rsid w:val="003171A4"/>
    <w:rsid w:val="00317EF7"/>
    <w:rsid w:val="00335A0E"/>
    <w:rsid w:val="00336FEC"/>
    <w:rsid w:val="003545B8"/>
    <w:rsid w:val="00355E40"/>
    <w:rsid w:val="00355EA2"/>
    <w:rsid w:val="00361542"/>
    <w:rsid w:val="00363DBB"/>
    <w:rsid w:val="00367032"/>
    <w:rsid w:val="0037131E"/>
    <w:rsid w:val="0037177A"/>
    <w:rsid w:val="00371991"/>
    <w:rsid w:val="00371B6A"/>
    <w:rsid w:val="00373846"/>
    <w:rsid w:val="00374A86"/>
    <w:rsid w:val="003775CC"/>
    <w:rsid w:val="00377B49"/>
    <w:rsid w:val="00384239"/>
    <w:rsid w:val="0038616C"/>
    <w:rsid w:val="003865AC"/>
    <w:rsid w:val="00391EA8"/>
    <w:rsid w:val="003925C5"/>
    <w:rsid w:val="00392996"/>
    <w:rsid w:val="0039460B"/>
    <w:rsid w:val="00396D58"/>
    <w:rsid w:val="003A0009"/>
    <w:rsid w:val="003A046E"/>
    <w:rsid w:val="003B0111"/>
    <w:rsid w:val="003B2441"/>
    <w:rsid w:val="003B428E"/>
    <w:rsid w:val="003C0170"/>
    <w:rsid w:val="003E111A"/>
    <w:rsid w:val="003F0F2D"/>
    <w:rsid w:val="003F2454"/>
    <w:rsid w:val="003F612B"/>
    <w:rsid w:val="003F7D6E"/>
    <w:rsid w:val="00401065"/>
    <w:rsid w:val="004017A6"/>
    <w:rsid w:val="00402C3D"/>
    <w:rsid w:val="00406C24"/>
    <w:rsid w:val="004158B2"/>
    <w:rsid w:val="0041719C"/>
    <w:rsid w:val="004179E7"/>
    <w:rsid w:val="00434043"/>
    <w:rsid w:val="004356CA"/>
    <w:rsid w:val="0043633A"/>
    <w:rsid w:val="0044381E"/>
    <w:rsid w:val="00450787"/>
    <w:rsid w:val="00451860"/>
    <w:rsid w:val="00461D14"/>
    <w:rsid w:val="0046234D"/>
    <w:rsid w:val="00474B2E"/>
    <w:rsid w:val="0047641F"/>
    <w:rsid w:val="0048165B"/>
    <w:rsid w:val="00481F07"/>
    <w:rsid w:val="00482480"/>
    <w:rsid w:val="00487CD2"/>
    <w:rsid w:val="0049384E"/>
    <w:rsid w:val="00497CAB"/>
    <w:rsid w:val="00497E05"/>
    <w:rsid w:val="004A5F57"/>
    <w:rsid w:val="004B60E1"/>
    <w:rsid w:val="004C3A75"/>
    <w:rsid w:val="004C5CF7"/>
    <w:rsid w:val="004E23BE"/>
    <w:rsid w:val="004F024B"/>
    <w:rsid w:val="004F23FB"/>
    <w:rsid w:val="004F4E80"/>
    <w:rsid w:val="004F7627"/>
    <w:rsid w:val="00503AE7"/>
    <w:rsid w:val="00513635"/>
    <w:rsid w:val="00515F55"/>
    <w:rsid w:val="00517F47"/>
    <w:rsid w:val="00520E32"/>
    <w:rsid w:val="00522494"/>
    <w:rsid w:val="00526B01"/>
    <w:rsid w:val="005440D8"/>
    <w:rsid w:val="00544B88"/>
    <w:rsid w:val="00546441"/>
    <w:rsid w:val="005568AE"/>
    <w:rsid w:val="005620BC"/>
    <w:rsid w:val="00562D24"/>
    <w:rsid w:val="005670B5"/>
    <w:rsid w:val="0057065F"/>
    <w:rsid w:val="00573DFC"/>
    <w:rsid w:val="005852B7"/>
    <w:rsid w:val="00591666"/>
    <w:rsid w:val="005A347F"/>
    <w:rsid w:val="005B2247"/>
    <w:rsid w:val="005B318B"/>
    <w:rsid w:val="005B6D41"/>
    <w:rsid w:val="005B6F01"/>
    <w:rsid w:val="005C2FD5"/>
    <w:rsid w:val="005D3061"/>
    <w:rsid w:val="005F07C1"/>
    <w:rsid w:val="006020FA"/>
    <w:rsid w:val="00607A4B"/>
    <w:rsid w:val="00610CFD"/>
    <w:rsid w:val="00626A07"/>
    <w:rsid w:val="00637636"/>
    <w:rsid w:val="006423A5"/>
    <w:rsid w:val="006436C5"/>
    <w:rsid w:val="00645C02"/>
    <w:rsid w:val="00650624"/>
    <w:rsid w:val="00661F1C"/>
    <w:rsid w:val="00662DB8"/>
    <w:rsid w:val="00663744"/>
    <w:rsid w:val="006722F1"/>
    <w:rsid w:val="00672AE7"/>
    <w:rsid w:val="0067590D"/>
    <w:rsid w:val="00680672"/>
    <w:rsid w:val="00692FF6"/>
    <w:rsid w:val="00695807"/>
    <w:rsid w:val="006A0183"/>
    <w:rsid w:val="006A1C60"/>
    <w:rsid w:val="006A1DDE"/>
    <w:rsid w:val="006A1EA3"/>
    <w:rsid w:val="006A238D"/>
    <w:rsid w:val="006A414F"/>
    <w:rsid w:val="006A5AEB"/>
    <w:rsid w:val="006B5978"/>
    <w:rsid w:val="006B7785"/>
    <w:rsid w:val="006B7ED5"/>
    <w:rsid w:val="006C2F6F"/>
    <w:rsid w:val="006C6731"/>
    <w:rsid w:val="006D0C2B"/>
    <w:rsid w:val="006D12FA"/>
    <w:rsid w:val="006D7F02"/>
    <w:rsid w:val="006E38A7"/>
    <w:rsid w:val="00705261"/>
    <w:rsid w:val="0071657D"/>
    <w:rsid w:val="00717DA2"/>
    <w:rsid w:val="00723D61"/>
    <w:rsid w:val="00724698"/>
    <w:rsid w:val="00725DF3"/>
    <w:rsid w:val="007274E4"/>
    <w:rsid w:val="00727912"/>
    <w:rsid w:val="00727A63"/>
    <w:rsid w:val="00734BF3"/>
    <w:rsid w:val="007368E4"/>
    <w:rsid w:val="007407CE"/>
    <w:rsid w:val="00744E77"/>
    <w:rsid w:val="007501DE"/>
    <w:rsid w:val="00750390"/>
    <w:rsid w:val="0076085C"/>
    <w:rsid w:val="00771106"/>
    <w:rsid w:val="00773015"/>
    <w:rsid w:val="00774B08"/>
    <w:rsid w:val="00784730"/>
    <w:rsid w:val="00795A45"/>
    <w:rsid w:val="00797B9E"/>
    <w:rsid w:val="007B2755"/>
    <w:rsid w:val="007B3A01"/>
    <w:rsid w:val="007D7CC2"/>
    <w:rsid w:val="007E105F"/>
    <w:rsid w:val="007F1273"/>
    <w:rsid w:val="007F1651"/>
    <w:rsid w:val="007F799F"/>
    <w:rsid w:val="008000C9"/>
    <w:rsid w:val="00801D24"/>
    <w:rsid w:val="00802839"/>
    <w:rsid w:val="0081229D"/>
    <w:rsid w:val="00812B68"/>
    <w:rsid w:val="0081777B"/>
    <w:rsid w:val="00821557"/>
    <w:rsid w:val="00822667"/>
    <w:rsid w:val="00835D03"/>
    <w:rsid w:val="0084294F"/>
    <w:rsid w:val="00845B5A"/>
    <w:rsid w:val="00851371"/>
    <w:rsid w:val="008545BE"/>
    <w:rsid w:val="0086505C"/>
    <w:rsid w:val="008710B6"/>
    <w:rsid w:val="00874D83"/>
    <w:rsid w:val="00874DFB"/>
    <w:rsid w:val="008972BD"/>
    <w:rsid w:val="008A3EBB"/>
    <w:rsid w:val="008A7F72"/>
    <w:rsid w:val="008B53D9"/>
    <w:rsid w:val="008B7632"/>
    <w:rsid w:val="008C0B4E"/>
    <w:rsid w:val="008C23DB"/>
    <w:rsid w:val="008C254A"/>
    <w:rsid w:val="008D08EB"/>
    <w:rsid w:val="008D0F2A"/>
    <w:rsid w:val="008D3886"/>
    <w:rsid w:val="008D4D59"/>
    <w:rsid w:val="008E054C"/>
    <w:rsid w:val="008E1ED9"/>
    <w:rsid w:val="008E5A2D"/>
    <w:rsid w:val="008F4F1E"/>
    <w:rsid w:val="008F7621"/>
    <w:rsid w:val="0090128C"/>
    <w:rsid w:val="009050D8"/>
    <w:rsid w:val="0090592D"/>
    <w:rsid w:val="00907193"/>
    <w:rsid w:val="0090738B"/>
    <w:rsid w:val="0092178B"/>
    <w:rsid w:val="009230E5"/>
    <w:rsid w:val="00923F20"/>
    <w:rsid w:val="00933329"/>
    <w:rsid w:val="00935382"/>
    <w:rsid w:val="00936B5B"/>
    <w:rsid w:val="009374A5"/>
    <w:rsid w:val="00941CEB"/>
    <w:rsid w:val="00947E0F"/>
    <w:rsid w:val="00955644"/>
    <w:rsid w:val="009646FE"/>
    <w:rsid w:val="0096568C"/>
    <w:rsid w:val="0097263C"/>
    <w:rsid w:val="00976583"/>
    <w:rsid w:val="00985DE7"/>
    <w:rsid w:val="009908D3"/>
    <w:rsid w:val="00993198"/>
    <w:rsid w:val="00993702"/>
    <w:rsid w:val="009A31F0"/>
    <w:rsid w:val="009A4E95"/>
    <w:rsid w:val="009B1670"/>
    <w:rsid w:val="009B4705"/>
    <w:rsid w:val="009C1E75"/>
    <w:rsid w:val="009C4CE0"/>
    <w:rsid w:val="009D0C66"/>
    <w:rsid w:val="009D2843"/>
    <w:rsid w:val="009D296C"/>
    <w:rsid w:val="009D6495"/>
    <w:rsid w:val="009D66F6"/>
    <w:rsid w:val="00A03585"/>
    <w:rsid w:val="00A05E45"/>
    <w:rsid w:val="00A06147"/>
    <w:rsid w:val="00A147D3"/>
    <w:rsid w:val="00A17114"/>
    <w:rsid w:val="00A242F3"/>
    <w:rsid w:val="00A24D6E"/>
    <w:rsid w:val="00A2764D"/>
    <w:rsid w:val="00A27EBC"/>
    <w:rsid w:val="00A42374"/>
    <w:rsid w:val="00A45349"/>
    <w:rsid w:val="00A47EE9"/>
    <w:rsid w:val="00A60754"/>
    <w:rsid w:val="00A610DF"/>
    <w:rsid w:val="00A63AEF"/>
    <w:rsid w:val="00A67B35"/>
    <w:rsid w:val="00A75A77"/>
    <w:rsid w:val="00A76FF1"/>
    <w:rsid w:val="00A77861"/>
    <w:rsid w:val="00A857D0"/>
    <w:rsid w:val="00A96A5E"/>
    <w:rsid w:val="00A97508"/>
    <w:rsid w:val="00AB104B"/>
    <w:rsid w:val="00AB6EA1"/>
    <w:rsid w:val="00AB77D1"/>
    <w:rsid w:val="00AC26C0"/>
    <w:rsid w:val="00AC578D"/>
    <w:rsid w:val="00AD24B1"/>
    <w:rsid w:val="00AE593C"/>
    <w:rsid w:val="00AE768F"/>
    <w:rsid w:val="00AF0DB9"/>
    <w:rsid w:val="00AF27D9"/>
    <w:rsid w:val="00AF2CB8"/>
    <w:rsid w:val="00AF77C0"/>
    <w:rsid w:val="00B014BC"/>
    <w:rsid w:val="00B12CBC"/>
    <w:rsid w:val="00B22078"/>
    <w:rsid w:val="00B447AC"/>
    <w:rsid w:val="00B520DC"/>
    <w:rsid w:val="00B71933"/>
    <w:rsid w:val="00B75428"/>
    <w:rsid w:val="00B80CD1"/>
    <w:rsid w:val="00B81358"/>
    <w:rsid w:val="00B83A0A"/>
    <w:rsid w:val="00B937FB"/>
    <w:rsid w:val="00BA041C"/>
    <w:rsid w:val="00BA1F15"/>
    <w:rsid w:val="00BA4028"/>
    <w:rsid w:val="00BA5AAF"/>
    <w:rsid w:val="00BB109C"/>
    <w:rsid w:val="00BB19C4"/>
    <w:rsid w:val="00BB3816"/>
    <w:rsid w:val="00BB5284"/>
    <w:rsid w:val="00BC175C"/>
    <w:rsid w:val="00BC19D2"/>
    <w:rsid w:val="00BC1EF2"/>
    <w:rsid w:val="00BD2ACD"/>
    <w:rsid w:val="00BD2FBE"/>
    <w:rsid w:val="00BD6FCB"/>
    <w:rsid w:val="00BE554A"/>
    <w:rsid w:val="00BF48A7"/>
    <w:rsid w:val="00BF50DC"/>
    <w:rsid w:val="00C037CF"/>
    <w:rsid w:val="00C14F6E"/>
    <w:rsid w:val="00C25D97"/>
    <w:rsid w:val="00C37C1D"/>
    <w:rsid w:val="00C413ED"/>
    <w:rsid w:val="00C55086"/>
    <w:rsid w:val="00C5673B"/>
    <w:rsid w:val="00C62D79"/>
    <w:rsid w:val="00C67C07"/>
    <w:rsid w:val="00C71337"/>
    <w:rsid w:val="00C72BBF"/>
    <w:rsid w:val="00C744E9"/>
    <w:rsid w:val="00C81559"/>
    <w:rsid w:val="00C82872"/>
    <w:rsid w:val="00C92B5E"/>
    <w:rsid w:val="00CA30A5"/>
    <w:rsid w:val="00CB5EAE"/>
    <w:rsid w:val="00CB6A29"/>
    <w:rsid w:val="00CC3D2B"/>
    <w:rsid w:val="00CD6C08"/>
    <w:rsid w:val="00CE152C"/>
    <w:rsid w:val="00CF18FB"/>
    <w:rsid w:val="00CF482E"/>
    <w:rsid w:val="00CF5205"/>
    <w:rsid w:val="00CF673D"/>
    <w:rsid w:val="00D13383"/>
    <w:rsid w:val="00D20B46"/>
    <w:rsid w:val="00D2114F"/>
    <w:rsid w:val="00D3456A"/>
    <w:rsid w:val="00D40536"/>
    <w:rsid w:val="00D41774"/>
    <w:rsid w:val="00D467AA"/>
    <w:rsid w:val="00D66B22"/>
    <w:rsid w:val="00D67060"/>
    <w:rsid w:val="00D702B4"/>
    <w:rsid w:val="00D70FC8"/>
    <w:rsid w:val="00D8445D"/>
    <w:rsid w:val="00D85A12"/>
    <w:rsid w:val="00D85F39"/>
    <w:rsid w:val="00D905AF"/>
    <w:rsid w:val="00D93131"/>
    <w:rsid w:val="00D94F17"/>
    <w:rsid w:val="00D96678"/>
    <w:rsid w:val="00DA27BC"/>
    <w:rsid w:val="00DA5B95"/>
    <w:rsid w:val="00DB78A4"/>
    <w:rsid w:val="00DC046A"/>
    <w:rsid w:val="00DC329B"/>
    <w:rsid w:val="00DC71BC"/>
    <w:rsid w:val="00DF0CB1"/>
    <w:rsid w:val="00E013DB"/>
    <w:rsid w:val="00E03C70"/>
    <w:rsid w:val="00E04CEB"/>
    <w:rsid w:val="00E13025"/>
    <w:rsid w:val="00E134C2"/>
    <w:rsid w:val="00E179C4"/>
    <w:rsid w:val="00E251DD"/>
    <w:rsid w:val="00E26E6A"/>
    <w:rsid w:val="00E31133"/>
    <w:rsid w:val="00E35696"/>
    <w:rsid w:val="00E35E70"/>
    <w:rsid w:val="00E41E2F"/>
    <w:rsid w:val="00E451B8"/>
    <w:rsid w:val="00E52510"/>
    <w:rsid w:val="00E603EB"/>
    <w:rsid w:val="00E607C7"/>
    <w:rsid w:val="00E61285"/>
    <w:rsid w:val="00E630AC"/>
    <w:rsid w:val="00E643AD"/>
    <w:rsid w:val="00E736DD"/>
    <w:rsid w:val="00E73D4D"/>
    <w:rsid w:val="00E77952"/>
    <w:rsid w:val="00E84B8F"/>
    <w:rsid w:val="00E86D1F"/>
    <w:rsid w:val="00E871AC"/>
    <w:rsid w:val="00E90E82"/>
    <w:rsid w:val="00E915A5"/>
    <w:rsid w:val="00E9328C"/>
    <w:rsid w:val="00E95D10"/>
    <w:rsid w:val="00EB1911"/>
    <w:rsid w:val="00EB40B6"/>
    <w:rsid w:val="00ED2960"/>
    <w:rsid w:val="00ED752B"/>
    <w:rsid w:val="00ED7792"/>
    <w:rsid w:val="00F02088"/>
    <w:rsid w:val="00F03F68"/>
    <w:rsid w:val="00F04AD7"/>
    <w:rsid w:val="00F05226"/>
    <w:rsid w:val="00F06FC3"/>
    <w:rsid w:val="00F21EBD"/>
    <w:rsid w:val="00F2489D"/>
    <w:rsid w:val="00F272F7"/>
    <w:rsid w:val="00F32F2C"/>
    <w:rsid w:val="00F330A9"/>
    <w:rsid w:val="00F37FF6"/>
    <w:rsid w:val="00F5291B"/>
    <w:rsid w:val="00F565CD"/>
    <w:rsid w:val="00F61487"/>
    <w:rsid w:val="00F619F6"/>
    <w:rsid w:val="00F62F27"/>
    <w:rsid w:val="00F6625E"/>
    <w:rsid w:val="00F669D2"/>
    <w:rsid w:val="00F711D7"/>
    <w:rsid w:val="00F82917"/>
    <w:rsid w:val="00F86450"/>
    <w:rsid w:val="00F90808"/>
    <w:rsid w:val="00F930B4"/>
    <w:rsid w:val="00F93FB7"/>
    <w:rsid w:val="00F95B88"/>
    <w:rsid w:val="00FB4116"/>
    <w:rsid w:val="00FB5B99"/>
    <w:rsid w:val="00FB60FB"/>
    <w:rsid w:val="00FD1EF7"/>
    <w:rsid w:val="00FD272A"/>
    <w:rsid w:val="00FD6F9A"/>
    <w:rsid w:val="00FD713C"/>
    <w:rsid w:val="00FD73E7"/>
    <w:rsid w:val="00FE4417"/>
    <w:rsid w:val="00FE5F8D"/>
    <w:rsid w:val="00FE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60C72"/>
  <w15:docId w15:val="{678AF2BA-357A-4935-8FCC-1D49AFD69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A9"/>
    <w:pPr>
      <w:spacing w:after="160" w:line="259" w:lineRule="auto"/>
    </w:pPr>
    <w:rPr>
      <w:lang w:val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427A9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427A9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427A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427A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427A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427A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427A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427A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427A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color w:val="385623" w:themeColor="accent6" w:themeShade="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qFormat/>
    <w:rsid w:val="007427A9"/>
    <w:rPr>
      <w:rFonts w:asciiTheme="majorHAnsi" w:eastAsiaTheme="majorEastAsia" w:hAnsiTheme="majorHAnsi" w:cstheme="majorBidi"/>
      <w:color w:val="2E74B5" w:themeColor="accent1" w:themeShade="BF"/>
      <w:sz w:val="30"/>
      <w:szCs w:val="30"/>
    </w:rPr>
  </w:style>
  <w:style w:type="character" w:styleId="nfaseIntensa">
    <w:name w:val="Intense Emphasis"/>
    <w:basedOn w:val="Fontepargpadro"/>
    <w:uiPriority w:val="21"/>
    <w:qFormat/>
    <w:rsid w:val="007427A9"/>
    <w:rPr>
      <w:b w:val="0"/>
      <w:bCs w:val="0"/>
      <w:i/>
      <w:iCs/>
      <w:color w:val="5B9BD5" w:themeColor="accent1"/>
    </w:rPr>
  </w:style>
  <w:style w:type="character" w:customStyle="1" w:styleId="Ttulo2Char">
    <w:name w:val="Título 2 Char"/>
    <w:basedOn w:val="Fontepargpadro"/>
    <w:link w:val="Ttulo2"/>
    <w:uiPriority w:val="9"/>
    <w:qFormat/>
    <w:rsid w:val="007427A9"/>
    <w:rPr>
      <w:rFonts w:asciiTheme="majorHAnsi" w:eastAsiaTheme="majorEastAsia" w:hAnsiTheme="majorHAnsi" w:cstheme="majorBidi"/>
      <w:color w:val="C45911" w:themeColor="accent2" w:themeShade="BF"/>
      <w:sz w:val="28"/>
      <w:szCs w:val="28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BD2645"/>
  </w:style>
  <w:style w:type="character" w:customStyle="1" w:styleId="RodapChar">
    <w:name w:val="Rodapé Char"/>
    <w:basedOn w:val="Fontepargpadro"/>
    <w:link w:val="Rodap"/>
    <w:uiPriority w:val="99"/>
    <w:qFormat/>
    <w:rsid w:val="00BD2645"/>
  </w:style>
  <w:style w:type="character" w:customStyle="1" w:styleId="Ttulo3Char">
    <w:name w:val="Título 3 Char"/>
    <w:basedOn w:val="Fontepargpadro"/>
    <w:link w:val="Ttulo3"/>
    <w:uiPriority w:val="9"/>
    <w:semiHidden/>
    <w:qFormat/>
    <w:rsid w:val="007427A9"/>
    <w:rPr>
      <w:rFonts w:asciiTheme="majorHAnsi" w:eastAsiaTheme="majorEastAsia" w:hAnsiTheme="majorHAnsi" w:cstheme="majorBidi"/>
      <w:color w:val="538135" w:themeColor="accent6" w:themeShade="BF"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sid w:val="007427A9"/>
    <w:rPr>
      <w:rFonts w:asciiTheme="majorHAnsi" w:eastAsiaTheme="majorEastAsia" w:hAnsiTheme="majorHAnsi" w:cstheme="majorBidi"/>
      <w:i/>
      <w:iCs/>
      <w:color w:val="2F5496" w:themeColor="accent5" w:themeShade="BF"/>
      <w:sz w:val="25"/>
      <w:szCs w:val="25"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sid w:val="007427A9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sid w:val="007427A9"/>
    <w:rPr>
      <w:rFonts w:asciiTheme="majorHAnsi" w:eastAsiaTheme="majorEastAsia" w:hAnsiTheme="majorHAnsi" w:cstheme="majorBidi"/>
      <w:i/>
      <w:iCs/>
      <w:color w:val="385623" w:themeColor="accent6" w:themeShade="80"/>
      <w:sz w:val="23"/>
      <w:szCs w:val="23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sid w:val="007427A9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Ttulo8Char">
    <w:name w:val="Título 8 Char"/>
    <w:basedOn w:val="Fontepargpadro"/>
    <w:link w:val="Ttulo8"/>
    <w:uiPriority w:val="9"/>
    <w:semiHidden/>
    <w:qFormat/>
    <w:rsid w:val="007427A9"/>
    <w:rPr>
      <w:rFonts w:asciiTheme="majorHAnsi" w:eastAsiaTheme="majorEastAsia" w:hAnsiTheme="majorHAnsi" w:cstheme="majorBidi"/>
      <w:color w:val="833C0B" w:themeColor="accent2" w:themeShade="80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sid w:val="007427A9"/>
    <w:rPr>
      <w:rFonts w:asciiTheme="majorHAnsi" w:eastAsiaTheme="majorEastAsia" w:hAnsiTheme="majorHAnsi" w:cstheme="majorBidi"/>
      <w:color w:val="385623" w:themeColor="accent6" w:themeShade="80"/>
    </w:rPr>
  </w:style>
  <w:style w:type="character" w:customStyle="1" w:styleId="TtuloChar">
    <w:name w:val="Título Char"/>
    <w:basedOn w:val="Fontepargpadro"/>
    <w:link w:val="Ttulo"/>
    <w:uiPriority w:val="10"/>
    <w:qFormat/>
    <w:rsid w:val="007427A9"/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character" w:customStyle="1" w:styleId="SubttuloChar">
    <w:name w:val="Subtítulo Char"/>
    <w:basedOn w:val="Fontepargpadro"/>
    <w:link w:val="Subttulo"/>
    <w:uiPriority w:val="11"/>
    <w:qFormat/>
    <w:rsid w:val="007427A9"/>
    <w:rPr>
      <w:rFonts w:asciiTheme="majorHAnsi" w:eastAsiaTheme="majorEastAsia" w:hAnsiTheme="majorHAnsi" w:cstheme="majorBidi"/>
    </w:rPr>
  </w:style>
  <w:style w:type="character" w:styleId="Forte">
    <w:name w:val="Strong"/>
    <w:basedOn w:val="Fontepargpadro"/>
    <w:uiPriority w:val="22"/>
    <w:qFormat/>
    <w:rsid w:val="007427A9"/>
    <w:rPr>
      <w:b/>
      <w:bCs/>
    </w:rPr>
  </w:style>
  <w:style w:type="character" w:customStyle="1" w:styleId="Destacado">
    <w:name w:val="Destacado"/>
    <w:basedOn w:val="Fontepargpadro"/>
    <w:uiPriority w:val="20"/>
    <w:qFormat/>
    <w:rsid w:val="007427A9"/>
    <w:rPr>
      <w:i/>
      <w:iCs/>
    </w:rPr>
  </w:style>
  <w:style w:type="character" w:customStyle="1" w:styleId="CitaoChar">
    <w:name w:val="Citação Char"/>
    <w:basedOn w:val="Fontepargpadro"/>
    <w:link w:val="Citao"/>
    <w:uiPriority w:val="29"/>
    <w:qFormat/>
    <w:rsid w:val="007427A9"/>
    <w:rPr>
      <w:i/>
      <w:iCs/>
    </w:rPr>
  </w:style>
  <w:style w:type="character" w:customStyle="1" w:styleId="CitaoIntensaChar">
    <w:name w:val="Citação Intensa Char"/>
    <w:basedOn w:val="Fontepargpadro"/>
    <w:link w:val="CitaoIntensa"/>
    <w:uiPriority w:val="30"/>
    <w:qFormat/>
    <w:rsid w:val="007427A9"/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character" w:styleId="nfaseSutil">
    <w:name w:val="Subtle Emphasis"/>
    <w:basedOn w:val="Fontepargpadro"/>
    <w:uiPriority w:val="19"/>
    <w:qFormat/>
    <w:rsid w:val="007427A9"/>
    <w:rPr>
      <w:i/>
      <w:iCs/>
      <w:color w:val="404040" w:themeColor="text1" w:themeTint="BF"/>
    </w:rPr>
  </w:style>
  <w:style w:type="character" w:styleId="RefernciaSutil">
    <w:name w:val="Subtle Reference"/>
    <w:basedOn w:val="Fontepargpadro"/>
    <w:uiPriority w:val="31"/>
    <w:qFormat/>
    <w:rsid w:val="007427A9"/>
    <w:rPr>
      <w:smallCaps/>
      <w:color w:val="404040" w:themeColor="text1" w:themeTint="BF"/>
      <w:u w:val="single" w:color="7F7F7F"/>
    </w:rPr>
  </w:style>
  <w:style w:type="character" w:styleId="RefernciaIntensa">
    <w:name w:val="Intense Reference"/>
    <w:basedOn w:val="Fontepargpadro"/>
    <w:uiPriority w:val="32"/>
    <w:qFormat/>
    <w:rsid w:val="007427A9"/>
    <w:rPr>
      <w:b/>
      <w:bCs/>
      <w:smallCaps/>
      <w:color w:val="5B9BD5" w:themeColor="accent1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7427A9"/>
    <w:rPr>
      <w:b/>
      <w:bCs/>
      <w:smallCaps/>
    </w:rPr>
  </w:style>
  <w:style w:type="character" w:customStyle="1" w:styleId="EnlacedeInternet">
    <w:name w:val="Enlace de Internet"/>
    <w:basedOn w:val="Fontepargpadro"/>
    <w:uiPriority w:val="99"/>
    <w:unhideWhenUsed/>
    <w:rsid w:val="00316044"/>
    <w:rPr>
      <w:color w:val="0563C1" w:themeColor="hyperlink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7427A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10"/>
      <w:sz w:val="52"/>
      <w:szCs w:val="5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7427A9"/>
    <w:pPr>
      <w:spacing w:line="240" w:lineRule="auto"/>
    </w:pPr>
    <w:rPr>
      <w:b/>
      <w:bCs/>
      <w:smallCaps/>
      <w:color w:val="5B9BD5" w:themeColor="accent1"/>
      <w:spacing w:val="6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BD264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styleId="PargrafodaLista">
    <w:name w:val="List Paragraph"/>
    <w:basedOn w:val="Normal"/>
    <w:uiPriority w:val="34"/>
    <w:qFormat/>
    <w:rsid w:val="007427A9"/>
    <w:pPr>
      <w:ind w:left="720"/>
      <w:contextualSpacing/>
    </w:pPr>
  </w:style>
  <w:style w:type="paragraph" w:customStyle="1" w:styleId="Cabeceraypie">
    <w:name w:val="Cabecera y pie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BD2645"/>
    <w:pPr>
      <w:tabs>
        <w:tab w:val="center" w:pos="4419"/>
        <w:tab w:val="right" w:pos="8838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BD2645"/>
    <w:pPr>
      <w:tabs>
        <w:tab w:val="center" w:pos="4419"/>
        <w:tab w:val="right" w:pos="8838"/>
      </w:tabs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sid w:val="007427A9"/>
    <w:pPr>
      <w:spacing w:line="240" w:lineRule="auto"/>
    </w:pPr>
    <w:rPr>
      <w:rFonts w:asciiTheme="majorHAnsi" w:eastAsiaTheme="majorEastAsia" w:hAnsiTheme="majorHAnsi" w:cstheme="majorBidi"/>
    </w:rPr>
  </w:style>
  <w:style w:type="paragraph" w:styleId="SemEspaamento">
    <w:name w:val="No Spacing"/>
    <w:uiPriority w:val="1"/>
    <w:qFormat/>
    <w:rsid w:val="007427A9"/>
  </w:style>
  <w:style w:type="paragraph" w:styleId="Citao">
    <w:name w:val="Quote"/>
    <w:basedOn w:val="Normal"/>
    <w:next w:val="Normal"/>
    <w:link w:val="CitaoChar"/>
    <w:uiPriority w:val="29"/>
    <w:qFormat/>
    <w:rsid w:val="007427A9"/>
    <w:pPr>
      <w:spacing w:before="120"/>
      <w:ind w:left="720" w:right="720"/>
      <w:jc w:val="center"/>
    </w:pPr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427A9"/>
    <w:pPr>
      <w:spacing w:before="120" w:line="300" w:lineRule="auto"/>
      <w:ind w:left="576" w:right="576"/>
      <w:jc w:val="center"/>
    </w:pPr>
    <w:rPr>
      <w:rFonts w:asciiTheme="majorHAnsi" w:eastAsiaTheme="majorEastAsia" w:hAnsiTheme="majorHAnsi" w:cstheme="majorBidi"/>
      <w:color w:val="5B9BD5" w:themeColor="accent1"/>
      <w:sz w:val="24"/>
      <w:szCs w:val="24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7427A9"/>
  </w:style>
  <w:style w:type="character" w:styleId="Hyperlink">
    <w:name w:val="Hyperlink"/>
    <w:basedOn w:val="Fontepargpadro"/>
    <w:uiPriority w:val="99"/>
    <w:unhideWhenUsed/>
    <w:rsid w:val="00AB6EA1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B6E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po.org/en/searching-for-patents/data/web-services/ops" TargetMode="External"/><Relationship Id="rId13" Type="http://schemas.openxmlformats.org/officeDocument/2006/relationships/hyperlink" Target="https://lume.ufrgs.br/handle/10183/179853" TargetMode="External"/><Relationship Id="rId18" Type="http://schemas.openxmlformats.org/officeDocument/2006/relationships/hyperlink" Target="https://www.google.com/search?q=https://doi.org/10.1109/EDUCON.2018.8363100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s://doi.org/10.18653/v1/D19-141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oi.org/10.9771/cp.v13i1.35147" TargetMode="External"/><Relationship Id="rId20" Type="http://schemas.openxmlformats.org/officeDocument/2006/relationships/hyperlink" Target="https://www.wipo.int/pressroom/pt/articles/2022/article_0013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qlitebrowser.org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v.br/inpi/pt-br/central-de-conteudo/estatisticas/arquivos/publicacoes/boletim-mensal-de-pi_resultados-de-setembro-2024_v-2.pdf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hyperlink" Target="https://sqlite.org/index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://www.planalto.gov.br/ccivil_03/leis/l9279.ht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478073-453B-4AAF-8F96-D07DE1556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981</TotalTime>
  <Pages>8</Pages>
  <Words>3406</Words>
  <Characters>21121</Characters>
  <Application>Microsoft Office Word</Application>
  <DocSecurity>0</DocSecurity>
  <Lines>310</Lines>
  <Paragraphs>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del Norte</Company>
  <LinksUpToDate>false</LinksUpToDate>
  <CharactersWithSpaces>24447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MARLEM URIBE MARENCO</dc:creator>
  <dc:description/>
  <cp:lastModifiedBy>Raulivan Rodrigo</cp:lastModifiedBy>
  <cp:revision>507</cp:revision>
  <cp:lastPrinted>2025-10-29T17:26:00Z</cp:lastPrinted>
  <dcterms:created xsi:type="dcterms:W3CDTF">2025-02-25T21:54:00Z</dcterms:created>
  <dcterms:modified xsi:type="dcterms:W3CDTF">2025-10-29T19:44:00Z</dcterms:modified>
  <dc:language>es-CR</dc:language>
</cp:coreProperties>
</file>