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92AFF" w:rsidRPr="00647BA9" w:rsidRDefault="00692AFF" w:rsidP="00647BA9">
      <w:pPr>
        <w:spacing w:line="276" w:lineRule="auto"/>
        <w:jc w:val="center"/>
        <w:rPr>
          <w:rFonts w:ascii="Garamond" w:hAnsi="Garamond"/>
          <w:b/>
          <w:bCs/>
          <w:color w:val="000000"/>
          <w:sz w:val="32"/>
          <w:szCs w:val="32"/>
          <w:lang w:val="en-US"/>
        </w:rPr>
      </w:pPr>
      <w:r w:rsidRPr="00647BA9">
        <w:rPr>
          <w:rFonts w:ascii="Garamond" w:hAnsi="Garamond"/>
          <w:b/>
          <w:bCs/>
          <w:color w:val="000000"/>
          <w:sz w:val="36"/>
          <w:szCs w:val="36"/>
          <w:lang w:val="en-US"/>
        </w:rPr>
        <w:t xml:space="preserve">Testing the DAPO: </w:t>
      </w:r>
      <w:r w:rsidRPr="00647BA9">
        <w:rPr>
          <w:rFonts w:ascii="Garamond" w:hAnsi="Garamond"/>
          <w:b/>
          <w:bCs/>
          <w:color w:val="000000"/>
          <w:sz w:val="28"/>
          <w:szCs w:val="28"/>
          <w:lang w:val="en-US"/>
        </w:rPr>
        <w:br/>
      </w:r>
      <w:r w:rsidRPr="00647BA9">
        <w:rPr>
          <w:rFonts w:ascii="Garamond" w:hAnsi="Garamond"/>
          <w:b/>
          <w:bCs/>
          <w:color w:val="000000"/>
          <w:sz w:val="32"/>
          <w:szCs w:val="32"/>
          <w:lang w:val="en-US"/>
        </w:rPr>
        <w:t xml:space="preserve">Hidden Risks of Preventive Coercion </w:t>
      </w:r>
    </w:p>
    <w:p w:rsidR="00692AFF" w:rsidRPr="00647BA9" w:rsidRDefault="00692AFF" w:rsidP="00647BA9">
      <w:pPr>
        <w:spacing w:line="276" w:lineRule="auto"/>
        <w:jc w:val="center"/>
        <w:rPr>
          <w:rFonts w:ascii="Garamond" w:hAnsi="Garamond"/>
          <w:color w:val="000000"/>
          <w:lang w:val="en-US"/>
        </w:rPr>
      </w:pPr>
      <w:r w:rsidRPr="00647BA9">
        <w:rPr>
          <w:rFonts w:ascii="Garamond" w:hAnsi="Garamond"/>
          <w:b/>
          <w:bCs/>
          <w:color w:val="000000"/>
          <w:sz w:val="32"/>
          <w:szCs w:val="32"/>
          <w:lang w:val="en-US"/>
        </w:rPr>
        <w:t>and the Urgent Need for Public Debate</w:t>
      </w:r>
      <w:r w:rsidRPr="00647BA9">
        <w:rPr>
          <w:rFonts w:ascii="Garamond" w:hAnsi="Garamond"/>
          <w:b/>
          <w:bCs/>
          <w:color w:val="000000"/>
          <w:sz w:val="28"/>
          <w:szCs w:val="28"/>
          <w:lang w:val="en-US"/>
        </w:rPr>
        <w:br/>
      </w:r>
    </w:p>
    <w:p w:rsidR="00692AFF" w:rsidRPr="00647BA9" w:rsidRDefault="00692AFF" w:rsidP="00647BA9">
      <w:pPr>
        <w:pStyle w:val="3"/>
        <w:spacing w:line="276" w:lineRule="auto"/>
        <w:rPr>
          <w:rFonts w:ascii="Garamond" w:hAnsi="Garamond"/>
          <w:b w:val="0"/>
          <w:bCs w:val="0"/>
          <w:i/>
          <w:iCs/>
          <w:color w:val="000000"/>
          <w:lang w:val="en-US"/>
        </w:rPr>
      </w:pPr>
      <w:r w:rsidRPr="00647BA9">
        <w:rPr>
          <w:rFonts w:ascii="Garamond" w:hAnsi="Garamond"/>
          <w:b w:val="0"/>
          <w:bCs w:val="0"/>
          <w:i/>
          <w:iCs/>
          <w:color w:val="000000"/>
          <w:lang w:val="en-US"/>
        </w:rPr>
        <w:t>Unprecedented repressive legal instruments, designed to affect up to 2.3 million people annually in England and Wales, are being quietly tested while public attention focuses elsewhere.</w:t>
      </w:r>
    </w:p>
    <w:p w:rsidR="00D23B37" w:rsidRDefault="00D23B37" w:rsidP="00CC2176">
      <w:pPr>
        <w:pStyle w:val="a3"/>
        <w:spacing w:before="0" w:beforeAutospacing="0" w:after="0" w:afterAutospacing="0" w:line="276" w:lineRule="auto"/>
        <w:rPr>
          <w:rFonts w:ascii="Garamond" w:hAnsi="Garamond"/>
          <w:b/>
          <w:bCs/>
          <w:sz w:val="27"/>
          <w:szCs w:val="27"/>
          <w:lang w:val="en-US"/>
        </w:rPr>
      </w:pPr>
    </w:p>
    <w:p w:rsidR="00CC2176" w:rsidRDefault="00692AFF" w:rsidP="00CC2176">
      <w:pPr>
        <w:pStyle w:val="a3"/>
        <w:spacing w:before="0" w:beforeAutospacing="0" w:after="0" w:afterAutospacing="0" w:line="276" w:lineRule="auto"/>
        <w:rPr>
          <w:rFonts w:ascii="Garamond" w:hAnsi="Garamond"/>
          <w:color w:val="000000"/>
          <w:lang w:val="en-US"/>
        </w:rPr>
      </w:pPr>
      <w:r w:rsidRPr="00787769">
        <w:rPr>
          <w:rFonts w:ascii="Garamond" w:hAnsi="Garamond"/>
          <w:b/>
          <w:bCs/>
          <w:sz w:val="27"/>
          <w:szCs w:val="27"/>
          <w:lang w:val="en-US"/>
        </w:rPr>
        <w:t>1.Introduction</w:t>
      </w:r>
      <w:r w:rsidRPr="00647BA9">
        <w:rPr>
          <w:rFonts w:ascii="Garamond" w:hAnsi="Garamond"/>
          <w:lang w:val="en-US"/>
        </w:rPr>
        <w:br/>
      </w:r>
      <w:r w:rsidRPr="00647BA9">
        <w:rPr>
          <w:rFonts w:ascii="Garamond" w:hAnsi="Garamond"/>
          <w:color w:val="000000"/>
          <w:lang w:val="en-US"/>
        </w:rPr>
        <w:t xml:space="preserve">Unprecedented and deeply repressive legal instruments are being quietly piloted in England and Wales, potentially affecting up to 2.3 million people each year, while public attention remains focused elsewhere. </w:t>
      </w:r>
    </w:p>
    <w:p w:rsidR="00692AFF" w:rsidRPr="00647BA9" w:rsidRDefault="00692AFF"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At the time, former Prime Minister Theresa May presented this unique mechanism and its associated Act as a “landmark” reform—one that would transform the lives of every Briton and draw a stark line between a national “before” and “after.”</w:t>
      </w:r>
    </w:p>
    <w:p w:rsidR="00692AFF" w:rsidRPr="00647BA9" w:rsidRDefault="00692AFF"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Although neither the government nor Parliament ever attempted to conceal their intention to roll out this powerful coercive mechanism on a wide scale, its initial testing provoked neither public alarm nor serious examination of its potential—a potential clearly defined in the law, yet scarcely understood or scrutinised.</w:t>
      </w:r>
    </w:p>
    <w:p w:rsidR="00692AFF" w:rsidRPr="00647BA9" w:rsidRDefault="00692AFF"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 appear to be among the very few who have undertaken a structural analysis of this closed and complex legal field. Perhaps uniquely positioned, I feel a moral duty to alert society to the hidden dangers of this emerging legal order and to call for urgent critical engagement with a system quietly taking shape, almost unnoticed, but capable of profoundly reshaping lives.</w:t>
      </w:r>
    </w:p>
    <w:p w:rsidR="00692AFF" w:rsidRPr="00647BA9" w:rsidRDefault="00692AFF"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purpose of this article is to draw public attention to DAPO and to ignite a rigorous debate about the government’s intentions and the practical application of this extraordinary preventive–coercive instrument, unprecedented in world history, as established under the provisions of the Act. Society must confront a vital question: is this entire new domain of legal activity—what I term “preventive coercion”—truly necessary, and what future are we building with it?</w:t>
      </w:r>
    </w:p>
    <w:p w:rsidR="00692AFF" w:rsidRPr="00CC2176" w:rsidRDefault="00692AFF"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time for discussion is now—before the fundamental rights of individuals, the principles of due process, and the legacy of a legal system painstakingly crafted by the brilliant minds of the past are irreparably undermined. Delay risks allowing a quiet revolution in law and governance, one that may forever alter the balance between state power and individual freedom.</w:t>
      </w:r>
    </w:p>
    <w:p w:rsidR="00C55D75" w:rsidRPr="00647BA9" w:rsidRDefault="00C55D75" w:rsidP="00647BA9">
      <w:pPr>
        <w:spacing w:line="276" w:lineRule="auto"/>
        <w:rPr>
          <w:rFonts w:ascii="Garamond" w:eastAsia="Times New Roman" w:hAnsi="Garamond" w:cs="Times New Roman"/>
          <w:lang w:val="en-US" w:eastAsia="ru-RU"/>
        </w:rPr>
      </w:pPr>
    </w:p>
    <w:p w:rsidR="00692AFF" w:rsidRPr="0094603C" w:rsidRDefault="00EB777B" w:rsidP="00CC2176">
      <w:pPr>
        <w:pStyle w:val="3"/>
        <w:spacing w:before="0" w:beforeAutospacing="0" w:after="0" w:afterAutospacing="0" w:line="276" w:lineRule="auto"/>
        <w:rPr>
          <w:rFonts w:ascii="Garamond" w:hAnsi="Garamond"/>
          <w:color w:val="000000"/>
          <w:lang w:val="en-US"/>
        </w:rPr>
      </w:pPr>
      <w:r>
        <w:rPr>
          <w:rFonts w:ascii="Garamond" w:hAnsi="Garamond"/>
          <w:color w:val="000000"/>
          <w:lang w:val="en-US"/>
        </w:rPr>
        <w:t xml:space="preserve">2. </w:t>
      </w:r>
      <w:r w:rsidR="009A2F83" w:rsidRPr="009A2F83">
        <w:rPr>
          <w:rFonts w:ascii="Garamond" w:hAnsi="Garamond"/>
          <w:color w:val="000000"/>
          <w:lang w:val="en-US"/>
        </w:rPr>
        <w:t>Understanding the New Repressive Measures</w:t>
      </w:r>
      <w:r w:rsidR="0094603C" w:rsidRPr="0094603C">
        <w:rPr>
          <w:rFonts w:ascii="Garamond" w:hAnsi="Garamond"/>
          <w:color w:val="000000"/>
          <w:lang w:val="en-US"/>
        </w:rPr>
        <w:t xml:space="preserve"> </w:t>
      </w:r>
      <w:r w:rsidR="0094603C">
        <w:rPr>
          <w:rFonts w:ascii="Garamond" w:hAnsi="Garamond"/>
          <w:color w:val="000000"/>
          <w:lang w:val="en-US"/>
        </w:rPr>
        <w:t>under DAA 2021</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In England, a pilot programme is quietly testing unprecedented legal instruments capable of imposing severe restrictions on millions of people each year. These instruments — the Domestic Abuse Protection Notice (DAPN) and the Domestic Abuse Protection Order (DAPO) — are presented as protective and preventive measures under the Domestic Abuse Act 2021. In reality, they authorise forms of coercion and surveillance never before seen in the history of law anywhere in the world.</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 xml:space="preserve">The United Kingdom is currently piloting these instruments in three regions of England, in a limited, “light” form. They are introduced as safeguards for potential victims of hypothetical threats, yet they constitute a legal mechanism whose hidden risks have gone largely unnoticed. Neither the </w:t>
      </w:r>
      <w:r w:rsidRPr="00647BA9">
        <w:rPr>
          <w:rFonts w:ascii="Garamond" w:hAnsi="Garamond"/>
          <w:color w:val="000000"/>
          <w:lang w:val="en-US"/>
        </w:rPr>
        <w:lastRenderedPageBreak/>
        <w:t>public nor legal professionals have engaged in meaningful scrutiny of what these measures entail or what the Act truly authorises.</w:t>
      </w:r>
    </w:p>
    <w:p w:rsidR="009B2901" w:rsidRPr="00647BA9" w:rsidRDefault="009B2901" w:rsidP="00CC2176">
      <w:pPr>
        <w:pStyle w:val="a3"/>
        <w:spacing w:before="0" w:beforeAutospacing="0" w:after="0" w:afterAutospacing="0" w:line="276" w:lineRule="auto"/>
        <w:rPr>
          <w:rFonts w:ascii="Garamond" w:hAnsi="Garamond"/>
          <w:color w:val="000000"/>
        </w:rPr>
      </w:pPr>
      <w:r w:rsidRPr="00647BA9">
        <w:rPr>
          <w:rFonts w:ascii="Garamond" w:hAnsi="Garamond"/>
          <w:color w:val="000000"/>
        </w:rPr>
        <w:t>The measures include:</w:t>
      </w:r>
    </w:p>
    <w:p w:rsidR="009B2901" w:rsidRPr="00647BA9" w:rsidRDefault="009B2901" w:rsidP="00CC2176">
      <w:pPr>
        <w:pStyle w:val="a3"/>
        <w:numPr>
          <w:ilvl w:val="0"/>
          <w:numId w:val="15"/>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Restrictions on rights and liberty;</w:t>
      </w:r>
    </w:p>
    <w:p w:rsidR="009B2901" w:rsidRPr="00647BA9" w:rsidRDefault="009B2901" w:rsidP="00CC2176">
      <w:pPr>
        <w:pStyle w:val="a3"/>
        <w:numPr>
          <w:ilvl w:val="0"/>
          <w:numId w:val="15"/>
        </w:numPr>
        <w:spacing w:before="0" w:beforeAutospacing="0" w:after="0" w:afterAutospacing="0" w:line="276" w:lineRule="auto"/>
        <w:rPr>
          <w:rFonts w:ascii="Garamond" w:hAnsi="Garamond"/>
          <w:color w:val="000000"/>
        </w:rPr>
      </w:pPr>
      <w:r w:rsidRPr="00647BA9">
        <w:rPr>
          <w:rFonts w:ascii="Garamond" w:hAnsi="Garamond"/>
          <w:color w:val="000000"/>
        </w:rPr>
        <w:t>Eviction from the home;</w:t>
      </w:r>
    </w:p>
    <w:p w:rsidR="009B2901" w:rsidRPr="00647BA9" w:rsidRDefault="009B2901" w:rsidP="00CC2176">
      <w:pPr>
        <w:pStyle w:val="a3"/>
        <w:numPr>
          <w:ilvl w:val="0"/>
          <w:numId w:val="15"/>
        </w:numPr>
        <w:spacing w:before="0" w:beforeAutospacing="0" w:after="0" w:afterAutospacing="0" w:line="276" w:lineRule="auto"/>
        <w:rPr>
          <w:rFonts w:ascii="Garamond" w:hAnsi="Garamond"/>
          <w:color w:val="000000"/>
        </w:rPr>
      </w:pPr>
      <w:r w:rsidRPr="00647BA9">
        <w:rPr>
          <w:rFonts w:ascii="Garamond" w:hAnsi="Garamond"/>
          <w:color w:val="000000"/>
        </w:rPr>
        <w:t>Limitations on movement;</w:t>
      </w:r>
    </w:p>
    <w:p w:rsidR="009B2901" w:rsidRPr="00647BA9" w:rsidRDefault="009B2901" w:rsidP="00CC2176">
      <w:pPr>
        <w:pStyle w:val="a3"/>
        <w:numPr>
          <w:ilvl w:val="0"/>
          <w:numId w:val="15"/>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24-hour monitoring, including electronic tagging;</w:t>
      </w:r>
    </w:p>
    <w:p w:rsidR="009B2901" w:rsidRPr="00647BA9" w:rsidRDefault="009B2901" w:rsidP="00CC2176">
      <w:pPr>
        <w:pStyle w:val="a3"/>
        <w:numPr>
          <w:ilvl w:val="0"/>
          <w:numId w:val="15"/>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Polygraph testing of thoughts and intentions;</w:t>
      </w:r>
    </w:p>
    <w:p w:rsidR="009B2901" w:rsidRPr="00647BA9" w:rsidRDefault="009B2901" w:rsidP="00CC2176">
      <w:pPr>
        <w:pStyle w:val="a3"/>
        <w:numPr>
          <w:ilvl w:val="0"/>
          <w:numId w:val="15"/>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Appointment of supervisors required to report regularly to the police on the subject’s behaviour.</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Accompanying elements include reputational damage, stigmatisation, and potential criminal consequences. Most of these measures were traditionally applied only to convicted offenders. In fact, DAPN and DAPO are directed not at offenders, but at people who have neither been found guilty nor even accused of any crime.</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Unlike criminal law, which targets tangible threats such as assault, burglary, or fraud and protects people from real harm, these preventive instruments operate on the basis of hypothetical risks, purportedly to shield potential victims from vague and immeasurable emotional distress. In practice, this means that virtually any action—or even inaction—can trigger severe, repressive measures, creating a legal environment where the innocent may be subjected to coercion without ever committing a crime.</w:t>
      </w:r>
    </w:p>
    <w:p w:rsidR="009B2901" w:rsidRPr="00647BA9" w:rsidRDefault="009B2901" w:rsidP="00CC2176">
      <w:pPr>
        <w:pStyle w:val="a3"/>
        <w:spacing w:before="0" w:beforeAutospacing="0" w:after="0" w:afterAutospacing="0" w:line="276" w:lineRule="auto"/>
        <w:rPr>
          <w:rFonts w:ascii="Garamond" w:hAnsi="Garamond"/>
          <w:color w:val="000000"/>
        </w:rPr>
      </w:pPr>
      <w:r w:rsidRPr="00647BA9">
        <w:rPr>
          <w:rFonts w:ascii="Garamond" w:hAnsi="Garamond"/>
          <w:color w:val="000000"/>
          <w:lang w:val="en-US"/>
        </w:rPr>
        <w:t xml:space="preserve">Viewed from the outside, the silence of the British public and legal community — both during the consideration of the Act and throughout its pilot testing — is striking and profoundly dangerous. </w:t>
      </w:r>
      <w:r w:rsidRPr="00647BA9">
        <w:rPr>
          <w:rFonts w:ascii="Garamond" w:hAnsi="Garamond"/>
          <w:color w:val="000000"/>
        </w:rPr>
        <w:t>This silence stems from:</w:t>
      </w:r>
    </w:p>
    <w:p w:rsidR="009B2901" w:rsidRPr="00647BA9" w:rsidRDefault="009B2901" w:rsidP="00CC2176">
      <w:pPr>
        <w:pStyle w:val="a3"/>
        <w:numPr>
          <w:ilvl w:val="0"/>
          <w:numId w:val="16"/>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widespread illusion that these new interventions target only dangerous criminals, reinforced by a decade-long public campaign portraying “abuse”</w:t>
      </w:r>
      <w:r w:rsidR="00E15940">
        <w:rPr>
          <w:rStyle w:val="a7"/>
          <w:rFonts w:ascii="Garamond" w:hAnsi="Garamond"/>
          <w:color w:val="000000"/>
          <w:lang w:val="en-US"/>
        </w:rPr>
        <w:endnoteReference w:id="1"/>
      </w:r>
      <w:r w:rsidRPr="00647BA9">
        <w:rPr>
          <w:rFonts w:ascii="Garamond" w:hAnsi="Garamond"/>
          <w:color w:val="000000"/>
          <w:lang w:val="en-US"/>
        </w:rPr>
        <w:t xml:space="preserve"> as a national catastrophe, akin to a malignant tumour within society requiring urgent “eradication” for the nation’s salvation;</w:t>
      </w:r>
    </w:p>
    <w:p w:rsidR="009B2901" w:rsidRPr="00647BA9" w:rsidRDefault="009B2901" w:rsidP="00CC2176">
      <w:pPr>
        <w:pStyle w:val="a3"/>
        <w:numPr>
          <w:ilvl w:val="0"/>
          <w:numId w:val="16"/>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 xml:space="preserve">much of the parliamentary debate taking place </w:t>
      </w:r>
      <w:r w:rsidRPr="00E15940">
        <w:rPr>
          <w:rFonts w:ascii="Garamond" w:hAnsi="Garamond"/>
          <w:i/>
          <w:iCs/>
          <w:color w:val="000000"/>
          <w:lang w:val="en-US"/>
        </w:rPr>
        <w:t xml:space="preserve">online </w:t>
      </w:r>
      <w:r w:rsidRPr="00647BA9">
        <w:rPr>
          <w:rFonts w:ascii="Garamond" w:hAnsi="Garamond"/>
          <w:color w:val="000000"/>
          <w:lang w:val="en-US"/>
        </w:rPr>
        <w:t>due to COVID-19</w:t>
      </w:r>
      <w:r w:rsidR="00E15940">
        <w:rPr>
          <w:rStyle w:val="a7"/>
          <w:rFonts w:ascii="Garamond" w:hAnsi="Garamond"/>
          <w:color w:val="000000"/>
          <w:lang w:val="en-US"/>
        </w:rPr>
        <w:endnoteReference w:id="2"/>
      </w:r>
      <w:r w:rsidRPr="00647BA9">
        <w:rPr>
          <w:rFonts w:ascii="Garamond" w:hAnsi="Garamond"/>
          <w:color w:val="000000"/>
          <w:lang w:val="en-US"/>
        </w:rPr>
        <w:t xml:space="preserve"> restrictions, while public attention was largely absorbed by trivial matters, such as daily updates on the government’s </w:t>
      </w:r>
      <w:r w:rsidRPr="00E15940">
        <w:rPr>
          <w:rFonts w:ascii="Garamond" w:hAnsi="Garamond"/>
          <w:i/>
          <w:iCs/>
          <w:color w:val="000000"/>
          <w:lang w:val="en-US"/>
        </w:rPr>
        <w:t>traffic-light</w:t>
      </w:r>
      <w:r w:rsidRPr="00647BA9">
        <w:rPr>
          <w:rFonts w:ascii="Garamond" w:hAnsi="Garamond"/>
          <w:color w:val="000000"/>
          <w:lang w:val="en-US"/>
        </w:rPr>
        <w:t xml:space="preserve"> system;</w:t>
      </w:r>
    </w:p>
    <w:p w:rsidR="009B2901" w:rsidRPr="00647BA9" w:rsidRDefault="009B2901" w:rsidP="00CC2176">
      <w:pPr>
        <w:pStyle w:val="a3"/>
        <w:numPr>
          <w:ilvl w:val="0"/>
          <w:numId w:val="16"/>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gradual introduction, over the preceding decade, of various preventive legal instruments, which created a public perception that such measures were largely symbolic and harmless — a perception that set the stage for the almost unnoticed adoption of the Domestic Abuse Act 2021.</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All of this combined led people to overlook a crucial fact: under this new legal logic, anyone can be labelled an “abuser” and become the subject of coercive restrictions without ever having committed a crime. This conclusion was also evident from the parliamentary debates. Members repeatedly stated that the reform would “transform the lives of all Britons,” dividing time into a “before” and “after.” They cited an estimated 2.3 million people annually in England and Wales as those potentially subjected to these coercive measures — a figure that should have sparked national debate but instead passed almost unnoticed.</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Historically, such powers were reserved for the criminal justice system, applied only to those accused or convicted of offences, and designed to prevent concrete, demonstrable threats. They were imposed through criminal procedures and accompanied by the minimum guarantees of a due process.</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 xml:space="preserve">In the domain of preventive rhetoric, where sanctions are imposed under the pretext of addressing a non-existent, hypothetical threat, these safeguards cannot operate, precisely because the underlying </w:t>
      </w:r>
      <w:r w:rsidRPr="00647BA9">
        <w:rPr>
          <w:rFonts w:ascii="Garamond" w:hAnsi="Garamond"/>
          <w:color w:val="000000"/>
          <w:lang w:val="en-US"/>
        </w:rPr>
        <w:lastRenderedPageBreak/>
        <w:t>concepts are inherently contradictory. The further the supposed harm is removed from concrete, real-world threats, the less likely it is that procedural safeguards protecting human rights against abuse will be applied.</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Thus, in the context of domestic violence, particularly in the early stages of the adoption of this terminology, protections could still be applied — for instance, in cases where no actual violence occurred in the classical sense, such as cruelty or assault. Over time, however, with the emergence of new terms such as “pattern of harassment” (lawful action repeated at least twice – PHA 1997), controlling behaviour, and coercive behaviour, these protective mechanisms progressively weakened.</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Finally, in the case of abuse so vaguely defined that it effectively signifies nothing, the safeguards of a fair trial cannot be applied from the outset, leaving the individual completely powerless in the face of potential misuse. Importantly, this does not result from cruelty on the part of the system’s actors. The system itself — through the courts or the police — is simply powerless to enforce protections designed to shield individuals from the misuse of their rights.</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Domestic Abuse Act 2021 legalises a mechanism that effectively removes the last remaining guarantees of a fair trial or due process:</w:t>
      </w:r>
    </w:p>
    <w:p w:rsidR="009B2901" w:rsidRPr="00647BA9" w:rsidRDefault="009B2901" w:rsidP="00CC2176">
      <w:pPr>
        <w:pStyle w:val="a3"/>
        <w:numPr>
          <w:ilvl w:val="0"/>
          <w:numId w:val="17"/>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Sanctions can be imposed without a complaint from the supposed victim, based solely on the application of any third party;</w:t>
      </w:r>
    </w:p>
    <w:p w:rsidR="009B2901" w:rsidRPr="00647BA9" w:rsidRDefault="009B2901" w:rsidP="00CC2176">
      <w:pPr>
        <w:pStyle w:val="a3"/>
        <w:numPr>
          <w:ilvl w:val="0"/>
          <w:numId w:val="17"/>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There is no need to prove harm or present witness statements, particularly where these would demonstrate that no actual emotional distress occurred — on the assumption that the victim is “defending” the perpetrator because they have been “intimidated,” which in practice only aggravates the position of the person subjected to sanctions;</w:t>
      </w:r>
    </w:p>
    <w:p w:rsidR="009B2901" w:rsidRPr="00647BA9" w:rsidRDefault="009B2901" w:rsidP="00CC2176">
      <w:pPr>
        <w:pStyle w:val="a3"/>
        <w:numPr>
          <w:ilvl w:val="0"/>
          <w:numId w:val="17"/>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Cross-examination is disallowed on the grounds that it might make the victim feel uncomfortable.</w:t>
      </w:r>
    </w:p>
    <w:p w:rsidR="009B2901" w:rsidRPr="00647BA9"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Among the most striking global novelties introduced by the Domestic Abuse Act 2021 are provisions that are unprecedented not only in the history of law but also in the logic of human civilisation itself:</w:t>
      </w:r>
    </w:p>
    <w:p w:rsidR="009B2901" w:rsidRPr="00647BA9" w:rsidRDefault="009B2901" w:rsidP="00EB777B">
      <w:pPr>
        <w:pStyle w:val="a3"/>
        <w:numPr>
          <w:ilvl w:val="0"/>
          <w:numId w:val="18"/>
        </w:numPr>
        <w:spacing w:before="0" w:beforeAutospacing="0" w:line="276" w:lineRule="auto"/>
        <w:rPr>
          <w:rFonts w:ascii="Garamond" w:hAnsi="Garamond"/>
          <w:color w:val="000000"/>
          <w:lang w:val="en-US"/>
        </w:rPr>
      </w:pPr>
      <w:r w:rsidRPr="00647BA9">
        <w:rPr>
          <w:rFonts w:ascii="Garamond" w:hAnsi="Garamond"/>
          <w:color w:val="000000"/>
          <w:lang w:val="en-US"/>
        </w:rPr>
        <w:t xml:space="preserve">For the first time in history, virtually any human right may legally become the object of prohibition, leaving individuals subject to orders stripped of even their most fundamental liberties. This effectively creates a new figure — the </w:t>
      </w:r>
      <w:r w:rsidRPr="00E15940">
        <w:rPr>
          <w:rFonts w:ascii="Garamond" w:hAnsi="Garamond"/>
          <w:i/>
          <w:iCs/>
          <w:color w:val="000000"/>
          <w:lang w:val="en-US"/>
        </w:rPr>
        <w:t>Rightless Person</w:t>
      </w:r>
      <w:r w:rsidRPr="00647BA9">
        <w:rPr>
          <w:rFonts w:ascii="Garamond" w:hAnsi="Garamond"/>
          <w:color w:val="000000"/>
          <w:lang w:val="en-US"/>
        </w:rPr>
        <w:t xml:space="preserve"> — whereas even the most primitive legal systems recognised a minimum of rights for those not found guilty of wrongdoing, at least the right to life.</w:t>
      </w:r>
    </w:p>
    <w:p w:rsidR="009B2901" w:rsidRPr="00647BA9" w:rsidRDefault="009B2901" w:rsidP="00647BA9">
      <w:pPr>
        <w:pStyle w:val="a3"/>
        <w:numPr>
          <w:ilvl w:val="0"/>
          <w:numId w:val="18"/>
        </w:numPr>
        <w:spacing w:line="276" w:lineRule="auto"/>
        <w:rPr>
          <w:rFonts w:ascii="Garamond" w:hAnsi="Garamond"/>
          <w:color w:val="000000"/>
          <w:lang w:val="en-US"/>
        </w:rPr>
      </w:pPr>
      <w:r w:rsidRPr="00647BA9">
        <w:rPr>
          <w:rFonts w:ascii="Garamond" w:hAnsi="Garamond"/>
          <w:color w:val="000000"/>
          <w:lang w:val="en-US"/>
        </w:rPr>
        <w:t>Any action or omission can now be construed as grounds for sanction — a category the Act defines only vaguely as “any other abuse.” This represents a global legal anomaly: traditionally, systems of justice have maintained order by defining prohibited acts with clarity and foreseeability, ensuring that individuals could regulate their behaviour accordingly. Under this new logic, however, a person may live in a state of irrational fear, knowing that any act — or even inaction — might retrospectively be interpreted as abusive, without any prior indication of what conduct is punishable.</w:t>
      </w:r>
    </w:p>
    <w:p w:rsidR="009B2901" w:rsidRPr="00647BA9" w:rsidRDefault="009B2901" w:rsidP="00CC2176">
      <w:pPr>
        <w:pStyle w:val="a3"/>
        <w:numPr>
          <w:ilvl w:val="0"/>
          <w:numId w:val="18"/>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Uniquely, the Domestic Abuse Act 2021 permits the imposition of preventive measures even for actions that occurred before the law came into force, overturning the long-established principle that legal sanctions should not operate retroactively. As a result, individuals must now live with the awareness that their past words, gestures, or silences could, at any future point, be reclassified as “abuse” and used to justify coercive restrictions.</w:t>
      </w:r>
    </w:p>
    <w:p w:rsidR="00D10830" w:rsidRPr="00CC2176"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 xml:space="preserve">Taken together, these provisions mark a profound reversal of legal logic. The law, once a shield against arbitrary power, now becomes its instrument. It governs not through justice, but through uncertainty — not by establishing guilt, but by cultivating fear. Thus emerges a new moral order in </w:t>
      </w:r>
      <w:r w:rsidRPr="00647BA9">
        <w:rPr>
          <w:rFonts w:ascii="Garamond" w:hAnsi="Garamond"/>
          <w:color w:val="000000"/>
          <w:lang w:val="en-US"/>
        </w:rPr>
        <w:lastRenderedPageBreak/>
        <w:t>which fear replaces guilt as the foundation of compliance, and where legality no longer protects the citizen but instead measures the degree of their submission.</w:t>
      </w:r>
    </w:p>
    <w:p w:rsidR="00CC2176" w:rsidRDefault="00CC2176" w:rsidP="00CC2176">
      <w:pPr>
        <w:pStyle w:val="a3"/>
        <w:spacing w:before="0" w:beforeAutospacing="0" w:after="0" w:afterAutospacing="0" w:line="276" w:lineRule="auto"/>
        <w:rPr>
          <w:rFonts w:ascii="Garamond" w:hAnsi="Garamond"/>
          <w:color w:val="000000"/>
          <w:lang w:val="en-US"/>
        </w:rPr>
      </w:pPr>
      <w:r w:rsidRPr="00CC2176">
        <w:rPr>
          <w:rFonts w:ascii="Garamond" w:hAnsi="Garamond"/>
          <w:color w:val="000000"/>
          <w:lang w:val="en-US"/>
        </w:rPr>
        <w:t>It is clear that before reaching this point, British law had to go through a long process. During this period, both the public and legal professionals gradually became accustomed to a new legal logic, the essence of which contains a contradiction that in other countries would provoke nothing but astonishment.</w:t>
      </w:r>
    </w:p>
    <w:p w:rsidR="00CC2176" w:rsidRPr="00CC2176" w:rsidRDefault="00CC2176" w:rsidP="00CC2176">
      <w:pPr>
        <w:pStyle w:val="a3"/>
        <w:spacing w:before="0" w:beforeAutospacing="0" w:after="0" w:afterAutospacing="0" w:line="276" w:lineRule="auto"/>
        <w:rPr>
          <w:rFonts w:ascii="Garamond" w:hAnsi="Garamond"/>
          <w:color w:val="000000"/>
          <w:lang w:val="en-US"/>
        </w:rPr>
      </w:pPr>
    </w:p>
    <w:p w:rsidR="00CC2176" w:rsidRPr="00CC2176" w:rsidRDefault="00EB777B" w:rsidP="00CC2176">
      <w:pPr>
        <w:pStyle w:val="a3"/>
        <w:spacing w:before="0" w:beforeAutospacing="0" w:after="0" w:afterAutospacing="0" w:line="276" w:lineRule="auto"/>
        <w:rPr>
          <w:rFonts w:ascii="Garamond" w:hAnsi="Garamond"/>
          <w:b/>
          <w:bCs/>
          <w:color w:val="000000"/>
          <w:lang w:val="en-US"/>
        </w:rPr>
      </w:pPr>
      <w:r>
        <w:rPr>
          <w:rFonts w:ascii="Garamond" w:hAnsi="Garamond"/>
          <w:b/>
          <w:bCs/>
          <w:color w:val="000000"/>
          <w:sz w:val="27"/>
          <w:szCs w:val="27"/>
          <w:lang w:val="en-US"/>
        </w:rPr>
        <w:t xml:space="preserve">3. </w:t>
      </w:r>
      <w:r w:rsidR="00CC2176" w:rsidRPr="00CC2176">
        <w:rPr>
          <w:rFonts w:ascii="Garamond" w:hAnsi="Garamond"/>
          <w:b/>
          <w:bCs/>
          <w:color w:val="000000"/>
          <w:sz w:val="27"/>
          <w:szCs w:val="27"/>
          <w:lang w:val="en-US"/>
        </w:rPr>
        <w:t>Historical Context: The Gradual Path to Preventive Coercion</w:t>
      </w:r>
    </w:p>
    <w:p w:rsidR="009B2901" w:rsidRDefault="009B2901" w:rsidP="00CC2176">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Historically, this trajectory began in the mid-1990s, when the United Kingdom quietly embarked on a unique and largely unnoticed path: the practice of issuing restraining orders was detached from both the criminal and civil branches of law and developed into a separate regulatory domain.</w:t>
      </w:r>
    </w:p>
    <w:p w:rsidR="00CC2176" w:rsidRPr="00CC2176" w:rsidRDefault="00CC2176" w:rsidP="00CC2176">
      <w:pPr>
        <w:pStyle w:val="a3"/>
        <w:spacing w:before="0" w:beforeAutospacing="0" w:after="0" w:afterAutospacing="0" w:line="276" w:lineRule="auto"/>
        <w:rPr>
          <w:rFonts w:ascii="Garamond" w:hAnsi="Garamond"/>
          <w:color w:val="000000"/>
          <w:lang w:val="en-US"/>
        </w:rPr>
      </w:pPr>
      <w:r w:rsidRPr="00CC2176">
        <w:rPr>
          <w:rFonts w:ascii="Garamond" w:hAnsi="Garamond"/>
          <w:color w:val="000000"/>
          <w:lang w:val="en-US"/>
        </w:rPr>
        <w:t>Remaining within the framework of criminal proceedings, as was the case everywhere, did not allow deviations from existing legal norms to develop, since criminal law operates through facts, evidence, and the individual’s right to defence. To free themselves from the constraints of due process and the fundamental principles of justice, a separate domain of legal intervention was required. To achieve this, new legal instruments were extracted from both criminal and civil adjudication:</w:t>
      </w:r>
    </w:p>
    <w:p w:rsidR="009B2901" w:rsidRPr="00647BA9" w:rsidRDefault="009B2901" w:rsidP="00EB777B">
      <w:pPr>
        <w:pStyle w:val="a3"/>
        <w:numPr>
          <w:ilvl w:val="0"/>
          <w:numId w:val="19"/>
        </w:numPr>
        <w:spacing w:before="0" w:beforeAutospacing="0" w:line="276" w:lineRule="auto"/>
        <w:rPr>
          <w:rFonts w:ascii="Garamond" w:hAnsi="Garamond"/>
          <w:color w:val="000000"/>
          <w:lang w:val="en-US"/>
        </w:rPr>
      </w:pPr>
      <w:r w:rsidRPr="00CC2176">
        <w:rPr>
          <w:rStyle w:val="a4"/>
          <w:rFonts w:ascii="Garamond" w:hAnsi="Garamond"/>
          <w:b w:val="0"/>
          <w:bCs w:val="0"/>
          <w:color w:val="000000"/>
          <w:lang w:val="en-US"/>
        </w:rPr>
        <w:t>1996 – Family Law Act (FLA):</w:t>
      </w:r>
      <w:r w:rsidRPr="00647BA9">
        <w:rPr>
          <w:rStyle w:val="apple-converted-space"/>
          <w:rFonts w:ascii="Garamond" w:hAnsi="Garamond"/>
          <w:color w:val="000000"/>
          <w:lang w:val="en-US"/>
        </w:rPr>
        <w:t> </w:t>
      </w:r>
      <w:r w:rsidRPr="00647BA9">
        <w:rPr>
          <w:rFonts w:ascii="Garamond" w:hAnsi="Garamond"/>
          <w:color w:val="000000"/>
          <w:lang w:val="en-US"/>
        </w:rPr>
        <w:t xml:space="preserve">Launch of a new area of legal intervention. </w:t>
      </w:r>
      <w:r w:rsidR="00CC2176">
        <w:rPr>
          <w:rFonts w:ascii="Garamond" w:hAnsi="Garamond"/>
          <w:color w:val="000000"/>
          <w:lang w:val="en-US"/>
        </w:rPr>
        <w:br/>
      </w:r>
      <w:r w:rsidRPr="00647BA9">
        <w:rPr>
          <w:rFonts w:ascii="Garamond" w:hAnsi="Garamond"/>
          <w:color w:val="000000"/>
          <w:lang w:val="en-US"/>
        </w:rPr>
        <w:t>To prevent these measures from being treated as criminal — where evidential standards and procedural safeguards still applied — the deliberately ambiguous concept of domestic violence was introduced. Orders began to be issued in the absence of allegations of clearly defined acts, such as assaults or other offences, ostensibly to prevent such acts from occurring. The family sphere was chosen because it allowed the state to enter the private domain and regulate personal relationships, even setting individuals against one another. The image of an “unhappy wife” suffering at the hands of a clearly culpable husband helped legitimise preventive rhetoric and conceal the initial departures from established legal norms.</w:t>
      </w:r>
    </w:p>
    <w:p w:rsidR="009B2901" w:rsidRPr="00CC2176" w:rsidRDefault="009B2901" w:rsidP="00647BA9">
      <w:pPr>
        <w:pStyle w:val="a3"/>
        <w:numPr>
          <w:ilvl w:val="0"/>
          <w:numId w:val="19"/>
        </w:numPr>
        <w:spacing w:line="276" w:lineRule="auto"/>
        <w:rPr>
          <w:rFonts w:ascii="Garamond" w:hAnsi="Garamond"/>
          <w:color w:val="000000"/>
          <w:lang w:val="en-US"/>
        </w:rPr>
      </w:pPr>
      <w:r w:rsidRPr="00CC2176">
        <w:rPr>
          <w:rStyle w:val="a4"/>
          <w:rFonts w:ascii="Garamond" w:hAnsi="Garamond"/>
          <w:b w:val="0"/>
          <w:bCs w:val="0"/>
          <w:color w:val="000000"/>
          <w:lang w:val="en-US"/>
        </w:rPr>
        <w:t>1997 – Protection from Harassment Act (PHA):</w:t>
      </w:r>
      <w:r w:rsidRPr="00CC2176">
        <w:rPr>
          <w:rStyle w:val="apple-converted-space"/>
          <w:rFonts w:ascii="Garamond" w:hAnsi="Garamond"/>
          <w:color w:val="000000"/>
          <w:lang w:val="en-US"/>
        </w:rPr>
        <w:t> </w:t>
      </w:r>
      <w:r w:rsidR="00CC2176">
        <w:rPr>
          <w:rStyle w:val="apple-converted-space"/>
          <w:rFonts w:ascii="Garamond" w:hAnsi="Garamond"/>
          <w:color w:val="000000"/>
          <w:lang w:val="en-US"/>
        </w:rPr>
        <w:br/>
      </w:r>
      <w:r w:rsidRPr="00CC2176">
        <w:rPr>
          <w:rFonts w:ascii="Garamond" w:hAnsi="Garamond"/>
          <w:color w:val="000000"/>
          <w:lang w:val="en-US"/>
        </w:rPr>
        <w:t>Consolidation of the emerging legal domain imposing sanctions on lawful actions. The notion of a pattern of behaviour was introduced, where harm was attributed not to individual acts but to their repetition (minimum two occurrences), further expanding the scope of preventive measures.</w:t>
      </w:r>
    </w:p>
    <w:p w:rsidR="009B2901" w:rsidRPr="00CC2176" w:rsidRDefault="009B2901" w:rsidP="00CC2176">
      <w:pPr>
        <w:pStyle w:val="a3"/>
        <w:numPr>
          <w:ilvl w:val="0"/>
          <w:numId w:val="19"/>
        </w:numPr>
        <w:spacing w:line="276" w:lineRule="auto"/>
        <w:rPr>
          <w:rFonts w:ascii="Garamond" w:hAnsi="Garamond"/>
          <w:color w:val="000000"/>
          <w:lang w:val="en-US"/>
        </w:rPr>
      </w:pPr>
      <w:r w:rsidRPr="00CC2176">
        <w:rPr>
          <w:rStyle w:val="a4"/>
          <w:rFonts w:ascii="Garamond" w:hAnsi="Garamond"/>
          <w:b w:val="0"/>
          <w:bCs w:val="0"/>
          <w:color w:val="000000"/>
          <w:lang w:val="en-US"/>
        </w:rPr>
        <w:t>1998–2021 – Expansion and institutionalisation of preventive sanctions:</w:t>
      </w:r>
      <w:r w:rsidR="000F3DDA">
        <w:rPr>
          <w:rFonts w:ascii="Garamond" w:hAnsi="Garamond"/>
          <w:color w:val="000000"/>
          <w:lang w:val="en-US"/>
        </w:rPr>
        <w:br/>
      </w:r>
      <w:r w:rsidRPr="000F3DDA">
        <w:rPr>
          <w:rFonts w:ascii="Garamond" w:hAnsi="Garamond"/>
          <w:color w:val="000000"/>
          <w:lang w:val="en-US"/>
        </w:rPr>
        <w:t>A growing array of new legal instruments have been introduced, increasingly allowing the state to impose measures even in the absence of actual legal violations.</w:t>
      </w:r>
      <w:r w:rsidR="000F3DDA">
        <w:rPr>
          <w:rFonts w:ascii="Garamond" w:hAnsi="Garamond"/>
          <w:color w:val="000000"/>
          <w:lang w:val="en-US"/>
        </w:rPr>
        <w:br/>
      </w:r>
      <w:r w:rsidRPr="000F3DDA">
        <w:rPr>
          <w:rFonts w:ascii="Garamond" w:hAnsi="Garamond"/>
          <w:color w:val="000000"/>
          <w:lang w:val="en-US"/>
        </w:rPr>
        <w:t>Numerous preventive orders were enacted, creating the necessary climate to normalise the mentality and acceptability of state intervention in absence of breach of law, including:</w:t>
      </w:r>
      <w:r w:rsidR="000F3DDA" w:rsidRPr="000F3DDA">
        <w:rPr>
          <w:rFonts w:ascii="Garamond" w:hAnsi="Garamond"/>
          <w:color w:val="000000"/>
          <w:lang w:val="en-US"/>
        </w:rPr>
        <w:t xml:space="preserve"> </w:t>
      </w:r>
      <w:r w:rsidRPr="000F3DDA">
        <w:rPr>
          <w:rFonts w:ascii="Garamond" w:hAnsi="Garamond"/>
          <w:color w:val="000000"/>
          <w:lang w:val="en-US"/>
        </w:rPr>
        <w:t>Domestic Violence Protection Notices and Orders (2014)</w:t>
      </w:r>
      <w:r w:rsidR="000F3DDA" w:rsidRPr="000F3DDA">
        <w:rPr>
          <w:rFonts w:ascii="Garamond" w:hAnsi="Garamond"/>
          <w:color w:val="000000"/>
          <w:lang w:val="en-US"/>
        </w:rPr>
        <w:t xml:space="preserve">, </w:t>
      </w:r>
      <w:r w:rsidRPr="000F3DDA">
        <w:rPr>
          <w:rFonts w:ascii="Garamond" w:hAnsi="Garamond"/>
          <w:color w:val="000000"/>
          <w:lang w:val="en-US"/>
        </w:rPr>
        <w:t>Forced Marriage Protection Orders (2007)</w:t>
      </w:r>
      <w:r w:rsidR="000F3DDA" w:rsidRPr="000F3DDA">
        <w:rPr>
          <w:rFonts w:ascii="Garamond" w:hAnsi="Garamond"/>
          <w:color w:val="000000"/>
          <w:lang w:val="en-US"/>
        </w:rPr>
        <w:t xml:space="preserve">, </w:t>
      </w:r>
      <w:r w:rsidRPr="000F3DDA">
        <w:rPr>
          <w:rFonts w:ascii="Garamond" w:hAnsi="Garamond"/>
          <w:color w:val="000000"/>
          <w:lang w:val="en-US"/>
        </w:rPr>
        <w:t>Female Genital Mutilation Protection Orders (2015)</w:t>
      </w:r>
      <w:r w:rsidR="000F3DDA" w:rsidRPr="000F3DDA">
        <w:rPr>
          <w:rFonts w:ascii="Garamond" w:hAnsi="Garamond"/>
          <w:color w:val="000000"/>
          <w:lang w:val="en-US"/>
        </w:rPr>
        <w:t xml:space="preserve">, </w:t>
      </w:r>
      <w:r w:rsidRPr="000F3DDA">
        <w:rPr>
          <w:rFonts w:ascii="Garamond" w:hAnsi="Garamond"/>
          <w:color w:val="000000"/>
          <w:lang w:val="en-US"/>
        </w:rPr>
        <w:t>Human Trafficking and Slavery Prevention Orders (2015)</w:t>
      </w:r>
      <w:r w:rsidR="000F3DDA" w:rsidRPr="000F3DDA">
        <w:rPr>
          <w:rFonts w:ascii="Garamond" w:hAnsi="Garamond"/>
          <w:color w:val="000000"/>
          <w:lang w:val="en-US"/>
        </w:rPr>
        <w:t xml:space="preserve">, </w:t>
      </w:r>
      <w:r w:rsidRPr="000F3DDA">
        <w:rPr>
          <w:rFonts w:ascii="Garamond" w:hAnsi="Garamond"/>
          <w:color w:val="000000"/>
          <w:lang w:val="en-US"/>
        </w:rPr>
        <w:t>Sexual Harm Prevention Orders (2015)</w:t>
      </w:r>
      <w:r w:rsidR="000F3DDA" w:rsidRPr="000F3DDA">
        <w:rPr>
          <w:rFonts w:ascii="Garamond" w:hAnsi="Garamond"/>
          <w:color w:val="000000"/>
          <w:lang w:val="en-US"/>
        </w:rPr>
        <w:t xml:space="preserve">, </w:t>
      </w:r>
      <w:r w:rsidRPr="000F3DDA">
        <w:rPr>
          <w:rFonts w:ascii="Garamond" w:hAnsi="Garamond"/>
          <w:color w:val="000000"/>
          <w:lang w:val="en-US"/>
        </w:rPr>
        <w:t>Stalking Protection Orders (2020)</w:t>
      </w:r>
      <w:r w:rsidR="00CC2176">
        <w:rPr>
          <w:rFonts w:ascii="Garamond" w:hAnsi="Garamond"/>
          <w:color w:val="000000"/>
          <w:lang w:val="en-US"/>
        </w:rPr>
        <w:br/>
      </w:r>
      <w:r w:rsidRPr="00CC2176">
        <w:rPr>
          <w:rFonts w:ascii="Garamond" w:hAnsi="Garamond"/>
          <w:color w:val="000000"/>
          <w:lang w:val="en-US"/>
        </w:rPr>
        <w:t>Although many of these targeted either already prohibited acts or actions that do not exist in contemporary England, and were rarely applied in practice, they served to establish the atmosphere needed for the introduction of more comprehensive legal instruments.</w:t>
      </w:r>
      <w:r w:rsidR="00CC2176" w:rsidRPr="00CC2176">
        <w:rPr>
          <w:rFonts w:ascii="Garamond" w:hAnsi="Garamond"/>
          <w:color w:val="000000"/>
          <w:lang w:val="en-US"/>
        </w:rPr>
        <w:t xml:space="preserve"> </w:t>
      </w:r>
      <w:r w:rsidRPr="00CC2176">
        <w:rPr>
          <w:rFonts w:ascii="Garamond" w:hAnsi="Garamond"/>
          <w:color w:val="000000"/>
          <w:lang w:val="en-US"/>
        </w:rPr>
        <w:t>The concept of hypothetical risk expanded to encompass coercive and controlling behaviour.</w:t>
      </w:r>
      <w:r w:rsidR="00CC2176" w:rsidRPr="00CC2176">
        <w:rPr>
          <w:rFonts w:ascii="Garamond" w:hAnsi="Garamond"/>
          <w:color w:val="000000"/>
          <w:lang w:val="en-US"/>
        </w:rPr>
        <w:t xml:space="preserve"> </w:t>
      </w:r>
      <w:r w:rsidRPr="00CC2176">
        <w:rPr>
          <w:rFonts w:ascii="Garamond" w:hAnsi="Garamond"/>
          <w:color w:val="000000"/>
          <w:lang w:val="en-US"/>
        </w:rPr>
        <w:t>Police increasingly functioned as quasi-judicial bodies, responsible for issuing PINs and other preventive orders rather than prosecuting actual legal violations, assessing hypothetical harm, and intervening in family disputes instead of addressing real wrongdoing.</w:t>
      </w:r>
    </w:p>
    <w:p w:rsidR="00A53554" w:rsidRPr="00E15940" w:rsidRDefault="009B2901" w:rsidP="00E15940">
      <w:pPr>
        <w:pStyle w:val="a3"/>
        <w:numPr>
          <w:ilvl w:val="0"/>
          <w:numId w:val="19"/>
        </w:numPr>
        <w:spacing w:after="0" w:afterAutospacing="0" w:line="276" w:lineRule="auto"/>
        <w:rPr>
          <w:rFonts w:ascii="Garamond" w:hAnsi="Garamond"/>
          <w:color w:val="000000"/>
          <w:lang w:val="en-US"/>
        </w:rPr>
      </w:pPr>
      <w:r w:rsidRPr="00CC2176">
        <w:rPr>
          <w:rStyle w:val="a4"/>
          <w:rFonts w:ascii="Garamond" w:hAnsi="Garamond"/>
          <w:b w:val="0"/>
          <w:bCs w:val="0"/>
          <w:color w:val="000000"/>
          <w:lang w:val="en-US"/>
        </w:rPr>
        <w:lastRenderedPageBreak/>
        <w:t>2021 – Constitutionalisation of a new autonomous preventive domain, Domestic Abuse Act (DAA):</w:t>
      </w:r>
      <w:r w:rsidR="00CC2176">
        <w:rPr>
          <w:rFonts w:ascii="Garamond" w:hAnsi="Garamond"/>
          <w:color w:val="000000"/>
          <w:lang w:val="en-US"/>
        </w:rPr>
        <w:br/>
      </w:r>
      <w:r w:rsidRPr="00CC2176">
        <w:rPr>
          <w:rFonts w:ascii="Garamond" w:hAnsi="Garamond"/>
          <w:color w:val="000000"/>
          <w:lang w:val="en-US"/>
        </w:rPr>
        <w:t>Fully independent from due process norms and the formal introduction of the DAPN/DAPO, now being piloted in limited form.</w:t>
      </w:r>
      <w:r w:rsidR="00CC2176">
        <w:rPr>
          <w:rFonts w:ascii="Garamond" w:hAnsi="Garamond"/>
          <w:color w:val="000000"/>
          <w:lang w:val="en-US"/>
        </w:rPr>
        <w:br/>
      </w:r>
      <w:r w:rsidRPr="00CC2176">
        <w:rPr>
          <w:rFonts w:ascii="Garamond" w:hAnsi="Garamond"/>
          <w:color w:val="000000"/>
          <w:lang w:val="en-US"/>
        </w:rPr>
        <w:t>This domain developed so gradually and imperceptibly that it went unnoticed by virtually everyone, hiding under the umbrella of the legal system.</w:t>
      </w:r>
      <w:r w:rsidR="00CC2176">
        <w:rPr>
          <w:rFonts w:ascii="Garamond" w:hAnsi="Garamond"/>
          <w:color w:val="000000"/>
          <w:lang w:val="en-US"/>
        </w:rPr>
        <w:br/>
      </w:r>
      <w:r w:rsidRPr="00CC2176">
        <w:rPr>
          <w:rFonts w:ascii="Garamond" w:hAnsi="Garamond"/>
          <w:color w:val="000000"/>
          <w:lang w:val="en-US"/>
        </w:rPr>
        <w:t>The process was accompanied by powerful preventive rhetoric and hypocrisy that completely obscured the fact that any individual subjected to its measures remained entirely unprotected by any law-guaranteed safeguards.</w:t>
      </w:r>
      <w:r w:rsidR="00CC2176">
        <w:rPr>
          <w:rFonts w:ascii="Garamond" w:hAnsi="Garamond"/>
          <w:color w:val="000000"/>
          <w:lang w:val="en-US"/>
        </w:rPr>
        <w:br/>
      </w:r>
      <w:r w:rsidRPr="00CC2176">
        <w:rPr>
          <w:rFonts w:ascii="Garamond" w:hAnsi="Garamond"/>
          <w:color w:val="000000"/>
          <w:lang w:val="en-US"/>
        </w:rPr>
        <w:t>Likewise, the domain itself remains largely unexplored. Anyone attempting to return to rational concepts would be met with hostility and accusations of cruelty.</w:t>
      </w:r>
      <w:r w:rsidR="0094603C">
        <w:rPr>
          <w:rFonts w:ascii="Garamond" w:hAnsi="Garamond"/>
          <w:color w:val="000000"/>
          <w:lang w:val="en-US"/>
        </w:rPr>
        <w:br/>
      </w:r>
    </w:p>
    <w:p w:rsidR="00A53554" w:rsidRPr="00E15940" w:rsidRDefault="00EB777B" w:rsidP="000F3DDA">
      <w:pPr>
        <w:pStyle w:val="a3"/>
        <w:spacing w:before="0" w:beforeAutospacing="0" w:after="0" w:afterAutospacing="0" w:line="276" w:lineRule="auto"/>
        <w:rPr>
          <w:rFonts w:ascii="Garamond" w:hAnsi="Garamond"/>
          <w:b/>
          <w:bCs/>
          <w:color w:val="000000" w:themeColor="text1"/>
          <w:sz w:val="27"/>
          <w:szCs w:val="27"/>
          <w:lang w:val="en-US"/>
        </w:rPr>
      </w:pPr>
      <w:r>
        <w:rPr>
          <w:rFonts w:ascii="Garamond" w:hAnsi="Garamond"/>
          <w:b/>
          <w:bCs/>
          <w:color w:val="000000" w:themeColor="text1"/>
          <w:sz w:val="27"/>
          <w:szCs w:val="27"/>
          <w:lang w:val="en-US"/>
        </w:rPr>
        <w:t xml:space="preserve">4. </w:t>
      </w:r>
      <w:r w:rsidR="00A53554" w:rsidRPr="00E15940">
        <w:rPr>
          <w:rFonts w:ascii="Garamond" w:hAnsi="Garamond"/>
          <w:b/>
          <w:bCs/>
          <w:color w:val="000000" w:themeColor="text1"/>
          <w:sz w:val="27"/>
          <w:szCs w:val="27"/>
          <w:lang w:val="en-US"/>
        </w:rPr>
        <w:t>The Concept of Preventive Coercion</w:t>
      </w:r>
    </w:p>
    <w:p w:rsidR="00E15940" w:rsidRPr="00E15940" w:rsidRDefault="00E15940" w:rsidP="000F3DDA">
      <w:pPr>
        <w:pStyle w:val="a3"/>
        <w:spacing w:before="0" w:beforeAutospacing="0" w:after="0" w:afterAutospacing="0" w:line="276" w:lineRule="auto"/>
        <w:rPr>
          <w:rFonts w:ascii="Garamond" w:hAnsi="Garamond"/>
          <w:color w:val="000000" w:themeColor="text1"/>
          <w:lang w:val="en-US"/>
        </w:rPr>
      </w:pPr>
      <w:r w:rsidRPr="00E15940">
        <w:rPr>
          <w:rFonts w:ascii="Garamond" w:hAnsi="Garamond"/>
          <w:color w:val="000000" w:themeColor="text1"/>
          <w:lang w:val="en-US"/>
        </w:rPr>
        <w:t>This is a domain that emerged as the safeguards of justice were gradually replaced by rhetoric, hypocrisy, and appeals to emotion. I define it as preventive coercion: a domain that has expanded under the guise of protection, while systematically undermining the very principles that once shielded individuals from arbitrary state action and malicious actors.</w:t>
      </w:r>
    </w:p>
    <w:p w:rsidR="009B2901" w:rsidRPr="00E15940" w:rsidRDefault="009B2901" w:rsidP="000F3DDA">
      <w:pPr>
        <w:pStyle w:val="a3"/>
        <w:numPr>
          <w:ilvl w:val="0"/>
          <w:numId w:val="20"/>
        </w:numPr>
        <w:spacing w:before="0" w:beforeAutospacing="0" w:after="0" w:afterAutospacing="0" w:line="276" w:lineRule="auto"/>
        <w:rPr>
          <w:rFonts w:ascii="Garamond" w:hAnsi="Garamond"/>
          <w:color w:val="000000" w:themeColor="text1"/>
          <w:lang w:val="en-US"/>
        </w:rPr>
      </w:pPr>
      <w:r w:rsidRPr="00E15940">
        <w:rPr>
          <w:rStyle w:val="a4"/>
          <w:rFonts w:ascii="Garamond" w:hAnsi="Garamond"/>
          <w:b w:val="0"/>
          <w:bCs w:val="0"/>
          <w:i/>
          <w:iCs/>
          <w:color w:val="000000" w:themeColor="text1"/>
          <w:lang w:val="en-US"/>
        </w:rPr>
        <w:t>Preventive</w:t>
      </w:r>
      <w:r w:rsidRPr="00E15940">
        <w:rPr>
          <w:rStyle w:val="apple-converted-space"/>
          <w:rFonts w:ascii="Garamond" w:hAnsi="Garamond"/>
          <w:color w:val="000000" w:themeColor="text1"/>
          <w:lang w:val="en-US"/>
        </w:rPr>
        <w:t> </w:t>
      </w:r>
      <w:r w:rsidRPr="00E15940">
        <w:rPr>
          <w:rFonts w:ascii="Garamond" w:hAnsi="Garamond"/>
          <w:color w:val="000000" w:themeColor="text1"/>
          <w:lang w:val="en-US"/>
        </w:rPr>
        <w:t>because measures are imposed without any alleged offence or evidence of harm, justified solely on the basis of averting potential risk.</w:t>
      </w:r>
    </w:p>
    <w:p w:rsidR="0094603C" w:rsidRDefault="009B2901" w:rsidP="000F3DDA">
      <w:pPr>
        <w:pStyle w:val="a3"/>
        <w:numPr>
          <w:ilvl w:val="0"/>
          <w:numId w:val="20"/>
        </w:numPr>
        <w:spacing w:before="0" w:beforeAutospacing="0" w:after="0" w:afterAutospacing="0" w:line="276" w:lineRule="auto"/>
        <w:rPr>
          <w:rFonts w:ascii="Garamond" w:hAnsi="Garamond"/>
          <w:color w:val="000000" w:themeColor="text1"/>
          <w:lang w:val="en-US"/>
        </w:rPr>
      </w:pPr>
      <w:r w:rsidRPr="00E15940">
        <w:rPr>
          <w:rStyle w:val="a4"/>
          <w:rFonts w:ascii="Garamond" w:hAnsi="Garamond"/>
          <w:b w:val="0"/>
          <w:bCs w:val="0"/>
          <w:i/>
          <w:iCs/>
          <w:color w:val="000000" w:themeColor="text1"/>
          <w:lang w:val="en-US"/>
        </w:rPr>
        <w:t>Coercive</w:t>
      </w:r>
      <w:r w:rsidRPr="00E15940">
        <w:rPr>
          <w:rStyle w:val="apple-converted-space"/>
          <w:rFonts w:ascii="Garamond" w:hAnsi="Garamond"/>
          <w:color w:val="000000" w:themeColor="text1"/>
          <w:lang w:val="en-US"/>
        </w:rPr>
        <w:t> </w:t>
      </w:r>
      <w:r w:rsidRPr="00E15940">
        <w:rPr>
          <w:rFonts w:ascii="Garamond" w:hAnsi="Garamond"/>
          <w:color w:val="000000" w:themeColor="text1"/>
          <w:lang w:val="en-US"/>
        </w:rPr>
        <w:t>because these measures produce tangible consequences — restrictions, stigmatisation, behavioural control, and potential criminal liability — outside the framework of a judicial trial.</w:t>
      </w:r>
    </w:p>
    <w:p w:rsidR="00E15940" w:rsidRPr="00E15940" w:rsidRDefault="00E15940" w:rsidP="00E15940">
      <w:pPr>
        <w:pStyle w:val="a3"/>
        <w:spacing w:before="0" w:beforeAutospacing="0" w:after="0" w:afterAutospacing="0" w:line="276" w:lineRule="auto"/>
        <w:ind w:left="720"/>
        <w:rPr>
          <w:rFonts w:ascii="Garamond" w:hAnsi="Garamond"/>
          <w:color w:val="000000" w:themeColor="text1"/>
          <w:lang w:val="en-US"/>
        </w:rPr>
      </w:pPr>
    </w:p>
    <w:p w:rsidR="0094603C" w:rsidRPr="0094603C" w:rsidRDefault="00EB777B" w:rsidP="0094603C">
      <w:pPr>
        <w:pStyle w:val="a3"/>
        <w:spacing w:before="0" w:beforeAutospacing="0" w:after="0" w:afterAutospacing="0" w:line="276" w:lineRule="auto"/>
        <w:rPr>
          <w:rFonts w:ascii="Garamond" w:hAnsi="Garamond"/>
          <w:b/>
          <w:bCs/>
          <w:color w:val="000000"/>
          <w:sz w:val="27"/>
          <w:szCs w:val="27"/>
          <w:lang w:val="en-US"/>
        </w:rPr>
      </w:pPr>
      <w:r>
        <w:rPr>
          <w:rFonts w:ascii="Garamond" w:hAnsi="Garamond"/>
          <w:b/>
          <w:bCs/>
          <w:color w:val="000000"/>
          <w:sz w:val="27"/>
          <w:szCs w:val="27"/>
          <w:lang w:val="en-US"/>
        </w:rPr>
        <w:t xml:space="preserve">5. </w:t>
      </w:r>
      <w:r w:rsidR="0094603C" w:rsidRPr="00A53554">
        <w:rPr>
          <w:rFonts w:ascii="Garamond" w:hAnsi="Garamond"/>
          <w:b/>
          <w:bCs/>
          <w:color w:val="000000"/>
          <w:sz w:val="27"/>
          <w:szCs w:val="27"/>
          <w:lang w:val="en-US"/>
        </w:rPr>
        <w:t xml:space="preserve">Catastrophic Level </w:t>
      </w:r>
      <w:r w:rsidR="0094603C">
        <w:rPr>
          <w:rFonts w:ascii="Garamond" w:hAnsi="Garamond"/>
          <w:b/>
          <w:bCs/>
          <w:color w:val="000000"/>
          <w:sz w:val="27"/>
          <w:szCs w:val="27"/>
          <w:lang w:val="en-US"/>
        </w:rPr>
        <w:t>o</w:t>
      </w:r>
      <w:r w:rsidR="0094603C" w:rsidRPr="00A53554">
        <w:rPr>
          <w:rFonts w:ascii="Garamond" w:hAnsi="Garamond"/>
          <w:b/>
          <w:bCs/>
          <w:color w:val="000000"/>
          <w:sz w:val="27"/>
          <w:szCs w:val="27"/>
          <w:lang w:val="en-US"/>
        </w:rPr>
        <w:t xml:space="preserve">f Systemic </w:t>
      </w:r>
      <w:r w:rsidR="0094603C">
        <w:rPr>
          <w:rFonts w:ascii="Garamond" w:hAnsi="Garamond"/>
          <w:b/>
          <w:bCs/>
          <w:color w:val="000000"/>
          <w:sz w:val="27"/>
          <w:szCs w:val="27"/>
          <w:lang w:val="en-US"/>
        </w:rPr>
        <w:t>Failure</w:t>
      </w:r>
    </w:p>
    <w:p w:rsidR="009B2901" w:rsidRPr="00647BA9" w:rsidRDefault="009B2901" w:rsidP="0094603C">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 xml:space="preserve">The emotions, rhetoric, hypocrisy, and conceptual substitution have gradually replaced all the foundational principles of law. Even measures designed to correct judicial errors do not function in this domain. Concepts such as miscarriage of justice or recognising </w:t>
      </w:r>
      <w:proofErr w:type="gramStart"/>
      <w:r w:rsidRPr="00647BA9">
        <w:rPr>
          <w:rFonts w:ascii="Garamond" w:hAnsi="Garamond"/>
          <w:color w:val="000000"/>
          <w:lang w:val="en-US"/>
        </w:rPr>
        <w:t>an order a</w:t>
      </w:r>
      <w:r w:rsidRPr="000F3DDA">
        <w:rPr>
          <w:rFonts w:ascii="Garamond" w:hAnsi="Garamond"/>
          <w:i/>
          <w:iCs/>
          <w:color w:val="000000"/>
          <w:lang w:val="en-US"/>
        </w:rPr>
        <w:t>s null and void ab initio</w:t>
      </w:r>
      <w:proofErr w:type="gramEnd"/>
      <w:r w:rsidRPr="00647BA9">
        <w:rPr>
          <w:rFonts w:ascii="Garamond" w:hAnsi="Garamond"/>
          <w:color w:val="000000"/>
          <w:lang w:val="en-US"/>
        </w:rPr>
        <w:t xml:space="preserve"> simply do not apply. In other words, the police or the court “cannot be wrong if they have issued an order, even if it violates procedure” (although they may face sanctions or ostracism if they refuse).</w:t>
      </w:r>
    </w:p>
    <w:p w:rsidR="009B2901" w:rsidRPr="00647BA9" w:rsidRDefault="009B2901" w:rsidP="00647BA9">
      <w:pPr>
        <w:pStyle w:val="a3"/>
        <w:spacing w:before="0" w:beforeAutospacing="0" w:after="0" w:afterAutospacing="0" w:line="276" w:lineRule="auto"/>
        <w:rPr>
          <w:rFonts w:ascii="Garamond" w:hAnsi="Garamond"/>
          <w:color w:val="000000"/>
        </w:rPr>
      </w:pPr>
      <w:r w:rsidRPr="00647BA9">
        <w:rPr>
          <w:rFonts w:ascii="Garamond" w:hAnsi="Garamond"/>
          <w:color w:val="000000"/>
        </w:rPr>
        <w:t>For example:</w:t>
      </w:r>
    </w:p>
    <w:p w:rsidR="009B2901" w:rsidRPr="00647BA9" w:rsidRDefault="009B2901" w:rsidP="00647BA9">
      <w:pPr>
        <w:pStyle w:val="a3"/>
        <w:numPr>
          <w:ilvl w:val="0"/>
          <w:numId w:val="21"/>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I possess extensive materials demonstrating that once a non-molestation order is issued, the process cannot be nullified under any circumstances — whether in cases of gross procedural violations, proven fraudulent actions by the applicant, or even if the order is used to commit a crime.</w:t>
      </w:r>
    </w:p>
    <w:p w:rsidR="009B2901" w:rsidRPr="00647BA9" w:rsidRDefault="009B2901" w:rsidP="00647BA9">
      <w:pPr>
        <w:pStyle w:val="a3"/>
        <w:numPr>
          <w:ilvl w:val="0"/>
          <w:numId w:val="21"/>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Meanwhile, in other areas of law, even the slightest procedural irregularity can almost automatically lead to the annulment of the entire process.</w:t>
      </w:r>
    </w:p>
    <w:p w:rsidR="009B2901" w:rsidRP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Because the legal system and its structures were originally designed for different purposes, its officers face significant problems. When judges, magistrates or police are forced to issue and enforce preventive measures, they must operate on the basis of vague hypothetical risks, which often leaves them confused when asked to justify their actions in terms of compliance with fundamental principles of justice.</w:t>
      </w:r>
      <w:r w:rsidR="00647BA9" w:rsidRPr="00647BA9">
        <w:rPr>
          <w:rFonts w:ascii="Garamond" w:hAnsi="Garamond"/>
          <w:color w:val="000000"/>
          <w:lang w:val="en-US"/>
        </w:rPr>
        <w:t xml:space="preserve"> </w:t>
      </w:r>
      <w:r w:rsidR="00647BA9">
        <w:rPr>
          <w:rFonts w:ascii="Garamond" w:hAnsi="Garamond"/>
          <w:color w:val="000000"/>
          <w:lang w:val="en-US"/>
        </w:rPr>
        <w:br/>
      </w:r>
      <w:r w:rsidRPr="00647BA9">
        <w:rPr>
          <w:rFonts w:ascii="Garamond" w:hAnsi="Garamond"/>
          <w:color w:val="000000"/>
          <w:lang w:val="en-US"/>
        </w:rPr>
        <w:t>For example, in a magistrates’ court or Crown court, if one asks on what grounds a conviction was issued for an offence, the explanation will be provided.</w:t>
      </w:r>
      <w:r w:rsidR="00647BA9" w:rsidRPr="00647BA9">
        <w:rPr>
          <w:rFonts w:ascii="Garamond" w:hAnsi="Garamond"/>
          <w:color w:val="000000"/>
          <w:lang w:val="en-US"/>
        </w:rPr>
        <w:t xml:space="preserve"> </w:t>
      </w:r>
      <w:r w:rsidRPr="00647BA9">
        <w:rPr>
          <w:rFonts w:ascii="Garamond" w:hAnsi="Garamond"/>
          <w:color w:val="000000"/>
          <w:lang w:val="en-US"/>
        </w:rPr>
        <w:t>But if one asks why a preventive order under the PHA 1997 refers to certain unclear individuals as subjects protected by order, there is often no direct answer.</w:t>
      </w:r>
    </w:p>
    <w:p w:rsidR="009B2901" w:rsidRP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lastRenderedPageBreak/>
        <w:t>The situation is even worse in family courts:</w:t>
      </w:r>
      <w:r w:rsidR="00647BA9" w:rsidRPr="00647BA9">
        <w:rPr>
          <w:rFonts w:ascii="Garamond" w:hAnsi="Garamond"/>
          <w:color w:val="000000"/>
          <w:lang w:val="en-US"/>
        </w:rPr>
        <w:t xml:space="preserve"> </w:t>
      </w:r>
      <w:r w:rsidRPr="00647BA9">
        <w:rPr>
          <w:rFonts w:ascii="Garamond" w:hAnsi="Garamond"/>
          <w:color w:val="000000"/>
          <w:lang w:val="en-US"/>
        </w:rPr>
        <w:t>Hearings are mostly closed.</w:t>
      </w:r>
      <w:r w:rsidR="00647BA9" w:rsidRPr="00647BA9">
        <w:rPr>
          <w:rFonts w:ascii="Garamond" w:hAnsi="Garamond"/>
          <w:color w:val="000000"/>
          <w:lang w:val="en-US"/>
        </w:rPr>
        <w:t xml:space="preserve"> </w:t>
      </w:r>
      <w:r w:rsidRPr="00647BA9">
        <w:rPr>
          <w:rFonts w:ascii="Garamond" w:hAnsi="Garamond"/>
          <w:color w:val="000000"/>
          <w:lang w:val="en-US"/>
        </w:rPr>
        <w:t>They are often conducted without the participation of the other party.</w:t>
      </w:r>
      <w:r w:rsidR="00647BA9" w:rsidRPr="00647BA9">
        <w:rPr>
          <w:rFonts w:ascii="Garamond" w:hAnsi="Garamond"/>
          <w:color w:val="000000"/>
          <w:lang w:val="en-US"/>
        </w:rPr>
        <w:t xml:space="preserve"> </w:t>
      </w:r>
      <w:r w:rsidRPr="00647BA9">
        <w:rPr>
          <w:rFonts w:ascii="Garamond" w:hAnsi="Garamond"/>
          <w:color w:val="000000"/>
          <w:lang w:val="en-US"/>
        </w:rPr>
        <w:t>They are frequently manipulated fraudulently by groups of lawyers who apply such pressure that the judge signs the order with little to no examination of its substance.</w:t>
      </w:r>
    </w:p>
    <w:p w:rsidR="009B2901" w:rsidRP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same applies to the police:</w:t>
      </w:r>
      <w:r w:rsidR="00647BA9" w:rsidRPr="00647BA9">
        <w:rPr>
          <w:rFonts w:ascii="Garamond" w:hAnsi="Garamond"/>
          <w:color w:val="000000"/>
          <w:lang w:val="en-US"/>
        </w:rPr>
        <w:t xml:space="preserve"> </w:t>
      </w:r>
      <w:r w:rsidRPr="00647BA9">
        <w:rPr>
          <w:rFonts w:ascii="Garamond" w:hAnsi="Garamond"/>
          <w:color w:val="000000"/>
          <w:lang w:val="en-US"/>
        </w:rPr>
        <w:t>Requests to clarify, from a legal standpoint, actions taken against a person as a result of fraudulent activity by a malicious actor are typically deflected, referred to the courts, or met with threats, while no action is taken against the perpetrators.</w:t>
      </w:r>
    </w:p>
    <w:p w:rsidR="009B2901" w:rsidRPr="00647BA9" w:rsidRDefault="009B2901" w:rsidP="00EF31D3">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In this context, various bad actors — such as legal advisors — feel fully empowered to exploit the resources of the police and courts, offering services to clients that are essentially criminal in nature. In other areas of law, such behaviour would be unthinkable. Yet within the domain of preventive coercion, this kind of exploitation is effectively permitted.</w:t>
      </w:r>
    </w:p>
    <w:p w:rsidR="009B2901" w:rsidRP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 was the first to attempt a systematic description of this fully autonomous legal domain — one that exists under the umbrella of the legal system, feeds on its resources, pursues ends contrary to its original purposes, and gradually erodes its essence. Others, too, expressed a sense of unease about these restrictive orders, recognising that something was amiss. Indeed, the imposition of non-molestation and other preventive orders by family courts came to be seen as a “grey zone.”</w:t>
      </w:r>
    </w:p>
    <w:p w:rsid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Largely beyond monitoring and oversight, this preventive coercion often operates through</w:t>
      </w:r>
      <w:r w:rsidRPr="00647BA9">
        <w:rPr>
          <w:rStyle w:val="apple-converted-space"/>
          <w:rFonts w:ascii="Garamond" w:hAnsi="Garamond"/>
          <w:color w:val="000000"/>
          <w:lang w:val="en-US"/>
        </w:rPr>
        <w:t> </w:t>
      </w:r>
      <w:r w:rsidRPr="00647BA9">
        <w:rPr>
          <w:rStyle w:val="a4"/>
          <w:rFonts w:ascii="Garamond" w:hAnsi="Garamond"/>
          <w:b w:val="0"/>
          <w:bCs w:val="0"/>
          <w:i/>
          <w:iCs/>
          <w:color w:val="000000"/>
          <w:lang w:val="en-US"/>
        </w:rPr>
        <w:t>ex parte</w:t>
      </w:r>
      <w:r w:rsidRPr="00647BA9">
        <w:rPr>
          <w:rStyle w:val="a4"/>
          <w:rFonts w:ascii="Garamond" w:hAnsi="Garamond"/>
          <w:b w:val="0"/>
          <w:bCs w:val="0"/>
          <w:color w:val="000000"/>
          <w:lang w:val="en-US"/>
        </w:rPr>
        <w:t xml:space="preserve"> hearings</w:t>
      </w:r>
      <w:r w:rsidRPr="00647BA9">
        <w:rPr>
          <w:rStyle w:val="apple-converted-space"/>
          <w:rFonts w:ascii="Garamond" w:hAnsi="Garamond"/>
          <w:color w:val="000000"/>
          <w:lang w:val="en-US"/>
        </w:rPr>
        <w:t> </w:t>
      </w:r>
      <w:r w:rsidRPr="00647BA9">
        <w:rPr>
          <w:rFonts w:ascii="Garamond" w:hAnsi="Garamond"/>
          <w:color w:val="000000"/>
          <w:lang w:val="en-US"/>
        </w:rPr>
        <w:t xml:space="preserve">held privately in chambers, without notice to the other party and outside the realm of public scrutiny. </w:t>
      </w:r>
    </w:p>
    <w:p w:rsidR="00A53554" w:rsidRDefault="00A53554" w:rsidP="00647BA9">
      <w:pPr>
        <w:pStyle w:val="a3"/>
        <w:spacing w:before="0" w:beforeAutospacing="0" w:after="0" w:afterAutospacing="0" w:line="276" w:lineRule="auto"/>
        <w:rPr>
          <w:rFonts w:ascii="Garamond" w:hAnsi="Garamond"/>
          <w:color w:val="000000"/>
          <w:lang w:val="en-US"/>
        </w:rPr>
      </w:pPr>
    </w:p>
    <w:p w:rsidR="009B2901" w:rsidRP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To fully grasp how far it has diverged from the norms of due process, and to understand the extent to which it enables malicious manipulation, procedural fraud, and human rights violations, one must experience it directly — by becoming the subject of such an order. This requires that a comprehensive and deliberately malicious scheme be executed against the individual conducting the research. Only then does it become apparent how easily these mechanisms can be exploited by ill-intentioned actors, and how powerless both the subject of the order and the system itself can be in resisting fraud.</w:t>
      </w:r>
    </w:p>
    <w:p w:rsidR="009B2901" w:rsidRP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It is from this direct, quasi-experimental engagement with the system that the present analysis arises.</w:t>
      </w:r>
    </w:p>
    <w:p w:rsidR="009B2901" w:rsidRP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 xml:space="preserve">Even a limited public audit of existing orders — for example, those issued by the Central Family Court — would likely expose a </w:t>
      </w:r>
      <w:r w:rsidRPr="00A53554">
        <w:rPr>
          <w:rFonts w:ascii="Garamond" w:hAnsi="Garamond"/>
          <w:i/>
          <w:iCs/>
          <w:color w:val="000000"/>
          <w:lang w:val="en-US"/>
        </w:rPr>
        <w:t>catastrophic level of systemic abuse</w:t>
      </w:r>
      <w:r w:rsidRPr="00647BA9">
        <w:rPr>
          <w:rFonts w:ascii="Garamond" w:hAnsi="Garamond"/>
          <w:color w:val="000000"/>
          <w:lang w:val="en-US"/>
        </w:rPr>
        <w:t xml:space="preserve"> and procedural manipulation unparalleled in any other area of law in the UK or in any other country.</w:t>
      </w:r>
    </w:p>
    <w:p w:rsidR="0094603C" w:rsidRDefault="009B2901" w:rsidP="0094603C">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 possess documentary evidence detailing the following scenario:</w:t>
      </w:r>
      <w:r w:rsidR="0094603C">
        <w:rPr>
          <w:rFonts w:ascii="Garamond" w:hAnsi="Garamond"/>
          <w:color w:val="000000"/>
          <w:lang w:val="en-US"/>
        </w:rPr>
        <w:t xml:space="preserve"> </w:t>
      </w:r>
      <w:r w:rsidRPr="00647BA9">
        <w:rPr>
          <w:rFonts w:ascii="Garamond" w:hAnsi="Garamond"/>
          <w:color w:val="000000"/>
          <w:lang w:val="en-US"/>
        </w:rPr>
        <w:t>A team of lawyers was engaged to exploit the legal system in order to discredit and intimidate potential witnesses of serious crime.</w:t>
      </w:r>
      <w:r w:rsidR="0094603C">
        <w:rPr>
          <w:rFonts w:ascii="Garamond" w:hAnsi="Garamond"/>
          <w:color w:val="000000"/>
          <w:lang w:val="en-US"/>
        </w:rPr>
        <w:t xml:space="preserve"> </w:t>
      </w:r>
      <w:r w:rsidRPr="00647BA9">
        <w:rPr>
          <w:rFonts w:ascii="Garamond" w:hAnsi="Garamond"/>
          <w:color w:val="000000"/>
          <w:lang w:val="en-US"/>
        </w:rPr>
        <w:t>During their engagement, the potential client explained that there was an individual with whom he had a prior connection, who possessed information about a serious crime committed by the client jointly with another person.</w:t>
      </w:r>
      <w:r w:rsidR="0094603C">
        <w:rPr>
          <w:rFonts w:ascii="Garamond" w:hAnsi="Garamond"/>
          <w:color w:val="000000"/>
          <w:lang w:val="en-US"/>
        </w:rPr>
        <w:t xml:space="preserve"> </w:t>
      </w:r>
      <w:r w:rsidRPr="00647BA9">
        <w:rPr>
          <w:rFonts w:ascii="Garamond" w:hAnsi="Garamond"/>
          <w:color w:val="000000"/>
          <w:lang w:val="en-US"/>
        </w:rPr>
        <w:t>For a substantial sum of money, these lawyers devised a comprehensive, documented scheme in which the client posed as a victim of domestic violence, allegedly threatened by the very person whose reputation needed to be undermined and intimidated as a potential witness.</w:t>
      </w:r>
      <w:r w:rsidR="0094603C">
        <w:rPr>
          <w:rFonts w:ascii="Garamond" w:hAnsi="Garamond"/>
          <w:color w:val="000000"/>
          <w:lang w:val="en-US"/>
        </w:rPr>
        <w:t xml:space="preserve"> </w:t>
      </w:r>
      <w:r w:rsidRPr="00647BA9">
        <w:rPr>
          <w:rFonts w:ascii="Garamond" w:hAnsi="Garamond"/>
          <w:color w:val="000000"/>
          <w:lang w:val="en-US"/>
        </w:rPr>
        <w:t>This was despite the fact that the individual lived in another country and had no contact with the United Kingdom.</w:t>
      </w:r>
      <w:r w:rsidR="0094603C">
        <w:rPr>
          <w:rFonts w:ascii="Garamond" w:hAnsi="Garamond"/>
          <w:color w:val="000000"/>
          <w:lang w:val="en-US"/>
        </w:rPr>
        <w:t xml:space="preserve"> </w:t>
      </w:r>
      <w:r w:rsidRPr="00647BA9">
        <w:rPr>
          <w:rFonts w:ascii="Garamond" w:hAnsi="Garamond"/>
          <w:color w:val="000000"/>
          <w:lang w:val="en-US"/>
        </w:rPr>
        <w:t>The execution of the scheme began with the police assigning the individual a personal identification number (PIN), which was then used to proceed with the issuance of a court order under section 45 of the Family Law Act 1996 by Central Family Court in London.</w:t>
      </w:r>
    </w:p>
    <w:p w:rsidR="009B2901" w:rsidRPr="00647BA9" w:rsidRDefault="009B2901" w:rsidP="0094603C">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documentation records how they drafted an order using deliberately convoluted language, embedding phrases that, once signed by the family law judge, were subsequently used for purposes entirely unintended by the court — namely, to obstruct the investigation of the crime.</w:t>
      </w:r>
    </w:p>
    <w:p w:rsidR="0094603C" w:rsidRDefault="009B2901" w:rsidP="0094603C">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most alarming aspect of this situation is not merely the attempt by malicious actors to exploit the law, but the inability of the court to address such misconduct and restore justice.</w:t>
      </w:r>
      <w:r w:rsidR="0094603C">
        <w:rPr>
          <w:rFonts w:ascii="Garamond" w:hAnsi="Garamond"/>
          <w:color w:val="000000"/>
          <w:lang w:val="en-US"/>
        </w:rPr>
        <w:t xml:space="preserve"> </w:t>
      </w:r>
      <w:r w:rsidRPr="00647BA9">
        <w:rPr>
          <w:rFonts w:ascii="Garamond" w:hAnsi="Garamond"/>
          <w:color w:val="000000"/>
          <w:lang w:val="en-US"/>
        </w:rPr>
        <w:t xml:space="preserve">Faced with this </w:t>
      </w:r>
      <w:r w:rsidRPr="00647BA9">
        <w:rPr>
          <w:rFonts w:ascii="Garamond" w:hAnsi="Garamond"/>
          <w:color w:val="000000"/>
          <w:lang w:val="en-US"/>
        </w:rPr>
        <w:lastRenderedPageBreak/>
        <w:t>form of fraud, the court has no mechanism to annul an order — no procedural remedy exists.</w:t>
      </w:r>
      <w:r w:rsidR="0094603C">
        <w:rPr>
          <w:rFonts w:ascii="Garamond" w:hAnsi="Garamond"/>
          <w:color w:val="000000"/>
          <w:lang w:val="en-US"/>
        </w:rPr>
        <w:t xml:space="preserve"> </w:t>
      </w:r>
      <w:r w:rsidRPr="00647BA9">
        <w:rPr>
          <w:rFonts w:ascii="Garamond" w:hAnsi="Garamond"/>
          <w:color w:val="000000"/>
          <w:lang w:val="en-US"/>
        </w:rPr>
        <w:t>Judges involved in this field are constrained and operate under considerable pressure.</w:t>
      </w:r>
    </w:p>
    <w:p w:rsidR="009B2901" w:rsidRPr="00647BA9" w:rsidRDefault="009B2901" w:rsidP="0094603C">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Fearful of being later accused of failing to “protect” a “victim” from emotional distress, they rarely question the materials presented to them and often sign any draft order submitted.</w:t>
      </w:r>
    </w:p>
    <w:p w:rsidR="009B2901" w:rsidRPr="00647BA9" w:rsidRDefault="009B2901" w:rsidP="0094603C">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Moreover, unlike in other areas of law, judges bear no personal accountability for procedural errors or judicial mistakes in this domain.</w:t>
      </w:r>
    </w:p>
    <w:p w:rsidR="009B2901" w:rsidRPr="00647BA9" w:rsidRDefault="009B2901" w:rsidP="00647BA9">
      <w:pPr>
        <w:pStyle w:val="a3"/>
        <w:spacing w:before="0" w:beforeAutospacing="0" w:after="0" w:afterAutospacing="0" w:line="276" w:lineRule="auto"/>
        <w:rPr>
          <w:rFonts w:ascii="Garamond" w:hAnsi="Garamond"/>
          <w:color w:val="000000"/>
        </w:rPr>
      </w:pPr>
      <w:r w:rsidRPr="00647BA9">
        <w:rPr>
          <w:rFonts w:ascii="Garamond" w:hAnsi="Garamond"/>
          <w:color w:val="000000"/>
          <w:lang w:val="en-US"/>
        </w:rPr>
        <w:t xml:space="preserve">Documentary evidence collected over a period of ten years demonstrates an almost endless series of instances of court behaviour that border on the absurd. </w:t>
      </w:r>
      <w:r w:rsidRPr="00647BA9">
        <w:rPr>
          <w:rFonts w:ascii="Garamond" w:hAnsi="Garamond"/>
          <w:color w:val="000000"/>
        </w:rPr>
        <w:t>For example, the courts have repeatedly:</w:t>
      </w:r>
    </w:p>
    <w:p w:rsidR="009B2901" w:rsidRPr="00647BA9" w:rsidRDefault="009B2901" w:rsidP="00647BA9">
      <w:pPr>
        <w:pStyle w:val="a3"/>
        <w:numPr>
          <w:ilvl w:val="0"/>
          <w:numId w:val="27"/>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refused to specify whether an order is temporary or permanent;</w:t>
      </w:r>
    </w:p>
    <w:p w:rsidR="009B2901" w:rsidRPr="00647BA9" w:rsidRDefault="009B2901" w:rsidP="00647BA9">
      <w:pPr>
        <w:pStyle w:val="a3"/>
        <w:numPr>
          <w:ilvl w:val="0"/>
          <w:numId w:val="27"/>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failed to clarify whether an order is valid or has already expired;</w:t>
      </w:r>
    </w:p>
    <w:p w:rsidR="009B2901" w:rsidRPr="00647BA9" w:rsidRDefault="009B2901" w:rsidP="00647BA9">
      <w:pPr>
        <w:pStyle w:val="a3"/>
        <w:numPr>
          <w:ilvl w:val="0"/>
          <w:numId w:val="27"/>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neglected to provide a definitive list of the “victims” whose protection the court has assumed;</w:t>
      </w:r>
    </w:p>
    <w:p w:rsidR="009B2901" w:rsidRPr="00647BA9" w:rsidRDefault="009B2901" w:rsidP="00647BA9">
      <w:pPr>
        <w:pStyle w:val="a3"/>
        <w:numPr>
          <w:ilvl w:val="0"/>
          <w:numId w:val="27"/>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and, most absurdly, failed to issue a clear list of injunctions, as required by law.</w:t>
      </w:r>
    </w:p>
    <w:p w:rsidR="00A53554" w:rsidRPr="00647BA9" w:rsidRDefault="009B2901"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Based on the above, turning to the DAA, one must ask: if the legal system has demonstrated such a deplorable inability to prevent or correct misuse under previous laws of limited scope, what will become of it under the widescale implementation of the Domestic Abuse Act 2021? The answer is clear: it will simply paralyse the entire justice system.</w:t>
      </w:r>
    </w:p>
    <w:p w:rsidR="0094603C" w:rsidRDefault="0094603C" w:rsidP="00647BA9">
      <w:pPr>
        <w:pStyle w:val="a3"/>
        <w:spacing w:before="0" w:beforeAutospacing="0" w:after="0" w:afterAutospacing="0" w:line="276" w:lineRule="auto"/>
        <w:rPr>
          <w:rFonts w:ascii="Garamond" w:hAnsi="Garamond"/>
          <w:color w:val="000000"/>
          <w:lang w:val="en-US"/>
        </w:rPr>
      </w:pPr>
    </w:p>
    <w:p w:rsidR="0094603C" w:rsidRPr="0094603C" w:rsidRDefault="00EB777B" w:rsidP="00647BA9">
      <w:pPr>
        <w:pStyle w:val="a3"/>
        <w:spacing w:before="0" w:beforeAutospacing="0" w:after="0" w:afterAutospacing="0" w:line="276" w:lineRule="auto"/>
        <w:rPr>
          <w:rFonts w:ascii="Garamond" w:hAnsi="Garamond"/>
          <w:b/>
          <w:bCs/>
          <w:color w:val="000000"/>
          <w:sz w:val="27"/>
          <w:szCs w:val="27"/>
          <w:lang w:val="en-US"/>
        </w:rPr>
      </w:pPr>
      <w:r>
        <w:rPr>
          <w:rFonts w:ascii="Garamond" w:hAnsi="Garamond"/>
          <w:b/>
          <w:bCs/>
          <w:color w:val="000000"/>
          <w:sz w:val="27"/>
          <w:szCs w:val="27"/>
          <w:lang w:val="en-US"/>
        </w:rPr>
        <w:t xml:space="preserve">6. </w:t>
      </w:r>
      <w:r w:rsidR="0094603C">
        <w:rPr>
          <w:rFonts w:ascii="Garamond" w:hAnsi="Garamond"/>
          <w:b/>
          <w:bCs/>
          <w:color w:val="000000"/>
          <w:sz w:val="27"/>
          <w:szCs w:val="27"/>
          <w:lang w:val="en-US"/>
        </w:rPr>
        <w:t>Comman Law</w:t>
      </w:r>
      <w:r w:rsidR="0094603C" w:rsidRPr="0094603C">
        <w:rPr>
          <w:rFonts w:ascii="Garamond" w:hAnsi="Garamond"/>
          <w:b/>
          <w:bCs/>
          <w:color w:val="000000"/>
          <w:sz w:val="27"/>
          <w:szCs w:val="27"/>
          <w:lang w:val="en-US"/>
        </w:rPr>
        <w:t xml:space="preserve"> and Preventive Coercion: Inherent Incompatibility</w:t>
      </w:r>
    </w:p>
    <w:p w:rsidR="001541B3" w:rsidRPr="00647BA9" w:rsidRDefault="001541B3"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Attempting to house these two opposing systems within a single framework is unfeasible, particularly when the new system of preventive coercion actively corrodes the very foundations of the parent legal system. Let me explain why the structures of the legal system are fundamentally incompatible with preventive coercion:</w:t>
      </w:r>
    </w:p>
    <w:p w:rsidR="001541B3" w:rsidRPr="00647BA9" w:rsidRDefault="001541B3" w:rsidP="00647BA9">
      <w:pPr>
        <w:pStyle w:val="a3"/>
        <w:spacing w:before="0" w:beforeAutospacing="0" w:after="0" w:afterAutospacing="0" w:line="276" w:lineRule="auto"/>
        <w:rPr>
          <w:rFonts w:ascii="Garamond" w:hAnsi="Garamond"/>
          <w:color w:val="000000"/>
          <w:lang w:val="en-US"/>
        </w:rPr>
      </w:pPr>
      <w:r w:rsidRPr="00647BA9">
        <w:rPr>
          <w:rStyle w:val="a4"/>
          <w:rFonts w:ascii="Garamond" w:hAnsi="Garamond"/>
          <w:b w:val="0"/>
          <w:bCs w:val="0"/>
          <w:color w:val="000000"/>
          <w:lang w:val="en-US"/>
        </w:rPr>
        <w:t>The Courts:</w:t>
      </w:r>
    </w:p>
    <w:p w:rsidR="001541B3" w:rsidRPr="00647BA9" w:rsidRDefault="001541B3"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Preventive coercion turns courts from impartial arbiters of fact into administrative bodies issuing preventive measures.</w:t>
      </w:r>
      <w:r w:rsidR="00647BA9" w:rsidRPr="00647BA9">
        <w:rPr>
          <w:rFonts w:ascii="Garamond" w:hAnsi="Garamond"/>
          <w:color w:val="000000"/>
          <w:lang w:val="en-US"/>
        </w:rPr>
        <w:t xml:space="preserve"> </w:t>
      </w:r>
      <w:r w:rsidRPr="00647BA9">
        <w:rPr>
          <w:rFonts w:ascii="Garamond" w:hAnsi="Garamond"/>
          <w:color w:val="000000"/>
          <w:lang w:val="en-US"/>
        </w:rPr>
        <w:t>Adversarial hearings are absent.</w:t>
      </w:r>
      <w:r w:rsidR="00647BA9" w:rsidRPr="00647BA9">
        <w:rPr>
          <w:rFonts w:ascii="Garamond" w:hAnsi="Garamond"/>
          <w:color w:val="000000"/>
          <w:lang w:val="en-US"/>
        </w:rPr>
        <w:t xml:space="preserve"> </w:t>
      </w:r>
      <w:r w:rsidRPr="00647BA9">
        <w:rPr>
          <w:rFonts w:ascii="Garamond" w:hAnsi="Garamond"/>
          <w:color w:val="000000"/>
          <w:lang w:val="en-US"/>
        </w:rPr>
        <w:t>Evidentiary standards are weakened — decisions are made on suspicion or probability rather than proof.</w:t>
      </w:r>
      <w:r w:rsidR="00647BA9" w:rsidRPr="00647BA9">
        <w:rPr>
          <w:rFonts w:ascii="Garamond" w:hAnsi="Garamond"/>
          <w:color w:val="000000"/>
          <w:lang w:val="en-US"/>
        </w:rPr>
        <w:t xml:space="preserve"> </w:t>
      </w:r>
      <w:r w:rsidRPr="00647BA9">
        <w:rPr>
          <w:rFonts w:ascii="Garamond" w:hAnsi="Garamond"/>
          <w:color w:val="000000"/>
          <w:lang w:val="en-US"/>
        </w:rPr>
        <w:t>Rights to cross-examination and legal representation are severely restricted.</w:t>
      </w:r>
      <w:r w:rsidR="00647BA9" w:rsidRPr="00647BA9">
        <w:rPr>
          <w:rFonts w:ascii="Garamond" w:hAnsi="Garamond"/>
          <w:color w:val="000000"/>
          <w:lang w:val="en-US"/>
        </w:rPr>
        <w:t xml:space="preserve"> </w:t>
      </w:r>
      <w:r w:rsidRPr="00647BA9">
        <w:rPr>
          <w:rFonts w:ascii="Garamond" w:hAnsi="Garamond"/>
          <w:color w:val="000000"/>
          <w:lang w:val="en-US"/>
        </w:rPr>
        <w:t>The outcome is a symbolic form of justice, prone to errors, recursive restrictions, and the creation of “legal fiction” in place of genuine adjudication.</w:t>
      </w:r>
    </w:p>
    <w:p w:rsidR="001541B3" w:rsidRPr="00647BA9" w:rsidRDefault="001541B3" w:rsidP="00647BA9">
      <w:pPr>
        <w:pStyle w:val="a3"/>
        <w:spacing w:before="0" w:beforeAutospacing="0" w:after="0" w:afterAutospacing="0" w:line="276" w:lineRule="auto"/>
        <w:rPr>
          <w:rFonts w:ascii="Garamond" w:hAnsi="Garamond"/>
          <w:color w:val="000000"/>
          <w:lang w:val="en-US"/>
        </w:rPr>
      </w:pPr>
      <w:r w:rsidRPr="00647BA9">
        <w:rPr>
          <w:rStyle w:val="a4"/>
          <w:rFonts w:ascii="Garamond" w:hAnsi="Garamond"/>
          <w:b w:val="0"/>
          <w:bCs w:val="0"/>
          <w:color w:val="000000"/>
          <w:lang w:val="en-US"/>
        </w:rPr>
        <w:t>The Police:</w:t>
      </w:r>
      <w:r w:rsidR="00647BA9" w:rsidRPr="00647BA9">
        <w:rPr>
          <w:rFonts w:ascii="Garamond" w:hAnsi="Garamond"/>
          <w:color w:val="000000"/>
          <w:lang w:val="en-US"/>
        </w:rPr>
        <w:br/>
      </w:r>
      <w:r w:rsidRPr="00647BA9">
        <w:rPr>
          <w:rFonts w:ascii="Garamond" w:hAnsi="Garamond"/>
          <w:color w:val="000000"/>
          <w:lang w:val="en-US"/>
        </w:rPr>
        <w:t>Police functions are similarly distorted, shifting from investigation to risk management.</w:t>
      </w:r>
      <w:r w:rsidR="00647BA9" w:rsidRPr="00647BA9">
        <w:rPr>
          <w:rFonts w:ascii="Garamond" w:hAnsi="Garamond"/>
          <w:color w:val="000000"/>
          <w:lang w:val="en-US"/>
        </w:rPr>
        <w:t xml:space="preserve"> </w:t>
      </w:r>
      <w:r w:rsidRPr="00647BA9">
        <w:rPr>
          <w:rFonts w:ascii="Garamond" w:hAnsi="Garamond"/>
          <w:color w:val="000000"/>
          <w:lang w:val="en-US"/>
        </w:rPr>
        <w:t>Officers are compelled to act without a criminal basis, executing interventions and arrests on preventive grounds.</w:t>
      </w:r>
      <w:r w:rsidR="00647BA9" w:rsidRPr="00647BA9">
        <w:rPr>
          <w:rFonts w:ascii="Garamond" w:hAnsi="Garamond"/>
          <w:color w:val="000000"/>
          <w:lang w:val="en-US"/>
        </w:rPr>
        <w:t xml:space="preserve"> </w:t>
      </w:r>
      <w:r w:rsidRPr="00647BA9">
        <w:rPr>
          <w:rFonts w:ascii="Garamond" w:hAnsi="Garamond"/>
          <w:color w:val="000000"/>
          <w:lang w:val="en-US"/>
        </w:rPr>
        <w:t>They are pressured under the threat of accusations for “failure to act.”</w:t>
      </w:r>
      <w:r w:rsidR="00647BA9" w:rsidRPr="00647BA9">
        <w:rPr>
          <w:rFonts w:ascii="Garamond" w:hAnsi="Garamond"/>
          <w:color w:val="000000"/>
          <w:lang w:val="en-US"/>
        </w:rPr>
        <w:t xml:space="preserve"> </w:t>
      </w:r>
      <w:r w:rsidRPr="00647BA9">
        <w:rPr>
          <w:rFonts w:ascii="Garamond" w:hAnsi="Garamond"/>
          <w:color w:val="000000"/>
          <w:lang w:val="en-US"/>
        </w:rPr>
        <w:t>This leads to moral exhaustion, eroded public trust, and a growing cycle of conflict, complaints, and institutional dysfunction.</w:t>
      </w:r>
    </w:p>
    <w:p w:rsidR="001541B3" w:rsidRPr="00647BA9" w:rsidRDefault="001541B3" w:rsidP="00647BA9">
      <w:pPr>
        <w:pStyle w:val="a3"/>
        <w:spacing w:before="0" w:beforeAutospacing="0" w:after="0" w:afterAutospacing="0" w:line="276" w:lineRule="auto"/>
        <w:rPr>
          <w:rFonts w:ascii="Garamond" w:hAnsi="Garamond"/>
          <w:color w:val="000000"/>
          <w:lang w:val="en-US"/>
        </w:rPr>
      </w:pPr>
      <w:r w:rsidRPr="00647BA9">
        <w:rPr>
          <w:rStyle w:val="a4"/>
          <w:rFonts w:ascii="Garamond" w:hAnsi="Garamond"/>
          <w:b w:val="0"/>
          <w:bCs w:val="0"/>
          <w:color w:val="000000"/>
          <w:lang w:val="en-US"/>
        </w:rPr>
        <w:t>The Prosecution Service (CPS):</w:t>
      </w:r>
    </w:p>
    <w:p w:rsidR="001541B3" w:rsidRDefault="001541B3"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CPS, normally required to base criminal charges on concrete facts and breaches of statutory law, faces a fundamental conflict when dealing with warnings under the Protection from Harassment Act or prosecutions for breaches of preventive orders.</w:t>
      </w:r>
      <w:r w:rsidR="00647BA9" w:rsidRPr="00647BA9">
        <w:rPr>
          <w:rFonts w:ascii="Garamond" w:hAnsi="Garamond"/>
          <w:color w:val="000000"/>
          <w:lang w:val="en-US"/>
        </w:rPr>
        <w:t xml:space="preserve"> </w:t>
      </w:r>
      <w:r w:rsidRPr="00647BA9">
        <w:rPr>
          <w:rFonts w:ascii="Garamond" w:hAnsi="Garamond"/>
          <w:color w:val="000000"/>
          <w:lang w:val="en-US"/>
        </w:rPr>
        <w:t>Procedures are often initially flawed or violated, leaving prosecutors without a clear factual basis.</w:t>
      </w:r>
      <w:r w:rsidR="00647BA9" w:rsidRPr="00647BA9">
        <w:rPr>
          <w:rFonts w:ascii="Garamond" w:hAnsi="Garamond"/>
          <w:color w:val="000000"/>
          <w:lang w:val="en-US"/>
        </w:rPr>
        <w:t xml:space="preserve"> </w:t>
      </w:r>
      <w:r w:rsidRPr="00647BA9">
        <w:rPr>
          <w:rFonts w:ascii="Garamond" w:hAnsi="Garamond"/>
          <w:color w:val="000000"/>
          <w:lang w:val="en-US"/>
        </w:rPr>
        <w:t>This creates a structural contradiction between their evidentiary duties and the preventive framework.</w:t>
      </w:r>
    </w:p>
    <w:p w:rsidR="00A53554" w:rsidRDefault="00A53554" w:rsidP="00A53554">
      <w:pPr>
        <w:pStyle w:val="a3"/>
        <w:spacing w:before="0" w:beforeAutospacing="0" w:after="0" w:afterAutospacing="0" w:line="276" w:lineRule="auto"/>
        <w:rPr>
          <w:rFonts w:ascii="Garamond" w:hAnsi="Garamond"/>
          <w:color w:val="000000"/>
          <w:lang w:val="en-US"/>
        </w:rPr>
      </w:pPr>
    </w:p>
    <w:p w:rsidR="00EF31D3" w:rsidRPr="009A2F83" w:rsidRDefault="00EB777B" w:rsidP="00A53554">
      <w:pPr>
        <w:pStyle w:val="a3"/>
        <w:spacing w:before="0" w:beforeAutospacing="0" w:after="0" w:afterAutospacing="0" w:line="276" w:lineRule="auto"/>
        <w:rPr>
          <w:rFonts w:ascii="Garamond" w:hAnsi="Garamond"/>
          <w:b/>
          <w:bCs/>
          <w:color w:val="000000"/>
          <w:sz w:val="27"/>
          <w:szCs w:val="27"/>
          <w:lang w:val="en-US"/>
        </w:rPr>
      </w:pPr>
      <w:r>
        <w:rPr>
          <w:rFonts w:ascii="Garamond" w:hAnsi="Garamond"/>
          <w:b/>
          <w:bCs/>
          <w:color w:val="000000"/>
          <w:sz w:val="27"/>
          <w:szCs w:val="27"/>
          <w:lang w:val="en-US"/>
        </w:rPr>
        <w:t xml:space="preserve">7. </w:t>
      </w:r>
      <w:r w:rsidR="009A2F83" w:rsidRPr="009A2F83">
        <w:rPr>
          <w:rFonts w:ascii="Garamond" w:hAnsi="Garamond"/>
          <w:b/>
          <w:bCs/>
          <w:color w:val="000000"/>
          <w:sz w:val="27"/>
          <w:szCs w:val="27"/>
          <w:lang w:val="en-US"/>
        </w:rPr>
        <w:t xml:space="preserve">The Need for International </w:t>
      </w:r>
      <w:r w:rsidR="009A2F83">
        <w:rPr>
          <w:rFonts w:ascii="Garamond" w:hAnsi="Garamond"/>
          <w:b/>
          <w:bCs/>
          <w:color w:val="000000"/>
          <w:sz w:val="27"/>
          <w:szCs w:val="27"/>
          <w:lang w:val="en-US"/>
        </w:rPr>
        <w:t>Legal Expertise?</w:t>
      </w:r>
    </w:p>
    <w:p w:rsidR="00A53554" w:rsidRPr="00647BA9" w:rsidRDefault="00A53554" w:rsidP="00A53554">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Remaining under the institutional umbrella of common law while ignoring its principles deceives the public, who naturally expect any legal institution to uphold due process. Therefore, this field must be made subject to the same transparency and monitoring requirements as any other branch of law.</w:t>
      </w:r>
    </w:p>
    <w:p w:rsidR="00A53554" w:rsidRPr="00647BA9" w:rsidRDefault="00A53554" w:rsidP="00A53554">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lastRenderedPageBreak/>
        <w:t>Drawing on unique empirical experience and a deliberate, quasi-experimental engagement with the system, I argue that Britain now faces a stark institutional choice:</w:t>
      </w:r>
    </w:p>
    <w:p w:rsidR="00A53554" w:rsidRPr="00647BA9" w:rsidRDefault="00A53554" w:rsidP="00A53554">
      <w:pPr>
        <w:pStyle w:val="a3"/>
        <w:numPr>
          <w:ilvl w:val="0"/>
          <w:numId w:val="29"/>
        </w:numPr>
        <w:spacing w:before="0" w:beforeAutospacing="0" w:after="0" w:afterAutospacing="0" w:line="276" w:lineRule="auto"/>
        <w:rPr>
          <w:rFonts w:ascii="Garamond" w:hAnsi="Garamond"/>
          <w:color w:val="000000"/>
          <w:lang w:val="en-US"/>
        </w:rPr>
      </w:pPr>
      <w:r w:rsidRPr="00647BA9">
        <w:rPr>
          <w:rStyle w:val="a4"/>
          <w:rFonts w:ascii="Garamond" w:hAnsi="Garamond"/>
          <w:color w:val="000000"/>
          <w:lang w:val="en-US"/>
        </w:rPr>
        <w:t>Option 1:</w:t>
      </w:r>
      <w:r w:rsidRPr="00647BA9">
        <w:rPr>
          <w:rStyle w:val="apple-converted-space"/>
          <w:rFonts w:ascii="Garamond" w:hAnsi="Garamond"/>
          <w:color w:val="000000"/>
          <w:lang w:val="en-US"/>
        </w:rPr>
        <w:t> </w:t>
      </w:r>
      <w:r w:rsidRPr="00647BA9">
        <w:rPr>
          <w:rFonts w:ascii="Garamond" w:hAnsi="Garamond"/>
          <w:color w:val="000000"/>
          <w:lang w:val="en-US"/>
        </w:rPr>
        <w:t>Remove the entire field of preventive coercion from the structure of law altogether and establish a separate administrative body — a kind of authority with its own staff and procedures. Within this body, sanctions such as those authorised by the Domestic Abuse Act 2021 could be applied openly, outside the normal legal framework, so that people are not misled into expecting due process, and officials may act without fear of violating legal norms.</w:t>
      </w:r>
    </w:p>
    <w:p w:rsidR="00A53554" w:rsidRPr="00647BA9" w:rsidRDefault="00A53554" w:rsidP="00A53554">
      <w:pPr>
        <w:pStyle w:val="a3"/>
        <w:numPr>
          <w:ilvl w:val="0"/>
          <w:numId w:val="29"/>
        </w:numPr>
        <w:spacing w:before="0" w:beforeAutospacing="0" w:after="0" w:afterAutospacing="0" w:line="276" w:lineRule="auto"/>
        <w:rPr>
          <w:rFonts w:ascii="Garamond" w:hAnsi="Garamond"/>
          <w:color w:val="000000"/>
          <w:lang w:val="en-US"/>
        </w:rPr>
      </w:pPr>
      <w:r w:rsidRPr="00647BA9">
        <w:rPr>
          <w:rStyle w:val="a4"/>
          <w:rFonts w:ascii="Garamond" w:hAnsi="Garamond"/>
          <w:color w:val="000000"/>
          <w:lang w:val="en-US"/>
        </w:rPr>
        <w:t>Option 2:</w:t>
      </w:r>
      <w:r w:rsidRPr="00647BA9">
        <w:rPr>
          <w:rStyle w:val="apple-converted-space"/>
          <w:rFonts w:ascii="Garamond" w:hAnsi="Garamond"/>
          <w:color w:val="000000"/>
          <w:lang w:val="en-US"/>
        </w:rPr>
        <w:t> </w:t>
      </w:r>
      <w:r w:rsidRPr="00647BA9">
        <w:rPr>
          <w:rFonts w:ascii="Garamond" w:hAnsi="Garamond"/>
          <w:color w:val="000000"/>
          <w:lang w:val="en-US"/>
        </w:rPr>
        <w:t>Retain the issuing of preventive restraining orders within the legal system but reintegrate them into the logic of criminal law, as was historically the case in England and remains so in all other jurisdictions worldwide. In this scenario, all procedural safeguards and evidential standards would apply without exception. However, within the criminal process, the concept of hypothetical risk must be set aside, and the focus should return to addressing actual harm — that is, offences explicitly defined by law.</w:t>
      </w:r>
    </w:p>
    <w:p w:rsidR="00A53554" w:rsidRPr="00647BA9" w:rsidRDefault="00A53554" w:rsidP="00A53554">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It is not feasible for two opposing systems to coexist within a single legal structure, especially when one — the new system of preventive coercion — is clearly corroding the parent system.</w:t>
      </w:r>
    </w:p>
    <w:p w:rsidR="00A53554" w:rsidRPr="00647BA9" w:rsidRDefault="00A53554" w:rsidP="00A53554">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structures of the legal system — the courts, the police, and the prosecution service — are fundamentally designed to uphold due process, ensure accountability, and protect individual rights. Preventive coercion, however, operates outside these principles, relying on hypothetical risks, ex parte procedures, and opaque decision making. As such, it is fundamentally incompatible with these institutions.</w:t>
      </w:r>
    </w:p>
    <w:p w:rsidR="00A53554" w:rsidRPr="00647BA9" w:rsidRDefault="00A53554" w:rsidP="00647BA9">
      <w:pPr>
        <w:pStyle w:val="a3"/>
        <w:spacing w:before="0" w:beforeAutospacing="0" w:after="0" w:afterAutospacing="0" w:line="276" w:lineRule="auto"/>
        <w:rPr>
          <w:rFonts w:ascii="Garamond" w:hAnsi="Garamond"/>
          <w:color w:val="000000"/>
          <w:lang w:val="en-US"/>
        </w:rPr>
      </w:pPr>
    </w:p>
    <w:p w:rsidR="001541B3" w:rsidRPr="00647BA9" w:rsidRDefault="001541B3"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 consider that the current state of British law — particularly in the domain under examination — has become so degraded, and legal practitioners so accustomed to operating under the new corrupted logic, that it is highly advisable to invite international experts to study the Domestic Abuse Act 2021 and assess its compliance with universally recognised legal principles.</w:t>
      </w:r>
    </w:p>
    <w:p w:rsidR="001541B3" w:rsidRPr="00647BA9" w:rsidRDefault="001541B3" w:rsidP="00647BA9">
      <w:pPr>
        <w:pStyle w:val="a3"/>
        <w:spacing w:before="0" w:beforeAutospacing="0" w:after="0" w:afterAutospacing="0" w:line="276" w:lineRule="auto"/>
        <w:rPr>
          <w:rFonts w:ascii="Garamond" w:hAnsi="Garamond"/>
          <w:color w:val="000000"/>
          <w:lang w:val="en-US"/>
        </w:rPr>
      </w:pPr>
      <w:r w:rsidRPr="00647BA9">
        <w:rPr>
          <w:rFonts w:ascii="Garamond" w:hAnsi="Garamond"/>
          <w:color w:val="000000"/>
          <w:lang w:val="en-US"/>
        </w:rPr>
        <w:t>I am fully convinced that such an expert review would recommend:</w:t>
      </w:r>
    </w:p>
    <w:p w:rsidR="001541B3" w:rsidRPr="00647BA9" w:rsidRDefault="001541B3" w:rsidP="00647BA9">
      <w:pPr>
        <w:pStyle w:val="a3"/>
        <w:numPr>
          <w:ilvl w:val="0"/>
          <w:numId w:val="31"/>
        </w:numPr>
        <w:spacing w:before="0" w:beforeAutospacing="0" w:after="0" w:afterAutospacing="0" w:line="276" w:lineRule="auto"/>
        <w:rPr>
          <w:rFonts w:ascii="Garamond" w:hAnsi="Garamond"/>
          <w:color w:val="000000"/>
          <w:lang w:val="en-US"/>
        </w:rPr>
      </w:pPr>
      <w:r w:rsidRPr="00647BA9">
        <w:rPr>
          <w:rFonts w:ascii="Garamond" w:hAnsi="Garamond"/>
          <w:color w:val="000000"/>
          <w:lang w:val="en-US"/>
        </w:rPr>
        <w:t>The complete repeal of the Act.</w:t>
      </w:r>
    </w:p>
    <w:p w:rsidR="001541B3" w:rsidRPr="00647BA9" w:rsidRDefault="001541B3" w:rsidP="00647BA9">
      <w:pPr>
        <w:pStyle w:val="a3"/>
        <w:numPr>
          <w:ilvl w:val="0"/>
          <w:numId w:val="31"/>
        </w:numPr>
        <w:spacing w:line="276" w:lineRule="auto"/>
        <w:rPr>
          <w:rFonts w:ascii="Garamond" w:hAnsi="Garamond"/>
          <w:color w:val="000000"/>
          <w:lang w:val="en-US"/>
        </w:rPr>
      </w:pPr>
      <w:r w:rsidRPr="00647BA9">
        <w:rPr>
          <w:rFonts w:ascii="Garamond" w:hAnsi="Garamond"/>
          <w:color w:val="000000"/>
          <w:lang w:val="en-US"/>
        </w:rPr>
        <w:t>The abandonment of the concept of hypothetical risk, which underpins the unique British legal mechanisms introduced under the Family Law Act 1996, Protection from Harassment Act 1997, and Domestic Abuse Protection Order 2021.</w:t>
      </w:r>
    </w:p>
    <w:p w:rsidR="009B2901" w:rsidRDefault="009B2901" w:rsidP="00647BA9">
      <w:pPr>
        <w:spacing w:line="276" w:lineRule="auto"/>
        <w:rPr>
          <w:rFonts w:ascii="Garamond" w:hAnsi="Garamond"/>
        </w:rPr>
      </w:pPr>
    </w:p>
    <w:p w:rsidR="00EB777B" w:rsidRDefault="00EB777B" w:rsidP="00647BA9">
      <w:pPr>
        <w:spacing w:line="276" w:lineRule="auto"/>
        <w:rPr>
          <w:rFonts w:ascii="Garamond" w:hAnsi="Garamond"/>
        </w:rPr>
      </w:pPr>
    </w:p>
    <w:p w:rsidR="00EB777B" w:rsidRPr="00EF31D3" w:rsidRDefault="00EB777B" w:rsidP="00647BA9">
      <w:pPr>
        <w:spacing w:line="276" w:lineRule="auto"/>
        <w:rPr>
          <w:rFonts w:ascii="Garamond" w:hAnsi="Garamond"/>
        </w:rPr>
      </w:pPr>
    </w:p>
    <w:sectPr w:rsidR="00EB777B" w:rsidRPr="00EF31D3" w:rsidSect="00314ACB">
      <w:pgSz w:w="11900" w:h="16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979C7" w:rsidRDefault="000979C7" w:rsidP="00E15940">
      <w:r>
        <w:separator/>
      </w:r>
    </w:p>
  </w:endnote>
  <w:endnote w:type="continuationSeparator" w:id="0">
    <w:p w:rsidR="000979C7" w:rsidRDefault="000979C7" w:rsidP="00E15940">
      <w:r>
        <w:continuationSeparator/>
      </w:r>
    </w:p>
  </w:endnote>
  <w:endnote w:id="1">
    <w:p w:rsidR="00E15940" w:rsidRPr="00E15940" w:rsidRDefault="00E15940">
      <w:pPr>
        <w:pStyle w:val="a5"/>
        <w:rPr>
          <w:lang w:val="en-US"/>
        </w:rPr>
      </w:pPr>
      <w:r>
        <w:rPr>
          <w:rStyle w:val="a7"/>
        </w:rPr>
        <w:endnoteRef/>
      </w:r>
      <w:r w:rsidRPr="00E15940">
        <w:rPr>
          <w:lang w:val="en-US"/>
        </w:rPr>
        <w:t xml:space="preserve"> </w:t>
      </w:r>
      <w:r w:rsidRPr="00E15940">
        <w:rPr>
          <w:rFonts w:ascii="Garamond" w:hAnsi="Garamond"/>
          <w:i/>
          <w:iCs/>
          <w:color w:val="000000" w:themeColor="text1"/>
          <w:sz w:val="21"/>
          <w:szCs w:val="21"/>
          <w:lang w:val="en-US"/>
        </w:rPr>
        <w:t>Care must be taken to distinguish traditional forms of abuse — involving demonstrable harm and subject to criminal or civil sanctions (such as abuse of the law or abuse of process) — from the novel, hypothetical form of ‘abuse’ created under preventive coercion frameworks. In the case of traditional abuse, replacing ‘abuse’ with a synonym such as ‘misuse’ or ‘wrongful use’ preserves the meaning. Under preventive logic, however, ‘abuse’ does not refer to concrete actions, and substituting it with a synonym like ‘misuse’ or ‘wrongful use’ loses the sense entirely, because it is used not to describe real conduct but to justify the imposition of sanctions based on hypothetical threats.</w:t>
      </w:r>
    </w:p>
  </w:endnote>
  <w:endnote w:id="2">
    <w:p w:rsidR="00E15940" w:rsidRPr="00E15940" w:rsidRDefault="00E15940" w:rsidP="00E15940">
      <w:pPr>
        <w:pStyle w:val="a3"/>
        <w:spacing w:before="0" w:beforeAutospacing="0"/>
        <w:rPr>
          <w:i/>
          <w:iCs/>
          <w:color w:val="C00000"/>
          <w:lang w:val="en-US"/>
        </w:rPr>
      </w:pPr>
      <w:r>
        <w:rPr>
          <w:rStyle w:val="a7"/>
        </w:rPr>
        <w:endnoteRef/>
      </w:r>
      <w:r w:rsidRPr="00E15940">
        <w:rPr>
          <w:lang w:val="en-US"/>
        </w:rPr>
        <w:t xml:space="preserve"> </w:t>
      </w:r>
      <w:r w:rsidRPr="00E15940">
        <w:rPr>
          <w:rFonts w:ascii="Garamond" w:hAnsi="Garamond"/>
          <w:i/>
          <w:iCs/>
          <w:color w:val="000000" w:themeColor="text1"/>
          <w:sz w:val="21"/>
          <w:szCs w:val="21"/>
          <w:lang w:val="en-US"/>
        </w:rPr>
        <w:t>From the very beginning, starting with so-called public consultations and the submission of written evidence prior to the parliamentary debates, the author closely monitored the process, continuing throughout the progression of the Act through both Houses until Royal Assent. To the best of all available knowledge, she was the only person in the world who systematically observed this process in real time and actively attempted to correspond with Members of Parliament, aiming to clarify the hidden risks embedded in the law and to warn against its potentially catastrophic consequences for the legal system being constructed by their illustrious predecessors. This commitment arose from a clear understanding that literally none of the MPs involved had a substantive grasp of the Act’s provisions, being largely limited to reading brief statements prepared by third parties, with speeches that merely</w:t>
      </w:r>
      <w:r>
        <w:rPr>
          <w:rFonts w:ascii="Garamond" w:hAnsi="Garamond"/>
          <w:i/>
          <w:iCs/>
          <w:color w:val="000000" w:themeColor="text1"/>
          <w:sz w:val="21"/>
          <w:szCs w:val="21"/>
          <w:lang w:val="en-US"/>
        </w:rPr>
        <w:t xml:space="preserve"> mirrowed one another.</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CC"/>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979C7" w:rsidRDefault="000979C7" w:rsidP="00E15940">
      <w:r>
        <w:separator/>
      </w:r>
    </w:p>
  </w:footnote>
  <w:footnote w:type="continuationSeparator" w:id="0">
    <w:p w:rsidR="000979C7" w:rsidRDefault="000979C7" w:rsidP="00E159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B3FAB"/>
    <w:multiLevelType w:val="multilevel"/>
    <w:tmpl w:val="9D3A6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D0FBA"/>
    <w:multiLevelType w:val="multilevel"/>
    <w:tmpl w:val="F8D832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E401DD"/>
    <w:multiLevelType w:val="multilevel"/>
    <w:tmpl w:val="3F286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F81E39"/>
    <w:multiLevelType w:val="multilevel"/>
    <w:tmpl w:val="44A6F0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1E1FA7"/>
    <w:multiLevelType w:val="multilevel"/>
    <w:tmpl w:val="02AA9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4E6666"/>
    <w:multiLevelType w:val="multilevel"/>
    <w:tmpl w:val="46325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D4118F"/>
    <w:multiLevelType w:val="multilevel"/>
    <w:tmpl w:val="7E388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E958BC"/>
    <w:multiLevelType w:val="multilevel"/>
    <w:tmpl w:val="C8389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5C6639"/>
    <w:multiLevelType w:val="multilevel"/>
    <w:tmpl w:val="BDFA9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D54E63"/>
    <w:multiLevelType w:val="multilevel"/>
    <w:tmpl w:val="D2FCC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336C76"/>
    <w:multiLevelType w:val="multilevel"/>
    <w:tmpl w:val="6418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29729F"/>
    <w:multiLevelType w:val="multilevel"/>
    <w:tmpl w:val="3EE2E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DC5F62"/>
    <w:multiLevelType w:val="multilevel"/>
    <w:tmpl w:val="F53ED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F14B60"/>
    <w:multiLevelType w:val="multilevel"/>
    <w:tmpl w:val="DD1CF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E41712"/>
    <w:multiLevelType w:val="multilevel"/>
    <w:tmpl w:val="8E386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2F0659"/>
    <w:multiLevelType w:val="multilevel"/>
    <w:tmpl w:val="52225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D20982"/>
    <w:multiLevelType w:val="multilevel"/>
    <w:tmpl w:val="DE6EA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984123"/>
    <w:multiLevelType w:val="multilevel"/>
    <w:tmpl w:val="20023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9E1175"/>
    <w:multiLevelType w:val="multilevel"/>
    <w:tmpl w:val="E0501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FB094C"/>
    <w:multiLevelType w:val="multilevel"/>
    <w:tmpl w:val="C43EF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F84137"/>
    <w:multiLevelType w:val="multilevel"/>
    <w:tmpl w:val="1D76A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4509DA"/>
    <w:multiLevelType w:val="multilevel"/>
    <w:tmpl w:val="3140F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B6404B"/>
    <w:multiLevelType w:val="multilevel"/>
    <w:tmpl w:val="5C328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81557F"/>
    <w:multiLevelType w:val="multilevel"/>
    <w:tmpl w:val="5D10A4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CB50C2"/>
    <w:multiLevelType w:val="multilevel"/>
    <w:tmpl w:val="B2A84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B2292B"/>
    <w:multiLevelType w:val="multilevel"/>
    <w:tmpl w:val="453462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5092C4A"/>
    <w:multiLevelType w:val="multilevel"/>
    <w:tmpl w:val="9EBAC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7222EA5"/>
    <w:multiLevelType w:val="multilevel"/>
    <w:tmpl w:val="611AB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BE10CF"/>
    <w:multiLevelType w:val="multilevel"/>
    <w:tmpl w:val="2CC26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69434C"/>
    <w:multiLevelType w:val="multilevel"/>
    <w:tmpl w:val="0EC856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F779EC"/>
    <w:multiLevelType w:val="multilevel"/>
    <w:tmpl w:val="31920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8096859">
    <w:abstractNumId w:val="27"/>
  </w:num>
  <w:num w:numId="2" w16cid:durableId="662314868">
    <w:abstractNumId w:val="21"/>
  </w:num>
  <w:num w:numId="3" w16cid:durableId="1869445876">
    <w:abstractNumId w:val="24"/>
  </w:num>
  <w:num w:numId="4" w16cid:durableId="2128815924">
    <w:abstractNumId w:val="8"/>
  </w:num>
  <w:num w:numId="5" w16cid:durableId="1306810215">
    <w:abstractNumId w:val="5"/>
  </w:num>
  <w:num w:numId="6" w16cid:durableId="1525822437">
    <w:abstractNumId w:val="19"/>
  </w:num>
  <w:num w:numId="7" w16cid:durableId="1097864396">
    <w:abstractNumId w:val="4"/>
  </w:num>
  <w:num w:numId="8" w16cid:durableId="6250180">
    <w:abstractNumId w:val="7"/>
  </w:num>
  <w:num w:numId="9" w16cid:durableId="775370365">
    <w:abstractNumId w:val="17"/>
  </w:num>
  <w:num w:numId="10" w16cid:durableId="1470517858">
    <w:abstractNumId w:val="0"/>
  </w:num>
  <w:num w:numId="11" w16cid:durableId="570385180">
    <w:abstractNumId w:val="28"/>
  </w:num>
  <w:num w:numId="12" w16cid:durableId="812452777">
    <w:abstractNumId w:val="14"/>
  </w:num>
  <w:num w:numId="13" w16cid:durableId="1774783948">
    <w:abstractNumId w:val="25"/>
  </w:num>
  <w:num w:numId="14" w16cid:durableId="181750646">
    <w:abstractNumId w:val="30"/>
  </w:num>
  <w:num w:numId="15" w16cid:durableId="1442992015">
    <w:abstractNumId w:val="11"/>
  </w:num>
  <w:num w:numId="16" w16cid:durableId="443617474">
    <w:abstractNumId w:val="20"/>
  </w:num>
  <w:num w:numId="17" w16cid:durableId="1927224034">
    <w:abstractNumId w:val="2"/>
  </w:num>
  <w:num w:numId="18" w16cid:durableId="224725814">
    <w:abstractNumId w:val="26"/>
  </w:num>
  <w:num w:numId="19" w16cid:durableId="1920559685">
    <w:abstractNumId w:val="1"/>
  </w:num>
  <w:num w:numId="20" w16cid:durableId="696465639">
    <w:abstractNumId w:val="9"/>
  </w:num>
  <w:num w:numId="21" w16cid:durableId="654916780">
    <w:abstractNumId w:val="12"/>
  </w:num>
  <w:num w:numId="22" w16cid:durableId="1383866614">
    <w:abstractNumId w:val="13"/>
  </w:num>
  <w:num w:numId="23" w16cid:durableId="358357200">
    <w:abstractNumId w:val="10"/>
  </w:num>
  <w:num w:numId="24" w16cid:durableId="964235920">
    <w:abstractNumId w:val="6"/>
  </w:num>
  <w:num w:numId="25" w16cid:durableId="1601792936">
    <w:abstractNumId w:val="15"/>
  </w:num>
  <w:num w:numId="26" w16cid:durableId="1232234624">
    <w:abstractNumId w:val="16"/>
  </w:num>
  <w:num w:numId="27" w16cid:durableId="1869945411">
    <w:abstractNumId w:val="18"/>
  </w:num>
  <w:num w:numId="28" w16cid:durableId="8220227">
    <w:abstractNumId w:val="29"/>
  </w:num>
  <w:num w:numId="29" w16cid:durableId="1755392308">
    <w:abstractNumId w:val="3"/>
  </w:num>
  <w:num w:numId="30" w16cid:durableId="1248997878">
    <w:abstractNumId w:val="23"/>
  </w:num>
  <w:num w:numId="31" w16cid:durableId="15156526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D75"/>
    <w:rsid w:val="000336D3"/>
    <w:rsid w:val="000979C7"/>
    <w:rsid w:val="000F3DDA"/>
    <w:rsid w:val="001541B3"/>
    <w:rsid w:val="00314ACB"/>
    <w:rsid w:val="00647BA9"/>
    <w:rsid w:val="00692AFF"/>
    <w:rsid w:val="00787769"/>
    <w:rsid w:val="0094603C"/>
    <w:rsid w:val="009A2F83"/>
    <w:rsid w:val="009B2901"/>
    <w:rsid w:val="00A53554"/>
    <w:rsid w:val="00A731DF"/>
    <w:rsid w:val="00C55D75"/>
    <w:rsid w:val="00CC2176"/>
    <w:rsid w:val="00D10830"/>
    <w:rsid w:val="00D23B37"/>
    <w:rsid w:val="00E15940"/>
    <w:rsid w:val="00EB777B"/>
    <w:rsid w:val="00EF31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6DDC3"/>
  <w15:chartTrackingRefBased/>
  <w15:docId w15:val="{A575B4B0-DA55-1C4A-8553-51D117A3D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link w:val="30"/>
    <w:uiPriority w:val="9"/>
    <w:qFormat/>
    <w:rsid w:val="00C55D75"/>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5">
    <w:name w:val="heading 5"/>
    <w:basedOn w:val="a"/>
    <w:link w:val="50"/>
    <w:uiPriority w:val="9"/>
    <w:qFormat/>
    <w:rsid w:val="00C55D75"/>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
    <w:qFormat/>
    <w:rsid w:val="00C55D75"/>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55D75"/>
    <w:rPr>
      <w:rFonts w:ascii="Times New Roman" w:eastAsia="Times New Roman" w:hAnsi="Times New Roman" w:cs="Times New Roman"/>
      <w:b/>
      <w:bCs/>
      <w:sz w:val="27"/>
      <w:szCs w:val="27"/>
      <w:lang w:eastAsia="ru-RU"/>
    </w:rPr>
  </w:style>
  <w:style w:type="character" w:customStyle="1" w:styleId="50">
    <w:name w:val="Заголовок 5 Знак"/>
    <w:basedOn w:val="a0"/>
    <w:link w:val="5"/>
    <w:uiPriority w:val="9"/>
    <w:rsid w:val="00C55D75"/>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
    <w:rsid w:val="00C55D75"/>
    <w:rPr>
      <w:rFonts w:ascii="Times New Roman" w:eastAsia="Times New Roman" w:hAnsi="Times New Roman" w:cs="Times New Roman"/>
      <w:b/>
      <w:bCs/>
      <w:sz w:val="15"/>
      <w:szCs w:val="15"/>
      <w:lang w:eastAsia="ru-RU"/>
    </w:rPr>
  </w:style>
  <w:style w:type="paragraph" w:styleId="a3">
    <w:name w:val="Normal (Web)"/>
    <w:basedOn w:val="a"/>
    <w:uiPriority w:val="99"/>
    <w:unhideWhenUsed/>
    <w:rsid w:val="00C55D75"/>
    <w:pPr>
      <w:spacing w:before="100" w:beforeAutospacing="1" w:after="100" w:afterAutospacing="1"/>
    </w:pPr>
    <w:rPr>
      <w:rFonts w:ascii="Times New Roman" w:eastAsia="Times New Roman" w:hAnsi="Times New Roman" w:cs="Times New Roman"/>
      <w:lang w:eastAsia="ru-RU"/>
    </w:rPr>
  </w:style>
  <w:style w:type="character" w:styleId="a4">
    <w:name w:val="Strong"/>
    <w:basedOn w:val="a0"/>
    <w:uiPriority w:val="22"/>
    <w:qFormat/>
    <w:rsid w:val="00C55D75"/>
    <w:rPr>
      <w:b/>
      <w:bCs/>
    </w:rPr>
  </w:style>
  <w:style w:type="character" w:customStyle="1" w:styleId="apple-converted-space">
    <w:name w:val="apple-converted-space"/>
    <w:basedOn w:val="a0"/>
    <w:rsid w:val="00C55D75"/>
  </w:style>
  <w:style w:type="character" w:styleId="HTML">
    <w:name w:val="HTML Code"/>
    <w:basedOn w:val="a0"/>
    <w:uiPriority w:val="99"/>
    <w:semiHidden/>
    <w:unhideWhenUsed/>
    <w:rsid w:val="00C55D75"/>
    <w:rPr>
      <w:rFonts w:ascii="Courier New" w:eastAsia="Times New Roman" w:hAnsi="Courier New" w:cs="Courier New"/>
      <w:sz w:val="20"/>
      <w:szCs w:val="20"/>
    </w:rPr>
  </w:style>
  <w:style w:type="paragraph" w:styleId="a5">
    <w:name w:val="endnote text"/>
    <w:basedOn w:val="a"/>
    <w:link w:val="a6"/>
    <w:uiPriority w:val="99"/>
    <w:semiHidden/>
    <w:unhideWhenUsed/>
    <w:rsid w:val="00E15940"/>
    <w:rPr>
      <w:sz w:val="20"/>
      <w:szCs w:val="20"/>
    </w:rPr>
  </w:style>
  <w:style w:type="character" w:customStyle="1" w:styleId="a6">
    <w:name w:val="Текст концевой сноски Знак"/>
    <w:basedOn w:val="a0"/>
    <w:link w:val="a5"/>
    <w:uiPriority w:val="99"/>
    <w:semiHidden/>
    <w:rsid w:val="00E15940"/>
    <w:rPr>
      <w:sz w:val="20"/>
      <w:szCs w:val="20"/>
    </w:rPr>
  </w:style>
  <w:style w:type="character" w:styleId="a7">
    <w:name w:val="endnote reference"/>
    <w:basedOn w:val="a0"/>
    <w:uiPriority w:val="99"/>
    <w:semiHidden/>
    <w:unhideWhenUsed/>
    <w:rsid w:val="00E1594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1665617">
      <w:bodyDiv w:val="1"/>
      <w:marLeft w:val="0"/>
      <w:marRight w:val="0"/>
      <w:marTop w:val="0"/>
      <w:marBottom w:val="0"/>
      <w:divBdr>
        <w:top w:val="none" w:sz="0" w:space="0" w:color="auto"/>
        <w:left w:val="none" w:sz="0" w:space="0" w:color="auto"/>
        <w:bottom w:val="none" w:sz="0" w:space="0" w:color="auto"/>
        <w:right w:val="none" w:sz="0" w:space="0" w:color="auto"/>
      </w:divBdr>
    </w:div>
    <w:div w:id="695736854">
      <w:bodyDiv w:val="1"/>
      <w:marLeft w:val="0"/>
      <w:marRight w:val="0"/>
      <w:marTop w:val="0"/>
      <w:marBottom w:val="0"/>
      <w:divBdr>
        <w:top w:val="none" w:sz="0" w:space="0" w:color="auto"/>
        <w:left w:val="none" w:sz="0" w:space="0" w:color="auto"/>
        <w:bottom w:val="none" w:sz="0" w:space="0" w:color="auto"/>
        <w:right w:val="none" w:sz="0" w:space="0" w:color="auto"/>
      </w:divBdr>
      <w:divsChild>
        <w:div w:id="1558736296">
          <w:marLeft w:val="0"/>
          <w:marRight w:val="0"/>
          <w:marTop w:val="0"/>
          <w:marBottom w:val="0"/>
          <w:divBdr>
            <w:top w:val="none" w:sz="0" w:space="0" w:color="auto"/>
            <w:left w:val="none" w:sz="0" w:space="0" w:color="auto"/>
            <w:bottom w:val="none" w:sz="0" w:space="0" w:color="auto"/>
            <w:right w:val="none" w:sz="0" w:space="0" w:color="auto"/>
          </w:divBdr>
          <w:divsChild>
            <w:div w:id="1797988547">
              <w:marLeft w:val="0"/>
              <w:marRight w:val="0"/>
              <w:marTop w:val="0"/>
              <w:marBottom w:val="0"/>
              <w:divBdr>
                <w:top w:val="none" w:sz="0" w:space="0" w:color="auto"/>
                <w:left w:val="none" w:sz="0" w:space="0" w:color="auto"/>
                <w:bottom w:val="none" w:sz="0" w:space="0" w:color="auto"/>
                <w:right w:val="none" w:sz="0" w:space="0" w:color="auto"/>
              </w:divBdr>
              <w:divsChild>
                <w:div w:id="175384905">
                  <w:marLeft w:val="0"/>
                  <w:marRight w:val="0"/>
                  <w:marTop w:val="0"/>
                  <w:marBottom w:val="0"/>
                  <w:divBdr>
                    <w:top w:val="none" w:sz="0" w:space="0" w:color="auto"/>
                    <w:left w:val="none" w:sz="0" w:space="0" w:color="auto"/>
                    <w:bottom w:val="none" w:sz="0" w:space="0" w:color="auto"/>
                    <w:right w:val="none" w:sz="0" w:space="0" w:color="auto"/>
                  </w:divBdr>
                  <w:divsChild>
                    <w:div w:id="1333410720">
                      <w:marLeft w:val="0"/>
                      <w:marRight w:val="0"/>
                      <w:marTop w:val="0"/>
                      <w:marBottom w:val="0"/>
                      <w:divBdr>
                        <w:top w:val="none" w:sz="0" w:space="0" w:color="auto"/>
                        <w:left w:val="none" w:sz="0" w:space="0" w:color="auto"/>
                        <w:bottom w:val="none" w:sz="0" w:space="0" w:color="auto"/>
                        <w:right w:val="none" w:sz="0" w:space="0" w:color="auto"/>
                      </w:divBdr>
                      <w:divsChild>
                        <w:div w:id="563293736">
                          <w:marLeft w:val="0"/>
                          <w:marRight w:val="0"/>
                          <w:marTop w:val="0"/>
                          <w:marBottom w:val="0"/>
                          <w:divBdr>
                            <w:top w:val="none" w:sz="0" w:space="0" w:color="auto"/>
                            <w:left w:val="none" w:sz="0" w:space="0" w:color="auto"/>
                            <w:bottom w:val="none" w:sz="0" w:space="0" w:color="auto"/>
                            <w:right w:val="none" w:sz="0" w:space="0" w:color="auto"/>
                          </w:divBdr>
                          <w:divsChild>
                            <w:div w:id="32074680">
                              <w:marLeft w:val="0"/>
                              <w:marRight w:val="0"/>
                              <w:marTop w:val="0"/>
                              <w:marBottom w:val="0"/>
                              <w:divBdr>
                                <w:top w:val="none" w:sz="0" w:space="0" w:color="auto"/>
                                <w:left w:val="none" w:sz="0" w:space="0" w:color="auto"/>
                                <w:bottom w:val="none" w:sz="0" w:space="0" w:color="auto"/>
                                <w:right w:val="none" w:sz="0" w:space="0" w:color="auto"/>
                              </w:divBdr>
                              <w:divsChild>
                                <w:div w:id="177932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7228679">
          <w:marLeft w:val="0"/>
          <w:marRight w:val="0"/>
          <w:marTop w:val="0"/>
          <w:marBottom w:val="0"/>
          <w:divBdr>
            <w:top w:val="none" w:sz="0" w:space="0" w:color="auto"/>
            <w:left w:val="none" w:sz="0" w:space="0" w:color="auto"/>
            <w:bottom w:val="none" w:sz="0" w:space="0" w:color="auto"/>
            <w:right w:val="none" w:sz="0" w:space="0" w:color="auto"/>
          </w:divBdr>
          <w:divsChild>
            <w:div w:id="746850989">
              <w:marLeft w:val="0"/>
              <w:marRight w:val="0"/>
              <w:marTop w:val="0"/>
              <w:marBottom w:val="0"/>
              <w:divBdr>
                <w:top w:val="none" w:sz="0" w:space="0" w:color="auto"/>
                <w:left w:val="none" w:sz="0" w:space="0" w:color="auto"/>
                <w:bottom w:val="none" w:sz="0" w:space="0" w:color="auto"/>
                <w:right w:val="none" w:sz="0" w:space="0" w:color="auto"/>
              </w:divBdr>
              <w:divsChild>
                <w:div w:id="1383483455">
                  <w:marLeft w:val="0"/>
                  <w:marRight w:val="0"/>
                  <w:marTop w:val="0"/>
                  <w:marBottom w:val="0"/>
                  <w:divBdr>
                    <w:top w:val="none" w:sz="0" w:space="0" w:color="auto"/>
                    <w:left w:val="none" w:sz="0" w:space="0" w:color="auto"/>
                    <w:bottom w:val="none" w:sz="0" w:space="0" w:color="auto"/>
                    <w:right w:val="none" w:sz="0" w:space="0" w:color="auto"/>
                  </w:divBdr>
                  <w:divsChild>
                    <w:div w:id="1198665163">
                      <w:marLeft w:val="0"/>
                      <w:marRight w:val="0"/>
                      <w:marTop w:val="0"/>
                      <w:marBottom w:val="0"/>
                      <w:divBdr>
                        <w:top w:val="none" w:sz="0" w:space="0" w:color="auto"/>
                        <w:left w:val="none" w:sz="0" w:space="0" w:color="auto"/>
                        <w:bottom w:val="none" w:sz="0" w:space="0" w:color="auto"/>
                        <w:right w:val="none" w:sz="0" w:space="0" w:color="auto"/>
                      </w:divBdr>
                      <w:divsChild>
                        <w:div w:id="2077119082">
                          <w:marLeft w:val="0"/>
                          <w:marRight w:val="0"/>
                          <w:marTop w:val="0"/>
                          <w:marBottom w:val="0"/>
                          <w:divBdr>
                            <w:top w:val="none" w:sz="0" w:space="0" w:color="auto"/>
                            <w:left w:val="none" w:sz="0" w:space="0" w:color="auto"/>
                            <w:bottom w:val="none" w:sz="0" w:space="0" w:color="auto"/>
                            <w:right w:val="none" w:sz="0" w:space="0" w:color="auto"/>
                          </w:divBdr>
                          <w:divsChild>
                            <w:div w:id="4996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0906">
          <w:marLeft w:val="0"/>
          <w:marRight w:val="0"/>
          <w:marTop w:val="0"/>
          <w:marBottom w:val="0"/>
          <w:divBdr>
            <w:top w:val="none" w:sz="0" w:space="0" w:color="auto"/>
            <w:left w:val="none" w:sz="0" w:space="0" w:color="auto"/>
            <w:bottom w:val="none" w:sz="0" w:space="0" w:color="auto"/>
            <w:right w:val="none" w:sz="0" w:space="0" w:color="auto"/>
          </w:divBdr>
          <w:divsChild>
            <w:div w:id="387653943">
              <w:marLeft w:val="0"/>
              <w:marRight w:val="0"/>
              <w:marTop w:val="0"/>
              <w:marBottom w:val="0"/>
              <w:divBdr>
                <w:top w:val="none" w:sz="0" w:space="0" w:color="auto"/>
                <w:left w:val="none" w:sz="0" w:space="0" w:color="auto"/>
                <w:bottom w:val="none" w:sz="0" w:space="0" w:color="auto"/>
                <w:right w:val="none" w:sz="0" w:space="0" w:color="auto"/>
              </w:divBdr>
              <w:divsChild>
                <w:div w:id="1917861946">
                  <w:marLeft w:val="0"/>
                  <w:marRight w:val="0"/>
                  <w:marTop w:val="0"/>
                  <w:marBottom w:val="0"/>
                  <w:divBdr>
                    <w:top w:val="none" w:sz="0" w:space="0" w:color="auto"/>
                    <w:left w:val="none" w:sz="0" w:space="0" w:color="auto"/>
                    <w:bottom w:val="none" w:sz="0" w:space="0" w:color="auto"/>
                    <w:right w:val="none" w:sz="0" w:space="0" w:color="auto"/>
                  </w:divBdr>
                  <w:divsChild>
                    <w:div w:id="566764556">
                      <w:marLeft w:val="0"/>
                      <w:marRight w:val="0"/>
                      <w:marTop w:val="0"/>
                      <w:marBottom w:val="0"/>
                      <w:divBdr>
                        <w:top w:val="none" w:sz="0" w:space="0" w:color="auto"/>
                        <w:left w:val="none" w:sz="0" w:space="0" w:color="auto"/>
                        <w:bottom w:val="none" w:sz="0" w:space="0" w:color="auto"/>
                        <w:right w:val="none" w:sz="0" w:space="0" w:color="auto"/>
                      </w:divBdr>
                      <w:divsChild>
                        <w:div w:id="486941342">
                          <w:marLeft w:val="0"/>
                          <w:marRight w:val="0"/>
                          <w:marTop w:val="0"/>
                          <w:marBottom w:val="0"/>
                          <w:divBdr>
                            <w:top w:val="none" w:sz="0" w:space="0" w:color="auto"/>
                            <w:left w:val="none" w:sz="0" w:space="0" w:color="auto"/>
                            <w:bottom w:val="none" w:sz="0" w:space="0" w:color="auto"/>
                            <w:right w:val="none" w:sz="0" w:space="0" w:color="auto"/>
                          </w:divBdr>
                          <w:divsChild>
                            <w:div w:id="425882216">
                              <w:marLeft w:val="0"/>
                              <w:marRight w:val="0"/>
                              <w:marTop w:val="0"/>
                              <w:marBottom w:val="0"/>
                              <w:divBdr>
                                <w:top w:val="none" w:sz="0" w:space="0" w:color="auto"/>
                                <w:left w:val="none" w:sz="0" w:space="0" w:color="auto"/>
                                <w:bottom w:val="none" w:sz="0" w:space="0" w:color="auto"/>
                                <w:right w:val="none" w:sz="0" w:space="0" w:color="auto"/>
                              </w:divBdr>
                              <w:divsChild>
                                <w:div w:id="181043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3833067">
          <w:marLeft w:val="0"/>
          <w:marRight w:val="0"/>
          <w:marTop w:val="0"/>
          <w:marBottom w:val="0"/>
          <w:divBdr>
            <w:top w:val="none" w:sz="0" w:space="0" w:color="auto"/>
            <w:left w:val="none" w:sz="0" w:space="0" w:color="auto"/>
            <w:bottom w:val="none" w:sz="0" w:space="0" w:color="auto"/>
            <w:right w:val="none" w:sz="0" w:space="0" w:color="auto"/>
          </w:divBdr>
          <w:divsChild>
            <w:div w:id="1015225977">
              <w:marLeft w:val="0"/>
              <w:marRight w:val="0"/>
              <w:marTop w:val="0"/>
              <w:marBottom w:val="0"/>
              <w:divBdr>
                <w:top w:val="none" w:sz="0" w:space="0" w:color="auto"/>
                <w:left w:val="none" w:sz="0" w:space="0" w:color="auto"/>
                <w:bottom w:val="none" w:sz="0" w:space="0" w:color="auto"/>
                <w:right w:val="none" w:sz="0" w:space="0" w:color="auto"/>
              </w:divBdr>
              <w:divsChild>
                <w:div w:id="83889061">
                  <w:marLeft w:val="0"/>
                  <w:marRight w:val="0"/>
                  <w:marTop w:val="0"/>
                  <w:marBottom w:val="0"/>
                  <w:divBdr>
                    <w:top w:val="none" w:sz="0" w:space="0" w:color="auto"/>
                    <w:left w:val="none" w:sz="0" w:space="0" w:color="auto"/>
                    <w:bottom w:val="none" w:sz="0" w:space="0" w:color="auto"/>
                    <w:right w:val="none" w:sz="0" w:space="0" w:color="auto"/>
                  </w:divBdr>
                  <w:divsChild>
                    <w:div w:id="1243181451">
                      <w:marLeft w:val="0"/>
                      <w:marRight w:val="0"/>
                      <w:marTop w:val="0"/>
                      <w:marBottom w:val="0"/>
                      <w:divBdr>
                        <w:top w:val="none" w:sz="0" w:space="0" w:color="auto"/>
                        <w:left w:val="none" w:sz="0" w:space="0" w:color="auto"/>
                        <w:bottom w:val="none" w:sz="0" w:space="0" w:color="auto"/>
                        <w:right w:val="none" w:sz="0" w:space="0" w:color="auto"/>
                      </w:divBdr>
                      <w:divsChild>
                        <w:div w:id="1040982604">
                          <w:marLeft w:val="0"/>
                          <w:marRight w:val="0"/>
                          <w:marTop w:val="0"/>
                          <w:marBottom w:val="0"/>
                          <w:divBdr>
                            <w:top w:val="none" w:sz="0" w:space="0" w:color="auto"/>
                            <w:left w:val="none" w:sz="0" w:space="0" w:color="auto"/>
                            <w:bottom w:val="none" w:sz="0" w:space="0" w:color="auto"/>
                            <w:right w:val="none" w:sz="0" w:space="0" w:color="auto"/>
                          </w:divBdr>
                          <w:divsChild>
                            <w:div w:id="129775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757738">
          <w:marLeft w:val="0"/>
          <w:marRight w:val="0"/>
          <w:marTop w:val="0"/>
          <w:marBottom w:val="0"/>
          <w:divBdr>
            <w:top w:val="none" w:sz="0" w:space="0" w:color="auto"/>
            <w:left w:val="none" w:sz="0" w:space="0" w:color="auto"/>
            <w:bottom w:val="none" w:sz="0" w:space="0" w:color="auto"/>
            <w:right w:val="none" w:sz="0" w:space="0" w:color="auto"/>
          </w:divBdr>
          <w:divsChild>
            <w:div w:id="622879704">
              <w:marLeft w:val="0"/>
              <w:marRight w:val="0"/>
              <w:marTop w:val="0"/>
              <w:marBottom w:val="0"/>
              <w:divBdr>
                <w:top w:val="none" w:sz="0" w:space="0" w:color="auto"/>
                <w:left w:val="none" w:sz="0" w:space="0" w:color="auto"/>
                <w:bottom w:val="none" w:sz="0" w:space="0" w:color="auto"/>
                <w:right w:val="none" w:sz="0" w:space="0" w:color="auto"/>
              </w:divBdr>
              <w:divsChild>
                <w:div w:id="2038508545">
                  <w:marLeft w:val="0"/>
                  <w:marRight w:val="0"/>
                  <w:marTop w:val="0"/>
                  <w:marBottom w:val="0"/>
                  <w:divBdr>
                    <w:top w:val="none" w:sz="0" w:space="0" w:color="auto"/>
                    <w:left w:val="none" w:sz="0" w:space="0" w:color="auto"/>
                    <w:bottom w:val="none" w:sz="0" w:space="0" w:color="auto"/>
                    <w:right w:val="none" w:sz="0" w:space="0" w:color="auto"/>
                  </w:divBdr>
                  <w:divsChild>
                    <w:div w:id="1493064950">
                      <w:marLeft w:val="0"/>
                      <w:marRight w:val="0"/>
                      <w:marTop w:val="0"/>
                      <w:marBottom w:val="0"/>
                      <w:divBdr>
                        <w:top w:val="none" w:sz="0" w:space="0" w:color="auto"/>
                        <w:left w:val="none" w:sz="0" w:space="0" w:color="auto"/>
                        <w:bottom w:val="none" w:sz="0" w:space="0" w:color="auto"/>
                        <w:right w:val="none" w:sz="0" w:space="0" w:color="auto"/>
                      </w:divBdr>
                      <w:divsChild>
                        <w:div w:id="344792041">
                          <w:marLeft w:val="0"/>
                          <w:marRight w:val="0"/>
                          <w:marTop w:val="0"/>
                          <w:marBottom w:val="0"/>
                          <w:divBdr>
                            <w:top w:val="none" w:sz="0" w:space="0" w:color="auto"/>
                            <w:left w:val="none" w:sz="0" w:space="0" w:color="auto"/>
                            <w:bottom w:val="none" w:sz="0" w:space="0" w:color="auto"/>
                            <w:right w:val="none" w:sz="0" w:space="0" w:color="auto"/>
                          </w:divBdr>
                          <w:divsChild>
                            <w:div w:id="867452853">
                              <w:marLeft w:val="0"/>
                              <w:marRight w:val="0"/>
                              <w:marTop w:val="0"/>
                              <w:marBottom w:val="0"/>
                              <w:divBdr>
                                <w:top w:val="none" w:sz="0" w:space="0" w:color="auto"/>
                                <w:left w:val="none" w:sz="0" w:space="0" w:color="auto"/>
                                <w:bottom w:val="none" w:sz="0" w:space="0" w:color="auto"/>
                                <w:right w:val="none" w:sz="0" w:space="0" w:color="auto"/>
                              </w:divBdr>
                              <w:divsChild>
                                <w:div w:id="67187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1629766">
          <w:marLeft w:val="0"/>
          <w:marRight w:val="0"/>
          <w:marTop w:val="0"/>
          <w:marBottom w:val="0"/>
          <w:divBdr>
            <w:top w:val="none" w:sz="0" w:space="0" w:color="auto"/>
            <w:left w:val="none" w:sz="0" w:space="0" w:color="auto"/>
            <w:bottom w:val="none" w:sz="0" w:space="0" w:color="auto"/>
            <w:right w:val="none" w:sz="0" w:space="0" w:color="auto"/>
          </w:divBdr>
          <w:divsChild>
            <w:div w:id="1658680578">
              <w:marLeft w:val="0"/>
              <w:marRight w:val="0"/>
              <w:marTop w:val="0"/>
              <w:marBottom w:val="0"/>
              <w:divBdr>
                <w:top w:val="none" w:sz="0" w:space="0" w:color="auto"/>
                <w:left w:val="none" w:sz="0" w:space="0" w:color="auto"/>
                <w:bottom w:val="none" w:sz="0" w:space="0" w:color="auto"/>
                <w:right w:val="none" w:sz="0" w:space="0" w:color="auto"/>
              </w:divBdr>
              <w:divsChild>
                <w:div w:id="1384061823">
                  <w:marLeft w:val="0"/>
                  <w:marRight w:val="0"/>
                  <w:marTop w:val="0"/>
                  <w:marBottom w:val="0"/>
                  <w:divBdr>
                    <w:top w:val="none" w:sz="0" w:space="0" w:color="auto"/>
                    <w:left w:val="none" w:sz="0" w:space="0" w:color="auto"/>
                    <w:bottom w:val="none" w:sz="0" w:space="0" w:color="auto"/>
                    <w:right w:val="none" w:sz="0" w:space="0" w:color="auto"/>
                  </w:divBdr>
                  <w:divsChild>
                    <w:div w:id="1476147590">
                      <w:marLeft w:val="0"/>
                      <w:marRight w:val="0"/>
                      <w:marTop w:val="0"/>
                      <w:marBottom w:val="0"/>
                      <w:divBdr>
                        <w:top w:val="none" w:sz="0" w:space="0" w:color="auto"/>
                        <w:left w:val="none" w:sz="0" w:space="0" w:color="auto"/>
                        <w:bottom w:val="none" w:sz="0" w:space="0" w:color="auto"/>
                        <w:right w:val="none" w:sz="0" w:space="0" w:color="auto"/>
                      </w:divBdr>
                      <w:divsChild>
                        <w:div w:id="11079540">
                          <w:marLeft w:val="0"/>
                          <w:marRight w:val="0"/>
                          <w:marTop w:val="0"/>
                          <w:marBottom w:val="0"/>
                          <w:divBdr>
                            <w:top w:val="none" w:sz="0" w:space="0" w:color="auto"/>
                            <w:left w:val="none" w:sz="0" w:space="0" w:color="auto"/>
                            <w:bottom w:val="none" w:sz="0" w:space="0" w:color="auto"/>
                            <w:right w:val="none" w:sz="0" w:space="0" w:color="auto"/>
                          </w:divBdr>
                          <w:divsChild>
                            <w:div w:id="66112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7459130">
          <w:marLeft w:val="0"/>
          <w:marRight w:val="0"/>
          <w:marTop w:val="0"/>
          <w:marBottom w:val="0"/>
          <w:divBdr>
            <w:top w:val="none" w:sz="0" w:space="0" w:color="auto"/>
            <w:left w:val="none" w:sz="0" w:space="0" w:color="auto"/>
            <w:bottom w:val="none" w:sz="0" w:space="0" w:color="auto"/>
            <w:right w:val="none" w:sz="0" w:space="0" w:color="auto"/>
          </w:divBdr>
          <w:divsChild>
            <w:div w:id="924998356">
              <w:marLeft w:val="0"/>
              <w:marRight w:val="0"/>
              <w:marTop w:val="0"/>
              <w:marBottom w:val="0"/>
              <w:divBdr>
                <w:top w:val="none" w:sz="0" w:space="0" w:color="auto"/>
                <w:left w:val="none" w:sz="0" w:space="0" w:color="auto"/>
                <w:bottom w:val="none" w:sz="0" w:space="0" w:color="auto"/>
                <w:right w:val="none" w:sz="0" w:space="0" w:color="auto"/>
              </w:divBdr>
              <w:divsChild>
                <w:div w:id="532424902">
                  <w:marLeft w:val="0"/>
                  <w:marRight w:val="0"/>
                  <w:marTop w:val="0"/>
                  <w:marBottom w:val="0"/>
                  <w:divBdr>
                    <w:top w:val="none" w:sz="0" w:space="0" w:color="auto"/>
                    <w:left w:val="none" w:sz="0" w:space="0" w:color="auto"/>
                    <w:bottom w:val="none" w:sz="0" w:space="0" w:color="auto"/>
                    <w:right w:val="none" w:sz="0" w:space="0" w:color="auto"/>
                  </w:divBdr>
                  <w:divsChild>
                    <w:div w:id="1507743717">
                      <w:marLeft w:val="0"/>
                      <w:marRight w:val="0"/>
                      <w:marTop w:val="0"/>
                      <w:marBottom w:val="0"/>
                      <w:divBdr>
                        <w:top w:val="none" w:sz="0" w:space="0" w:color="auto"/>
                        <w:left w:val="none" w:sz="0" w:space="0" w:color="auto"/>
                        <w:bottom w:val="none" w:sz="0" w:space="0" w:color="auto"/>
                        <w:right w:val="none" w:sz="0" w:space="0" w:color="auto"/>
                      </w:divBdr>
                      <w:divsChild>
                        <w:div w:id="33430485">
                          <w:marLeft w:val="0"/>
                          <w:marRight w:val="0"/>
                          <w:marTop w:val="0"/>
                          <w:marBottom w:val="0"/>
                          <w:divBdr>
                            <w:top w:val="none" w:sz="0" w:space="0" w:color="auto"/>
                            <w:left w:val="none" w:sz="0" w:space="0" w:color="auto"/>
                            <w:bottom w:val="none" w:sz="0" w:space="0" w:color="auto"/>
                            <w:right w:val="none" w:sz="0" w:space="0" w:color="auto"/>
                          </w:divBdr>
                          <w:divsChild>
                            <w:div w:id="111756293">
                              <w:marLeft w:val="0"/>
                              <w:marRight w:val="0"/>
                              <w:marTop w:val="0"/>
                              <w:marBottom w:val="0"/>
                              <w:divBdr>
                                <w:top w:val="none" w:sz="0" w:space="0" w:color="auto"/>
                                <w:left w:val="none" w:sz="0" w:space="0" w:color="auto"/>
                                <w:bottom w:val="none" w:sz="0" w:space="0" w:color="auto"/>
                                <w:right w:val="none" w:sz="0" w:space="0" w:color="auto"/>
                              </w:divBdr>
                              <w:divsChild>
                                <w:div w:id="145374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331266">
          <w:marLeft w:val="0"/>
          <w:marRight w:val="0"/>
          <w:marTop w:val="0"/>
          <w:marBottom w:val="0"/>
          <w:divBdr>
            <w:top w:val="none" w:sz="0" w:space="0" w:color="auto"/>
            <w:left w:val="none" w:sz="0" w:space="0" w:color="auto"/>
            <w:bottom w:val="none" w:sz="0" w:space="0" w:color="auto"/>
            <w:right w:val="none" w:sz="0" w:space="0" w:color="auto"/>
          </w:divBdr>
          <w:divsChild>
            <w:div w:id="820461577">
              <w:marLeft w:val="0"/>
              <w:marRight w:val="0"/>
              <w:marTop w:val="0"/>
              <w:marBottom w:val="0"/>
              <w:divBdr>
                <w:top w:val="none" w:sz="0" w:space="0" w:color="auto"/>
                <w:left w:val="none" w:sz="0" w:space="0" w:color="auto"/>
                <w:bottom w:val="none" w:sz="0" w:space="0" w:color="auto"/>
                <w:right w:val="none" w:sz="0" w:space="0" w:color="auto"/>
              </w:divBdr>
              <w:divsChild>
                <w:div w:id="806243425">
                  <w:marLeft w:val="0"/>
                  <w:marRight w:val="0"/>
                  <w:marTop w:val="0"/>
                  <w:marBottom w:val="0"/>
                  <w:divBdr>
                    <w:top w:val="none" w:sz="0" w:space="0" w:color="auto"/>
                    <w:left w:val="none" w:sz="0" w:space="0" w:color="auto"/>
                    <w:bottom w:val="none" w:sz="0" w:space="0" w:color="auto"/>
                    <w:right w:val="none" w:sz="0" w:space="0" w:color="auto"/>
                  </w:divBdr>
                  <w:divsChild>
                    <w:div w:id="1623686284">
                      <w:marLeft w:val="0"/>
                      <w:marRight w:val="0"/>
                      <w:marTop w:val="0"/>
                      <w:marBottom w:val="0"/>
                      <w:divBdr>
                        <w:top w:val="none" w:sz="0" w:space="0" w:color="auto"/>
                        <w:left w:val="none" w:sz="0" w:space="0" w:color="auto"/>
                        <w:bottom w:val="none" w:sz="0" w:space="0" w:color="auto"/>
                        <w:right w:val="none" w:sz="0" w:space="0" w:color="auto"/>
                      </w:divBdr>
                      <w:divsChild>
                        <w:div w:id="356005704">
                          <w:marLeft w:val="0"/>
                          <w:marRight w:val="0"/>
                          <w:marTop w:val="0"/>
                          <w:marBottom w:val="0"/>
                          <w:divBdr>
                            <w:top w:val="none" w:sz="0" w:space="0" w:color="auto"/>
                            <w:left w:val="none" w:sz="0" w:space="0" w:color="auto"/>
                            <w:bottom w:val="none" w:sz="0" w:space="0" w:color="auto"/>
                            <w:right w:val="none" w:sz="0" w:space="0" w:color="auto"/>
                          </w:divBdr>
                          <w:divsChild>
                            <w:div w:id="25659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73333">
          <w:marLeft w:val="0"/>
          <w:marRight w:val="0"/>
          <w:marTop w:val="0"/>
          <w:marBottom w:val="0"/>
          <w:divBdr>
            <w:top w:val="none" w:sz="0" w:space="0" w:color="auto"/>
            <w:left w:val="none" w:sz="0" w:space="0" w:color="auto"/>
            <w:bottom w:val="none" w:sz="0" w:space="0" w:color="auto"/>
            <w:right w:val="none" w:sz="0" w:space="0" w:color="auto"/>
          </w:divBdr>
          <w:divsChild>
            <w:div w:id="639117355">
              <w:marLeft w:val="0"/>
              <w:marRight w:val="0"/>
              <w:marTop w:val="0"/>
              <w:marBottom w:val="0"/>
              <w:divBdr>
                <w:top w:val="none" w:sz="0" w:space="0" w:color="auto"/>
                <w:left w:val="none" w:sz="0" w:space="0" w:color="auto"/>
                <w:bottom w:val="none" w:sz="0" w:space="0" w:color="auto"/>
                <w:right w:val="none" w:sz="0" w:space="0" w:color="auto"/>
              </w:divBdr>
              <w:divsChild>
                <w:div w:id="111677622">
                  <w:marLeft w:val="0"/>
                  <w:marRight w:val="0"/>
                  <w:marTop w:val="0"/>
                  <w:marBottom w:val="0"/>
                  <w:divBdr>
                    <w:top w:val="none" w:sz="0" w:space="0" w:color="auto"/>
                    <w:left w:val="none" w:sz="0" w:space="0" w:color="auto"/>
                    <w:bottom w:val="none" w:sz="0" w:space="0" w:color="auto"/>
                    <w:right w:val="none" w:sz="0" w:space="0" w:color="auto"/>
                  </w:divBdr>
                  <w:divsChild>
                    <w:div w:id="224419483">
                      <w:marLeft w:val="0"/>
                      <w:marRight w:val="0"/>
                      <w:marTop w:val="0"/>
                      <w:marBottom w:val="0"/>
                      <w:divBdr>
                        <w:top w:val="none" w:sz="0" w:space="0" w:color="auto"/>
                        <w:left w:val="none" w:sz="0" w:space="0" w:color="auto"/>
                        <w:bottom w:val="none" w:sz="0" w:space="0" w:color="auto"/>
                        <w:right w:val="none" w:sz="0" w:space="0" w:color="auto"/>
                      </w:divBdr>
                      <w:divsChild>
                        <w:div w:id="489322611">
                          <w:marLeft w:val="0"/>
                          <w:marRight w:val="0"/>
                          <w:marTop w:val="0"/>
                          <w:marBottom w:val="0"/>
                          <w:divBdr>
                            <w:top w:val="none" w:sz="0" w:space="0" w:color="auto"/>
                            <w:left w:val="none" w:sz="0" w:space="0" w:color="auto"/>
                            <w:bottom w:val="none" w:sz="0" w:space="0" w:color="auto"/>
                            <w:right w:val="none" w:sz="0" w:space="0" w:color="auto"/>
                          </w:divBdr>
                          <w:divsChild>
                            <w:div w:id="1488934959">
                              <w:marLeft w:val="0"/>
                              <w:marRight w:val="0"/>
                              <w:marTop w:val="0"/>
                              <w:marBottom w:val="0"/>
                              <w:divBdr>
                                <w:top w:val="none" w:sz="0" w:space="0" w:color="auto"/>
                                <w:left w:val="none" w:sz="0" w:space="0" w:color="auto"/>
                                <w:bottom w:val="none" w:sz="0" w:space="0" w:color="auto"/>
                                <w:right w:val="none" w:sz="0" w:space="0" w:color="auto"/>
                              </w:divBdr>
                              <w:divsChild>
                                <w:div w:id="95389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245944">
          <w:marLeft w:val="0"/>
          <w:marRight w:val="0"/>
          <w:marTop w:val="0"/>
          <w:marBottom w:val="0"/>
          <w:divBdr>
            <w:top w:val="none" w:sz="0" w:space="0" w:color="auto"/>
            <w:left w:val="none" w:sz="0" w:space="0" w:color="auto"/>
            <w:bottom w:val="none" w:sz="0" w:space="0" w:color="auto"/>
            <w:right w:val="none" w:sz="0" w:space="0" w:color="auto"/>
          </w:divBdr>
          <w:divsChild>
            <w:div w:id="1717706103">
              <w:marLeft w:val="0"/>
              <w:marRight w:val="0"/>
              <w:marTop w:val="0"/>
              <w:marBottom w:val="0"/>
              <w:divBdr>
                <w:top w:val="none" w:sz="0" w:space="0" w:color="auto"/>
                <w:left w:val="none" w:sz="0" w:space="0" w:color="auto"/>
                <w:bottom w:val="none" w:sz="0" w:space="0" w:color="auto"/>
                <w:right w:val="none" w:sz="0" w:space="0" w:color="auto"/>
              </w:divBdr>
              <w:divsChild>
                <w:div w:id="2100522721">
                  <w:marLeft w:val="0"/>
                  <w:marRight w:val="0"/>
                  <w:marTop w:val="0"/>
                  <w:marBottom w:val="0"/>
                  <w:divBdr>
                    <w:top w:val="none" w:sz="0" w:space="0" w:color="auto"/>
                    <w:left w:val="none" w:sz="0" w:space="0" w:color="auto"/>
                    <w:bottom w:val="none" w:sz="0" w:space="0" w:color="auto"/>
                    <w:right w:val="none" w:sz="0" w:space="0" w:color="auto"/>
                  </w:divBdr>
                  <w:divsChild>
                    <w:div w:id="696661756">
                      <w:marLeft w:val="0"/>
                      <w:marRight w:val="0"/>
                      <w:marTop w:val="0"/>
                      <w:marBottom w:val="0"/>
                      <w:divBdr>
                        <w:top w:val="none" w:sz="0" w:space="0" w:color="auto"/>
                        <w:left w:val="none" w:sz="0" w:space="0" w:color="auto"/>
                        <w:bottom w:val="none" w:sz="0" w:space="0" w:color="auto"/>
                        <w:right w:val="none" w:sz="0" w:space="0" w:color="auto"/>
                      </w:divBdr>
                      <w:divsChild>
                        <w:div w:id="1783525208">
                          <w:marLeft w:val="0"/>
                          <w:marRight w:val="0"/>
                          <w:marTop w:val="0"/>
                          <w:marBottom w:val="0"/>
                          <w:divBdr>
                            <w:top w:val="none" w:sz="0" w:space="0" w:color="auto"/>
                            <w:left w:val="none" w:sz="0" w:space="0" w:color="auto"/>
                            <w:bottom w:val="none" w:sz="0" w:space="0" w:color="auto"/>
                            <w:right w:val="none" w:sz="0" w:space="0" w:color="auto"/>
                          </w:divBdr>
                          <w:divsChild>
                            <w:div w:id="111019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4089">
          <w:marLeft w:val="0"/>
          <w:marRight w:val="0"/>
          <w:marTop w:val="0"/>
          <w:marBottom w:val="0"/>
          <w:divBdr>
            <w:top w:val="none" w:sz="0" w:space="0" w:color="auto"/>
            <w:left w:val="none" w:sz="0" w:space="0" w:color="auto"/>
            <w:bottom w:val="none" w:sz="0" w:space="0" w:color="auto"/>
            <w:right w:val="none" w:sz="0" w:space="0" w:color="auto"/>
          </w:divBdr>
          <w:divsChild>
            <w:div w:id="150490040">
              <w:marLeft w:val="0"/>
              <w:marRight w:val="0"/>
              <w:marTop w:val="0"/>
              <w:marBottom w:val="0"/>
              <w:divBdr>
                <w:top w:val="none" w:sz="0" w:space="0" w:color="auto"/>
                <w:left w:val="none" w:sz="0" w:space="0" w:color="auto"/>
                <w:bottom w:val="none" w:sz="0" w:space="0" w:color="auto"/>
                <w:right w:val="none" w:sz="0" w:space="0" w:color="auto"/>
              </w:divBdr>
              <w:divsChild>
                <w:div w:id="1898392763">
                  <w:marLeft w:val="0"/>
                  <w:marRight w:val="0"/>
                  <w:marTop w:val="0"/>
                  <w:marBottom w:val="0"/>
                  <w:divBdr>
                    <w:top w:val="none" w:sz="0" w:space="0" w:color="auto"/>
                    <w:left w:val="none" w:sz="0" w:space="0" w:color="auto"/>
                    <w:bottom w:val="none" w:sz="0" w:space="0" w:color="auto"/>
                    <w:right w:val="none" w:sz="0" w:space="0" w:color="auto"/>
                  </w:divBdr>
                  <w:divsChild>
                    <w:div w:id="1525710406">
                      <w:marLeft w:val="0"/>
                      <w:marRight w:val="0"/>
                      <w:marTop w:val="0"/>
                      <w:marBottom w:val="0"/>
                      <w:divBdr>
                        <w:top w:val="none" w:sz="0" w:space="0" w:color="auto"/>
                        <w:left w:val="none" w:sz="0" w:space="0" w:color="auto"/>
                        <w:bottom w:val="none" w:sz="0" w:space="0" w:color="auto"/>
                        <w:right w:val="none" w:sz="0" w:space="0" w:color="auto"/>
                      </w:divBdr>
                      <w:divsChild>
                        <w:div w:id="648435153">
                          <w:marLeft w:val="0"/>
                          <w:marRight w:val="0"/>
                          <w:marTop w:val="0"/>
                          <w:marBottom w:val="0"/>
                          <w:divBdr>
                            <w:top w:val="none" w:sz="0" w:space="0" w:color="auto"/>
                            <w:left w:val="none" w:sz="0" w:space="0" w:color="auto"/>
                            <w:bottom w:val="none" w:sz="0" w:space="0" w:color="auto"/>
                            <w:right w:val="none" w:sz="0" w:space="0" w:color="auto"/>
                          </w:divBdr>
                          <w:divsChild>
                            <w:div w:id="231351853">
                              <w:marLeft w:val="0"/>
                              <w:marRight w:val="0"/>
                              <w:marTop w:val="0"/>
                              <w:marBottom w:val="0"/>
                              <w:divBdr>
                                <w:top w:val="none" w:sz="0" w:space="0" w:color="auto"/>
                                <w:left w:val="none" w:sz="0" w:space="0" w:color="auto"/>
                                <w:bottom w:val="none" w:sz="0" w:space="0" w:color="auto"/>
                                <w:right w:val="none" w:sz="0" w:space="0" w:color="auto"/>
                              </w:divBdr>
                              <w:divsChild>
                                <w:div w:id="3499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5117">
                          <w:marLeft w:val="0"/>
                          <w:marRight w:val="0"/>
                          <w:marTop w:val="0"/>
                          <w:marBottom w:val="0"/>
                          <w:divBdr>
                            <w:top w:val="none" w:sz="0" w:space="0" w:color="auto"/>
                            <w:left w:val="none" w:sz="0" w:space="0" w:color="auto"/>
                            <w:bottom w:val="none" w:sz="0" w:space="0" w:color="auto"/>
                            <w:right w:val="none" w:sz="0" w:space="0" w:color="auto"/>
                          </w:divBdr>
                          <w:divsChild>
                            <w:div w:id="1593471807">
                              <w:marLeft w:val="0"/>
                              <w:marRight w:val="0"/>
                              <w:marTop w:val="0"/>
                              <w:marBottom w:val="0"/>
                              <w:divBdr>
                                <w:top w:val="none" w:sz="0" w:space="0" w:color="auto"/>
                                <w:left w:val="none" w:sz="0" w:space="0" w:color="auto"/>
                                <w:bottom w:val="none" w:sz="0" w:space="0" w:color="auto"/>
                                <w:right w:val="none" w:sz="0" w:space="0" w:color="auto"/>
                              </w:divBdr>
                            </w:div>
                            <w:div w:id="14943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5101465">
      <w:bodyDiv w:val="1"/>
      <w:marLeft w:val="0"/>
      <w:marRight w:val="0"/>
      <w:marTop w:val="0"/>
      <w:marBottom w:val="0"/>
      <w:divBdr>
        <w:top w:val="none" w:sz="0" w:space="0" w:color="auto"/>
        <w:left w:val="none" w:sz="0" w:space="0" w:color="auto"/>
        <w:bottom w:val="none" w:sz="0" w:space="0" w:color="auto"/>
        <w:right w:val="none" w:sz="0" w:space="0" w:color="auto"/>
      </w:divBdr>
    </w:div>
    <w:div w:id="865482520">
      <w:bodyDiv w:val="1"/>
      <w:marLeft w:val="0"/>
      <w:marRight w:val="0"/>
      <w:marTop w:val="0"/>
      <w:marBottom w:val="0"/>
      <w:divBdr>
        <w:top w:val="none" w:sz="0" w:space="0" w:color="auto"/>
        <w:left w:val="none" w:sz="0" w:space="0" w:color="auto"/>
        <w:bottom w:val="none" w:sz="0" w:space="0" w:color="auto"/>
        <w:right w:val="none" w:sz="0" w:space="0" w:color="auto"/>
      </w:divBdr>
    </w:div>
    <w:div w:id="893851068">
      <w:bodyDiv w:val="1"/>
      <w:marLeft w:val="0"/>
      <w:marRight w:val="0"/>
      <w:marTop w:val="0"/>
      <w:marBottom w:val="0"/>
      <w:divBdr>
        <w:top w:val="none" w:sz="0" w:space="0" w:color="auto"/>
        <w:left w:val="none" w:sz="0" w:space="0" w:color="auto"/>
        <w:bottom w:val="none" w:sz="0" w:space="0" w:color="auto"/>
        <w:right w:val="none" w:sz="0" w:space="0" w:color="auto"/>
      </w:divBdr>
    </w:div>
    <w:div w:id="1018198004">
      <w:bodyDiv w:val="1"/>
      <w:marLeft w:val="0"/>
      <w:marRight w:val="0"/>
      <w:marTop w:val="0"/>
      <w:marBottom w:val="0"/>
      <w:divBdr>
        <w:top w:val="none" w:sz="0" w:space="0" w:color="auto"/>
        <w:left w:val="none" w:sz="0" w:space="0" w:color="auto"/>
        <w:bottom w:val="none" w:sz="0" w:space="0" w:color="auto"/>
        <w:right w:val="none" w:sz="0" w:space="0" w:color="auto"/>
      </w:divBdr>
    </w:div>
    <w:div w:id="1652636605">
      <w:bodyDiv w:val="1"/>
      <w:marLeft w:val="0"/>
      <w:marRight w:val="0"/>
      <w:marTop w:val="0"/>
      <w:marBottom w:val="0"/>
      <w:divBdr>
        <w:top w:val="none" w:sz="0" w:space="0" w:color="auto"/>
        <w:left w:val="none" w:sz="0" w:space="0" w:color="auto"/>
        <w:bottom w:val="none" w:sz="0" w:space="0" w:color="auto"/>
        <w:right w:val="none" w:sz="0" w:space="0" w:color="auto"/>
      </w:divBdr>
    </w:div>
    <w:div w:id="1807047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67A627-D424-A64B-9DB8-9BD891FF1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8</Pages>
  <Words>4085</Words>
  <Characters>23285</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Анишка</dc:creator>
  <cp:keywords/>
  <dc:description/>
  <cp:lastModifiedBy>Анишка</cp:lastModifiedBy>
  <cp:revision>10</cp:revision>
  <dcterms:created xsi:type="dcterms:W3CDTF">2025-10-19T19:54:00Z</dcterms:created>
  <dcterms:modified xsi:type="dcterms:W3CDTF">2025-10-19T21:48:00Z</dcterms:modified>
</cp:coreProperties>
</file>