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81FA" w14:textId="77777777" w:rsidR="00C72311" w:rsidRDefault="00C72311"/>
    <w:p w14:paraId="5022CA67" w14:textId="77777777" w:rsidR="00565BD8" w:rsidRDefault="00565BD8"/>
    <w:p w14:paraId="78BCA81A" w14:textId="77777777" w:rsidR="00565BD8" w:rsidRDefault="00565BD8"/>
    <w:p w14:paraId="71026861" w14:textId="77777777" w:rsidR="00830A67" w:rsidRPr="005D7D91" w:rsidRDefault="00830A67" w:rsidP="00830A67">
      <w:pPr>
        <w:spacing w:after="0" w:line="360" w:lineRule="auto"/>
        <w:jc w:val="center"/>
        <w:rPr>
          <w:rFonts w:ascii="Times New Roman" w:eastAsia="Times New Roman" w:hAnsi="Times New Roman" w:cs="Times New Roman"/>
          <w:b/>
          <w:bCs/>
          <w:sz w:val="24"/>
          <w:szCs w:val="24"/>
          <w:lang w:val="en-US"/>
        </w:rPr>
      </w:pPr>
      <w:r w:rsidRPr="005D7D91">
        <w:rPr>
          <w:rFonts w:ascii="Times New Roman" w:eastAsia="Times New Roman" w:hAnsi="Times New Roman" w:cs="Times New Roman"/>
          <w:b/>
          <w:bCs/>
          <w:sz w:val="24"/>
          <w:szCs w:val="24"/>
          <w:lang w:val="en-US"/>
        </w:rPr>
        <w:t xml:space="preserve">Lifecycle </w:t>
      </w:r>
      <w:r>
        <w:rPr>
          <w:rFonts w:ascii="Times New Roman" w:eastAsia="Times New Roman" w:hAnsi="Times New Roman" w:cs="Times New Roman"/>
          <w:b/>
          <w:bCs/>
          <w:sz w:val="24"/>
          <w:szCs w:val="24"/>
          <w:lang w:val="en-US"/>
        </w:rPr>
        <w:t>c</w:t>
      </w:r>
      <w:r w:rsidRPr="005D7D91">
        <w:rPr>
          <w:rFonts w:ascii="Times New Roman" w:eastAsia="Times New Roman" w:hAnsi="Times New Roman" w:cs="Times New Roman"/>
          <w:b/>
          <w:bCs/>
          <w:sz w:val="24"/>
          <w:szCs w:val="24"/>
          <w:lang w:val="en-US"/>
        </w:rPr>
        <w:t xml:space="preserve">ost of </w:t>
      </w:r>
      <w:r>
        <w:rPr>
          <w:rFonts w:ascii="Times New Roman" w:eastAsia="Times New Roman" w:hAnsi="Times New Roman" w:cs="Times New Roman"/>
          <w:b/>
          <w:bCs/>
          <w:sz w:val="24"/>
          <w:szCs w:val="24"/>
          <w:lang w:val="en-US"/>
        </w:rPr>
        <w:t>q</w:t>
      </w:r>
      <w:r w:rsidRPr="005D7D91">
        <w:rPr>
          <w:rFonts w:ascii="Times New Roman" w:eastAsia="Times New Roman" w:hAnsi="Times New Roman" w:cs="Times New Roman"/>
          <w:b/>
          <w:bCs/>
          <w:sz w:val="24"/>
          <w:szCs w:val="24"/>
          <w:lang w:val="en-US"/>
        </w:rPr>
        <w:t>uality approach for industrial major and mega construction projects: An expert validation study</w:t>
      </w:r>
    </w:p>
    <w:p w14:paraId="5BF387B5" w14:textId="77777777" w:rsidR="00565BD8" w:rsidRDefault="00565BD8"/>
    <w:p w14:paraId="111BC9C2" w14:textId="77777777" w:rsidR="00D22598" w:rsidRDefault="00D22598" w:rsidP="00D22598">
      <w:pPr>
        <w:rPr>
          <w:rFonts w:ascii="Times New Roman" w:eastAsia="Times New Roman" w:hAnsi="Times New Roman" w:cs="Times New Roman"/>
          <w:sz w:val="24"/>
          <w:szCs w:val="24"/>
          <w:lang w:val="en-US"/>
        </w:rPr>
      </w:pPr>
    </w:p>
    <w:p w14:paraId="7217BFDC" w14:textId="77777777" w:rsidR="00D22598" w:rsidRDefault="00D22598" w:rsidP="00D22598">
      <w:pPr>
        <w:rPr>
          <w:rFonts w:ascii="Times New Roman" w:eastAsia="Times New Roman" w:hAnsi="Times New Roman" w:cs="Times New Roman"/>
          <w:sz w:val="24"/>
          <w:szCs w:val="24"/>
          <w:lang w:val="en-US"/>
        </w:rPr>
      </w:pPr>
    </w:p>
    <w:p w14:paraId="14285775" w14:textId="77777777" w:rsidR="00D22598" w:rsidRPr="005D7D91" w:rsidRDefault="00D22598" w:rsidP="00D22598">
      <w:pPr>
        <w:spacing w:after="0"/>
        <w:jc w:val="center"/>
        <w:rPr>
          <w:rFonts w:ascii="Times New Roman" w:hAnsi="Times New Roman" w:cs="Times New Roman"/>
          <w:b/>
          <w:bCs/>
          <w:sz w:val="24"/>
          <w:szCs w:val="24"/>
        </w:rPr>
      </w:pPr>
      <w:r w:rsidRPr="005D7D91">
        <w:rPr>
          <w:rFonts w:ascii="Times New Roman" w:hAnsi="Times New Roman" w:cs="Times New Roman"/>
          <w:b/>
          <w:bCs/>
          <w:sz w:val="24"/>
          <w:szCs w:val="24"/>
        </w:rPr>
        <w:t xml:space="preserve">Appendix </w:t>
      </w:r>
      <w:r>
        <w:rPr>
          <w:rFonts w:ascii="Times New Roman" w:hAnsi="Times New Roman" w:cs="Times New Roman"/>
          <w:b/>
          <w:bCs/>
          <w:sz w:val="24"/>
          <w:szCs w:val="24"/>
        </w:rPr>
        <w:t>A</w:t>
      </w:r>
    </w:p>
    <w:p w14:paraId="6AAFD2C8" w14:textId="77777777" w:rsidR="00D22598" w:rsidRPr="005D7D91" w:rsidRDefault="00D22598" w:rsidP="00D22598">
      <w:pPr>
        <w:spacing w:after="0"/>
        <w:jc w:val="center"/>
        <w:rPr>
          <w:rFonts w:ascii="Times New Roman" w:hAnsi="Times New Roman" w:cs="Times New Roman"/>
          <w:b/>
          <w:bCs/>
          <w:sz w:val="24"/>
          <w:szCs w:val="24"/>
        </w:rPr>
      </w:pPr>
    </w:p>
    <w:p w14:paraId="76363418" w14:textId="77777777" w:rsidR="00D22598" w:rsidRDefault="00D22598" w:rsidP="00D22598">
      <w:pPr>
        <w:spacing w:after="0"/>
        <w:jc w:val="center"/>
        <w:rPr>
          <w:rFonts w:ascii="Times New Roman" w:hAnsi="Times New Roman" w:cs="Times New Roman"/>
          <w:b/>
          <w:bCs/>
          <w:sz w:val="24"/>
          <w:szCs w:val="24"/>
        </w:rPr>
      </w:pPr>
    </w:p>
    <w:p w14:paraId="27EBCF92" w14:textId="77777777" w:rsidR="00D22598" w:rsidRPr="005D7D91" w:rsidRDefault="00D22598" w:rsidP="00D22598">
      <w:pPr>
        <w:spacing w:after="0"/>
        <w:jc w:val="center"/>
        <w:rPr>
          <w:rFonts w:ascii="Times New Roman" w:hAnsi="Times New Roman" w:cs="Times New Roman"/>
          <w:b/>
          <w:bCs/>
          <w:sz w:val="24"/>
          <w:szCs w:val="24"/>
        </w:rPr>
      </w:pPr>
    </w:p>
    <w:p w14:paraId="18797D13" w14:textId="77777777" w:rsidR="00D22598" w:rsidRPr="005D7D91" w:rsidRDefault="00D22598" w:rsidP="00D22598">
      <w:pPr>
        <w:spacing w:after="0"/>
        <w:jc w:val="center"/>
        <w:rPr>
          <w:rFonts w:ascii="Times New Roman" w:hAnsi="Times New Roman" w:cs="Times New Roman"/>
          <w:b/>
          <w:bCs/>
          <w:sz w:val="24"/>
          <w:szCs w:val="24"/>
        </w:rPr>
      </w:pPr>
      <w:r>
        <w:rPr>
          <w:rFonts w:ascii="Times New Roman" w:hAnsi="Times New Roman" w:cs="Times New Roman"/>
          <w:b/>
          <w:bCs/>
          <w:sz w:val="24"/>
          <w:szCs w:val="24"/>
        </w:rPr>
        <w:t xml:space="preserve">Operational Definitions </w:t>
      </w:r>
      <w:proofErr w:type="gramStart"/>
      <w:r>
        <w:rPr>
          <w:rFonts w:ascii="Times New Roman" w:hAnsi="Times New Roman" w:cs="Times New Roman"/>
          <w:b/>
          <w:bCs/>
          <w:sz w:val="24"/>
          <w:szCs w:val="24"/>
        </w:rPr>
        <w:t>For</w:t>
      </w:r>
      <w:proofErr w:type="gramEnd"/>
      <w:r>
        <w:rPr>
          <w:rFonts w:ascii="Times New Roman" w:hAnsi="Times New Roman" w:cs="Times New Roman"/>
          <w:b/>
          <w:bCs/>
          <w:sz w:val="24"/>
          <w:szCs w:val="24"/>
        </w:rPr>
        <w:t xml:space="preserve"> LCoQ Elements</w:t>
      </w:r>
    </w:p>
    <w:p w14:paraId="07BFFB3A" w14:textId="77777777" w:rsidR="00D22598" w:rsidRDefault="00D22598" w:rsidP="00D22598">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br w:type="page"/>
      </w:r>
    </w:p>
    <w:p w14:paraId="40D43E63" w14:textId="77777777" w:rsidR="00D22598" w:rsidRPr="00EF1B51" w:rsidRDefault="00D22598" w:rsidP="00D22598">
      <w:pPr>
        <w:pStyle w:val="BodyText"/>
        <w:spacing w:after="0"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lastRenderedPageBreak/>
        <w:t>E</w:t>
      </w:r>
      <w:r w:rsidRPr="00EF1B51">
        <w:rPr>
          <w:rFonts w:ascii="Times New Roman" w:eastAsia="Times New Roman" w:hAnsi="Times New Roman" w:cs="Times New Roman"/>
          <w:b/>
          <w:bCs/>
          <w:sz w:val="24"/>
          <w:szCs w:val="24"/>
          <w:lang w:val="en-US"/>
        </w:rPr>
        <w:t>lement operational definitions</w:t>
      </w:r>
      <w:r w:rsidRPr="007E3477">
        <w:rPr>
          <w:rFonts w:ascii="Times New Roman" w:eastAsia="Times New Roman" w:hAnsi="Times New Roman" w:cs="Times New Roman"/>
          <w:b/>
          <w:bCs/>
          <w:sz w:val="24"/>
          <w:szCs w:val="24"/>
          <w:lang w:val="en-US"/>
        </w:rPr>
        <w:t xml:space="preserve"> </w:t>
      </w:r>
      <w:r>
        <w:rPr>
          <w:rFonts w:ascii="Times New Roman" w:eastAsia="Times New Roman" w:hAnsi="Times New Roman" w:cs="Times New Roman"/>
          <w:b/>
          <w:bCs/>
          <w:sz w:val="24"/>
          <w:szCs w:val="24"/>
          <w:lang w:val="en-US"/>
        </w:rPr>
        <w:t>– POC</w:t>
      </w:r>
    </w:p>
    <w:p w14:paraId="296A288B" w14:textId="77777777" w:rsidR="00D22598" w:rsidRPr="00EF1B51" w:rsidRDefault="00D22598" w:rsidP="00D22598">
      <w:pPr>
        <w:pStyle w:val="BodyText"/>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POC elements are pre-project and project owner investments in project success identified during the literature review.  Three POC elements that impact project outcomes were identified – project definition, geotechnical investigation, and the owner project team.    </w:t>
      </w:r>
    </w:p>
    <w:p w14:paraId="68A22865" w14:textId="77777777" w:rsidR="00D22598" w:rsidRPr="00EF1B51" w:rsidRDefault="00D22598" w:rsidP="00D22598">
      <w:pPr>
        <w:pStyle w:val="BodyText"/>
        <w:numPr>
          <w:ilvl w:val="0"/>
          <w:numId w:val="4"/>
        </w:numPr>
        <w:spacing w:after="0" w:line="480" w:lineRule="auto"/>
        <w:rPr>
          <w:rFonts w:ascii="Times New Roman" w:eastAsia="Times New Roman" w:hAnsi="Times New Roman" w:cs="Times New Roman"/>
          <w:sz w:val="24"/>
          <w:szCs w:val="24"/>
          <w:lang w:val="en-US"/>
        </w:rPr>
      </w:pPr>
      <w:r w:rsidRPr="0050630C">
        <w:rPr>
          <w:rFonts w:ascii="Times New Roman" w:eastAsia="Times New Roman" w:hAnsi="Times New Roman" w:cs="Times New Roman"/>
          <w:sz w:val="24"/>
          <w:szCs w:val="24"/>
          <w:lang w:val="en-US"/>
        </w:rPr>
        <w:t>Initial definition of project requirements</w:t>
      </w:r>
      <w:r w:rsidRPr="00EF1B51" w:rsidDel="00636C00">
        <w:rPr>
          <w:rFonts w:ascii="Times New Roman" w:eastAsia="Times New Roman" w:hAnsi="Times New Roman" w:cs="Times New Roman"/>
          <w:sz w:val="24"/>
          <w:szCs w:val="24"/>
          <w:lang w:val="en-US"/>
        </w:rPr>
        <w:t xml:space="preserve"> </w:t>
      </w:r>
      <w:r w:rsidRPr="00EF1B51">
        <w:rPr>
          <w:rFonts w:ascii="Times New Roman" w:eastAsia="Times New Roman" w:hAnsi="Times New Roman" w:cs="Times New Roman"/>
          <w:sz w:val="24"/>
          <w:szCs w:val="24"/>
          <w:lang w:val="en-US"/>
        </w:rPr>
        <w:t xml:space="preserve">(CII, 2016; CII, 2020; Hwang &amp; Ho, 2012; Oswald &amp; Burati, 1993; Project Management Institute, 2017) includes the internal corporate cost of identifying and assessing the business opportunity, developing business parameters to be met by the project, and forecasting returns.  This element does not include costs from EPCs or project team members that may assist with the business case nor internal costs after project approval to construct.  </w:t>
      </w:r>
    </w:p>
    <w:p w14:paraId="2FF4AAF8" w14:textId="77777777" w:rsidR="00D22598" w:rsidRPr="00EF1B51" w:rsidRDefault="00D22598" w:rsidP="00D22598">
      <w:pPr>
        <w:pStyle w:val="BodyText"/>
        <w:numPr>
          <w:ilvl w:val="0"/>
          <w:numId w:val="3"/>
        </w:numPr>
        <w:spacing w:after="0" w:line="480" w:lineRule="auto"/>
        <w:rPr>
          <w:rFonts w:ascii="Times New Roman" w:eastAsia="Times New Roman" w:hAnsi="Times New Roman" w:cs="Times New Roman"/>
          <w:sz w:val="24"/>
          <w:szCs w:val="24"/>
          <w:lang w:val="en-US"/>
        </w:rPr>
      </w:pPr>
      <w:r w:rsidRPr="0070196C">
        <w:rPr>
          <w:rFonts w:ascii="Times New Roman" w:eastAsia="Times New Roman" w:hAnsi="Times New Roman" w:cs="Times New Roman"/>
          <w:sz w:val="24"/>
          <w:szCs w:val="24"/>
          <w:lang w:val="en-US"/>
        </w:rPr>
        <w:t>Owner preliminary site investigations</w:t>
      </w:r>
      <w:r w:rsidRPr="00EF1B51" w:rsidDel="006741D8">
        <w:rPr>
          <w:rFonts w:ascii="Times New Roman" w:eastAsia="Times New Roman" w:hAnsi="Times New Roman" w:cs="Times New Roman"/>
          <w:sz w:val="24"/>
          <w:szCs w:val="24"/>
          <w:lang w:val="en-US"/>
        </w:rPr>
        <w:t xml:space="preserve"> </w:t>
      </w:r>
      <w:r w:rsidRPr="00EF1B51">
        <w:rPr>
          <w:rFonts w:ascii="Times New Roman" w:eastAsia="Times New Roman" w:hAnsi="Times New Roman" w:cs="Times New Roman"/>
          <w:sz w:val="24"/>
          <w:szCs w:val="24"/>
          <w:lang w:val="en-US"/>
        </w:rPr>
        <w:t>(Baynes et al, 2021; Hearn, 2021; Koc et al, 2020) are often undertaken by the owner to determine the viability of building in a selected location and must be thorough to reduce the likelihood of cost and/or schedule overrun.  This element is intended to capture all internal, project, and any EPC support costs associated with the study.</w:t>
      </w:r>
    </w:p>
    <w:p w14:paraId="584FC4BC" w14:textId="77777777" w:rsidR="00D22598" w:rsidRPr="00EF1B51" w:rsidRDefault="00D22598" w:rsidP="00D22598">
      <w:pPr>
        <w:pStyle w:val="BodyText"/>
        <w:numPr>
          <w:ilvl w:val="0"/>
          <w:numId w:val="2"/>
        </w:numPr>
        <w:spacing w:after="0" w:line="480" w:lineRule="auto"/>
        <w:rPr>
          <w:rFonts w:ascii="Times New Roman" w:eastAsia="Times New Roman" w:hAnsi="Times New Roman" w:cs="Times New Roman"/>
          <w:sz w:val="24"/>
          <w:szCs w:val="24"/>
          <w:lang w:val="en-US"/>
        </w:rPr>
      </w:pPr>
      <w:r w:rsidRPr="0070196C">
        <w:rPr>
          <w:rFonts w:ascii="Times New Roman" w:eastAsia="Times New Roman" w:hAnsi="Times New Roman" w:cs="Times New Roman"/>
          <w:sz w:val="24"/>
          <w:szCs w:val="24"/>
          <w:lang w:val="en-US"/>
        </w:rPr>
        <w:t>Project oversight team</w:t>
      </w:r>
      <w:r w:rsidRPr="00EF1B51" w:rsidDel="001070FC">
        <w:rPr>
          <w:rFonts w:ascii="Times New Roman" w:eastAsia="Times New Roman" w:hAnsi="Times New Roman" w:cs="Times New Roman"/>
          <w:sz w:val="24"/>
          <w:szCs w:val="24"/>
          <w:lang w:val="en-US"/>
        </w:rPr>
        <w:t xml:space="preserve"> </w:t>
      </w:r>
      <w:r w:rsidRPr="00EF1B51">
        <w:rPr>
          <w:rFonts w:ascii="Times New Roman" w:eastAsia="Times New Roman" w:hAnsi="Times New Roman" w:cs="Times New Roman"/>
          <w:sz w:val="24"/>
          <w:szCs w:val="24"/>
          <w:lang w:val="en-US"/>
        </w:rPr>
        <w:t xml:space="preserve">(ASCE, 2012) includes pre-project and project costs.  The team may be active before the project begins, expand and contract as the project moves through different phases, and disband when </w:t>
      </w:r>
      <w:proofErr w:type="gramStart"/>
      <w:r w:rsidRPr="00EF1B51">
        <w:rPr>
          <w:rFonts w:ascii="Times New Roman" w:eastAsia="Times New Roman" w:hAnsi="Times New Roman" w:cs="Times New Roman"/>
          <w:sz w:val="24"/>
          <w:szCs w:val="24"/>
          <w:lang w:val="en-US"/>
        </w:rPr>
        <w:t>handover</w:t>
      </w:r>
      <w:proofErr w:type="gramEnd"/>
      <w:r w:rsidRPr="00EF1B51">
        <w:rPr>
          <w:rFonts w:ascii="Times New Roman" w:eastAsia="Times New Roman" w:hAnsi="Times New Roman" w:cs="Times New Roman"/>
          <w:sz w:val="24"/>
          <w:szCs w:val="24"/>
          <w:lang w:val="en-US"/>
        </w:rPr>
        <w:t xml:space="preserve"> is complete.  Costs include all owner project team personnel (full or </w:t>
      </w:r>
      <w:proofErr w:type="gramStart"/>
      <w:r w:rsidRPr="00EF1B51">
        <w:rPr>
          <w:rFonts w:ascii="Times New Roman" w:eastAsia="Times New Roman" w:hAnsi="Times New Roman" w:cs="Times New Roman"/>
          <w:sz w:val="24"/>
          <w:szCs w:val="24"/>
          <w:lang w:val="en-US"/>
        </w:rPr>
        <w:t>part time</w:t>
      </w:r>
      <w:proofErr w:type="gramEnd"/>
      <w:r w:rsidRPr="00EF1B51">
        <w:rPr>
          <w:rFonts w:ascii="Times New Roman" w:eastAsia="Times New Roman" w:hAnsi="Times New Roman" w:cs="Times New Roman"/>
          <w:sz w:val="24"/>
          <w:szCs w:val="24"/>
          <w:lang w:val="en-US"/>
        </w:rPr>
        <w:t>, short or long duration), quality testing ordered by the team, owner-team specific consultants, travel, and other costs.  No further costs can be allocated to this element after handover.</w:t>
      </w:r>
    </w:p>
    <w:p w14:paraId="073B3592" w14:textId="77777777" w:rsidR="00D22598" w:rsidRPr="00EF1B51" w:rsidRDefault="00D22598" w:rsidP="00D22598">
      <w:pPr>
        <w:pStyle w:val="BodyText"/>
        <w:spacing w:after="0" w:line="480" w:lineRule="auto"/>
        <w:rPr>
          <w:rFonts w:ascii="Times New Roman" w:eastAsia="Times New Roman" w:hAnsi="Times New Roman" w:cs="Times New Roman"/>
          <w:sz w:val="24"/>
          <w:szCs w:val="24"/>
          <w:lang w:val="en-US"/>
        </w:rPr>
      </w:pPr>
    </w:p>
    <w:p w14:paraId="0582CA48" w14:textId="77777777" w:rsidR="00D22598" w:rsidRPr="00EF1B51" w:rsidRDefault="00D22598" w:rsidP="00D22598">
      <w:pPr>
        <w:pStyle w:val="BodyText"/>
        <w:spacing w:after="0" w:line="480" w:lineRule="auto"/>
        <w:rPr>
          <w:rFonts w:ascii="Times New Roman" w:eastAsia="Times New Roman" w:hAnsi="Times New Roman" w:cs="Times New Roman"/>
          <w:sz w:val="24"/>
          <w:szCs w:val="24"/>
          <w:lang w:val="en-US"/>
        </w:rPr>
      </w:pPr>
      <w:r>
        <w:rPr>
          <w:rFonts w:ascii="Times New Roman" w:eastAsia="Times New Roman" w:hAnsi="Times New Roman" w:cs="Times New Roman"/>
          <w:b/>
          <w:bCs/>
          <w:sz w:val="24"/>
          <w:szCs w:val="24"/>
          <w:lang w:val="en-US"/>
        </w:rPr>
        <w:t>E</w:t>
      </w:r>
      <w:r w:rsidRPr="00EF1B51">
        <w:rPr>
          <w:rFonts w:ascii="Times New Roman" w:eastAsia="Times New Roman" w:hAnsi="Times New Roman" w:cs="Times New Roman"/>
          <w:b/>
          <w:bCs/>
          <w:sz w:val="24"/>
          <w:szCs w:val="24"/>
          <w:lang w:val="en-US"/>
        </w:rPr>
        <w:t>lement operational definitions</w:t>
      </w:r>
      <w:r>
        <w:rPr>
          <w:rFonts w:ascii="Times New Roman" w:eastAsia="Times New Roman" w:hAnsi="Times New Roman" w:cs="Times New Roman"/>
          <w:b/>
          <w:bCs/>
          <w:sz w:val="24"/>
          <w:szCs w:val="24"/>
          <w:lang w:val="en-US"/>
        </w:rPr>
        <w:t xml:space="preserve"> - </w:t>
      </w:r>
      <w:r w:rsidRPr="00EF1B51">
        <w:rPr>
          <w:rFonts w:ascii="Times New Roman" w:eastAsia="Times New Roman" w:hAnsi="Times New Roman" w:cs="Times New Roman"/>
          <w:b/>
          <w:bCs/>
          <w:sz w:val="24"/>
          <w:szCs w:val="24"/>
          <w:lang w:val="en-US"/>
        </w:rPr>
        <w:t>Project</w:t>
      </w:r>
      <w:r w:rsidRPr="00EF1B51">
        <w:rPr>
          <w:rFonts w:ascii="Times New Roman" w:eastAsia="Times New Roman" w:hAnsi="Times New Roman" w:cs="Times New Roman"/>
          <w:sz w:val="24"/>
          <w:szCs w:val="24"/>
          <w:lang w:val="en-US"/>
        </w:rPr>
        <w:t xml:space="preserve"> </w:t>
      </w:r>
      <w:r>
        <w:rPr>
          <w:rFonts w:ascii="Times New Roman" w:eastAsia="Times New Roman" w:hAnsi="Times New Roman" w:cs="Times New Roman"/>
          <w:b/>
          <w:bCs/>
          <w:sz w:val="24"/>
          <w:szCs w:val="24"/>
          <w:lang w:val="en-US"/>
        </w:rPr>
        <w:t>PONC</w:t>
      </w:r>
    </w:p>
    <w:p w14:paraId="0596CE07" w14:textId="77777777" w:rsidR="00D22598" w:rsidRPr="00EF1B51" w:rsidRDefault="00D22598" w:rsidP="00D22598">
      <w:pPr>
        <w:pStyle w:val="BodyText"/>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lastRenderedPageBreak/>
        <w:t xml:space="preserve">As discussed, PONC is the difference between the detailed scope project cost estimate and business case projections (actual or implied) and actual expenditures for identified items.  Implied target values are ‘0’ for elements such as litigation, production process balance, safety, and environmental issues.  Opportunity costs appear in project and post-project cost elements.  </w:t>
      </w:r>
    </w:p>
    <w:p w14:paraId="056A99EB" w14:textId="77777777" w:rsidR="00D22598" w:rsidRPr="00EF1B51" w:rsidRDefault="00D22598" w:rsidP="00D22598">
      <w:pPr>
        <w:pStyle w:val="BodyText"/>
        <w:numPr>
          <w:ilvl w:val="0"/>
          <w:numId w:val="1"/>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Cost overrun (Jennings, 2012; Olaniran et al, 2015) is the calculated difference between the TIPC estimate and the actual TIPC at handover.  Work performed by EPC contractors, subcontractors, and the operational maintenance team after handover is excluded (these values are recorded as post-project maintenance costs).  </w:t>
      </w:r>
    </w:p>
    <w:p w14:paraId="659F88C3" w14:textId="77777777" w:rsidR="00D22598" w:rsidRPr="00EF1B51" w:rsidRDefault="00D22598" w:rsidP="00D22598">
      <w:pPr>
        <w:pStyle w:val="BodyText"/>
        <w:numPr>
          <w:ilvl w:val="0"/>
          <w:numId w:val="1"/>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Lost production (EY, 2014; Gunduz et al, 2013; Merrow, 2012) measures the opportunity cost associated with delays in start-up, should use a standard production ramp up when calculating losses (as opposed to assuming full production the day operations begin), and should use either production sales contract or commodity spot price values for the period in question.  </w:t>
      </w:r>
    </w:p>
    <w:p w14:paraId="344E8A1D" w14:textId="77777777" w:rsidR="00D22598" w:rsidRPr="00EF1B51" w:rsidRDefault="00D22598" w:rsidP="00D22598">
      <w:pPr>
        <w:pStyle w:val="BodyText"/>
        <w:numPr>
          <w:ilvl w:val="0"/>
          <w:numId w:val="1"/>
        </w:numPr>
        <w:spacing w:after="0" w:line="480" w:lineRule="auto"/>
        <w:rPr>
          <w:rFonts w:ascii="Times New Roman" w:eastAsia="Times New Roman" w:hAnsi="Times New Roman" w:cs="Times New Roman"/>
          <w:sz w:val="24"/>
          <w:szCs w:val="24"/>
          <w:lang w:val="en-US"/>
        </w:rPr>
      </w:pPr>
      <w:r w:rsidRPr="0070196C">
        <w:rPr>
          <w:rFonts w:ascii="Times New Roman" w:eastAsia="Times New Roman" w:hAnsi="Times New Roman" w:cs="Times New Roman"/>
          <w:sz w:val="24"/>
          <w:szCs w:val="24"/>
          <w:lang w:val="en-US"/>
        </w:rPr>
        <w:t>Litigation during or after project completion</w:t>
      </w:r>
      <w:r w:rsidRPr="00EF1B51" w:rsidDel="00B45B53">
        <w:rPr>
          <w:rFonts w:ascii="Times New Roman" w:eastAsia="Times New Roman" w:hAnsi="Times New Roman" w:cs="Times New Roman"/>
          <w:sz w:val="24"/>
          <w:szCs w:val="24"/>
          <w:lang w:val="en-US"/>
        </w:rPr>
        <w:t xml:space="preserve"> </w:t>
      </w:r>
      <w:r w:rsidRPr="00EF1B51">
        <w:rPr>
          <w:rFonts w:ascii="Times New Roman" w:eastAsia="Times New Roman" w:hAnsi="Times New Roman" w:cs="Times New Roman"/>
          <w:sz w:val="24"/>
          <w:szCs w:val="24"/>
          <w:lang w:val="en-US"/>
        </w:rPr>
        <w:t xml:space="preserve">(Abdul-Rahman, 1993; Arditi &amp; Gunaydin, 1997) are the total of all </w:t>
      </w:r>
      <w:proofErr w:type="gramStart"/>
      <w:r w:rsidRPr="00EF1B51">
        <w:rPr>
          <w:rFonts w:ascii="Times New Roman" w:eastAsia="Times New Roman" w:hAnsi="Times New Roman" w:cs="Times New Roman"/>
          <w:sz w:val="24"/>
          <w:szCs w:val="24"/>
          <w:lang w:val="en-US"/>
        </w:rPr>
        <w:t>owner</w:t>
      </w:r>
      <w:proofErr w:type="gramEnd"/>
      <w:r w:rsidRPr="00EF1B51">
        <w:rPr>
          <w:rFonts w:ascii="Times New Roman" w:eastAsia="Times New Roman" w:hAnsi="Times New Roman" w:cs="Times New Roman"/>
          <w:sz w:val="24"/>
          <w:szCs w:val="24"/>
          <w:lang w:val="en-US"/>
        </w:rPr>
        <w:t xml:space="preserve"> legal costs associated with warranty, insurance, and other claims made to or by an EPC contractor, or their subcontractors, resulting from their actions (or lack thereof) and any settlement costs paid out by the owner.  It also includes any litigation and owner-paid settlements related to failing to supply </w:t>
      </w:r>
      <w:proofErr w:type="gramStart"/>
      <w:r w:rsidRPr="00EF1B51">
        <w:rPr>
          <w:rFonts w:ascii="Times New Roman" w:eastAsia="Times New Roman" w:hAnsi="Times New Roman" w:cs="Times New Roman"/>
          <w:sz w:val="24"/>
          <w:szCs w:val="24"/>
          <w:lang w:val="en-US"/>
        </w:rPr>
        <w:t>product</w:t>
      </w:r>
      <w:proofErr w:type="gramEnd"/>
      <w:r w:rsidRPr="00EF1B51">
        <w:rPr>
          <w:rFonts w:ascii="Times New Roman" w:eastAsia="Times New Roman" w:hAnsi="Times New Roman" w:cs="Times New Roman"/>
          <w:sz w:val="24"/>
          <w:szCs w:val="24"/>
          <w:lang w:val="en-US"/>
        </w:rPr>
        <w:t xml:space="preserve"> due to schedule delays.  Litigation may extend beyond the handover date, but all litigation costs are tracked in this element.  </w:t>
      </w:r>
    </w:p>
    <w:p w14:paraId="44155C3E" w14:textId="77777777" w:rsidR="00D22598" w:rsidRPr="00EF1B51" w:rsidRDefault="00D22598" w:rsidP="00D22598">
      <w:pPr>
        <w:pStyle w:val="BodyText"/>
        <w:numPr>
          <w:ilvl w:val="0"/>
          <w:numId w:val="1"/>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Value of ‘use-as-is’ dispositions (Love et al, 2018; Teo &amp; Love, 2017) are the estimated values associated with technically deficient project work that was recorded as a non-conformance and accepted despite the deficiency.  Valuation approaches should be case-</w:t>
      </w:r>
      <w:r w:rsidRPr="00EF1B51">
        <w:rPr>
          <w:rFonts w:ascii="Times New Roman" w:eastAsia="Times New Roman" w:hAnsi="Times New Roman" w:cs="Times New Roman"/>
          <w:sz w:val="24"/>
          <w:szCs w:val="24"/>
          <w:lang w:val="en-US"/>
        </w:rPr>
        <w:lastRenderedPageBreak/>
        <w:t xml:space="preserve">by-case and will vary depending on the deficiency, but they should focus on unnecessary recurring costs or rework and any opportunity costs. </w:t>
      </w:r>
    </w:p>
    <w:p w14:paraId="02808AF9" w14:textId="77777777" w:rsidR="00D22598" w:rsidRPr="00EF1B51" w:rsidRDefault="00D22598" w:rsidP="00D22598">
      <w:pPr>
        <w:pStyle w:val="BodyText"/>
        <w:numPr>
          <w:ilvl w:val="0"/>
          <w:numId w:val="1"/>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Cost of fulfilling contracts due to delayed start-up (Forbes, 2019) occurs when production is pre-sold with a contracted delivery date and delays in construction force the owner to purchase the contracted production on the spot market so that it can be supplied to the contracted buyer.  These costs should be measured as the difference between the expected production cost and the purchase cost of what was supplied plus additional transportation.</w:t>
      </w:r>
    </w:p>
    <w:p w14:paraId="18601AC5" w14:textId="77777777" w:rsidR="00D22598" w:rsidRPr="00EF1B51" w:rsidRDefault="00D22598" w:rsidP="00D22598">
      <w:pPr>
        <w:pStyle w:val="BodyText"/>
        <w:numPr>
          <w:ilvl w:val="0"/>
          <w:numId w:val="1"/>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Unplanned commissioning and debottlenecking projects (Merrow, 2011; Sharda &amp; Bury, 2010) are additional EPC contractor work undertaken to balance flows in and between various portions of the production process.  Commissioning and debottlenecking projects can be extremely large.  An LCoQ analysis should be performed on each commissioning and debottlenecking project required, and the results are the element value.</w:t>
      </w:r>
    </w:p>
    <w:p w14:paraId="39EFC6C5" w14:textId="77777777" w:rsidR="00D22598" w:rsidRDefault="00D22598" w:rsidP="00D22598">
      <w:pPr>
        <w:pStyle w:val="BodyText"/>
        <w:spacing w:after="0" w:line="480" w:lineRule="auto"/>
        <w:rPr>
          <w:rFonts w:ascii="Times New Roman" w:eastAsia="Times New Roman" w:hAnsi="Times New Roman" w:cs="Times New Roman"/>
          <w:sz w:val="24"/>
          <w:szCs w:val="24"/>
          <w:lang w:val="en-US"/>
        </w:rPr>
      </w:pPr>
    </w:p>
    <w:p w14:paraId="3EA93DD2" w14:textId="77777777" w:rsidR="00D22598" w:rsidRPr="00EF1B51" w:rsidRDefault="00D22598" w:rsidP="00D22598">
      <w:pPr>
        <w:pStyle w:val="BodyText"/>
        <w:spacing w:after="0"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sz w:val="24"/>
          <w:szCs w:val="24"/>
          <w:lang w:val="en-US"/>
        </w:rPr>
        <w:t>E</w:t>
      </w:r>
      <w:r w:rsidRPr="00EF1B51">
        <w:rPr>
          <w:rFonts w:ascii="Times New Roman" w:eastAsia="Times New Roman" w:hAnsi="Times New Roman" w:cs="Times New Roman"/>
          <w:b/>
          <w:bCs/>
          <w:sz w:val="24"/>
          <w:szCs w:val="24"/>
          <w:lang w:val="en-US"/>
        </w:rPr>
        <w:t>lement operational definitions</w:t>
      </w:r>
      <w:r>
        <w:rPr>
          <w:rFonts w:ascii="Times New Roman" w:eastAsia="Times New Roman" w:hAnsi="Times New Roman" w:cs="Times New Roman"/>
          <w:b/>
          <w:bCs/>
          <w:sz w:val="24"/>
          <w:szCs w:val="24"/>
          <w:lang w:val="en-US"/>
        </w:rPr>
        <w:t xml:space="preserve"> – Post-project PONC</w:t>
      </w:r>
    </w:p>
    <w:p w14:paraId="7DB57B59" w14:textId="77777777" w:rsidR="00D22598" w:rsidRPr="00EF1B51" w:rsidRDefault="00D22598" w:rsidP="00D22598">
      <w:pPr>
        <w:pStyle w:val="BodyText"/>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Post-project costs are a combination of accounting and mathematically derived costs directly attributable to project quality failures.  Note that operational quality system failures, such as shipping out-of-specification </w:t>
      </w:r>
      <w:proofErr w:type="gramStart"/>
      <w:r w:rsidRPr="00EF1B51">
        <w:rPr>
          <w:rFonts w:ascii="Times New Roman" w:eastAsia="Times New Roman" w:hAnsi="Times New Roman" w:cs="Times New Roman"/>
          <w:sz w:val="24"/>
          <w:szCs w:val="24"/>
          <w:lang w:val="en-US"/>
        </w:rPr>
        <w:t>product</w:t>
      </w:r>
      <w:proofErr w:type="gramEnd"/>
      <w:r w:rsidRPr="00EF1B51">
        <w:rPr>
          <w:rFonts w:ascii="Times New Roman" w:eastAsia="Times New Roman" w:hAnsi="Times New Roman" w:cs="Times New Roman"/>
          <w:sz w:val="24"/>
          <w:szCs w:val="24"/>
          <w:lang w:val="en-US"/>
        </w:rPr>
        <w:t xml:space="preserve"> to a customer, are not related to project LCoQ and not measured (producing non-conforming output may be a project-related issue but shipping it to a customer is a failure of the operational QC system).  </w:t>
      </w:r>
    </w:p>
    <w:p w14:paraId="364A1246" w14:textId="77777777" w:rsidR="00D22598" w:rsidRPr="00EF1B51" w:rsidRDefault="00D22598" w:rsidP="00D22598">
      <w:pPr>
        <w:pStyle w:val="BodyText"/>
        <w:numPr>
          <w:ilvl w:val="0"/>
          <w:numId w:val="5"/>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Higher than forecast maintenance costs (Maletic et al, 2014) are determined on a case-by-case basis.  Equipment or materials requiring excessive maintenance (including maintenance projects) due to the quality of the engineered design, supplied equipment, or </w:t>
      </w:r>
      <w:r w:rsidRPr="00EF1B51">
        <w:rPr>
          <w:rFonts w:ascii="Times New Roman" w:eastAsia="Times New Roman" w:hAnsi="Times New Roman" w:cs="Times New Roman"/>
          <w:sz w:val="24"/>
          <w:szCs w:val="24"/>
          <w:lang w:val="en-US"/>
        </w:rPr>
        <w:lastRenderedPageBreak/>
        <w:t xml:space="preserve">construction/installation are identified through review of financial and other records with maintenance managers.  Excessive costs are identified/estimated and summed.   </w:t>
      </w:r>
    </w:p>
    <w:p w14:paraId="52ABD488" w14:textId="77777777" w:rsidR="00D22598" w:rsidRPr="00EF1B51" w:rsidRDefault="00D22598" w:rsidP="00D22598">
      <w:pPr>
        <w:pStyle w:val="BodyText"/>
        <w:numPr>
          <w:ilvl w:val="0"/>
          <w:numId w:val="5"/>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Below target production levels (McKinsey Global Institute, 2019; Merrow, 2012) are opportunity costs measured as the difference between the production level forecasts in the business case and actual production levels.  If there are multiple products or grades produced from the facility, assess each one individually and </w:t>
      </w:r>
      <w:proofErr w:type="gramStart"/>
      <w:r w:rsidRPr="00EF1B51">
        <w:rPr>
          <w:rFonts w:ascii="Times New Roman" w:eastAsia="Times New Roman" w:hAnsi="Times New Roman" w:cs="Times New Roman"/>
          <w:sz w:val="24"/>
          <w:szCs w:val="24"/>
          <w:lang w:val="en-US"/>
        </w:rPr>
        <w:t>sum</w:t>
      </w:r>
      <w:proofErr w:type="gramEnd"/>
      <w:r w:rsidRPr="00EF1B51">
        <w:rPr>
          <w:rFonts w:ascii="Times New Roman" w:eastAsia="Times New Roman" w:hAnsi="Times New Roman" w:cs="Times New Roman"/>
          <w:sz w:val="24"/>
          <w:szCs w:val="24"/>
          <w:lang w:val="en-US"/>
        </w:rPr>
        <w:t xml:space="preserve"> the results.  </w:t>
      </w:r>
    </w:p>
    <w:p w14:paraId="25053BBA" w14:textId="77777777" w:rsidR="00D22598" w:rsidRPr="00EF1B51" w:rsidRDefault="00D22598" w:rsidP="00D22598">
      <w:pPr>
        <w:pStyle w:val="BodyText"/>
        <w:numPr>
          <w:ilvl w:val="0"/>
          <w:numId w:val="5"/>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Other opportunity costs (Olaniran et al, </w:t>
      </w:r>
      <w:proofErr w:type="gramStart"/>
      <w:r w:rsidRPr="00EF1B51">
        <w:rPr>
          <w:rFonts w:ascii="Times New Roman" w:eastAsia="Times New Roman" w:hAnsi="Times New Roman" w:cs="Times New Roman"/>
          <w:sz w:val="24"/>
          <w:szCs w:val="24"/>
          <w:lang w:val="en-US"/>
        </w:rPr>
        <w:t>2015 ;</w:t>
      </w:r>
      <w:proofErr w:type="gramEnd"/>
      <w:r w:rsidRPr="00EF1B51">
        <w:rPr>
          <w:rFonts w:ascii="Times New Roman" w:eastAsia="Times New Roman" w:hAnsi="Times New Roman" w:cs="Times New Roman"/>
          <w:sz w:val="24"/>
          <w:szCs w:val="24"/>
          <w:lang w:val="en-US"/>
        </w:rPr>
        <w:t xml:space="preserve"> </w:t>
      </w:r>
      <w:proofErr w:type="spellStart"/>
      <w:r w:rsidRPr="00EF1B51">
        <w:rPr>
          <w:rFonts w:ascii="Times New Roman" w:eastAsia="Times New Roman" w:hAnsi="Times New Roman" w:cs="Times New Roman"/>
          <w:sz w:val="24"/>
          <w:szCs w:val="24"/>
          <w:lang w:val="en-US"/>
        </w:rPr>
        <w:t>Shenhar</w:t>
      </w:r>
      <w:proofErr w:type="spellEnd"/>
      <w:r w:rsidRPr="00EF1B51">
        <w:rPr>
          <w:rFonts w:ascii="Times New Roman" w:eastAsia="Times New Roman" w:hAnsi="Times New Roman" w:cs="Times New Roman"/>
          <w:sz w:val="24"/>
          <w:szCs w:val="24"/>
          <w:lang w:val="en-US"/>
        </w:rPr>
        <w:t xml:space="preserve"> et al, 2001) include major issues with the construction project or subsequent operation (due to an undetected deficiency in the original project) that draws public attention and impacts owner company share value or sales.  An example would be an issue in a retention or tailings dam that fails, impacting share value and/or sales contracts.  The estimated value of the ‘loss’ is used for this element.</w:t>
      </w:r>
    </w:p>
    <w:p w14:paraId="54D10BA3" w14:textId="77777777" w:rsidR="00D22598" w:rsidRPr="00EF1B51" w:rsidRDefault="00D22598" w:rsidP="00D22598">
      <w:pPr>
        <w:pStyle w:val="BodyText"/>
        <w:numPr>
          <w:ilvl w:val="0"/>
          <w:numId w:val="5"/>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Higher than forecast operating costs (Bradley, 1994) are the difference between the business case operating cost forecast and actual operating costs.  Costs may come from higher-than-expected energy consumption, input consumption, additional personnel being needed, or any other cost increase legitimately attributable to poor quality of design, equipment/material supplied, or construction.  Element value may be determined on an aggregate, case-by-case, or combination of the two approach</w:t>
      </w:r>
      <w:r>
        <w:rPr>
          <w:rFonts w:ascii="Times New Roman" w:eastAsia="Times New Roman" w:hAnsi="Times New Roman" w:cs="Times New Roman"/>
          <w:sz w:val="24"/>
          <w:szCs w:val="24"/>
          <w:lang w:val="en-US"/>
        </w:rPr>
        <w:t>e</w:t>
      </w:r>
      <w:r w:rsidRPr="00EF1B51">
        <w:rPr>
          <w:rFonts w:ascii="Times New Roman" w:eastAsia="Times New Roman" w:hAnsi="Times New Roman" w:cs="Times New Roman"/>
          <w:sz w:val="24"/>
          <w:szCs w:val="24"/>
          <w:lang w:val="en-US"/>
        </w:rPr>
        <w:t xml:space="preserve">s.  </w:t>
      </w:r>
    </w:p>
    <w:p w14:paraId="72B8477A" w14:textId="77777777" w:rsidR="00D22598" w:rsidRPr="00EF1B51" w:rsidRDefault="00D22598" w:rsidP="00D22598">
      <w:pPr>
        <w:pStyle w:val="BodyText"/>
        <w:numPr>
          <w:ilvl w:val="0"/>
          <w:numId w:val="5"/>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t xml:space="preserve">Process-based non-conforming production costs (Flores-Perez et al, 2021) measure re-processing, disposal, and other incurred costs associated with out of specification production when the cause of the production issue is attributable to EPC contractor design, equipment supply, or construction.    </w:t>
      </w:r>
    </w:p>
    <w:p w14:paraId="229AF64D" w14:textId="77777777" w:rsidR="00D22598" w:rsidRPr="00EF1B51" w:rsidRDefault="00D22598" w:rsidP="00D22598">
      <w:pPr>
        <w:pStyle w:val="BodyText"/>
        <w:numPr>
          <w:ilvl w:val="0"/>
          <w:numId w:val="5"/>
        </w:numPr>
        <w:spacing w:after="0" w:line="480" w:lineRule="auto"/>
        <w:rPr>
          <w:rFonts w:ascii="Times New Roman" w:eastAsia="Times New Roman" w:hAnsi="Times New Roman" w:cs="Times New Roman"/>
          <w:sz w:val="24"/>
          <w:szCs w:val="24"/>
          <w:lang w:val="en-US"/>
        </w:rPr>
      </w:pPr>
      <w:r w:rsidRPr="00EF1B51">
        <w:rPr>
          <w:rFonts w:ascii="Times New Roman" w:eastAsia="Times New Roman" w:hAnsi="Times New Roman" w:cs="Times New Roman"/>
          <w:sz w:val="24"/>
          <w:szCs w:val="24"/>
          <w:lang w:val="en-US"/>
        </w:rPr>
        <w:lastRenderedPageBreak/>
        <w:t xml:space="preserve">Environmental or safety incident costs (Delphi Panel Suggestion) occur when the EPC contractor design, equipment supply, or construction was found to be the root cause or a contributing cause to the incident.  This element includes all relevant costs for shutdown (including opportunity costs), emergency services, additional labor, cleanup, facility upgrade projects, fines, insurance, and litigation.   </w:t>
      </w:r>
    </w:p>
    <w:p w14:paraId="2DE7BFDD" w14:textId="77777777" w:rsidR="00D22598" w:rsidRPr="005D7D91" w:rsidRDefault="00D22598" w:rsidP="00D22598">
      <w:pPr>
        <w:spacing w:after="0"/>
        <w:rPr>
          <w:rFonts w:ascii="Times New Roman" w:hAnsi="Times New Roman" w:cs="Times New Roman"/>
          <w:sz w:val="24"/>
          <w:szCs w:val="24"/>
        </w:rPr>
      </w:pPr>
    </w:p>
    <w:p w14:paraId="2EB85D99" w14:textId="77777777" w:rsidR="00D22598" w:rsidRPr="005D7D91" w:rsidRDefault="00D22598" w:rsidP="00D22598">
      <w:pPr>
        <w:spacing w:after="0"/>
        <w:rPr>
          <w:rFonts w:ascii="Times New Roman" w:hAnsi="Times New Roman" w:cs="Times New Roman"/>
          <w:sz w:val="24"/>
          <w:szCs w:val="24"/>
        </w:rPr>
      </w:pPr>
    </w:p>
    <w:p w14:paraId="71EB8807" w14:textId="77777777" w:rsidR="00D22598" w:rsidRPr="005D7D91" w:rsidRDefault="00D22598" w:rsidP="00D22598">
      <w:pPr>
        <w:spacing w:after="0"/>
        <w:rPr>
          <w:rFonts w:ascii="Times New Roman" w:hAnsi="Times New Roman" w:cs="Times New Roman"/>
          <w:sz w:val="24"/>
          <w:szCs w:val="24"/>
        </w:rPr>
      </w:pPr>
    </w:p>
    <w:p w14:paraId="73CE5F63" w14:textId="77777777" w:rsidR="00D22598" w:rsidRPr="005D7D91" w:rsidRDefault="00D22598" w:rsidP="00D22598">
      <w:pPr>
        <w:spacing w:after="0"/>
        <w:rPr>
          <w:rFonts w:ascii="Times New Roman" w:hAnsi="Times New Roman" w:cs="Times New Roman"/>
          <w:sz w:val="24"/>
          <w:szCs w:val="24"/>
        </w:rPr>
      </w:pPr>
    </w:p>
    <w:p w14:paraId="4F2E5A11" w14:textId="77777777" w:rsidR="00D22598" w:rsidRPr="005D7D91" w:rsidRDefault="00D22598" w:rsidP="00D22598">
      <w:pPr>
        <w:spacing w:after="0"/>
        <w:rPr>
          <w:rFonts w:ascii="Times New Roman" w:hAnsi="Times New Roman" w:cs="Times New Roman"/>
          <w:sz w:val="24"/>
          <w:szCs w:val="24"/>
        </w:rPr>
      </w:pPr>
    </w:p>
    <w:p w14:paraId="404216D1" w14:textId="77777777" w:rsidR="00D22598" w:rsidRPr="005D7D91" w:rsidRDefault="00D22598" w:rsidP="00D22598">
      <w:pPr>
        <w:spacing w:after="0"/>
        <w:rPr>
          <w:rFonts w:ascii="Times New Roman" w:hAnsi="Times New Roman" w:cs="Times New Roman"/>
          <w:sz w:val="24"/>
          <w:szCs w:val="24"/>
        </w:rPr>
      </w:pPr>
    </w:p>
    <w:p w14:paraId="42722532" w14:textId="77777777" w:rsidR="00D22598" w:rsidRPr="005D7D91" w:rsidRDefault="00D22598" w:rsidP="00D22598">
      <w:pPr>
        <w:spacing w:after="0"/>
        <w:rPr>
          <w:rFonts w:ascii="Times New Roman" w:hAnsi="Times New Roman" w:cs="Times New Roman"/>
          <w:sz w:val="24"/>
          <w:szCs w:val="24"/>
        </w:rPr>
      </w:pPr>
    </w:p>
    <w:p w14:paraId="3009BDC4" w14:textId="77777777" w:rsidR="00D22598" w:rsidRPr="005D7D91" w:rsidRDefault="00D22598" w:rsidP="00D22598">
      <w:pPr>
        <w:rPr>
          <w:rFonts w:ascii="Times New Roman" w:hAnsi="Times New Roman" w:cs="Times New Roman"/>
          <w:sz w:val="24"/>
          <w:szCs w:val="24"/>
        </w:rPr>
      </w:pPr>
      <w:r w:rsidRPr="005D7D91">
        <w:rPr>
          <w:rFonts w:ascii="Times New Roman" w:hAnsi="Times New Roman" w:cs="Times New Roman"/>
          <w:sz w:val="24"/>
          <w:szCs w:val="24"/>
        </w:rPr>
        <w:br w:type="page"/>
      </w:r>
    </w:p>
    <w:p w14:paraId="00C1D070" w14:textId="77777777" w:rsidR="00D22598" w:rsidRPr="005D7D91" w:rsidRDefault="00D22598" w:rsidP="00D22598">
      <w:pPr>
        <w:spacing w:after="0"/>
        <w:jc w:val="center"/>
        <w:rPr>
          <w:rFonts w:ascii="Times New Roman" w:hAnsi="Times New Roman" w:cs="Times New Roman"/>
          <w:sz w:val="24"/>
          <w:szCs w:val="24"/>
        </w:rPr>
      </w:pPr>
    </w:p>
    <w:p w14:paraId="26661010" w14:textId="77777777" w:rsidR="00D22598" w:rsidRPr="005D7D91" w:rsidRDefault="00D22598" w:rsidP="00D22598">
      <w:pPr>
        <w:spacing w:after="0"/>
        <w:jc w:val="center"/>
        <w:rPr>
          <w:rFonts w:ascii="Times New Roman" w:hAnsi="Times New Roman" w:cs="Times New Roman"/>
          <w:sz w:val="24"/>
          <w:szCs w:val="24"/>
        </w:rPr>
      </w:pPr>
    </w:p>
    <w:p w14:paraId="3482F235" w14:textId="77777777" w:rsidR="00D22598" w:rsidRPr="005D7D91" w:rsidRDefault="00D22598" w:rsidP="00D22598">
      <w:pPr>
        <w:spacing w:after="0"/>
        <w:jc w:val="center"/>
        <w:rPr>
          <w:rFonts w:ascii="Times New Roman" w:hAnsi="Times New Roman" w:cs="Times New Roman"/>
          <w:sz w:val="24"/>
          <w:szCs w:val="24"/>
        </w:rPr>
      </w:pPr>
    </w:p>
    <w:p w14:paraId="1E92A9AB" w14:textId="77777777" w:rsidR="00D22598" w:rsidRPr="005D7D91" w:rsidRDefault="00D22598" w:rsidP="00D22598">
      <w:pPr>
        <w:spacing w:after="0"/>
        <w:jc w:val="center"/>
        <w:rPr>
          <w:rFonts w:ascii="Times New Roman" w:hAnsi="Times New Roman" w:cs="Times New Roman"/>
          <w:sz w:val="24"/>
          <w:szCs w:val="24"/>
        </w:rPr>
      </w:pPr>
    </w:p>
    <w:p w14:paraId="7B83CF1C" w14:textId="77777777" w:rsidR="00D22598" w:rsidRPr="005D7D91" w:rsidRDefault="00D22598" w:rsidP="00D22598">
      <w:pPr>
        <w:spacing w:after="0"/>
        <w:jc w:val="center"/>
        <w:rPr>
          <w:rFonts w:ascii="Times New Roman" w:hAnsi="Times New Roman" w:cs="Times New Roman"/>
          <w:sz w:val="24"/>
          <w:szCs w:val="24"/>
        </w:rPr>
      </w:pPr>
    </w:p>
    <w:p w14:paraId="0AAD6065" w14:textId="77777777" w:rsidR="00D22598" w:rsidRPr="005D7D91" w:rsidRDefault="00D22598" w:rsidP="00D22598">
      <w:pPr>
        <w:spacing w:after="0"/>
        <w:jc w:val="center"/>
        <w:rPr>
          <w:rFonts w:ascii="Times New Roman" w:hAnsi="Times New Roman" w:cs="Times New Roman"/>
          <w:sz w:val="24"/>
          <w:szCs w:val="24"/>
        </w:rPr>
      </w:pPr>
    </w:p>
    <w:p w14:paraId="3857BE43" w14:textId="77777777" w:rsidR="00D22598" w:rsidRPr="005D7D91" w:rsidRDefault="00D22598" w:rsidP="00D22598">
      <w:pPr>
        <w:spacing w:after="0"/>
        <w:jc w:val="center"/>
        <w:rPr>
          <w:rFonts w:ascii="Times New Roman" w:hAnsi="Times New Roman" w:cs="Times New Roman"/>
          <w:sz w:val="24"/>
          <w:szCs w:val="24"/>
        </w:rPr>
      </w:pPr>
    </w:p>
    <w:p w14:paraId="192AD354" w14:textId="77777777" w:rsidR="00D22598" w:rsidRPr="005D7D91" w:rsidRDefault="00D22598" w:rsidP="00D22598">
      <w:pPr>
        <w:spacing w:after="0"/>
        <w:jc w:val="center"/>
        <w:rPr>
          <w:rFonts w:ascii="Times New Roman" w:hAnsi="Times New Roman" w:cs="Times New Roman"/>
          <w:sz w:val="24"/>
          <w:szCs w:val="24"/>
        </w:rPr>
      </w:pPr>
    </w:p>
    <w:p w14:paraId="7CAD1C4C" w14:textId="77777777" w:rsidR="00565BD8" w:rsidRDefault="00565BD8"/>
    <w:sectPr w:rsidR="00565BD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FE1814"/>
    <w:multiLevelType w:val="hybridMultilevel"/>
    <w:tmpl w:val="E27C66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F453306"/>
    <w:multiLevelType w:val="hybridMultilevel"/>
    <w:tmpl w:val="5DACF3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1DC19B0"/>
    <w:multiLevelType w:val="hybridMultilevel"/>
    <w:tmpl w:val="34C832C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591C4267"/>
    <w:multiLevelType w:val="hybridMultilevel"/>
    <w:tmpl w:val="621077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A7D58CB"/>
    <w:multiLevelType w:val="hybridMultilevel"/>
    <w:tmpl w:val="6E701C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531069371">
    <w:abstractNumId w:val="3"/>
  </w:num>
  <w:num w:numId="2" w16cid:durableId="458375954">
    <w:abstractNumId w:val="2"/>
  </w:num>
  <w:num w:numId="3" w16cid:durableId="1993098385">
    <w:abstractNumId w:val="1"/>
  </w:num>
  <w:num w:numId="4" w16cid:durableId="19016459">
    <w:abstractNumId w:val="4"/>
  </w:num>
  <w:num w:numId="5" w16cid:durableId="1347632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16D"/>
    <w:rsid w:val="002A4695"/>
    <w:rsid w:val="00565BD8"/>
    <w:rsid w:val="00830A67"/>
    <w:rsid w:val="008654F2"/>
    <w:rsid w:val="008E4F2C"/>
    <w:rsid w:val="00941F44"/>
    <w:rsid w:val="00B9239A"/>
    <w:rsid w:val="00C72311"/>
    <w:rsid w:val="00D22598"/>
    <w:rsid w:val="00D6016D"/>
    <w:rsid w:val="00E153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13E23"/>
  <w15:chartTrackingRefBased/>
  <w15:docId w15:val="{768C4B82-1C2C-44BA-A1FC-4D3791F80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67"/>
    <w:pPr>
      <w:spacing w:after="200" w:line="276" w:lineRule="auto"/>
    </w:pPr>
    <w:rPr>
      <w:kern w:val="0"/>
      <w14:ligatures w14:val="none"/>
    </w:rPr>
  </w:style>
  <w:style w:type="paragraph" w:styleId="Heading1">
    <w:name w:val="heading 1"/>
    <w:basedOn w:val="Normal"/>
    <w:next w:val="Normal"/>
    <w:link w:val="Heading1Char"/>
    <w:uiPriority w:val="9"/>
    <w:qFormat/>
    <w:rsid w:val="00D601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1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1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1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1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1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1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1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1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1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1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1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1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1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1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1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1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16D"/>
    <w:rPr>
      <w:rFonts w:eastAsiaTheme="majorEastAsia" w:cstheme="majorBidi"/>
      <w:color w:val="272727" w:themeColor="text1" w:themeTint="D8"/>
    </w:rPr>
  </w:style>
  <w:style w:type="paragraph" w:styleId="Title">
    <w:name w:val="Title"/>
    <w:basedOn w:val="Normal"/>
    <w:next w:val="Normal"/>
    <w:link w:val="TitleChar"/>
    <w:uiPriority w:val="10"/>
    <w:qFormat/>
    <w:rsid w:val="00D601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1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1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1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16D"/>
    <w:pPr>
      <w:spacing w:before="160"/>
      <w:jc w:val="center"/>
    </w:pPr>
    <w:rPr>
      <w:i/>
      <w:iCs/>
      <w:color w:val="404040" w:themeColor="text1" w:themeTint="BF"/>
    </w:rPr>
  </w:style>
  <w:style w:type="character" w:customStyle="1" w:styleId="QuoteChar">
    <w:name w:val="Quote Char"/>
    <w:basedOn w:val="DefaultParagraphFont"/>
    <w:link w:val="Quote"/>
    <w:uiPriority w:val="29"/>
    <w:rsid w:val="00D6016D"/>
    <w:rPr>
      <w:i/>
      <w:iCs/>
      <w:color w:val="404040" w:themeColor="text1" w:themeTint="BF"/>
    </w:rPr>
  </w:style>
  <w:style w:type="paragraph" w:styleId="ListParagraph">
    <w:name w:val="List Paragraph"/>
    <w:basedOn w:val="Normal"/>
    <w:uiPriority w:val="34"/>
    <w:qFormat/>
    <w:rsid w:val="00D6016D"/>
    <w:pPr>
      <w:ind w:left="720"/>
      <w:contextualSpacing/>
    </w:pPr>
  </w:style>
  <w:style w:type="character" w:styleId="IntenseEmphasis">
    <w:name w:val="Intense Emphasis"/>
    <w:basedOn w:val="DefaultParagraphFont"/>
    <w:uiPriority w:val="21"/>
    <w:qFormat/>
    <w:rsid w:val="00D6016D"/>
    <w:rPr>
      <w:i/>
      <w:iCs/>
      <w:color w:val="0F4761" w:themeColor="accent1" w:themeShade="BF"/>
    </w:rPr>
  </w:style>
  <w:style w:type="paragraph" w:styleId="IntenseQuote">
    <w:name w:val="Intense Quote"/>
    <w:basedOn w:val="Normal"/>
    <w:next w:val="Normal"/>
    <w:link w:val="IntenseQuoteChar"/>
    <w:uiPriority w:val="30"/>
    <w:qFormat/>
    <w:rsid w:val="00D601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16D"/>
    <w:rPr>
      <w:i/>
      <w:iCs/>
      <w:color w:val="0F4761" w:themeColor="accent1" w:themeShade="BF"/>
    </w:rPr>
  </w:style>
  <w:style w:type="character" w:styleId="IntenseReference">
    <w:name w:val="Intense Reference"/>
    <w:basedOn w:val="DefaultParagraphFont"/>
    <w:uiPriority w:val="32"/>
    <w:qFormat/>
    <w:rsid w:val="00D6016D"/>
    <w:rPr>
      <w:b/>
      <w:bCs/>
      <w:smallCaps/>
      <w:color w:val="0F4761" w:themeColor="accent1" w:themeShade="BF"/>
      <w:spacing w:val="5"/>
    </w:rPr>
  </w:style>
  <w:style w:type="paragraph" w:styleId="BodyText">
    <w:name w:val="Body Text"/>
    <w:basedOn w:val="Normal"/>
    <w:link w:val="BodyTextChar"/>
    <w:unhideWhenUsed/>
    <w:rsid w:val="00D22598"/>
    <w:pPr>
      <w:spacing w:after="120"/>
    </w:pPr>
  </w:style>
  <w:style w:type="character" w:customStyle="1" w:styleId="BodyTextChar">
    <w:name w:val="Body Text Char"/>
    <w:basedOn w:val="DefaultParagraphFont"/>
    <w:link w:val="BodyText"/>
    <w:rsid w:val="00D2259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1151</Words>
  <Characters>6561</Characters>
  <Application>Microsoft Office Word</Application>
  <DocSecurity>0</DocSecurity>
  <Lines>54</Lines>
  <Paragraphs>15</Paragraphs>
  <ScaleCrop>false</ScaleCrop>
  <Company/>
  <LinksUpToDate>false</LinksUpToDate>
  <CharactersWithSpaces>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Robertson, Brent Alexander</dc:creator>
  <cp:keywords/>
  <dc:description/>
  <cp:lastModifiedBy>Robertson, Brent Alexander</cp:lastModifiedBy>
  <cp:revision>4</cp:revision>
  <dcterms:created xsi:type="dcterms:W3CDTF">2025-02-06T04:22:00Z</dcterms:created>
  <dcterms:modified xsi:type="dcterms:W3CDTF">2025-02-06T04:24:00Z</dcterms:modified>
</cp:coreProperties>
</file>