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3801C" w14:textId="785A52B5" w:rsidR="00DC1EAB" w:rsidRPr="00EE24D0" w:rsidRDefault="009C17B8" w:rsidP="00F429A3">
      <w:pPr>
        <w:spacing w:line="240" w:lineRule="auto"/>
        <w:jc w:val="center"/>
        <w:rPr>
          <w:rFonts w:cs="Times New Roman"/>
          <w:b/>
          <w:bCs/>
          <w:sz w:val="22"/>
          <w:szCs w:val="22"/>
          <w:lang w:val="en-US"/>
        </w:rPr>
      </w:pPr>
      <w:r w:rsidRPr="00EE24D0">
        <w:rPr>
          <w:rFonts w:cs="Times New Roman"/>
          <w:b/>
          <w:bCs/>
          <w:sz w:val="22"/>
          <w:szCs w:val="22"/>
          <w:lang w:val="en-US"/>
        </w:rPr>
        <w:t>Vulnerability</w:t>
      </w:r>
      <w:r w:rsidR="007126D6" w:rsidRPr="00EE24D0">
        <w:rPr>
          <w:rFonts w:cs="Times New Roman"/>
          <w:b/>
          <w:bCs/>
          <w:sz w:val="22"/>
          <w:szCs w:val="22"/>
          <w:lang w:val="en-US"/>
        </w:rPr>
        <w:t xml:space="preserve"> </w:t>
      </w:r>
      <w:r w:rsidR="00C12E35" w:rsidRPr="00EE24D0">
        <w:rPr>
          <w:rFonts w:cs="Times New Roman"/>
          <w:b/>
          <w:bCs/>
          <w:sz w:val="22"/>
          <w:szCs w:val="22"/>
          <w:lang w:val="en-US"/>
        </w:rPr>
        <w:t>profile of South American authors to predatory publishing practices using an analytical hierarchy process approach</w:t>
      </w:r>
    </w:p>
    <w:p w14:paraId="0000000C" w14:textId="77777777" w:rsidR="00BC319F" w:rsidRPr="00EE24D0" w:rsidRDefault="00BC319F" w:rsidP="00F429A3">
      <w:pPr>
        <w:spacing w:line="240" w:lineRule="auto"/>
        <w:jc w:val="center"/>
        <w:rPr>
          <w:rFonts w:eastAsia="Times New Roman" w:cs="Times New Roman"/>
          <w:b/>
          <w:sz w:val="22"/>
          <w:szCs w:val="22"/>
          <w:lang w:val="en-US"/>
        </w:rPr>
      </w:pPr>
    </w:p>
    <w:p w14:paraId="7E520346" w14:textId="3C323CC6" w:rsidR="00BC319F" w:rsidRPr="00EE24D0" w:rsidRDefault="002679E2" w:rsidP="00F429A3">
      <w:pPr>
        <w:spacing w:line="240" w:lineRule="auto"/>
        <w:jc w:val="center"/>
        <w:rPr>
          <w:rFonts w:eastAsia="Times New Roman" w:cs="Times New Roman"/>
          <w:sz w:val="22"/>
          <w:szCs w:val="22"/>
        </w:rPr>
      </w:pPr>
      <w:r w:rsidRPr="00EE24D0">
        <w:rPr>
          <w:rFonts w:eastAsia="Times New Roman" w:cs="Times New Roman"/>
          <w:sz w:val="22"/>
          <w:szCs w:val="22"/>
        </w:rPr>
        <w:t xml:space="preserve">Bernardo </w:t>
      </w:r>
      <w:r w:rsidR="00643A77" w:rsidRPr="00EE24D0">
        <w:rPr>
          <w:rFonts w:eastAsia="Times New Roman" w:cs="Times New Roman"/>
          <w:sz w:val="22"/>
          <w:szCs w:val="22"/>
        </w:rPr>
        <w:t xml:space="preserve">Patricio </w:t>
      </w:r>
      <w:r w:rsidRPr="00EE24D0">
        <w:rPr>
          <w:rFonts w:eastAsia="Times New Roman" w:cs="Times New Roman"/>
          <w:sz w:val="22"/>
          <w:szCs w:val="22"/>
        </w:rPr>
        <w:t>Cordero</w:t>
      </w:r>
      <w:r w:rsidR="00B155C8" w:rsidRPr="00EE24D0">
        <w:rPr>
          <w:rFonts w:eastAsia="Times New Roman" w:cs="Times New Roman"/>
          <w:sz w:val="22"/>
          <w:szCs w:val="22"/>
        </w:rPr>
        <w:t xml:space="preserve"> Torres</w:t>
      </w:r>
      <w:r w:rsidRPr="00EE24D0">
        <w:rPr>
          <w:rFonts w:eastAsia="Times New Roman" w:cs="Times New Roman"/>
          <w:sz w:val="22"/>
          <w:szCs w:val="22"/>
        </w:rPr>
        <w:t xml:space="preserve"> </w:t>
      </w:r>
    </w:p>
    <w:p w14:paraId="0000000E" w14:textId="3C1067A3" w:rsidR="00BC319F" w:rsidRPr="00EE24D0" w:rsidRDefault="00FC7723" w:rsidP="00F429A3">
      <w:pPr>
        <w:spacing w:line="240" w:lineRule="auto"/>
        <w:jc w:val="center"/>
        <w:rPr>
          <w:rFonts w:eastAsia="Times New Roman" w:cs="Times New Roman"/>
          <w:sz w:val="22"/>
          <w:szCs w:val="22"/>
        </w:rPr>
      </w:pPr>
      <w:r w:rsidRPr="00EE24D0">
        <w:rPr>
          <w:rFonts w:eastAsia="Times New Roman" w:cs="Times New Roman"/>
          <w:sz w:val="22"/>
          <w:szCs w:val="22"/>
        </w:rPr>
        <w:t>Investigador REG-INV-21-04997</w:t>
      </w:r>
    </w:p>
    <w:p w14:paraId="0000000F" w14:textId="45156C2F" w:rsidR="00BC319F" w:rsidRPr="00EE24D0" w:rsidRDefault="00A04F63" w:rsidP="00F429A3">
      <w:pPr>
        <w:spacing w:line="240" w:lineRule="auto"/>
        <w:jc w:val="center"/>
        <w:rPr>
          <w:rFonts w:eastAsia="Times New Roman" w:cs="Times New Roman"/>
          <w:sz w:val="22"/>
          <w:szCs w:val="22"/>
        </w:rPr>
      </w:pPr>
      <w:hyperlink r:id="rId6" w:history="1">
        <w:r w:rsidRPr="00EE24D0">
          <w:rPr>
            <w:rStyle w:val="Hyperlink"/>
            <w:rFonts w:eastAsia="Times New Roman" w:cs="Times New Roman"/>
            <w:color w:val="auto"/>
            <w:sz w:val="22"/>
            <w:szCs w:val="22"/>
          </w:rPr>
          <w:t>bpcordero@yahoo.es</w:t>
        </w:r>
      </w:hyperlink>
    </w:p>
    <w:p w14:paraId="78A88239" w14:textId="6BB93E2D" w:rsidR="00A04F63" w:rsidRPr="00EE24D0" w:rsidRDefault="00A04F63" w:rsidP="00F429A3">
      <w:pPr>
        <w:spacing w:line="240" w:lineRule="auto"/>
        <w:jc w:val="center"/>
        <w:rPr>
          <w:rFonts w:eastAsia="Times New Roman" w:cs="Times New Roman"/>
          <w:sz w:val="22"/>
          <w:szCs w:val="22"/>
        </w:rPr>
      </w:pPr>
      <w:r w:rsidRPr="00EE24D0">
        <w:rPr>
          <w:rFonts w:eastAsia="Times New Roman" w:cs="Times New Roman"/>
          <w:sz w:val="22"/>
          <w:szCs w:val="22"/>
        </w:rPr>
        <w:t>Ecuador</w:t>
      </w:r>
    </w:p>
    <w:p w14:paraId="00000011" w14:textId="78BAA0FE" w:rsidR="00BC319F" w:rsidRPr="00EE24D0" w:rsidRDefault="0093239B" w:rsidP="00F429A3">
      <w:pPr>
        <w:spacing w:line="240" w:lineRule="auto"/>
        <w:jc w:val="center"/>
        <w:rPr>
          <w:rFonts w:eastAsia="Times New Roman" w:cs="Times New Roman"/>
          <w:sz w:val="22"/>
          <w:szCs w:val="22"/>
        </w:rPr>
      </w:pPr>
      <w:hyperlink r:id="rId7" w:history="1">
        <w:r w:rsidRPr="00EE24D0">
          <w:rPr>
            <w:rStyle w:val="Hyperlink"/>
            <w:rFonts w:eastAsia="Times New Roman" w:cs="Times New Roman"/>
            <w:color w:val="auto"/>
            <w:sz w:val="22"/>
            <w:szCs w:val="22"/>
          </w:rPr>
          <w:t>https://orcid.org/0000-0001-9139-8672</w:t>
        </w:r>
      </w:hyperlink>
      <w:r w:rsidRPr="00EE24D0">
        <w:rPr>
          <w:rFonts w:eastAsia="Times New Roman" w:cs="Times New Roman"/>
          <w:sz w:val="22"/>
          <w:szCs w:val="22"/>
        </w:rPr>
        <w:t xml:space="preserve"> </w:t>
      </w:r>
    </w:p>
    <w:p w14:paraId="00000012" w14:textId="77777777" w:rsidR="00BC319F" w:rsidRPr="00EE24D0" w:rsidRDefault="00BC319F" w:rsidP="00F429A3">
      <w:pPr>
        <w:spacing w:line="240" w:lineRule="auto"/>
        <w:jc w:val="center"/>
        <w:rPr>
          <w:rFonts w:eastAsia="Times New Roman" w:cs="Times New Roman"/>
          <w:sz w:val="22"/>
          <w:szCs w:val="22"/>
        </w:rPr>
      </w:pPr>
    </w:p>
    <w:p w14:paraId="00000013" w14:textId="35E1F948" w:rsidR="00BC319F" w:rsidRPr="00EE24D0" w:rsidRDefault="002679E2" w:rsidP="00F429A3">
      <w:pPr>
        <w:spacing w:line="240" w:lineRule="auto"/>
        <w:jc w:val="center"/>
        <w:rPr>
          <w:rFonts w:eastAsia="Times New Roman" w:cs="Times New Roman"/>
          <w:sz w:val="22"/>
          <w:szCs w:val="22"/>
        </w:rPr>
      </w:pPr>
      <w:proofErr w:type="spellStart"/>
      <w:r w:rsidRPr="00EE24D0">
        <w:rPr>
          <w:rFonts w:eastAsia="Times New Roman" w:cs="Times New Roman"/>
          <w:sz w:val="22"/>
          <w:szCs w:val="22"/>
        </w:rPr>
        <w:t>Nathaly</w:t>
      </w:r>
      <w:proofErr w:type="spellEnd"/>
      <w:r w:rsidR="00643A77" w:rsidRPr="00EE24D0">
        <w:rPr>
          <w:rFonts w:eastAsia="Times New Roman" w:cs="Times New Roman"/>
          <w:sz w:val="22"/>
          <w:szCs w:val="22"/>
        </w:rPr>
        <w:t xml:space="preserve"> </w:t>
      </w:r>
      <w:proofErr w:type="spellStart"/>
      <w:r w:rsidR="00643A77" w:rsidRPr="00EE24D0">
        <w:rPr>
          <w:rFonts w:eastAsia="Times New Roman" w:cs="Times New Roman"/>
          <w:sz w:val="22"/>
          <w:szCs w:val="22"/>
        </w:rPr>
        <w:t>Ragde</w:t>
      </w:r>
      <w:proofErr w:type="spellEnd"/>
      <w:r w:rsidRPr="00EE24D0">
        <w:rPr>
          <w:rFonts w:eastAsia="Times New Roman" w:cs="Times New Roman"/>
          <w:sz w:val="22"/>
          <w:szCs w:val="22"/>
        </w:rPr>
        <w:t xml:space="preserve"> Riofrío </w:t>
      </w:r>
      <w:r w:rsidR="00B155C8" w:rsidRPr="00EE24D0">
        <w:rPr>
          <w:rFonts w:eastAsia="Times New Roman" w:cs="Times New Roman"/>
          <w:sz w:val="22"/>
          <w:szCs w:val="22"/>
        </w:rPr>
        <w:t>Romero</w:t>
      </w:r>
    </w:p>
    <w:p w14:paraId="00000014" w14:textId="5F125FE7" w:rsidR="00BC319F" w:rsidRPr="00EE24D0" w:rsidRDefault="00000000" w:rsidP="00F429A3">
      <w:pPr>
        <w:spacing w:line="240" w:lineRule="auto"/>
        <w:jc w:val="center"/>
        <w:rPr>
          <w:rFonts w:eastAsia="Times New Roman" w:cs="Times New Roman"/>
          <w:sz w:val="22"/>
          <w:szCs w:val="22"/>
        </w:rPr>
      </w:pPr>
      <w:r w:rsidRPr="00EE24D0">
        <w:rPr>
          <w:rFonts w:eastAsia="Times New Roman" w:cs="Times New Roman"/>
          <w:sz w:val="22"/>
          <w:szCs w:val="22"/>
        </w:rPr>
        <w:t>Universidad Técnica de Machala</w:t>
      </w:r>
    </w:p>
    <w:p w14:paraId="2B391F84" w14:textId="35543AA0" w:rsidR="00A04F63" w:rsidRPr="00EE24D0" w:rsidRDefault="00A04F63" w:rsidP="00F429A3">
      <w:pPr>
        <w:spacing w:line="240" w:lineRule="auto"/>
        <w:jc w:val="center"/>
        <w:rPr>
          <w:rFonts w:eastAsia="Times New Roman" w:cs="Times New Roman"/>
          <w:sz w:val="22"/>
          <w:szCs w:val="22"/>
        </w:rPr>
      </w:pPr>
      <w:hyperlink r:id="rId8" w:history="1">
        <w:r w:rsidRPr="00EE24D0">
          <w:rPr>
            <w:rStyle w:val="Hyperlink"/>
            <w:rFonts w:eastAsia="Times New Roman" w:cs="Times New Roman"/>
            <w:color w:val="auto"/>
            <w:sz w:val="22"/>
            <w:szCs w:val="22"/>
          </w:rPr>
          <w:t>nriofrio@utmachala.edu.ec</w:t>
        </w:r>
      </w:hyperlink>
    </w:p>
    <w:p w14:paraId="1F094043" w14:textId="77777777" w:rsidR="00F368FE" w:rsidRPr="00EE24D0" w:rsidRDefault="00F368FE" w:rsidP="00F368FE">
      <w:pPr>
        <w:spacing w:line="240" w:lineRule="auto"/>
        <w:jc w:val="center"/>
        <w:rPr>
          <w:rFonts w:eastAsia="Times New Roman" w:cs="Times New Roman"/>
          <w:sz w:val="22"/>
          <w:szCs w:val="22"/>
        </w:rPr>
      </w:pPr>
      <w:r w:rsidRPr="00EE24D0">
        <w:rPr>
          <w:rFonts w:eastAsia="Times New Roman" w:cs="Times New Roman"/>
          <w:sz w:val="22"/>
          <w:szCs w:val="22"/>
        </w:rPr>
        <w:t>Ecuador</w:t>
      </w:r>
    </w:p>
    <w:p w14:paraId="083F1A68" w14:textId="306A0B2F" w:rsidR="0093239B" w:rsidRPr="00EE24D0" w:rsidRDefault="0093239B" w:rsidP="00F429A3">
      <w:pPr>
        <w:spacing w:line="240" w:lineRule="auto"/>
        <w:jc w:val="center"/>
        <w:rPr>
          <w:rFonts w:eastAsia="Times New Roman" w:cs="Times New Roman"/>
          <w:sz w:val="22"/>
          <w:szCs w:val="22"/>
        </w:rPr>
      </w:pPr>
      <w:hyperlink r:id="rId9" w:history="1">
        <w:r w:rsidRPr="00EE24D0">
          <w:rPr>
            <w:rStyle w:val="Hyperlink"/>
            <w:rFonts w:eastAsia="Times New Roman" w:cs="Times New Roman"/>
            <w:color w:val="auto"/>
            <w:sz w:val="22"/>
            <w:szCs w:val="22"/>
          </w:rPr>
          <w:t>https://orcid.org/0000-0002-2332-824X</w:t>
        </w:r>
      </w:hyperlink>
    </w:p>
    <w:p w14:paraId="6E902F8D" w14:textId="77777777" w:rsidR="00D9690A" w:rsidRPr="00EE24D0" w:rsidRDefault="00D9690A" w:rsidP="00F429A3">
      <w:pPr>
        <w:spacing w:line="240" w:lineRule="auto"/>
        <w:jc w:val="both"/>
        <w:rPr>
          <w:rFonts w:eastAsia="Times New Roman" w:cs="Times New Roman"/>
          <w:b/>
          <w:sz w:val="22"/>
          <w:szCs w:val="22"/>
        </w:rPr>
      </w:pPr>
    </w:p>
    <w:p w14:paraId="6B414228" w14:textId="2AAEACE0" w:rsidR="00D9690A" w:rsidRPr="00EE24D0" w:rsidRDefault="00D9690A" w:rsidP="00F429A3">
      <w:pPr>
        <w:spacing w:line="240" w:lineRule="auto"/>
        <w:jc w:val="both"/>
        <w:rPr>
          <w:rFonts w:eastAsia="Times New Roman" w:cs="Times New Roman"/>
          <w:b/>
          <w:sz w:val="22"/>
          <w:szCs w:val="22"/>
          <w:lang w:val="en-US"/>
        </w:rPr>
      </w:pPr>
      <w:r w:rsidRPr="00EE24D0">
        <w:rPr>
          <w:rFonts w:eastAsia="Times New Roman" w:cs="Times New Roman"/>
          <w:b/>
          <w:sz w:val="22"/>
          <w:szCs w:val="22"/>
          <w:lang w:val="en-US"/>
        </w:rPr>
        <w:t>Abstract</w:t>
      </w:r>
    </w:p>
    <w:p w14:paraId="2B5C7600" w14:textId="77777777" w:rsidR="00D9690A" w:rsidRPr="00EE24D0" w:rsidRDefault="00D9690A" w:rsidP="00F429A3">
      <w:pPr>
        <w:spacing w:line="240" w:lineRule="auto"/>
        <w:jc w:val="both"/>
        <w:rPr>
          <w:rFonts w:eastAsia="Times New Roman" w:cs="Times New Roman"/>
          <w:bCs/>
          <w:sz w:val="22"/>
          <w:szCs w:val="22"/>
          <w:lang w:val="en-US"/>
        </w:rPr>
      </w:pPr>
    </w:p>
    <w:p w14:paraId="05CDBEFE" w14:textId="77777777" w:rsidR="00DA6730" w:rsidRPr="00EE24D0" w:rsidRDefault="00DA6730" w:rsidP="00DA6730">
      <w:pPr>
        <w:spacing w:line="240" w:lineRule="auto"/>
        <w:jc w:val="both"/>
        <w:rPr>
          <w:rFonts w:eastAsia="Times New Roman" w:cs="Times New Roman"/>
          <w:bCs/>
          <w:sz w:val="22"/>
          <w:szCs w:val="22"/>
          <w:lang w:val="en-US"/>
        </w:rPr>
      </w:pPr>
      <w:r w:rsidRPr="00EE24D0">
        <w:rPr>
          <w:rFonts w:eastAsia="Times New Roman" w:cs="Times New Roman"/>
          <w:bCs/>
          <w:sz w:val="22"/>
          <w:szCs w:val="22"/>
          <w:lang w:val="en-US"/>
        </w:rPr>
        <w:t>This study examines the growing vulnerability of authors in the Global South, particularly in South America, to predatory publishing practices. It highlights the relentless evolution of artificial intelligence (AI) and the challenges it poses in the academic landscape, particularly in generating unwanted fraudulent communications and blurring the lines between natural content and content produced by these technologies as an uncited part of scientific publications.</w:t>
      </w:r>
    </w:p>
    <w:p w14:paraId="4124D5E3" w14:textId="77777777" w:rsidR="00DA6730" w:rsidRPr="00EE24D0" w:rsidRDefault="00DA6730" w:rsidP="00DA6730">
      <w:pPr>
        <w:spacing w:line="240" w:lineRule="auto"/>
        <w:jc w:val="both"/>
        <w:rPr>
          <w:rFonts w:eastAsia="Times New Roman" w:cs="Times New Roman"/>
          <w:bCs/>
          <w:sz w:val="22"/>
          <w:szCs w:val="22"/>
          <w:lang w:val="en-US"/>
        </w:rPr>
      </w:pPr>
      <w:r w:rsidRPr="00EE24D0">
        <w:rPr>
          <w:rFonts w:eastAsia="Times New Roman" w:cs="Times New Roman"/>
          <w:bCs/>
          <w:sz w:val="22"/>
          <w:szCs w:val="22"/>
          <w:lang w:val="en-US"/>
        </w:rPr>
        <w:t>We applied an accepted decision-making methodology, the Analytical Hierarchy Process (AHP), to create a vulnerability profile and develop a self-assessment model to measure the academic exposure of South American authors. Based on bibliographic sources, we identified five categories of risk originating from unethical editorial practices: argumentation of communication with researchers, institutional pressures and academic promotion, authors' environment and profile, regions and countries, and self-information and literacy management.</w:t>
      </w:r>
    </w:p>
    <w:p w14:paraId="2AB6FEFA" w14:textId="047AC336" w:rsidR="00D9690A" w:rsidRPr="00EE24D0" w:rsidRDefault="00DA6730" w:rsidP="00DA6730">
      <w:pPr>
        <w:spacing w:line="240" w:lineRule="auto"/>
        <w:jc w:val="both"/>
        <w:rPr>
          <w:rFonts w:eastAsia="Times New Roman" w:cs="Times New Roman"/>
          <w:bCs/>
          <w:sz w:val="22"/>
          <w:szCs w:val="22"/>
          <w:lang w:val="en-US"/>
        </w:rPr>
      </w:pPr>
      <w:r w:rsidRPr="00EE24D0">
        <w:rPr>
          <w:rFonts w:eastAsia="Times New Roman" w:cs="Times New Roman"/>
          <w:bCs/>
          <w:sz w:val="22"/>
          <w:szCs w:val="22"/>
          <w:lang w:val="en-US"/>
        </w:rPr>
        <w:t>Unifying the first three risk categories represents significance in terms of vulnerability, according to the Pareto 80/20 principle. These were managed in accordance with the ISO 31000 standard to propose concrete actions to mitigate the impacts of their consequences. These risks are well known for undermining the credibility of published and disseminated research, which, in the worst case, could jeopardize the open access environment. Finally, the limitations of this work are acknowledged, given the scope of the congress’ editorial policies and the structural factors requiring more robust research</w:t>
      </w:r>
      <w:r w:rsidR="00D9690A" w:rsidRPr="00EE24D0">
        <w:rPr>
          <w:rFonts w:eastAsia="Times New Roman" w:cs="Times New Roman"/>
          <w:bCs/>
          <w:sz w:val="22"/>
          <w:szCs w:val="22"/>
          <w:lang w:val="en-US"/>
        </w:rPr>
        <w:t>.</w:t>
      </w:r>
    </w:p>
    <w:p w14:paraId="0A61260B" w14:textId="77777777" w:rsidR="00D9690A" w:rsidRPr="00EE24D0" w:rsidRDefault="00D9690A" w:rsidP="00F429A3">
      <w:pPr>
        <w:spacing w:line="240" w:lineRule="auto"/>
        <w:jc w:val="both"/>
        <w:rPr>
          <w:rFonts w:eastAsia="Times New Roman" w:cs="Times New Roman"/>
          <w:b/>
          <w:sz w:val="22"/>
          <w:szCs w:val="22"/>
          <w:lang w:val="en-US"/>
        </w:rPr>
      </w:pPr>
    </w:p>
    <w:p w14:paraId="35D66770" w14:textId="6EC9C44C" w:rsidR="0079144E" w:rsidRPr="00EE24D0" w:rsidRDefault="00643A77" w:rsidP="00F429A3">
      <w:pPr>
        <w:spacing w:line="240" w:lineRule="auto"/>
        <w:jc w:val="both"/>
        <w:rPr>
          <w:rFonts w:eastAsia="Times New Roman" w:cs="Times New Roman"/>
          <w:bCs/>
          <w:sz w:val="22"/>
          <w:szCs w:val="22"/>
          <w:lang w:val="en-US"/>
        </w:rPr>
      </w:pPr>
      <w:r w:rsidRPr="00EE24D0">
        <w:rPr>
          <w:rFonts w:eastAsia="Times New Roman" w:cs="Times New Roman"/>
          <w:b/>
          <w:sz w:val="22"/>
          <w:szCs w:val="22"/>
          <w:lang w:val="en-US"/>
        </w:rPr>
        <w:t>Keywords:</w:t>
      </w:r>
      <w:r w:rsidRPr="00EE24D0">
        <w:rPr>
          <w:rFonts w:eastAsia="Times New Roman" w:cs="Times New Roman"/>
          <w:bCs/>
          <w:sz w:val="22"/>
          <w:szCs w:val="22"/>
          <w:lang w:val="en-US"/>
        </w:rPr>
        <w:t xml:space="preserve"> </w:t>
      </w:r>
      <w:r w:rsidR="009F76C7" w:rsidRPr="00EE24D0">
        <w:rPr>
          <w:rFonts w:eastAsia="Times New Roman" w:cs="Times New Roman"/>
          <w:bCs/>
          <w:sz w:val="22"/>
          <w:szCs w:val="22"/>
          <w:lang w:val="en-US"/>
        </w:rPr>
        <w:t>Vulnerability profile, p</w:t>
      </w:r>
      <w:r w:rsidR="0079144E" w:rsidRPr="00EE24D0">
        <w:rPr>
          <w:rFonts w:eastAsia="Times New Roman" w:cs="Times New Roman"/>
          <w:bCs/>
          <w:sz w:val="22"/>
          <w:szCs w:val="22"/>
          <w:lang w:val="en-US"/>
        </w:rPr>
        <w:t>redatory journals</w:t>
      </w:r>
      <w:r w:rsidR="00992531" w:rsidRPr="00EE24D0">
        <w:rPr>
          <w:rFonts w:eastAsia="Times New Roman" w:cs="Times New Roman"/>
          <w:bCs/>
          <w:sz w:val="22"/>
          <w:szCs w:val="22"/>
          <w:lang w:val="en-US"/>
        </w:rPr>
        <w:t xml:space="preserve">, </w:t>
      </w:r>
      <w:r w:rsidR="0079144E" w:rsidRPr="00EE24D0">
        <w:rPr>
          <w:rFonts w:eastAsia="Times New Roman" w:cs="Times New Roman"/>
          <w:bCs/>
          <w:sz w:val="22"/>
          <w:szCs w:val="22"/>
          <w:lang w:val="en-US"/>
        </w:rPr>
        <w:t>vanity p</w:t>
      </w:r>
      <w:r w:rsidR="00781BAC" w:rsidRPr="00EE24D0">
        <w:rPr>
          <w:rFonts w:eastAsia="Times New Roman" w:cs="Times New Roman"/>
          <w:bCs/>
          <w:sz w:val="22"/>
          <w:szCs w:val="22"/>
          <w:lang w:val="en-US"/>
        </w:rPr>
        <w:t>ress</w:t>
      </w:r>
      <w:r w:rsidR="00A8094B" w:rsidRPr="00EE24D0">
        <w:rPr>
          <w:rFonts w:eastAsia="Times New Roman" w:cs="Times New Roman"/>
          <w:bCs/>
          <w:sz w:val="22"/>
          <w:szCs w:val="22"/>
          <w:lang w:val="en-US"/>
        </w:rPr>
        <w:t>,</w:t>
      </w:r>
      <w:r w:rsidR="00CD3E25" w:rsidRPr="00EE24D0">
        <w:rPr>
          <w:rFonts w:eastAsia="Times New Roman" w:cs="Times New Roman"/>
          <w:bCs/>
          <w:sz w:val="22"/>
          <w:szCs w:val="22"/>
          <w:lang w:val="en-US"/>
        </w:rPr>
        <w:t xml:space="preserve"> </w:t>
      </w:r>
      <w:r w:rsidR="00DA6730" w:rsidRPr="00EE24D0">
        <w:rPr>
          <w:rFonts w:eastAsia="Times New Roman" w:cs="Times New Roman"/>
          <w:bCs/>
          <w:sz w:val="22"/>
          <w:szCs w:val="22"/>
          <w:lang w:val="en-US"/>
        </w:rPr>
        <w:t>AHP</w:t>
      </w:r>
      <w:r w:rsidR="00394173" w:rsidRPr="00EE24D0">
        <w:rPr>
          <w:rFonts w:eastAsia="Times New Roman" w:cs="Times New Roman"/>
          <w:bCs/>
          <w:sz w:val="22"/>
          <w:szCs w:val="22"/>
          <w:lang w:val="en-US"/>
        </w:rPr>
        <w:t>, South America</w:t>
      </w:r>
      <w:r w:rsidR="00F239FB" w:rsidRPr="00EE24D0">
        <w:rPr>
          <w:rFonts w:eastAsia="Times New Roman" w:cs="Times New Roman"/>
          <w:bCs/>
          <w:sz w:val="22"/>
          <w:szCs w:val="22"/>
          <w:lang w:val="en-US"/>
        </w:rPr>
        <w:t>.</w:t>
      </w:r>
    </w:p>
    <w:p w14:paraId="639B95E6" w14:textId="77777777" w:rsidR="0035067A" w:rsidRPr="00EE24D0" w:rsidRDefault="0035067A" w:rsidP="00F429A3">
      <w:pPr>
        <w:spacing w:line="240" w:lineRule="auto"/>
        <w:rPr>
          <w:rFonts w:cs="Times New Roman"/>
          <w:b/>
          <w:bCs/>
          <w:sz w:val="22"/>
          <w:szCs w:val="22"/>
          <w:lang w:val="en-US"/>
        </w:rPr>
      </w:pPr>
    </w:p>
    <w:p w14:paraId="34CDE230" w14:textId="6975CC44" w:rsidR="00386B01" w:rsidRPr="00EE24D0" w:rsidRDefault="00386B01" w:rsidP="00353793">
      <w:pPr>
        <w:pStyle w:val="ListParagraph"/>
        <w:numPr>
          <w:ilvl w:val="0"/>
          <w:numId w:val="10"/>
        </w:numPr>
        <w:spacing w:line="240" w:lineRule="auto"/>
        <w:rPr>
          <w:rFonts w:cs="Times New Roman"/>
          <w:b/>
          <w:bCs/>
          <w:sz w:val="22"/>
          <w:szCs w:val="22"/>
          <w:lang w:val="es-419"/>
        </w:rPr>
      </w:pPr>
      <w:r w:rsidRPr="00EE24D0">
        <w:rPr>
          <w:rFonts w:cs="Times New Roman"/>
          <w:b/>
          <w:bCs/>
          <w:sz w:val="22"/>
          <w:szCs w:val="22"/>
          <w:lang w:val="es-419"/>
        </w:rPr>
        <w:t>Introducción</w:t>
      </w:r>
    </w:p>
    <w:p w14:paraId="4A4223BF" w14:textId="77777777" w:rsidR="00922FB7" w:rsidRPr="00EE24D0" w:rsidRDefault="00922FB7" w:rsidP="00F429A3">
      <w:pPr>
        <w:spacing w:line="240" w:lineRule="auto"/>
        <w:jc w:val="both"/>
        <w:rPr>
          <w:rFonts w:cs="Times New Roman"/>
          <w:sz w:val="22"/>
          <w:szCs w:val="22"/>
          <w:lang w:val="es-419"/>
        </w:rPr>
      </w:pPr>
    </w:p>
    <w:p w14:paraId="6294C5E5" w14:textId="72DA7157" w:rsidR="005D7D3A" w:rsidRPr="00EE24D0" w:rsidRDefault="005D7D3A" w:rsidP="005D7D3A">
      <w:pPr>
        <w:spacing w:line="240" w:lineRule="auto"/>
        <w:jc w:val="both"/>
        <w:rPr>
          <w:rFonts w:cs="Times New Roman"/>
          <w:sz w:val="22"/>
          <w:szCs w:val="22"/>
          <w:lang w:val="es-419"/>
        </w:rPr>
      </w:pPr>
      <w:r w:rsidRPr="00EE24D0">
        <w:rPr>
          <w:rFonts w:cs="Times New Roman"/>
          <w:sz w:val="22"/>
          <w:szCs w:val="22"/>
          <w:lang w:val="es-419"/>
        </w:rPr>
        <w:t>El perfeccionamiento constante de la inteligencia artificial (IA), de acuerdo con Vogel (2024), se caracteriza por una evolución que da lugar a asistencias más sofisticadas para todos los actores dentro del ámbito académico. En este contexto, la IA emerge como un componente predominante en las prácticas editoriales de carácter depredador, así como en los procesos de redacción y revisión de artículos científicos. A lo anteriormente expuesto se añade la preocupación por la generación de textos mediante IA, los que podrían carecer de la profundidad y del rigor científico exigidos, dificultando su diferenciación de los textos creados por humanos o naturales.</w:t>
      </w:r>
    </w:p>
    <w:p w14:paraId="483E149A" w14:textId="77777777" w:rsidR="005D7D3A" w:rsidRPr="00EE24D0" w:rsidRDefault="005D7D3A" w:rsidP="005D7D3A">
      <w:pPr>
        <w:spacing w:line="240" w:lineRule="auto"/>
        <w:jc w:val="both"/>
        <w:rPr>
          <w:rFonts w:cs="Times New Roman"/>
          <w:sz w:val="22"/>
          <w:szCs w:val="22"/>
          <w:lang w:val="es-419"/>
        </w:rPr>
      </w:pPr>
    </w:p>
    <w:p w14:paraId="0078D25D" w14:textId="7B263EBA" w:rsidR="005D7D3A" w:rsidRPr="00EE24D0" w:rsidRDefault="000653A5" w:rsidP="005D7D3A">
      <w:pPr>
        <w:spacing w:line="240" w:lineRule="auto"/>
        <w:jc w:val="both"/>
        <w:rPr>
          <w:rFonts w:cs="Times New Roman"/>
          <w:sz w:val="22"/>
          <w:szCs w:val="22"/>
          <w:lang w:val="es-419"/>
        </w:rPr>
      </w:pPr>
      <w:r w:rsidRPr="00EE24D0">
        <w:rPr>
          <w:rFonts w:cs="Times New Roman"/>
          <w:sz w:val="22"/>
          <w:szCs w:val="22"/>
          <w:lang w:val="es-419"/>
        </w:rPr>
        <w:t xml:space="preserve">Según lo que encontraron Mills y </w:t>
      </w:r>
      <w:proofErr w:type="spellStart"/>
      <w:r w:rsidRPr="00EE24D0">
        <w:rPr>
          <w:rFonts w:cs="Times New Roman"/>
          <w:sz w:val="22"/>
          <w:szCs w:val="22"/>
          <w:lang w:val="es-419"/>
        </w:rPr>
        <w:t>Inouye</w:t>
      </w:r>
      <w:proofErr w:type="spellEnd"/>
      <w:r w:rsidRPr="00EE24D0">
        <w:rPr>
          <w:rFonts w:cs="Times New Roman"/>
          <w:sz w:val="22"/>
          <w:szCs w:val="22"/>
          <w:lang w:val="es-419"/>
        </w:rPr>
        <w:t xml:space="preserve"> (2020), en el Sur Global, los autores analizan las publicaciones «depredadoras», que van más allá de la discusión de las normas sobre la vulnerabilidad académica. </w:t>
      </w:r>
      <w:r w:rsidR="005D7D3A" w:rsidRPr="00EE24D0">
        <w:rPr>
          <w:rFonts w:cs="Times New Roman"/>
          <w:sz w:val="22"/>
          <w:szCs w:val="22"/>
          <w:lang w:val="es-419"/>
        </w:rPr>
        <w:t>Lo manifestado expone una perspectiva de cómo las presiones académicas ejercidas sobre los investigadores en regiones periféricas de las principales economías de investigación mundial, como las latinoamericanas, inciden en las decisiones editoriales individuales. Para una comprensión más profunda del fenómeno, es necesario considerar los contextos institucionales, económicos y geopolíticos específicos que les son inherentes.</w:t>
      </w:r>
    </w:p>
    <w:p w14:paraId="7BC713CC" w14:textId="77777777" w:rsidR="005D7D3A" w:rsidRPr="00EE24D0" w:rsidRDefault="005D7D3A" w:rsidP="005D7D3A">
      <w:pPr>
        <w:spacing w:line="240" w:lineRule="auto"/>
        <w:jc w:val="both"/>
        <w:rPr>
          <w:rFonts w:cs="Times New Roman"/>
          <w:sz w:val="22"/>
          <w:szCs w:val="22"/>
          <w:lang w:val="es-419"/>
        </w:rPr>
      </w:pPr>
    </w:p>
    <w:p w14:paraId="67C0779E" w14:textId="1913031C" w:rsidR="00DA05F4" w:rsidRPr="00EE24D0" w:rsidRDefault="00C21C69" w:rsidP="00DA05F4">
      <w:pPr>
        <w:spacing w:line="240" w:lineRule="auto"/>
        <w:jc w:val="both"/>
        <w:rPr>
          <w:rFonts w:cs="Times New Roman"/>
          <w:sz w:val="22"/>
          <w:szCs w:val="22"/>
          <w:lang w:val="es-419"/>
        </w:rPr>
      </w:pPr>
      <w:r w:rsidRPr="00EE24D0">
        <w:rPr>
          <w:rFonts w:cs="Times New Roman"/>
          <w:sz w:val="22"/>
          <w:szCs w:val="22"/>
          <w:lang w:val="es-419"/>
        </w:rPr>
        <w:lastRenderedPageBreak/>
        <w:t>En esa misma línea, se exhorta a los autores a considerar la prominencia que denotan las editoriales de vanidad o «auto</w:t>
      </w:r>
      <w:r w:rsidR="00C76994" w:rsidRPr="00EE24D0">
        <w:rPr>
          <w:rFonts w:cs="Times New Roman"/>
          <w:sz w:val="22"/>
          <w:szCs w:val="22"/>
          <w:lang w:val="es-419"/>
        </w:rPr>
        <w:t xml:space="preserve"> </w:t>
      </w:r>
      <w:r w:rsidRPr="00EE24D0">
        <w:rPr>
          <w:rFonts w:cs="Times New Roman"/>
          <w:sz w:val="22"/>
          <w:szCs w:val="22"/>
          <w:lang w:val="es-419"/>
        </w:rPr>
        <w:t>publicación» (</w:t>
      </w:r>
      <w:proofErr w:type="spellStart"/>
      <w:r w:rsidRPr="00EE24D0">
        <w:rPr>
          <w:rFonts w:cs="Times New Roman"/>
          <w:i/>
          <w:iCs/>
          <w:sz w:val="22"/>
          <w:szCs w:val="22"/>
          <w:lang w:val="es-419"/>
        </w:rPr>
        <w:t>vanity</w:t>
      </w:r>
      <w:proofErr w:type="spellEnd"/>
      <w:r w:rsidRPr="00EE24D0">
        <w:rPr>
          <w:rFonts w:cs="Times New Roman"/>
          <w:i/>
          <w:iCs/>
          <w:sz w:val="22"/>
          <w:szCs w:val="22"/>
          <w:lang w:val="es-419"/>
        </w:rPr>
        <w:t xml:space="preserve"> </w:t>
      </w:r>
      <w:proofErr w:type="spellStart"/>
      <w:r w:rsidRPr="00EE24D0">
        <w:rPr>
          <w:rFonts w:cs="Times New Roman"/>
          <w:i/>
          <w:iCs/>
          <w:sz w:val="22"/>
          <w:szCs w:val="22"/>
          <w:lang w:val="es-419"/>
        </w:rPr>
        <w:t>press</w:t>
      </w:r>
      <w:proofErr w:type="spellEnd"/>
      <w:r w:rsidRPr="00EE24D0">
        <w:rPr>
          <w:rFonts w:cs="Times New Roman"/>
          <w:sz w:val="22"/>
          <w:szCs w:val="22"/>
          <w:lang w:val="es-419"/>
        </w:rPr>
        <w:t>) durante la última década, las mismas que ofrecen un deficiente servicio de publicación de obras existentes en las que el creador afrontaría todos los riesgos financieros y de comercialización, pudiendo perder en última instancia los derechos de autor sobre su obra (</w:t>
      </w:r>
      <w:proofErr w:type="spellStart"/>
      <w:r w:rsidRPr="00EE24D0">
        <w:rPr>
          <w:rFonts w:cs="Times New Roman"/>
          <w:sz w:val="22"/>
          <w:szCs w:val="22"/>
          <w:lang w:val="es-419"/>
        </w:rPr>
        <w:t>Klimczak</w:t>
      </w:r>
      <w:proofErr w:type="spellEnd"/>
      <w:r w:rsidRPr="00EE24D0">
        <w:rPr>
          <w:rFonts w:cs="Times New Roman"/>
          <w:sz w:val="22"/>
          <w:szCs w:val="22"/>
          <w:lang w:val="es-419"/>
        </w:rPr>
        <w:t>, 2020); lo que repercutiría en la reputación de la «edición híbrida», viéndose percibida como las precedentemente acotadas</w:t>
      </w:r>
      <w:r w:rsidR="00DA05F4" w:rsidRPr="00EE24D0">
        <w:rPr>
          <w:rFonts w:cs="Times New Roman"/>
          <w:sz w:val="22"/>
          <w:szCs w:val="22"/>
          <w:lang w:val="es-419"/>
        </w:rPr>
        <w:t>.</w:t>
      </w:r>
    </w:p>
    <w:p w14:paraId="13EA1A54" w14:textId="77777777" w:rsidR="00DA05F4" w:rsidRPr="00EE24D0" w:rsidRDefault="00DA05F4" w:rsidP="00DA05F4">
      <w:pPr>
        <w:spacing w:line="240" w:lineRule="auto"/>
        <w:jc w:val="both"/>
        <w:rPr>
          <w:rFonts w:cs="Times New Roman"/>
          <w:sz w:val="22"/>
          <w:szCs w:val="22"/>
          <w:lang w:val="es-419"/>
        </w:rPr>
      </w:pPr>
    </w:p>
    <w:p w14:paraId="5DB9CC93" w14:textId="27440CD0" w:rsidR="00DA05F4" w:rsidRPr="00EE24D0" w:rsidRDefault="00DA05F4" w:rsidP="00DA05F4">
      <w:pPr>
        <w:spacing w:line="240" w:lineRule="auto"/>
        <w:jc w:val="both"/>
        <w:rPr>
          <w:rFonts w:cs="Times New Roman"/>
          <w:sz w:val="22"/>
          <w:szCs w:val="22"/>
          <w:lang w:val="es-419"/>
        </w:rPr>
      </w:pPr>
      <w:r w:rsidRPr="00EE24D0">
        <w:rPr>
          <w:rFonts w:cs="Times New Roman"/>
          <w:sz w:val="22"/>
          <w:szCs w:val="22"/>
          <w:lang w:val="es-419"/>
        </w:rPr>
        <w:t>El objetivo de la presente propuesta radica en la construcción de un perfil de vulnerabilidad mediante una metodología probada, con la finalidad de minimizar los sesgos cognitivos y priorizar las categorías de riesgo previamente identificadas para los autores sudamericanos con mayor propensión. A través de las políticas editoriales de este congreso sobre el acceso abierto, será sometido a escrutinio público para tentativamente sumarse como un complemento concreto a los procesos de "</w:t>
      </w:r>
      <w:proofErr w:type="spellStart"/>
      <w:r w:rsidRPr="00EE24D0">
        <w:rPr>
          <w:rFonts w:cs="Times New Roman"/>
          <w:i/>
          <w:iCs/>
          <w:sz w:val="22"/>
          <w:szCs w:val="22"/>
          <w:lang w:val="es-419"/>
        </w:rPr>
        <w:t>think</w:t>
      </w:r>
      <w:proofErr w:type="spellEnd"/>
      <w:r w:rsidRPr="00EE24D0">
        <w:rPr>
          <w:rFonts w:cs="Times New Roman"/>
          <w:sz w:val="22"/>
          <w:szCs w:val="22"/>
          <w:lang w:val="es-419"/>
        </w:rPr>
        <w:t>", "</w:t>
      </w:r>
      <w:proofErr w:type="spellStart"/>
      <w:r w:rsidRPr="00EE24D0">
        <w:rPr>
          <w:rFonts w:cs="Times New Roman"/>
          <w:i/>
          <w:iCs/>
          <w:sz w:val="22"/>
          <w:szCs w:val="22"/>
          <w:lang w:val="es-419"/>
        </w:rPr>
        <w:t>check</w:t>
      </w:r>
      <w:proofErr w:type="spellEnd"/>
      <w:r w:rsidRPr="00EE24D0">
        <w:rPr>
          <w:rFonts w:cs="Times New Roman"/>
          <w:sz w:val="22"/>
          <w:szCs w:val="22"/>
          <w:lang w:val="es-419"/>
        </w:rPr>
        <w:t>" y "</w:t>
      </w:r>
      <w:proofErr w:type="spellStart"/>
      <w:r w:rsidRPr="00EE24D0">
        <w:rPr>
          <w:rFonts w:cs="Times New Roman"/>
          <w:i/>
          <w:iCs/>
          <w:sz w:val="22"/>
          <w:szCs w:val="22"/>
          <w:lang w:val="es-419"/>
        </w:rPr>
        <w:t>submit</w:t>
      </w:r>
      <w:proofErr w:type="spellEnd"/>
      <w:r w:rsidRPr="00EE24D0">
        <w:rPr>
          <w:rFonts w:cs="Times New Roman"/>
          <w:sz w:val="22"/>
          <w:szCs w:val="22"/>
          <w:lang w:val="es-419"/>
        </w:rPr>
        <w:t>", frente a la corriente mundial de "</w:t>
      </w:r>
      <w:proofErr w:type="spellStart"/>
      <w:r w:rsidRPr="00EE24D0">
        <w:rPr>
          <w:rFonts w:cs="Times New Roman"/>
          <w:i/>
          <w:iCs/>
          <w:sz w:val="22"/>
          <w:szCs w:val="22"/>
          <w:lang w:val="es-419"/>
        </w:rPr>
        <w:t>publish</w:t>
      </w:r>
      <w:proofErr w:type="spellEnd"/>
      <w:r w:rsidRPr="00EE24D0">
        <w:rPr>
          <w:rFonts w:cs="Times New Roman"/>
          <w:i/>
          <w:iCs/>
          <w:sz w:val="22"/>
          <w:szCs w:val="22"/>
          <w:lang w:val="es-419"/>
        </w:rPr>
        <w:t xml:space="preserve"> </w:t>
      </w:r>
      <w:proofErr w:type="spellStart"/>
      <w:r w:rsidRPr="00EE24D0">
        <w:rPr>
          <w:rFonts w:cs="Times New Roman"/>
          <w:i/>
          <w:iCs/>
          <w:sz w:val="22"/>
          <w:szCs w:val="22"/>
          <w:lang w:val="es-419"/>
        </w:rPr>
        <w:t>or</w:t>
      </w:r>
      <w:proofErr w:type="spellEnd"/>
      <w:r w:rsidRPr="00EE24D0">
        <w:rPr>
          <w:rFonts w:cs="Times New Roman"/>
          <w:sz w:val="22"/>
          <w:szCs w:val="22"/>
          <w:lang w:val="es-419"/>
        </w:rPr>
        <w:t xml:space="preserve"> </w:t>
      </w:r>
      <w:proofErr w:type="spellStart"/>
      <w:r w:rsidRPr="00EE24D0">
        <w:rPr>
          <w:rFonts w:cs="Times New Roman"/>
          <w:i/>
          <w:iCs/>
          <w:sz w:val="22"/>
          <w:szCs w:val="22"/>
          <w:lang w:val="es-419"/>
        </w:rPr>
        <w:t>perish</w:t>
      </w:r>
      <w:proofErr w:type="spellEnd"/>
      <w:r w:rsidRPr="00EE24D0">
        <w:rPr>
          <w:rFonts w:cs="Times New Roman"/>
          <w:sz w:val="22"/>
          <w:szCs w:val="22"/>
          <w:lang w:val="es-419"/>
        </w:rPr>
        <w:t>"; el mismo que resulta pertinente debatir permanentemente sobre su impacto en la disminución en la calidad y profundidad editorial.</w:t>
      </w:r>
    </w:p>
    <w:p w14:paraId="746FFF72" w14:textId="77777777" w:rsidR="00616149" w:rsidRPr="00EE24D0" w:rsidRDefault="00616149" w:rsidP="00DA05F4">
      <w:pPr>
        <w:spacing w:line="240" w:lineRule="auto"/>
        <w:jc w:val="both"/>
        <w:rPr>
          <w:rFonts w:cs="Times New Roman"/>
          <w:sz w:val="22"/>
          <w:szCs w:val="22"/>
          <w:lang w:val="es-419"/>
        </w:rPr>
      </w:pPr>
    </w:p>
    <w:p w14:paraId="484B582E" w14:textId="442F79E7" w:rsidR="00616149" w:rsidRPr="00EE24D0" w:rsidRDefault="00A73B01" w:rsidP="00DA05F4">
      <w:pPr>
        <w:spacing w:line="240" w:lineRule="auto"/>
        <w:jc w:val="both"/>
        <w:rPr>
          <w:rFonts w:cs="Times New Roman"/>
          <w:sz w:val="22"/>
          <w:szCs w:val="22"/>
          <w:lang w:val="es-419"/>
        </w:rPr>
      </w:pPr>
      <w:r w:rsidRPr="00EE24D0">
        <w:rPr>
          <w:rFonts w:cs="Times New Roman"/>
          <w:sz w:val="22"/>
          <w:szCs w:val="22"/>
          <w:lang w:val="es-419"/>
        </w:rPr>
        <w:t xml:space="preserve">La importancia de este estudio radica en la necesidad de reconocer y gestionar todo riesgo derivado de las diversas formas de publicación fraudulenta, que van desde las revistas que simulan una revisión por pares hasta las editoriales que cobran por servicios mínimos de impresión. Estas entidades se adaptan para explotar </w:t>
      </w:r>
      <w:r w:rsidR="00C12691" w:rsidRPr="00EE24D0">
        <w:rPr>
          <w:rFonts w:cs="Times New Roman"/>
          <w:sz w:val="22"/>
          <w:szCs w:val="22"/>
          <w:lang w:val="es-419"/>
        </w:rPr>
        <w:t xml:space="preserve">a su conveniencia </w:t>
      </w:r>
      <w:r w:rsidRPr="00EE24D0">
        <w:rPr>
          <w:rFonts w:cs="Times New Roman"/>
          <w:sz w:val="22"/>
          <w:szCs w:val="22"/>
          <w:lang w:val="es-419"/>
        </w:rPr>
        <w:t xml:space="preserve">las necesidades de los autores y </w:t>
      </w:r>
      <w:r w:rsidR="00C12691" w:rsidRPr="00EE24D0">
        <w:rPr>
          <w:rFonts w:cs="Times New Roman"/>
          <w:sz w:val="22"/>
          <w:szCs w:val="22"/>
          <w:lang w:val="es-419"/>
        </w:rPr>
        <w:t xml:space="preserve">aprovechan </w:t>
      </w:r>
      <w:r w:rsidRPr="00EE24D0">
        <w:rPr>
          <w:rFonts w:cs="Times New Roman"/>
          <w:sz w:val="22"/>
          <w:szCs w:val="22"/>
          <w:lang w:val="es-419"/>
        </w:rPr>
        <w:t>las lagunas del sistema de publicación académica, por lo que es necesario comprender a fondo sus mecanismos para diseñar estrategias de tratamiento efectivas, ya que contribuyen al deterioro del prestigio de la investigación científica.</w:t>
      </w:r>
    </w:p>
    <w:p w14:paraId="3C5F943B" w14:textId="77777777" w:rsidR="00616149" w:rsidRPr="00EE24D0" w:rsidRDefault="00616149" w:rsidP="00DA05F4">
      <w:pPr>
        <w:spacing w:line="240" w:lineRule="auto"/>
        <w:jc w:val="both"/>
        <w:rPr>
          <w:rFonts w:cs="Times New Roman"/>
          <w:sz w:val="22"/>
          <w:szCs w:val="22"/>
          <w:lang w:val="es-419"/>
        </w:rPr>
      </w:pPr>
    </w:p>
    <w:p w14:paraId="0CD2F883" w14:textId="7041F7DD" w:rsidR="00616149" w:rsidRPr="00EE24D0" w:rsidRDefault="00616149" w:rsidP="00616149">
      <w:pPr>
        <w:pStyle w:val="ListParagraph"/>
        <w:numPr>
          <w:ilvl w:val="0"/>
          <w:numId w:val="10"/>
        </w:numPr>
        <w:spacing w:line="240" w:lineRule="auto"/>
        <w:rPr>
          <w:rFonts w:cs="Times New Roman"/>
          <w:b/>
          <w:bCs/>
          <w:sz w:val="22"/>
          <w:szCs w:val="22"/>
          <w:lang w:val="es-419"/>
        </w:rPr>
      </w:pPr>
      <w:r w:rsidRPr="00EE24D0">
        <w:rPr>
          <w:rFonts w:cs="Times New Roman"/>
          <w:b/>
          <w:bCs/>
          <w:sz w:val="22"/>
          <w:szCs w:val="22"/>
          <w:lang w:val="es-419"/>
        </w:rPr>
        <w:t>Metodología para el perfilamiento «</w:t>
      </w:r>
      <w:r w:rsidR="005A0120" w:rsidRPr="00EE24D0">
        <w:rPr>
          <w:rFonts w:cs="Times New Roman"/>
          <w:b/>
          <w:bCs/>
          <w:sz w:val="22"/>
          <w:szCs w:val="22"/>
          <w:lang w:val="es-419"/>
        </w:rPr>
        <w:t>a</w:t>
      </w:r>
      <w:r w:rsidRPr="00EE24D0">
        <w:rPr>
          <w:rFonts w:cs="Times New Roman"/>
          <w:b/>
          <w:bCs/>
          <w:sz w:val="22"/>
          <w:szCs w:val="22"/>
          <w:lang w:val="es-419"/>
        </w:rPr>
        <w:t>uto evaluación»</w:t>
      </w:r>
    </w:p>
    <w:p w14:paraId="5E8DC200" w14:textId="77777777" w:rsidR="00922FB7" w:rsidRPr="00EE24D0" w:rsidRDefault="00922FB7" w:rsidP="00F429A3">
      <w:pPr>
        <w:spacing w:line="240" w:lineRule="auto"/>
        <w:jc w:val="both"/>
        <w:rPr>
          <w:rFonts w:cs="Times New Roman"/>
          <w:sz w:val="22"/>
          <w:szCs w:val="22"/>
          <w:lang w:val="es-419"/>
        </w:rPr>
      </w:pPr>
    </w:p>
    <w:p w14:paraId="7E6684CE" w14:textId="219BA40D" w:rsidR="00922FB7" w:rsidRPr="00EE24D0" w:rsidRDefault="00C21C69" w:rsidP="001C01C4">
      <w:pPr>
        <w:spacing w:line="240" w:lineRule="auto"/>
        <w:jc w:val="both"/>
        <w:rPr>
          <w:rFonts w:cs="Times New Roman"/>
          <w:sz w:val="22"/>
          <w:szCs w:val="22"/>
          <w:lang w:val="es-419"/>
        </w:rPr>
      </w:pPr>
      <w:r w:rsidRPr="00EE24D0">
        <w:rPr>
          <w:rFonts w:cs="Times New Roman"/>
          <w:sz w:val="22"/>
          <w:szCs w:val="22"/>
          <w:lang w:val="es-419"/>
        </w:rPr>
        <w:t>La metodología para crear el perfil de vulnerabilidad de los autores combinó tres procedimientos: el método AHP</w:t>
      </w:r>
      <w:r w:rsidR="00217A80" w:rsidRPr="00EE24D0">
        <w:t xml:space="preserve"> (</w:t>
      </w:r>
      <w:proofErr w:type="spellStart"/>
      <w:r w:rsidR="00217A80" w:rsidRPr="00EE24D0">
        <w:t>Saaty</w:t>
      </w:r>
      <w:proofErr w:type="spellEnd"/>
      <w:r w:rsidR="00217A80" w:rsidRPr="00EE24D0">
        <w:t>, 1977)</w:t>
      </w:r>
      <w:r w:rsidRPr="00EE24D0">
        <w:rPr>
          <w:rFonts w:cs="Times New Roman"/>
          <w:sz w:val="22"/>
          <w:szCs w:val="22"/>
          <w:lang w:val="es-419"/>
        </w:rPr>
        <w:t>, una revisión bibliográfica (basada en los riesgos) y una gestión de riesgos conforme a la norma ISO 31000:2018. La jerarquización AHP es un procedimiento estructurado en seis pasos para la toma de decisiones multicriterio. Este método descompone un problema determinado en una jerarquía (objetivo, criterios, subcriterios y alternativas), realiza comparaciones por pares, obtiene prioridades (vectores propios) y verifica la consistencia antes de sintetizar los resultados para seleccionar la mejor alternativa. Para administrar los riesgos objeto de estudio, nos basamos en la norma ISO 31000:2008 para la evaluación y el tratamiento de riesgos. Primer paso: establecimos el contexto (criterios), identificamos las fuentes (causas y consecuencias), analizamos estos riesgos (calificación), evaluamos los riesgos para priorizarlos y decidir cuáles requieren tratamiento (ley de Pareto) y finalmente establecemos las recomendaciones para su debido tratamiento</w:t>
      </w:r>
      <w:r w:rsidR="00836459" w:rsidRPr="00EE24D0">
        <w:rPr>
          <w:rFonts w:cs="Times New Roman"/>
          <w:sz w:val="22"/>
          <w:szCs w:val="22"/>
          <w:lang w:val="es-419"/>
        </w:rPr>
        <w:t>.</w:t>
      </w:r>
    </w:p>
    <w:p w14:paraId="0EAB87E8" w14:textId="77777777" w:rsidR="00A153AD" w:rsidRPr="00EE24D0" w:rsidRDefault="00A153AD" w:rsidP="00A153AD">
      <w:pPr>
        <w:spacing w:line="240" w:lineRule="auto"/>
        <w:rPr>
          <w:rFonts w:cs="Times New Roman"/>
          <w:b/>
          <w:bCs/>
          <w:sz w:val="22"/>
          <w:szCs w:val="22"/>
          <w:lang w:val="es-419"/>
        </w:rPr>
      </w:pPr>
    </w:p>
    <w:p w14:paraId="57CF35B4" w14:textId="2B8E18AC" w:rsidR="001C01C4" w:rsidRPr="00EE24D0" w:rsidRDefault="00616149" w:rsidP="00D6176B">
      <w:pPr>
        <w:pStyle w:val="ListParagraph"/>
        <w:numPr>
          <w:ilvl w:val="0"/>
          <w:numId w:val="10"/>
        </w:numPr>
        <w:spacing w:line="240" w:lineRule="auto"/>
        <w:rPr>
          <w:lang w:val="es-419"/>
        </w:rPr>
      </w:pPr>
      <w:r w:rsidRPr="00EE24D0">
        <w:rPr>
          <w:rFonts w:cs="Times New Roman"/>
          <w:b/>
          <w:bCs/>
          <w:sz w:val="22"/>
          <w:szCs w:val="22"/>
          <w:lang w:val="es-419"/>
        </w:rPr>
        <w:t>Resultados</w:t>
      </w:r>
      <w:r w:rsidR="005A0120" w:rsidRPr="00EE24D0">
        <w:rPr>
          <w:rFonts w:cs="Times New Roman"/>
          <w:b/>
          <w:bCs/>
          <w:sz w:val="22"/>
          <w:szCs w:val="22"/>
          <w:lang w:val="es-419"/>
        </w:rPr>
        <w:t xml:space="preserve"> clave</w:t>
      </w:r>
    </w:p>
    <w:p w14:paraId="3F4451EB" w14:textId="77777777" w:rsidR="00D27F70" w:rsidRPr="00EE24D0" w:rsidRDefault="00D27F70" w:rsidP="00D27F70">
      <w:pPr>
        <w:spacing w:line="240" w:lineRule="auto"/>
        <w:rPr>
          <w:lang w:val="es-419"/>
        </w:rPr>
      </w:pPr>
    </w:p>
    <w:p w14:paraId="7624DD0F" w14:textId="4D9E1A35" w:rsidR="0041739D" w:rsidRPr="00EE24D0" w:rsidRDefault="007A5B26" w:rsidP="0067652E">
      <w:pPr>
        <w:spacing w:line="240" w:lineRule="auto"/>
        <w:jc w:val="both"/>
        <w:rPr>
          <w:rFonts w:cs="Times New Roman"/>
          <w:sz w:val="22"/>
          <w:szCs w:val="22"/>
          <w:lang w:val="es-419"/>
        </w:rPr>
      </w:pPr>
      <w:r w:rsidRPr="00EE24D0">
        <w:rPr>
          <w:rFonts w:cs="Times New Roman"/>
          <w:sz w:val="22"/>
          <w:szCs w:val="22"/>
          <w:lang w:val="es-419"/>
        </w:rPr>
        <w:t>De la misma forma como se ha advertido sobre el plagio en el ámbito académico, es reconocido el impacto de las editoriales depredadoras dentro de los diferentes foros, redes sociales para investigadores, congresos, simposios y contenido en internet. El contexto de la investigación y de la escritura académica se ve influenciado de manera multifactorial. Se conformó de manera preliminar un listado de ocho categorías de riesgos dentro del universo de los autores, cuyo alcance se centró dentro del contexto sudamericano, dado que, por un lado, guardan similitudes y que, además, se espera sea la audiencia de mayor convocatoria para este «2.º Congreso Iberoamericano de Ciencia Abierta»; ordenados a continuación:</w:t>
      </w:r>
      <w:r w:rsidR="00113BA5" w:rsidRPr="00EE24D0">
        <w:rPr>
          <w:rFonts w:cs="Times New Roman"/>
          <w:sz w:val="22"/>
          <w:szCs w:val="22"/>
          <w:lang w:val="es-419"/>
        </w:rPr>
        <w:t xml:space="preserve"> </w:t>
      </w:r>
    </w:p>
    <w:p w14:paraId="2A559EB9" w14:textId="3A49FE11" w:rsidR="00113BA5" w:rsidRPr="00EE24D0" w:rsidRDefault="00B00DC2" w:rsidP="00113BA5">
      <w:pPr>
        <w:pStyle w:val="ListParagraph"/>
        <w:numPr>
          <w:ilvl w:val="0"/>
          <w:numId w:val="11"/>
        </w:numPr>
        <w:spacing w:line="240" w:lineRule="auto"/>
        <w:jc w:val="both"/>
        <w:rPr>
          <w:rFonts w:eastAsia="Times New Roman" w:cs="Times New Roman"/>
          <w:bCs/>
          <w:sz w:val="22"/>
          <w:szCs w:val="22"/>
          <w:lang w:val="es-419"/>
        </w:rPr>
      </w:pPr>
      <w:r w:rsidRPr="00EE24D0">
        <w:rPr>
          <w:rFonts w:eastAsia="Times New Roman" w:cs="Times New Roman"/>
          <w:bCs/>
          <w:sz w:val="22"/>
          <w:szCs w:val="22"/>
          <w:lang w:val="es-419"/>
        </w:rPr>
        <w:t>Argumentación del comunicado a los investigadores</w:t>
      </w:r>
    </w:p>
    <w:p w14:paraId="388C74B8" w14:textId="6CD929C3" w:rsidR="00B00DC2" w:rsidRPr="00EE24D0" w:rsidRDefault="00B00DC2" w:rsidP="00113BA5">
      <w:pPr>
        <w:pStyle w:val="ListParagraph"/>
        <w:numPr>
          <w:ilvl w:val="0"/>
          <w:numId w:val="11"/>
        </w:numPr>
        <w:spacing w:line="240" w:lineRule="auto"/>
        <w:jc w:val="both"/>
        <w:rPr>
          <w:rFonts w:eastAsia="Times New Roman" w:cs="Times New Roman"/>
          <w:bCs/>
          <w:sz w:val="22"/>
          <w:szCs w:val="22"/>
          <w:lang w:val="es-419"/>
        </w:rPr>
      </w:pPr>
      <w:r w:rsidRPr="00EE24D0">
        <w:rPr>
          <w:rFonts w:eastAsia="Times New Roman" w:cs="Times New Roman"/>
          <w:bCs/>
          <w:sz w:val="22"/>
          <w:szCs w:val="22"/>
          <w:lang w:val="es-419"/>
        </w:rPr>
        <w:t>Presiones institucionales y promoción académica</w:t>
      </w:r>
    </w:p>
    <w:p w14:paraId="2EED885F" w14:textId="29D86E60" w:rsidR="00B00DC2" w:rsidRPr="00EE24D0" w:rsidRDefault="001333A4" w:rsidP="00113BA5">
      <w:pPr>
        <w:pStyle w:val="ListParagraph"/>
        <w:numPr>
          <w:ilvl w:val="0"/>
          <w:numId w:val="11"/>
        </w:numPr>
        <w:spacing w:line="240" w:lineRule="auto"/>
        <w:jc w:val="both"/>
        <w:rPr>
          <w:rFonts w:eastAsia="Times New Roman" w:cs="Times New Roman"/>
          <w:bCs/>
          <w:sz w:val="22"/>
          <w:szCs w:val="22"/>
          <w:lang w:val="es-419"/>
        </w:rPr>
      </w:pPr>
      <w:r w:rsidRPr="00EE24D0">
        <w:rPr>
          <w:rFonts w:eastAsia="Times New Roman" w:cs="Times New Roman"/>
          <w:bCs/>
          <w:sz w:val="22"/>
          <w:szCs w:val="22"/>
          <w:lang w:val="es-419"/>
        </w:rPr>
        <w:t>Entorno y perfil de los autores</w:t>
      </w:r>
    </w:p>
    <w:p w14:paraId="601418FB" w14:textId="5F8899A3" w:rsidR="001333A4" w:rsidRPr="00EE24D0" w:rsidRDefault="001333A4" w:rsidP="00113BA5">
      <w:pPr>
        <w:pStyle w:val="ListParagraph"/>
        <w:numPr>
          <w:ilvl w:val="0"/>
          <w:numId w:val="11"/>
        </w:numPr>
        <w:spacing w:line="240" w:lineRule="auto"/>
        <w:jc w:val="both"/>
        <w:rPr>
          <w:rFonts w:eastAsia="Times New Roman" w:cs="Times New Roman"/>
          <w:bCs/>
          <w:sz w:val="22"/>
          <w:szCs w:val="22"/>
          <w:lang w:val="es-419"/>
        </w:rPr>
      </w:pPr>
      <w:r w:rsidRPr="00EE24D0">
        <w:rPr>
          <w:rFonts w:eastAsia="Times New Roman" w:cs="Times New Roman"/>
          <w:bCs/>
          <w:sz w:val="22"/>
          <w:szCs w:val="22"/>
          <w:lang w:val="es-419"/>
        </w:rPr>
        <w:t>Regiones y países</w:t>
      </w:r>
    </w:p>
    <w:p w14:paraId="2E9D397F" w14:textId="4B270036" w:rsidR="001333A4" w:rsidRPr="00EE24D0" w:rsidRDefault="001333A4" w:rsidP="00113BA5">
      <w:pPr>
        <w:pStyle w:val="ListParagraph"/>
        <w:numPr>
          <w:ilvl w:val="0"/>
          <w:numId w:val="11"/>
        </w:numPr>
        <w:spacing w:line="240" w:lineRule="auto"/>
        <w:jc w:val="both"/>
        <w:rPr>
          <w:rFonts w:eastAsia="Times New Roman" w:cs="Times New Roman"/>
          <w:bCs/>
          <w:sz w:val="22"/>
          <w:szCs w:val="22"/>
          <w:lang w:val="es-419"/>
        </w:rPr>
      </w:pPr>
      <w:r w:rsidRPr="00EE24D0">
        <w:rPr>
          <w:rFonts w:eastAsia="Times New Roman" w:cs="Times New Roman"/>
          <w:bCs/>
          <w:sz w:val="22"/>
          <w:szCs w:val="22"/>
          <w:lang w:val="es-419"/>
        </w:rPr>
        <w:t>Alfabetización y gestión informacional</w:t>
      </w:r>
    </w:p>
    <w:p w14:paraId="40F2B721" w14:textId="7C962443" w:rsidR="001333A4" w:rsidRPr="00EE24D0" w:rsidRDefault="001333A4" w:rsidP="00113BA5">
      <w:pPr>
        <w:pStyle w:val="ListParagraph"/>
        <w:numPr>
          <w:ilvl w:val="0"/>
          <w:numId w:val="11"/>
        </w:numPr>
        <w:spacing w:line="240" w:lineRule="auto"/>
        <w:jc w:val="both"/>
        <w:rPr>
          <w:rFonts w:eastAsia="Times New Roman" w:cs="Times New Roman"/>
          <w:sz w:val="22"/>
          <w:szCs w:val="22"/>
          <w:lang w:val="es-419"/>
        </w:rPr>
      </w:pPr>
      <w:r w:rsidRPr="00EE24D0">
        <w:rPr>
          <w:rFonts w:eastAsia="Times New Roman" w:cs="Times New Roman"/>
          <w:sz w:val="22"/>
          <w:szCs w:val="22"/>
          <w:lang w:val="es-419"/>
        </w:rPr>
        <w:t>Barreras lingüísticas y sesgos editoriales</w:t>
      </w:r>
    </w:p>
    <w:p w14:paraId="69A6D09A" w14:textId="39A86605" w:rsidR="007628FB" w:rsidRPr="00EE24D0" w:rsidRDefault="007628FB" w:rsidP="00113BA5">
      <w:pPr>
        <w:pStyle w:val="ListParagraph"/>
        <w:numPr>
          <w:ilvl w:val="0"/>
          <w:numId w:val="11"/>
        </w:numPr>
        <w:spacing w:line="240" w:lineRule="auto"/>
        <w:jc w:val="both"/>
        <w:rPr>
          <w:rFonts w:eastAsia="Times New Roman" w:cs="Times New Roman"/>
          <w:sz w:val="22"/>
          <w:szCs w:val="22"/>
          <w:lang w:val="es-419"/>
        </w:rPr>
      </w:pPr>
      <w:r w:rsidRPr="00EE24D0">
        <w:rPr>
          <w:rFonts w:eastAsia="Times New Roman" w:cs="Times New Roman"/>
          <w:sz w:val="22"/>
          <w:szCs w:val="22"/>
          <w:lang w:val="es-419"/>
        </w:rPr>
        <w:t>Fuentes de financiación y las presiones económicas</w:t>
      </w:r>
    </w:p>
    <w:p w14:paraId="27F936B2" w14:textId="1EA4FE0C" w:rsidR="007628FB" w:rsidRDefault="007628FB" w:rsidP="00113BA5">
      <w:pPr>
        <w:pStyle w:val="ListParagraph"/>
        <w:numPr>
          <w:ilvl w:val="0"/>
          <w:numId w:val="11"/>
        </w:numPr>
        <w:spacing w:line="240" w:lineRule="auto"/>
        <w:jc w:val="both"/>
        <w:rPr>
          <w:rFonts w:eastAsia="Times New Roman" w:cs="Times New Roman"/>
          <w:sz w:val="22"/>
          <w:szCs w:val="22"/>
          <w:lang w:val="es-419"/>
        </w:rPr>
      </w:pPr>
      <w:r w:rsidRPr="00EE24D0">
        <w:rPr>
          <w:rFonts w:eastAsia="Times New Roman" w:cs="Times New Roman"/>
          <w:sz w:val="22"/>
          <w:szCs w:val="22"/>
          <w:lang w:val="es-419"/>
        </w:rPr>
        <w:lastRenderedPageBreak/>
        <w:t>La cultura académica y las métricas de evaluación</w:t>
      </w:r>
    </w:p>
    <w:p w14:paraId="26D8B07D" w14:textId="77777777" w:rsidR="00EE24D0" w:rsidRPr="00EE24D0" w:rsidRDefault="00EE24D0" w:rsidP="00EE24D0">
      <w:pPr>
        <w:spacing w:line="240" w:lineRule="auto"/>
        <w:jc w:val="both"/>
        <w:rPr>
          <w:rFonts w:eastAsia="Times New Roman" w:cs="Times New Roman"/>
          <w:sz w:val="22"/>
          <w:szCs w:val="22"/>
          <w:lang w:val="es-419"/>
        </w:rPr>
      </w:pPr>
    </w:p>
    <w:p w14:paraId="794DBE0A" w14:textId="71E03370" w:rsidR="007628FB" w:rsidRPr="00EE24D0" w:rsidRDefault="002F4639" w:rsidP="007628FB">
      <w:pPr>
        <w:spacing w:line="240" w:lineRule="auto"/>
        <w:jc w:val="both"/>
        <w:rPr>
          <w:rFonts w:eastAsia="Times New Roman" w:cs="Times New Roman"/>
          <w:sz w:val="22"/>
          <w:szCs w:val="22"/>
          <w:lang w:val="es-419" w:eastAsia="en-US"/>
        </w:rPr>
      </w:pPr>
      <w:r w:rsidRPr="002F4639">
        <w:rPr>
          <w:rFonts w:eastAsia="Times New Roman" w:cs="Times New Roman"/>
          <w:sz w:val="22"/>
          <w:szCs w:val="22"/>
          <w:lang w:val="es-419"/>
        </w:rPr>
        <w:t xml:space="preserve">Los criterios de exclusión de las categorías 6 a 8 podrían estar estrechamente relacionados con variables que van más allá del ámbito individual, es decir, con variables más estructurales. </w:t>
      </w:r>
      <w:r w:rsidR="00573B6F" w:rsidRPr="00573B6F">
        <w:rPr>
          <w:rFonts w:eastAsia="Times New Roman" w:cs="Times New Roman"/>
          <w:sz w:val="22"/>
          <w:szCs w:val="22"/>
          <w:lang w:val="es-419"/>
        </w:rPr>
        <w:t xml:space="preserve">Además, este tipo de investigación requiere más recursos y un análisis más profundo para identificar las causas subyacentes de la vulnerabilidad de los autores, que ponen de manifiesto que la elección de una revista no es una decisión individual, sino que está profundamente condicionada por variables estructurales, económicas </w:t>
      </w:r>
      <w:r w:rsidR="00573B6F" w:rsidRPr="00E92378">
        <w:rPr>
          <w:rFonts w:eastAsia="Times New Roman" w:cs="Times New Roman"/>
          <w:sz w:val="22"/>
          <w:szCs w:val="22"/>
          <w:lang w:val="es-419"/>
        </w:rPr>
        <w:t>y culturales.</w:t>
      </w:r>
      <w:r w:rsidR="00E92378" w:rsidRPr="00E92378">
        <w:rPr>
          <w:rFonts w:eastAsia="Times New Roman" w:cs="Times New Roman"/>
          <w:sz w:val="22"/>
          <w:szCs w:val="22"/>
          <w:lang w:val="es-419"/>
        </w:rPr>
        <w:t xml:space="preserve"> </w:t>
      </w:r>
      <w:r w:rsidR="00E92378" w:rsidRPr="00E92378">
        <w:rPr>
          <w:rFonts w:eastAsia="Times New Roman" w:cs="Times New Roman"/>
          <w:sz w:val="22"/>
          <w:szCs w:val="22"/>
          <w:lang w:val="es-419" w:eastAsia="en-US"/>
        </w:rPr>
        <w:t>En la evaluación de algunos escenarios</w:t>
      </w:r>
      <w:r w:rsidR="00E92378" w:rsidRPr="00EE24D0">
        <w:rPr>
          <w:rFonts w:eastAsia="Times New Roman" w:cs="Times New Roman"/>
          <w:sz w:val="22"/>
          <w:szCs w:val="22"/>
          <w:lang w:val="es-419" w:eastAsia="en-US"/>
        </w:rPr>
        <w:t>, se han encontrado varias categorías relevantes que no se han tenido en cuenta en la auto</w:t>
      </w:r>
      <w:r w:rsidR="00E92378">
        <w:rPr>
          <w:rFonts w:eastAsia="Times New Roman" w:cs="Times New Roman"/>
          <w:sz w:val="22"/>
          <w:szCs w:val="22"/>
          <w:lang w:val="es-419" w:eastAsia="en-US"/>
        </w:rPr>
        <w:t xml:space="preserve"> </w:t>
      </w:r>
      <w:r w:rsidR="00E92378" w:rsidRPr="00EE24D0">
        <w:rPr>
          <w:rFonts w:eastAsia="Times New Roman" w:cs="Times New Roman"/>
          <w:sz w:val="22"/>
          <w:szCs w:val="22"/>
          <w:lang w:val="es-419" w:eastAsia="en-US"/>
        </w:rPr>
        <w:t>evaluación, debido a su relación con el modelo AHP planteado. Estas categorías engloban las barreras lingüísticas, los sesgos editoriales, las fuentes de financiación y las presiones económicas, la cultura académica que valora las métricas de evaluación y la evaluación académica (</w:t>
      </w:r>
      <w:proofErr w:type="spellStart"/>
      <w:r w:rsidR="00E92378" w:rsidRPr="00EE24D0">
        <w:rPr>
          <w:rFonts w:eastAsia="Times New Roman" w:cs="Times New Roman"/>
          <w:sz w:val="22"/>
          <w:szCs w:val="22"/>
          <w:lang w:val="es-419" w:eastAsia="en-US"/>
        </w:rPr>
        <w:t>Koerber</w:t>
      </w:r>
      <w:proofErr w:type="spellEnd"/>
      <w:r w:rsidR="00E92378" w:rsidRPr="00EE24D0">
        <w:rPr>
          <w:rFonts w:eastAsia="Times New Roman" w:cs="Times New Roman"/>
          <w:sz w:val="22"/>
          <w:szCs w:val="22"/>
          <w:lang w:val="es-419" w:eastAsia="en-US"/>
        </w:rPr>
        <w:t xml:space="preserve"> et al., 2023).</w:t>
      </w:r>
    </w:p>
    <w:p w14:paraId="0D41BD8F" w14:textId="77777777" w:rsidR="0067652E" w:rsidRPr="00EE24D0" w:rsidRDefault="0067652E" w:rsidP="00F429A3">
      <w:pPr>
        <w:spacing w:line="240" w:lineRule="auto"/>
        <w:jc w:val="center"/>
        <w:rPr>
          <w:rFonts w:eastAsia="Times New Roman" w:cs="Times New Roman"/>
          <w:b/>
          <w:sz w:val="22"/>
          <w:szCs w:val="22"/>
          <w:lang w:val="es-419"/>
        </w:rPr>
      </w:pPr>
    </w:p>
    <w:p w14:paraId="4A5CEAAB" w14:textId="16E3F640" w:rsidR="000F1251" w:rsidRPr="00EE24D0" w:rsidRDefault="00BA4C37" w:rsidP="0067652E">
      <w:pPr>
        <w:spacing w:line="240" w:lineRule="auto"/>
        <w:rPr>
          <w:rFonts w:eastAsia="Times New Roman" w:cs="Times New Roman"/>
          <w:b/>
          <w:sz w:val="22"/>
          <w:szCs w:val="22"/>
          <w:lang w:val="es-419"/>
        </w:rPr>
      </w:pPr>
      <w:r w:rsidRPr="00EE24D0">
        <w:rPr>
          <w:rFonts w:eastAsia="Times New Roman" w:cs="Times New Roman"/>
          <w:b/>
          <w:sz w:val="22"/>
          <w:szCs w:val="22"/>
          <w:lang w:val="es-419"/>
        </w:rPr>
        <w:t>Revisión bibliográfica</w:t>
      </w:r>
      <w:r w:rsidR="000F1251" w:rsidRPr="00EE24D0">
        <w:rPr>
          <w:rFonts w:eastAsia="Times New Roman" w:cs="Times New Roman"/>
          <w:b/>
          <w:sz w:val="22"/>
          <w:szCs w:val="22"/>
          <w:lang w:val="es-419"/>
        </w:rPr>
        <w:t xml:space="preserve"> de l</w:t>
      </w:r>
      <w:r w:rsidR="0005745E" w:rsidRPr="00EE24D0">
        <w:rPr>
          <w:rFonts w:eastAsia="Times New Roman" w:cs="Times New Roman"/>
          <w:b/>
          <w:sz w:val="22"/>
          <w:szCs w:val="22"/>
          <w:lang w:val="es-419"/>
        </w:rPr>
        <w:t>o</w:t>
      </w:r>
      <w:r w:rsidR="000F1251" w:rsidRPr="00EE24D0">
        <w:rPr>
          <w:rFonts w:eastAsia="Times New Roman" w:cs="Times New Roman"/>
          <w:b/>
          <w:sz w:val="22"/>
          <w:szCs w:val="22"/>
          <w:lang w:val="es-419"/>
        </w:rPr>
        <w:t xml:space="preserve">s </w:t>
      </w:r>
      <w:r w:rsidR="0005745E" w:rsidRPr="00EE24D0">
        <w:rPr>
          <w:rFonts w:eastAsia="Times New Roman" w:cs="Times New Roman"/>
          <w:b/>
          <w:sz w:val="22"/>
          <w:szCs w:val="22"/>
          <w:lang w:val="es-419"/>
        </w:rPr>
        <w:t>riesgos</w:t>
      </w:r>
    </w:p>
    <w:p w14:paraId="52EB51DA" w14:textId="77777777" w:rsidR="009D5859" w:rsidRPr="00EE24D0" w:rsidRDefault="009D5859" w:rsidP="0067652E">
      <w:pPr>
        <w:spacing w:line="240" w:lineRule="auto"/>
        <w:rPr>
          <w:rFonts w:eastAsia="Times New Roman" w:cs="Times New Roman"/>
          <w:b/>
          <w:sz w:val="22"/>
          <w:szCs w:val="22"/>
          <w:lang w:val="es-419"/>
        </w:rPr>
      </w:pPr>
    </w:p>
    <w:p w14:paraId="38D371A3" w14:textId="1DD8F4B8" w:rsidR="00A7527C" w:rsidRPr="00EE24D0" w:rsidRDefault="00894BCA" w:rsidP="00A7527C">
      <w:pPr>
        <w:spacing w:line="240" w:lineRule="auto"/>
        <w:jc w:val="both"/>
        <w:rPr>
          <w:rFonts w:eastAsia="Times New Roman" w:cs="Times New Roman"/>
          <w:bCs/>
          <w:sz w:val="22"/>
          <w:szCs w:val="22"/>
          <w:lang w:val="es-419"/>
        </w:rPr>
      </w:pPr>
      <w:r w:rsidRPr="00894BCA">
        <w:rPr>
          <w:rFonts w:eastAsia="Times New Roman" w:cs="Times New Roman"/>
          <w:sz w:val="22"/>
          <w:szCs w:val="22"/>
          <w:lang w:val="es-419"/>
        </w:rPr>
        <w:t>Las comunicaciones de las editoriales depredadoras y de vanidad suelen contener una serie de señales de alerta que, al ser identificadas, pueden proteger a los autores. Según fuentes bibliográficas, el modelo de auto</w:t>
      </w:r>
      <w:r w:rsidR="00EA7C0F">
        <w:rPr>
          <w:rFonts w:eastAsia="Times New Roman" w:cs="Times New Roman"/>
          <w:sz w:val="22"/>
          <w:szCs w:val="22"/>
          <w:lang w:val="es-419"/>
        </w:rPr>
        <w:t xml:space="preserve"> </w:t>
      </w:r>
      <w:r w:rsidRPr="00894BCA">
        <w:rPr>
          <w:rFonts w:eastAsia="Times New Roman" w:cs="Times New Roman"/>
          <w:sz w:val="22"/>
          <w:szCs w:val="22"/>
          <w:lang w:val="es-419"/>
        </w:rPr>
        <w:t>evaluación de los autores sudamericanos se basa en las cinco categorías de riesgo de las malas prácticas editoriales: argumentación del comunicado a los investigadores, presiones institucionales y promoción académica, entorno y perfil de los autores, regiones y países, alfabetización y gestión informacional mostrada en la Tabla 1.</w:t>
      </w:r>
    </w:p>
    <w:p w14:paraId="67F417F0" w14:textId="77777777" w:rsidR="00A153AD" w:rsidRPr="00EE24D0" w:rsidRDefault="00A153AD" w:rsidP="00F429A3">
      <w:pPr>
        <w:spacing w:line="240" w:lineRule="auto"/>
        <w:jc w:val="center"/>
        <w:rPr>
          <w:rFonts w:eastAsia="Times New Roman" w:cs="Times New Roman"/>
          <w:b/>
          <w:sz w:val="22"/>
          <w:szCs w:val="22"/>
          <w:lang w:val="es-419"/>
        </w:rPr>
      </w:pPr>
    </w:p>
    <w:p w14:paraId="2AA1FC58" w14:textId="4404BCF9" w:rsidR="00C5251A" w:rsidRPr="00EE24D0" w:rsidRDefault="00C5251A" w:rsidP="00C5251A">
      <w:pPr>
        <w:pStyle w:val="Caption"/>
        <w:keepNext/>
        <w:jc w:val="center"/>
        <w:rPr>
          <w:i w:val="0"/>
          <w:iCs w:val="0"/>
          <w:color w:val="auto"/>
        </w:rPr>
      </w:pPr>
      <w:r w:rsidRPr="00EE24D0">
        <w:rPr>
          <w:b/>
          <w:bCs/>
          <w:i w:val="0"/>
          <w:iCs w:val="0"/>
          <w:color w:val="auto"/>
        </w:rPr>
        <w:t xml:space="preserve">Tabla </w:t>
      </w:r>
      <w:r w:rsidRPr="00EE24D0">
        <w:rPr>
          <w:b/>
          <w:bCs/>
          <w:i w:val="0"/>
          <w:iCs w:val="0"/>
          <w:color w:val="auto"/>
        </w:rPr>
        <w:fldChar w:fldCharType="begin"/>
      </w:r>
      <w:r w:rsidRPr="00EE24D0">
        <w:rPr>
          <w:b/>
          <w:bCs/>
          <w:i w:val="0"/>
          <w:iCs w:val="0"/>
          <w:color w:val="auto"/>
        </w:rPr>
        <w:instrText xml:space="preserve"> SEQ Tabla_N° \* ARABIC </w:instrText>
      </w:r>
      <w:r w:rsidRPr="00EE24D0">
        <w:rPr>
          <w:b/>
          <w:bCs/>
          <w:i w:val="0"/>
          <w:iCs w:val="0"/>
          <w:color w:val="auto"/>
        </w:rPr>
        <w:fldChar w:fldCharType="separate"/>
      </w:r>
      <w:r w:rsidR="008422CB">
        <w:rPr>
          <w:b/>
          <w:bCs/>
          <w:i w:val="0"/>
          <w:iCs w:val="0"/>
          <w:noProof/>
          <w:color w:val="auto"/>
        </w:rPr>
        <w:t>1</w:t>
      </w:r>
      <w:r w:rsidRPr="00EE24D0">
        <w:rPr>
          <w:b/>
          <w:bCs/>
          <w:i w:val="0"/>
          <w:iCs w:val="0"/>
          <w:color w:val="auto"/>
        </w:rPr>
        <w:fldChar w:fldCharType="end"/>
      </w:r>
      <w:r w:rsidRPr="00EE24D0">
        <w:rPr>
          <w:b/>
          <w:bCs/>
          <w:i w:val="0"/>
          <w:iCs w:val="0"/>
          <w:color w:val="auto"/>
        </w:rPr>
        <w:t xml:space="preserve">: </w:t>
      </w:r>
      <w:r w:rsidRPr="00EE24D0">
        <w:rPr>
          <w:i w:val="0"/>
          <w:iCs w:val="0"/>
          <w:color w:val="auto"/>
        </w:rPr>
        <w:t>Taxonomía de las categorías de riesgo</w:t>
      </w:r>
    </w:p>
    <w:tbl>
      <w:tblPr>
        <w:tblStyle w:val="ListTable2-Accent3"/>
        <w:tblW w:w="0" w:type="auto"/>
        <w:jc w:val="center"/>
        <w:tblLook w:val="04A0" w:firstRow="1" w:lastRow="0" w:firstColumn="1" w:lastColumn="0" w:noHBand="0" w:noVBand="1"/>
      </w:tblPr>
      <w:tblGrid>
        <w:gridCol w:w="2269"/>
        <w:gridCol w:w="3401"/>
        <w:gridCol w:w="2127"/>
      </w:tblGrid>
      <w:tr w:rsidR="00EE24D0" w:rsidRPr="00EE24D0" w14:paraId="2E48779A" w14:textId="77777777" w:rsidTr="00C5251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9" w:type="dxa"/>
          </w:tcPr>
          <w:p w14:paraId="3A4E77DC" w14:textId="77777777" w:rsidR="0041739D" w:rsidRPr="00EE24D0" w:rsidRDefault="0041739D" w:rsidP="00C27489">
            <w:pPr>
              <w:spacing w:line="240" w:lineRule="auto"/>
              <w:jc w:val="center"/>
              <w:rPr>
                <w:rFonts w:eastAsia="Times New Roman" w:cs="Times New Roman"/>
                <w:b w:val="0"/>
                <w:sz w:val="18"/>
                <w:szCs w:val="18"/>
                <w:lang w:val="es-419"/>
              </w:rPr>
            </w:pPr>
            <w:r w:rsidRPr="00EE24D0">
              <w:rPr>
                <w:rFonts w:eastAsia="Times New Roman" w:cs="Times New Roman"/>
                <w:sz w:val="18"/>
                <w:szCs w:val="18"/>
                <w:lang w:val="es-419"/>
              </w:rPr>
              <w:t>CATEGORÍAS</w:t>
            </w:r>
          </w:p>
        </w:tc>
        <w:tc>
          <w:tcPr>
            <w:tcW w:w="3401" w:type="dxa"/>
          </w:tcPr>
          <w:p w14:paraId="6F590C62" w14:textId="77777777" w:rsidR="0041739D" w:rsidRPr="00EE24D0" w:rsidRDefault="0041739D" w:rsidP="00C27489">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8"/>
                <w:szCs w:val="18"/>
                <w:lang w:val="es-419"/>
              </w:rPr>
            </w:pPr>
            <w:r w:rsidRPr="00EE24D0">
              <w:rPr>
                <w:rFonts w:eastAsia="Times New Roman" w:cs="Times New Roman"/>
                <w:sz w:val="18"/>
                <w:szCs w:val="18"/>
                <w:lang w:val="es-419"/>
              </w:rPr>
              <w:t>SUBCATEGORÍAS</w:t>
            </w:r>
          </w:p>
        </w:tc>
        <w:tc>
          <w:tcPr>
            <w:tcW w:w="2127" w:type="dxa"/>
          </w:tcPr>
          <w:p w14:paraId="463D0729" w14:textId="77777777" w:rsidR="0041739D" w:rsidRPr="00EE24D0" w:rsidRDefault="0041739D" w:rsidP="00C27489">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8"/>
                <w:szCs w:val="18"/>
                <w:lang w:val="es-419"/>
              </w:rPr>
            </w:pPr>
            <w:r w:rsidRPr="00EE24D0">
              <w:rPr>
                <w:rFonts w:eastAsia="Times New Roman" w:cs="Times New Roman"/>
                <w:sz w:val="18"/>
                <w:szCs w:val="18"/>
                <w:lang w:val="es-419"/>
              </w:rPr>
              <w:t>CITACIÓN</w:t>
            </w:r>
          </w:p>
        </w:tc>
      </w:tr>
      <w:tr w:rsidR="00EE24D0" w:rsidRPr="00EE24D0" w14:paraId="0A6BCE0A" w14:textId="77777777" w:rsidTr="00C5251A">
        <w:trPr>
          <w:cnfStyle w:val="000000100000" w:firstRow="0" w:lastRow="0" w:firstColumn="0" w:lastColumn="0" w:oddVBand="0" w:evenVBand="0" w:oddHBand="1" w:evenHBand="0" w:firstRowFirstColumn="0" w:firstRowLastColumn="0" w:lastRowFirstColumn="0" w:lastRowLastColumn="0"/>
          <w:trHeight w:val="233"/>
          <w:jc w:val="center"/>
        </w:trPr>
        <w:tc>
          <w:tcPr>
            <w:cnfStyle w:val="001000000000" w:firstRow="0" w:lastRow="0" w:firstColumn="1" w:lastColumn="0" w:oddVBand="0" w:evenVBand="0" w:oddHBand="0" w:evenHBand="0" w:firstRowFirstColumn="0" w:firstRowLastColumn="0" w:lastRowFirstColumn="0" w:lastRowLastColumn="0"/>
            <w:tcW w:w="2269" w:type="dxa"/>
            <w:vMerge w:val="restart"/>
            <w:shd w:val="clear" w:color="auto" w:fill="E7E6E6" w:themeFill="background2"/>
          </w:tcPr>
          <w:p w14:paraId="2D212244" w14:textId="6D9CCA7E" w:rsidR="00A4594F" w:rsidRPr="00EE24D0" w:rsidRDefault="00A4594F" w:rsidP="00C27489">
            <w:pPr>
              <w:pStyle w:val="ListParagraph"/>
              <w:numPr>
                <w:ilvl w:val="0"/>
                <w:numId w:val="1"/>
              </w:numPr>
              <w:spacing w:line="240" w:lineRule="auto"/>
              <w:ind w:left="313" w:hanging="313"/>
              <w:jc w:val="both"/>
              <w:rPr>
                <w:rFonts w:eastAsia="Times New Roman" w:cs="Times New Roman"/>
                <w:bCs w:val="0"/>
                <w:sz w:val="18"/>
                <w:szCs w:val="18"/>
                <w:lang w:val="es-419"/>
              </w:rPr>
            </w:pPr>
            <w:r w:rsidRPr="00EE24D0">
              <w:rPr>
                <w:rFonts w:eastAsia="Times New Roman" w:cs="Times New Roman"/>
                <w:sz w:val="18"/>
                <w:szCs w:val="18"/>
                <w:lang w:val="es-419"/>
              </w:rPr>
              <w:t>Argumentación del comunicado a los investigadores</w:t>
            </w:r>
            <w:r w:rsidR="0057236D" w:rsidRPr="00EE24D0">
              <w:rPr>
                <w:rFonts w:eastAsia="Times New Roman" w:cs="Times New Roman"/>
                <w:sz w:val="18"/>
                <w:szCs w:val="18"/>
                <w:lang w:val="es-419"/>
              </w:rPr>
              <w:t xml:space="preserve"> (C1)</w:t>
            </w:r>
          </w:p>
        </w:tc>
        <w:tc>
          <w:tcPr>
            <w:tcW w:w="3401" w:type="dxa"/>
            <w:shd w:val="clear" w:color="auto" w:fill="E7E6E6" w:themeFill="background2"/>
          </w:tcPr>
          <w:p w14:paraId="6B2C63F1" w14:textId="45A1FD6E" w:rsidR="00A4594F" w:rsidRPr="00EE24D0" w:rsidRDefault="00A4594F"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Plazos irreales</w:t>
            </w:r>
          </w:p>
        </w:tc>
        <w:tc>
          <w:tcPr>
            <w:tcW w:w="2127" w:type="dxa"/>
            <w:vMerge w:val="restart"/>
            <w:shd w:val="clear" w:color="auto" w:fill="E7E6E6" w:themeFill="background2"/>
          </w:tcPr>
          <w:p w14:paraId="2102FB34" w14:textId="77777777" w:rsidR="00A4594F" w:rsidRPr="00EE24D0" w:rsidRDefault="00A4594F"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(Elmore y Weston, 2020)</w:t>
            </w:r>
          </w:p>
        </w:tc>
      </w:tr>
      <w:tr w:rsidR="00EE24D0" w:rsidRPr="00EE24D0" w14:paraId="1DC04990" w14:textId="77777777" w:rsidTr="00C5251A">
        <w:trPr>
          <w:trHeight w:val="184"/>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38B4D088" w14:textId="77777777" w:rsidR="00A4594F" w:rsidRPr="00EE24D0" w:rsidRDefault="00A4594F"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E7E6E6" w:themeFill="background2"/>
          </w:tcPr>
          <w:p w14:paraId="0BB0CFE5" w14:textId="1381BA9B" w:rsidR="00A4594F" w:rsidRPr="00EE24D0" w:rsidRDefault="0068030C"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Aceptación garantizada</w:t>
            </w:r>
          </w:p>
        </w:tc>
        <w:tc>
          <w:tcPr>
            <w:tcW w:w="2127" w:type="dxa"/>
            <w:vMerge/>
          </w:tcPr>
          <w:p w14:paraId="1924398B" w14:textId="77777777" w:rsidR="00A4594F" w:rsidRPr="00EE24D0" w:rsidRDefault="00A4594F"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r w:rsidR="00EE24D0" w:rsidRPr="00EE24D0" w14:paraId="2116E695" w14:textId="77777777" w:rsidTr="00C5251A">
        <w:trPr>
          <w:cnfStyle w:val="000000100000" w:firstRow="0" w:lastRow="0" w:firstColumn="0" w:lastColumn="0" w:oddVBand="0" w:evenVBand="0" w:oddHBand="1" w:evenHBand="0" w:firstRowFirstColumn="0" w:firstRowLastColumn="0" w:lastRowFirstColumn="0" w:lastRowLastColumn="0"/>
          <w:trHeight w:val="38"/>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6E5E8483" w14:textId="77777777" w:rsidR="00A4594F" w:rsidRPr="00EE24D0" w:rsidRDefault="00A4594F"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E7E6E6" w:themeFill="background2"/>
          </w:tcPr>
          <w:p w14:paraId="3B0E8263" w14:textId="62043C23" w:rsidR="00A4594F" w:rsidRPr="00EE24D0" w:rsidRDefault="00103037"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 xml:space="preserve">Métricas difíciles de comprobar </w:t>
            </w:r>
          </w:p>
        </w:tc>
        <w:tc>
          <w:tcPr>
            <w:tcW w:w="2127" w:type="dxa"/>
            <w:vMerge/>
          </w:tcPr>
          <w:p w14:paraId="36ACDFEA" w14:textId="77777777" w:rsidR="00A4594F" w:rsidRPr="00EE24D0" w:rsidRDefault="00A4594F"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p>
        </w:tc>
      </w:tr>
      <w:tr w:rsidR="00EE24D0" w:rsidRPr="00EE24D0" w14:paraId="69AC7752" w14:textId="77777777" w:rsidTr="00C5251A">
        <w:trPr>
          <w:trHeight w:val="155"/>
          <w:jc w:val="center"/>
        </w:trPr>
        <w:tc>
          <w:tcPr>
            <w:cnfStyle w:val="001000000000" w:firstRow="0" w:lastRow="0" w:firstColumn="1" w:lastColumn="0" w:oddVBand="0" w:evenVBand="0" w:oddHBand="0" w:evenHBand="0" w:firstRowFirstColumn="0" w:firstRowLastColumn="0" w:lastRowFirstColumn="0" w:lastRowLastColumn="0"/>
            <w:tcW w:w="2269" w:type="dxa"/>
            <w:vMerge w:val="restart"/>
          </w:tcPr>
          <w:p w14:paraId="64CC086F" w14:textId="41B4F0E6"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r w:rsidRPr="00EE24D0">
              <w:rPr>
                <w:rFonts w:eastAsia="Times New Roman" w:cs="Times New Roman"/>
                <w:sz w:val="18"/>
                <w:szCs w:val="18"/>
                <w:lang w:val="es-419"/>
              </w:rPr>
              <w:t>Presiones institucionales y promoción académica</w:t>
            </w:r>
            <w:r w:rsidR="0057236D" w:rsidRPr="00EE24D0">
              <w:rPr>
                <w:rFonts w:eastAsia="Times New Roman" w:cs="Times New Roman"/>
                <w:sz w:val="18"/>
                <w:szCs w:val="18"/>
                <w:lang w:val="es-419"/>
              </w:rPr>
              <w:t xml:space="preserve"> (C2)</w:t>
            </w:r>
          </w:p>
        </w:tc>
        <w:tc>
          <w:tcPr>
            <w:tcW w:w="3401" w:type="dxa"/>
          </w:tcPr>
          <w:p w14:paraId="026C6A03" w14:textId="239BF241" w:rsidR="00EB3388" w:rsidRPr="00EE24D0" w:rsidRDefault="00EB3388"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Políticas de evaluación</w:t>
            </w:r>
          </w:p>
        </w:tc>
        <w:tc>
          <w:tcPr>
            <w:tcW w:w="2127" w:type="dxa"/>
            <w:vMerge w:val="restart"/>
          </w:tcPr>
          <w:p w14:paraId="142BA6D8" w14:textId="77777777" w:rsidR="00EB3388" w:rsidRPr="00EE24D0" w:rsidRDefault="00EB3388"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w:t>
            </w:r>
            <w:proofErr w:type="spellStart"/>
            <w:r w:rsidRPr="00EE24D0">
              <w:rPr>
                <w:rFonts w:eastAsia="Times New Roman" w:cs="Times New Roman"/>
                <w:bCs/>
                <w:sz w:val="18"/>
                <w:szCs w:val="18"/>
                <w:lang w:val="es-419"/>
              </w:rPr>
              <w:t>Talari</w:t>
            </w:r>
            <w:proofErr w:type="spellEnd"/>
            <w:r w:rsidRPr="00EE24D0">
              <w:rPr>
                <w:rFonts w:eastAsia="Times New Roman" w:cs="Times New Roman"/>
                <w:bCs/>
                <w:sz w:val="18"/>
                <w:szCs w:val="18"/>
                <w:lang w:val="es-419"/>
              </w:rPr>
              <w:t xml:space="preserve"> y </w:t>
            </w:r>
            <w:proofErr w:type="spellStart"/>
            <w:r w:rsidRPr="00EE24D0">
              <w:rPr>
                <w:rFonts w:eastAsia="Times New Roman" w:cs="Times New Roman"/>
                <w:bCs/>
                <w:sz w:val="18"/>
                <w:szCs w:val="18"/>
                <w:lang w:val="es-419"/>
              </w:rPr>
              <w:t>Ravindran</w:t>
            </w:r>
            <w:proofErr w:type="spellEnd"/>
            <w:r w:rsidRPr="00EE24D0">
              <w:rPr>
                <w:rFonts w:eastAsia="Times New Roman" w:cs="Times New Roman"/>
                <w:bCs/>
                <w:sz w:val="18"/>
                <w:szCs w:val="18"/>
                <w:lang w:val="es-419"/>
              </w:rPr>
              <w:t>, 2023)</w:t>
            </w:r>
          </w:p>
        </w:tc>
      </w:tr>
      <w:tr w:rsidR="00EE24D0" w:rsidRPr="00EE24D0" w14:paraId="6EA8B3B9" w14:textId="77777777" w:rsidTr="00B20082">
        <w:trPr>
          <w:cnfStyle w:val="000000100000" w:firstRow="0" w:lastRow="0" w:firstColumn="0" w:lastColumn="0" w:oddVBand="0" w:evenVBand="0" w:oddHBand="1" w:evenHBand="0" w:firstRowFirstColumn="0" w:firstRowLastColumn="0" w:lastRowFirstColumn="0" w:lastRowLastColumn="0"/>
          <w:trHeight w:val="205"/>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6D27089E" w14:textId="77777777"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auto"/>
          </w:tcPr>
          <w:p w14:paraId="0D8276CF" w14:textId="277B52F5" w:rsidR="00EB3388" w:rsidRPr="00EE24D0" w:rsidRDefault="00FA0383"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Exigencias académicas</w:t>
            </w:r>
          </w:p>
        </w:tc>
        <w:tc>
          <w:tcPr>
            <w:tcW w:w="2127" w:type="dxa"/>
            <w:vMerge/>
            <w:shd w:val="clear" w:color="auto" w:fill="auto"/>
          </w:tcPr>
          <w:p w14:paraId="61149BC5" w14:textId="77777777" w:rsidR="00EB3388" w:rsidRPr="00EE24D0" w:rsidRDefault="00EB3388"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p>
        </w:tc>
      </w:tr>
      <w:tr w:rsidR="00EE24D0" w:rsidRPr="00EE24D0" w14:paraId="673B8A7F" w14:textId="77777777" w:rsidTr="00C5251A">
        <w:trPr>
          <w:trHeight w:val="38"/>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732D0898" w14:textId="77777777"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tcPr>
          <w:p w14:paraId="21AFACCD" w14:textId="5A6BE024" w:rsidR="00EB3388" w:rsidRPr="00EE24D0" w:rsidRDefault="0057236D"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Respaldo</w:t>
            </w:r>
            <w:r w:rsidR="00D56BD7" w:rsidRPr="00EE24D0">
              <w:rPr>
                <w:rFonts w:eastAsia="Times New Roman" w:cs="Times New Roman"/>
                <w:bCs/>
                <w:sz w:val="18"/>
                <w:szCs w:val="18"/>
                <w:lang w:val="es-419"/>
              </w:rPr>
              <w:t xml:space="preserve"> institucional </w:t>
            </w:r>
            <w:r w:rsidRPr="00EE24D0">
              <w:rPr>
                <w:rFonts w:eastAsia="Times New Roman" w:cs="Times New Roman"/>
                <w:bCs/>
                <w:sz w:val="18"/>
                <w:szCs w:val="18"/>
                <w:lang w:val="es-419"/>
              </w:rPr>
              <w:t>acerca de</w:t>
            </w:r>
            <w:r w:rsidR="00D56BD7" w:rsidRPr="00EE24D0">
              <w:rPr>
                <w:rFonts w:eastAsia="Times New Roman" w:cs="Times New Roman"/>
                <w:bCs/>
                <w:sz w:val="18"/>
                <w:szCs w:val="18"/>
                <w:lang w:val="es-419"/>
              </w:rPr>
              <w:t xml:space="preserve"> buenas prácticas</w:t>
            </w:r>
            <w:r w:rsidRPr="00EE24D0">
              <w:rPr>
                <w:rFonts w:eastAsia="Times New Roman" w:cs="Times New Roman"/>
                <w:bCs/>
                <w:sz w:val="18"/>
                <w:szCs w:val="18"/>
                <w:lang w:val="es-419"/>
              </w:rPr>
              <w:t xml:space="preserve"> académicas</w:t>
            </w:r>
          </w:p>
        </w:tc>
        <w:tc>
          <w:tcPr>
            <w:tcW w:w="2127" w:type="dxa"/>
            <w:vMerge/>
          </w:tcPr>
          <w:p w14:paraId="6B84F86E" w14:textId="77777777" w:rsidR="00EB3388" w:rsidRPr="00EE24D0" w:rsidRDefault="00EB3388"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r w:rsidR="00EE24D0" w:rsidRPr="00EE24D0" w14:paraId="7073AAA4" w14:textId="77777777" w:rsidTr="00C5251A">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2269" w:type="dxa"/>
            <w:vMerge w:val="restart"/>
            <w:shd w:val="clear" w:color="auto" w:fill="D0CECE" w:themeFill="background2" w:themeFillShade="E6"/>
          </w:tcPr>
          <w:p w14:paraId="186A873E" w14:textId="3BBCB94E" w:rsidR="003E61BC" w:rsidRPr="00EE24D0" w:rsidRDefault="003E61BC" w:rsidP="00C27489">
            <w:pPr>
              <w:pStyle w:val="ListParagraph"/>
              <w:numPr>
                <w:ilvl w:val="0"/>
                <w:numId w:val="1"/>
              </w:numPr>
              <w:spacing w:line="240" w:lineRule="auto"/>
              <w:ind w:left="313" w:hanging="313"/>
              <w:jc w:val="both"/>
              <w:rPr>
                <w:rFonts w:eastAsia="Times New Roman" w:cs="Times New Roman"/>
                <w:bCs w:val="0"/>
                <w:sz w:val="18"/>
                <w:szCs w:val="18"/>
                <w:lang w:val="es-419"/>
              </w:rPr>
            </w:pPr>
            <w:r w:rsidRPr="00EE24D0">
              <w:rPr>
                <w:rFonts w:eastAsia="Times New Roman" w:cs="Times New Roman"/>
                <w:sz w:val="18"/>
                <w:szCs w:val="18"/>
                <w:lang w:val="es-419"/>
              </w:rPr>
              <w:t>Entorno y perfil de los autores (C3)</w:t>
            </w:r>
          </w:p>
        </w:tc>
        <w:tc>
          <w:tcPr>
            <w:tcW w:w="3401" w:type="dxa"/>
            <w:shd w:val="clear" w:color="auto" w:fill="D0CECE" w:themeFill="background2" w:themeFillShade="E6"/>
          </w:tcPr>
          <w:p w14:paraId="49D31211" w14:textId="6A60BF7F" w:rsidR="003E61BC" w:rsidRPr="00EE24D0" w:rsidRDefault="003E61BC"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Campo científico p. ej. ciencias sociales</w:t>
            </w:r>
          </w:p>
        </w:tc>
        <w:tc>
          <w:tcPr>
            <w:tcW w:w="2127" w:type="dxa"/>
            <w:vMerge w:val="restart"/>
            <w:shd w:val="clear" w:color="auto" w:fill="D0CECE" w:themeFill="background2" w:themeFillShade="E6"/>
          </w:tcPr>
          <w:p w14:paraId="4168E706" w14:textId="77777777" w:rsidR="003E61BC" w:rsidRPr="00EE24D0" w:rsidRDefault="003E61BC"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w:t>
            </w:r>
            <w:proofErr w:type="spellStart"/>
            <w:r w:rsidRPr="00EE24D0">
              <w:rPr>
                <w:rFonts w:eastAsia="Times New Roman" w:cs="Times New Roman"/>
                <w:bCs/>
                <w:sz w:val="18"/>
                <w:szCs w:val="18"/>
                <w:lang w:val="es-419"/>
              </w:rPr>
              <w:t>Mertkan</w:t>
            </w:r>
            <w:proofErr w:type="spellEnd"/>
            <w:r w:rsidRPr="00EE24D0">
              <w:rPr>
                <w:rFonts w:eastAsia="Times New Roman" w:cs="Times New Roman"/>
                <w:bCs/>
                <w:sz w:val="18"/>
                <w:szCs w:val="18"/>
                <w:lang w:val="es-419"/>
              </w:rPr>
              <w:t xml:space="preserve"> et al., 2021)</w:t>
            </w:r>
          </w:p>
        </w:tc>
      </w:tr>
      <w:tr w:rsidR="00EE24D0" w:rsidRPr="00EE24D0" w14:paraId="61F25A2A" w14:textId="77777777" w:rsidTr="00C5251A">
        <w:trPr>
          <w:trHeight w:val="134"/>
          <w:jc w:val="center"/>
        </w:trPr>
        <w:tc>
          <w:tcPr>
            <w:cnfStyle w:val="001000000000" w:firstRow="0" w:lastRow="0" w:firstColumn="1" w:lastColumn="0" w:oddVBand="0" w:evenVBand="0" w:oddHBand="0" w:evenHBand="0" w:firstRowFirstColumn="0" w:firstRowLastColumn="0" w:lastRowFirstColumn="0" w:lastRowLastColumn="0"/>
            <w:tcW w:w="2269" w:type="dxa"/>
            <w:vMerge/>
            <w:shd w:val="clear" w:color="auto" w:fill="D0CECE" w:themeFill="background2" w:themeFillShade="E6"/>
          </w:tcPr>
          <w:p w14:paraId="196F3829" w14:textId="77777777" w:rsidR="003E61BC" w:rsidRPr="00EE24D0" w:rsidRDefault="003E61BC"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D0CECE" w:themeFill="background2" w:themeFillShade="E6"/>
          </w:tcPr>
          <w:p w14:paraId="5ACA31F1" w14:textId="7191F9EA" w:rsidR="003E61BC" w:rsidRPr="00EE24D0" w:rsidRDefault="003E61BC"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Factores éticos, psicológicos y culturales</w:t>
            </w:r>
          </w:p>
        </w:tc>
        <w:tc>
          <w:tcPr>
            <w:tcW w:w="2127" w:type="dxa"/>
            <w:vMerge/>
            <w:shd w:val="clear" w:color="auto" w:fill="D0CECE" w:themeFill="background2" w:themeFillShade="E6"/>
          </w:tcPr>
          <w:p w14:paraId="19EADB78" w14:textId="77777777" w:rsidR="003E61BC" w:rsidRPr="00EE24D0" w:rsidRDefault="003E61BC"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r w:rsidR="00EE24D0" w:rsidRPr="00EE24D0" w14:paraId="5C2951AC" w14:textId="77777777" w:rsidTr="00C5251A">
        <w:trPr>
          <w:cnfStyle w:val="000000100000" w:firstRow="0" w:lastRow="0" w:firstColumn="0" w:lastColumn="0" w:oddVBand="0" w:evenVBand="0" w:oddHBand="1" w:evenHBand="0" w:firstRowFirstColumn="0" w:firstRowLastColumn="0" w:lastRowFirstColumn="0" w:lastRowLastColumn="0"/>
          <w:trHeight w:val="148"/>
          <w:jc w:val="center"/>
        </w:trPr>
        <w:tc>
          <w:tcPr>
            <w:cnfStyle w:val="001000000000" w:firstRow="0" w:lastRow="0" w:firstColumn="1" w:lastColumn="0" w:oddVBand="0" w:evenVBand="0" w:oddHBand="0" w:evenHBand="0" w:firstRowFirstColumn="0" w:firstRowLastColumn="0" w:lastRowFirstColumn="0" w:lastRowLastColumn="0"/>
            <w:tcW w:w="2269" w:type="dxa"/>
            <w:vMerge/>
            <w:shd w:val="clear" w:color="auto" w:fill="D0CECE" w:themeFill="background2" w:themeFillShade="E6"/>
          </w:tcPr>
          <w:p w14:paraId="59A34BF2" w14:textId="77777777" w:rsidR="003E61BC" w:rsidRPr="00EE24D0" w:rsidRDefault="003E61BC"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D0CECE" w:themeFill="background2" w:themeFillShade="E6"/>
          </w:tcPr>
          <w:p w14:paraId="68A57AB9" w14:textId="47260A75" w:rsidR="003E61BC" w:rsidRPr="00EE24D0" w:rsidRDefault="003E61BC"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Función o rol colegiado</w:t>
            </w:r>
          </w:p>
        </w:tc>
        <w:tc>
          <w:tcPr>
            <w:tcW w:w="2127" w:type="dxa"/>
            <w:vMerge/>
            <w:shd w:val="clear" w:color="auto" w:fill="D0CECE" w:themeFill="background2" w:themeFillShade="E6"/>
          </w:tcPr>
          <w:p w14:paraId="2F61F60E" w14:textId="77777777" w:rsidR="003E61BC" w:rsidRPr="00EE24D0" w:rsidRDefault="003E61BC"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p>
        </w:tc>
      </w:tr>
      <w:tr w:rsidR="00EE24D0" w:rsidRPr="00EE24D0" w14:paraId="083469E9" w14:textId="77777777" w:rsidTr="00C5251A">
        <w:trPr>
          <w:trHeight w:val="261"/>
          <w:jc w:val="center"/>
        </w:trPr>
        <w:tc>
          <w:tcPr>
            <w:cnfStyle w:val="001000000000" w:firstRow="0" w:lastRow="0" w:firstColumn="1" w:lastColumn="0" w:oddVBand="0" w:evenVBand="0" w:oddHBand="0" w:evenHBand="0" w:firstRowFirstColumn="0" w:firstRowLastColumn="0" w:lastRowFirstColumn="0" w:lastRowLastColumn="0"/>
            <w:tcW w:w="2269" w:type="dxa"/>
            <w:vMerge/>
            <w:shd w:val="clear" w:color="auto" w:fill="D0CECE" w:themeFill="background2" w:themeFillShade="E6"/>
          </w:tcPr>
          <w:p w14:paraId="6470EBA5" w14:textId="77777777" w:rsidR="003E61BC" w:rsidRPr="00EE24D0" w:rsidRDefault="003E61BC"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D0CECE" w:themeFill="background2" w:themeFillShade="E6"/>
          </w:tcPr>
          <w:p w14:paraId="5B0D13AC" w14:textId="77777777" w:rsidR="003E61BC" w:rsidRPr="00EE24D0" w:rsidRDefault="003E61BC" w:rsidP="003E61BC">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Etapa de la carrera</w:t>
            </w:r>
          </w:p>
        </w:tc>
        <w:tc>
          <w:tcPr>
            <w:tcW w:w="2127" w:type="dxa"/>
            <w:vMerge/>
            <w:shd w:val="clear" w:color="auto" w:fill="D0CECE" w:themeFill="background2" w:themeFillShade="E6"/>
          </w:tcPr>
          <w:p w14:paraId="1FB89B8E" w14:textId="77777777" w:rsidR="003E61BC" w:rsidRPr="00EE24D0" w:rsidRDefault="003E61BC"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r w:rsidR="00EE24D0" w:rsidRPr="00EE24D0" w14:paraId="20D425D4" w14:textId="77777777" w:rsidTr="00B20082">
        <w:trPr>
          <w:cnfStyle w:val="000000100000" w:firstRow="0" w:lastRow="0" w:firstColumn="0" w:lastColumn="0" w:oddVBand="0" w:evenVBand="0" w:oddHBand="1" w:evenHBand="0" w:firstRowFirstColumn="0" w:firstRowLastColumn="0" w:lastRowFirstColumn="0" w:lastRowLastColumn="0"/>
          <w:trHeight w:val="127"/>
          <w:jc w:val="center"/>
        </w:trPr>
        <w:tc>
          <w:tcPr>
            <w:cnfStyle w:val="001000000000" w:firstRow="0" w:lastRow="0" w:firstColumn="1" w:lastColumn="0" w:oddVBand="0" w:evenVBand="0" w:oddHBand="0" w:evenHBand="0" w:firstRowFirstColumn="0" w:firstRowLastColumn="0" w:lastRowFirstColumn="0" w:lastRowLastColumn="0"/>
            <w:tcW w:w="2269" w:type="dxa"/>
            <w:vMerge w:val="restart"/>
            <w:shd w:val="clear" w:color="auto" w:fill="auto"/>
          </w:tcPr>
          <w:p w14:paraId="20665123" w14:textId="26F037A6" w:rsidR="00855537" w:rsidRPr="00B20082" w:rsidRDefault="00855537" w:rsidP="00C27489">
            <w:pPr>
              <w:pStyle w:val="ListParagraph"/>
              <w:numPr>
                <w:ilvl w:val="0"/>
                <w:numId w:val="1"/>
              </w:numPr>
              <w:spacing w:line="240" w:lineRule="auto"/>
              <w:ind w:left="313" w:hanging="313"/>
              <w:jc w:val="both"/>
              <w:rPr>
                <w:rFonts w:eastAsia="Times New Roman" w:cs="Times New Roman"/>
                <w:bCs w:val="0"/>
                <w:sz w:val="18"/>
                <w:szCs w:val="18"/>
                <w:lang w:val="es-419"/>
              </w:rPr>
            </w:pPr>
            <w:r w:rsidRPr="00B20082">
              <w:rPr>
                <w:rFonts w:eastAsia="Times New Roman" w:cs="Times New Roman"/>
                <w:sz w:val="18"/>
                <w:szCs w:val="18"/>
                <w:lang w:val="es-419"/>
              </w:rPr>
              <w:t>Regiones y países</w:t>
            </w:r>
            <w:r w:rsidR="0057236D" w:rsidRPr="00B20082">
              <w:rPr>
                <w:rFonts w:eastAsia="Times New Roman" w:cs="Times New Roman"/>
                <w:sz w:val="18"/>
                <w:szCs w:val="18"/>
                <w:lang w:val="es-419"/>
              </w:rPr>
              <w:t xml:space="preserve"> (C4)</w:t>
            </w:r>
          </w:p>
        </w:tc>
        <w:tc>
          <w:tcPr>
            <w:tcW w:w="3401" w:type="dxa"/>
            <w:shd w:val="clear" w:color="auto" w:fill="auto"/>
          </w:tcPr>
          <w:p w14:paraId="1043736D" w14:textId="57589AEA" w:rsidR="00855537" w:rsidRPr="00EE24D0" w:rsidRDefault="00855537"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Europa Central y del Este</w:t>
            </w:r>
          </w:p>
        </w:tc>
        <w:tc>
          <w:tcPr>
            <w:tcW w:w="2127" w:type="dxa"/>
            <w:vMerge w:val="restart"/>
            <w:shd w:val="clear" w:color="auto" w:fill="auto"/>
          </w:tcPr>
          <w:p w14:paraId="06AFC98F" w14:textId="77777777" w:rsidR="00855537" w:rsidRPr="00EE24D0" w:rsidRDefault="00855537"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w:t>
            </w:r>
            <w:proofErr w:type="spellStart"/>
            <w:r w:rsidRPr="00EE24D0">
              <w:rPr>
                <w:rFonts w:eastAsia="Times New Roman" w:cs="Times New Roman"/>
                <w:bCs/>
                <w:sz w:val="18"/>
                <w:szCs w:val="18"/>
                <w:lang w:val="es-419"/>
              </w:rPr>
              <w:t>Vakil</w:t>
            </w:r>
            <w:proofErr w:type="spellEnd"/>
            <w:r w:rsidRPr="00EE24D0">
              <w:rPr>
                <w:rFonts w:eastAsia="Times New Roman" w:cs="Times New Roman"/>
                <w:bCs/>
                <w:sz w:val="18"/>
                <w:szCs w:val="18"/>
                <w:lang w:val="es-419"/>
              </w:rPr>
              <w:t>, 2019)</w:t>
            </w:r>
          </w:p>
        </w:tc>
      </w:tr>
      <w:tr w:rsidR="00EE24D0" w:rsidRPr="00EE24D0" w14:paraId="6ADF0113" w14:textId="77777777" w:rsidTr="00C5251A">
        <w:trPr>
          <w:trHeight w:val="113"/>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7EBD2FA2" w14:textId="77777777" w:rsidR="00855537" w:rsidRPr="00EE24D0" w:rsidRDefault="00855537"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tcPr>
          <w:p w14:paraId="3AD950EA" w14:textId="57BB9EC6" w:rsidR="00855537" w:rsidRPr="00EE24D0" w:rsidRDefault="00855537"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Asia y África</w:t>
            </w:r>
          </w:p>
        </w:tc>
        <w:tc>
          <w:tcPr>
            <w:tcW w:w="2127" w:type="dxa"/>
            <w:vMerge/>
          </w:tcPr>
          <w:p w14:paraId="3E01EC9C" w14:textId="77777777" w:rsidR="00855537" w:rsidRPr="00EE24D0" w:rsidRDefault="00855537"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r w:rsidR="00EE24D0" w:rsidRPr="00EE24D0" w14:paraId="4C11292E" w14:textId="77777777" w:rsidTr="00B20082">
        <w:trPr>
          <w:cnfStyle w:val="000000100000" w:firstRow="0" w:lastRow="0" w:firstColumn="0" w:lastColumn="0" w:oddVBand="0" w:evenVBand="0" w:oddHBand="1" w:evenHBand="0" w:firstRowFirstColumn="0" w:firstRowLastColumn="0" w:lastRowFirstColumn="0" w:lastRowLastColumn="0"/>
          <w:trHeight w:val="92"/>
          <w:jc w:val="center"/>
        </w:trPr>
        <w:tc>
          <w:tcPr>
            <w:cnfStyle w:val="001000000000" w:firstRow="0" w:lastRow="0" w:firstColumn="1" w:lastColumn="0" w:oddVBand="0" w:evenVBand="0" w:oddHBand="0" w:evenHBand="0" w:firstRowFirstColumn="0" w:firstRowLastColumn="0" w:lastRowFirstColumn="0" w:lastRowLastColumn="0"/>
            <w:tcW w:w="2269" w:type="dxa"/>
            <w:vMerge/>
            <w:shd w:val="clear" w:color="auto" w:fill="auto"/>
          </w:tcPr>
          <w:p w14:paraId="4BE0159F" w14:textId="77777777" w:rsidR="00855537" w:rsidRPr="00EE24D0" w:rsidRDefault="00855537"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auto"/>
          </w:tcPr>
          <w:p w14:paraId="6EAA4169" w14:textId="658001E2" w:rsidR="00855537" w:rsidRPr="00EE24D0" w:rsidRDefault="00B65082"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Bajos</w:t>
            </w:r>
            <w:r w:rsidR="006E02A5" w:rsidRPr="00EE24D0">
              <w:rPr>
                <w:rFonts w:eastAsia="Times New Roman" w:cs="Times New Roman"/>
                <w:bCs/>
                <w:sz w:val="18"/>
                <w:szCs w:val="18"/>
                <w:lang w:val="es-419"/>
              </w:rPr>
              <w:t xml:space="preserve"> índice</w:t>
            </w:r>
            <w:r w:rsidRPr="00EE24D0">
              <w:rPr>
                <w:rFonts w:eastAsia="Times New Roman" w:cs="Times New Roman"/>
                <w:bCs/>
                <w:sz w:val="18"/>
                <w:szCs w:val="18"/>
                <w:lang w:val="es-419"/>
              </w:rPr>
              <w:t>s</w:t>
            </w:r>
            <w:r w:rsidR="00DC2AA1" w:rsidRPr="00EE24D0">
              <w:rPr>
                <w:rFonts w:eastAsia="Times New Roman" w:cs="Times New Roman"/>
                <w:bCs/>
                <w:sz w:val="18"/>
                <w:szCs w:val="18"/>
                <w:lang w:val="es-419"/>
              </w:rPr>
              <w:t xml:space="preserve"> comparativos</w:t>
            </w:r>
            <w:r w:rsidRPr="00EE24D0">
              <w:rPr>
                <w:rFonts w:eastAsia="Times New Roman" w:cs="Times New Roman"/>
                <w:bCs/>
                <w:sz w:val="18"/>
                <w:szCs w:val="18"/>
                <w:lang w:val="es-419"/>
              </w:rPr>
              <w:t xml:space="preserve"> de producción </w:t>
            </w:r>
            <w:r w:rsidR="00863B96" w:rsidRPr="00EE24D0">
              <w:rPr>
                <w:rFonts w:eastAsia="Times New Roman" w:cs="Times New Roman"/>
                <w:bCs/>
                <w:sz w:val="18"/>
                <w:szCs w:val="18"/>
                <w:lang w:val="es-419"/>
              </w:rPr>
              <w:t>científica</w:t>
            </w:r>
            <w:r w:rsidR="006E02A5" w:rsidRPr="00EE24D0">
              <w:rPr>
                <w:rFonts w:eastAsia="Times New Roman" w:cs="Times New Roman"/>
                <w:bCs/>
                <w:sz w:val="18"/>
                <w:szCs w:val="18"/>
                <w:lang w:val="es-419"/>
              </w:rPr>
              <w:t xml:space="preserve"> p. ej. América Latina</w:t>
            </w:r>
          </w:p>
        </w:tc>
        <w:tc>
          <w:tcPr>
            <w:tcW w:w="2127" w:type="dxa"/>
            <w:vMerge/>
            <w:shd w:val="clear" w:color="auto" w:fill="auto"/>
          </w:tcPr>
          <w:p w14:paraId="149C5262" w14:textId="77777777" w:rsidR="00855537" w:rsidRPr="00EE24D0" w:rsidRDefault="00855537"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p>
        </w:tc>
      </w:tr>
      <w:tr w:rsidR="00EE24D0" w:rsidRPr="00EE24D0" w14:paraId="5016CDBC" w14:textId="77777777" w:rsidTr="00C5251A">
        <w:trPr>
          <w:trHeight w:val="198"/>
          <w:jc w:val="center"/>
        </w:trPr>
        <w:tc>
          <w:tcPr>
            <w:cnfStyle w:val="001000000000" w:firstRow="0" w:lastRow="0" w:firstColumn="1" w:lastColumn="0" w:oddVBand="0" w:evenVBand="0" w:oddHBand="0" w:evenHBand="0" w:firstRowFirstColumn="0" w:firstRowLastColumn="0" w:lastRowFirstColumn="0" w:lastRowLastColumn="0"/>
            <w:tcW w:w="2269" w:type="dxa"/>
            <w:vMerge w:val="restart"/>
            <w:shd w:val="clear" w:color="auto" w:fill="D0CECE" w:themeFill="background2" w:themeFillShade="E6"/>
          </w:tcPr>
          <w:p w14:paraId="05BBF64F" w14:textId="46341136"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r w:rsidRPr="00EE24D0">
              <w:rPr>
                <w:rFonts w:eastAsia="Times New Roman" w:cs="Times New Roman"/>
                <w:sz w:val="18"/>
                <w:szCs w:val="18"/>
                <w:lang w:val="es-419"/>
              </w:rPr>
              <w:t>Alfabetización y gestión informacional</w:t>
            </w:r>
            <w:r w:rsidR="0057236D" w:rsidRPr="00EE24D0">
              <w:rPr>
                <w:rFonts w:eastAsia="Times New Roman" w:cs="Times New Roman"/>
                <w:sz w:val="18"/>
                <w:szCs w:val="18"/>
                <w:lang w:val="es-419"/>
              </w:rPr>
              <w:t xml:space="preserve"> (C5)</w:t>
            </w:r>
          </w:p>
        </w:tc>
        <w:tc>
          <w:tcPr>
            <w:tcW w:w="3401" w:type="dxa"/>
            <w:shd w:val="clear" w:color="auto" w:fill="D0CECE" w:themeFill="background2" w:themeFillShade="E6"/>
          </w:tcPr>
          <w:p w14:paraId="16E4E255" w14:textId="06584428" w:rsidR="00EB3388" w:rsidRPr="00EE24D0" w:rsidRDefault="00704535"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Acceso a bases de datos reconocidas</w:t>
            </w:r>
          </w:p>
        </w:tc>
        <w:tc>
          <w:tcPr>
            <w:tcW w:w="2127" w:type="dxa"/>
            <w:vMerge w:val="restart"/>
            <w:shd w:val="clear" w:color="auto" w:fill="D0CECE" w:themeFill="background2" w:themeFillShade="E6"/>
          </w:tcPr>
          <w:p w14:paraId="65CBA21B" w14:textId="77777777" w:rsidR="00EB3388" w:rsidRPr="00EE24D0" w:rsidRDefault="00EB3388"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(Nicholas et al., 2023)</w:t>
            </w:r>
          </w:p>
        </w:tc>
      </w:tr>
      <w:tr w:rsidR="00EE24D0" w:rsidRPr="00EE24D0" w14:paraId="168E2643" w14:textId="77777777" w:rsidTr="00C5251A">
        <w:trPr>
          <w:cnfStyle w:val="000000100000" w:firstRow="0" w:lastRow="0" w:firstColumn="0" w:lastColumn="0" w:oddVBand="0" w:evenVBand="0" w:oddHBand="1" w:evenHBand="0" w:firstRowFirstColumn="0" w:firstRowLastColumn="0" w:lastRowFirstColumn="0" w:lastRowLastColumn="0"/>
          <w:trHeight w:val="127"/>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71509C93" w14:textId="77777777"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D0CECE" w:themeFill="background2" w:themeFillShade="E6"/>
          </w:tcPr>
          <w:p w14:paraId="3C93B51B" w14:textId="13AF7DDB" w:rsidR="00EB3388" w:rsidRPr="00EE24D0" w:rsidRDefault="00EE776C"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Programas de formación y sensibilización continua</w:t>
            </w:r>
            <w:r w:rsidR="006E02A5" w:rsidRPr="00EE24D0">
              <w:rPr>
                <w:rFonts w:eastAsia="Times New Roman" w:cs="Times New Roman"/>
                <w:bCs/>
                <w:sz w:val="18"/>
                <w:szCs w:val="18"/>
                <w:lang w:val="es-419"/>
              </w:rPr>
              <w:t xml:space="preserve"> p. ej. ética y calidad editorial</w:t>
            </w:r>
          </w:p>
        </w:tc>
        <w:tc>
          <w:tcPr>
            <w:tcW w:w="2127" w:type="dxa"/>
            <w:vMerge/>
          </w:tcPr>
          <w:p w14:paraId="09979079" w14:textId="77777777" w:rsidR="00EB3388" w:rsidRPr="00EE24D0" w:rsidRDefault="00EB3388" w:rsidP="00C27489">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bCs/>
                <w:sz w:val="18"/>
                <w:szCs w:val="18"/>
                <w:lang w:val="es-419"/>
              </w:rPr>
            </w:pPr>
          </w:p>
        </w:tc>
      </w:tr>
      <w:tr w:rsidR="00EE24D0" w:rsidRPr="00EE24D0" w14:paraId="51555769" w14:textId="77777777" w:rsidTr="00C5251A">
        <w:trPr>
          <w:trHeight w:val="99"/>
          <w:jc w:val="center"/>
        </w:trPr>
        <w:tc>
          <w:tcPr>
            <w:cnfStyle w:val="001000000000" w:firstRow="0" w:lastRow="0" w:firstColumn="1" w:lastColumn="0" w:oddVBand="0" w:evenVBand="0" w:oddHBand="0" w:evenHBand="0" w:firstRowFirstColumn="0" w:firstRowLastColumn="0" w:lastRowFirstColumn="0" w:lastRowLastColumn="0"/>
            <w:tcW w:w="2269" w:type="dxa"/>
            <w:vMerge/>
          </w:tcPr>
          <w:p w14:paraId="0A6C2B53" w14:textId="77777777" w:rsidR="00EB3388" w:rsidRPr="00EE24D0" w:rsidRDefault="00EB3388" w:rsidP="00C27489">
            <w:pPr>
              <w:pStyle w:val="ListParagraph"/>
              <w:numPr>
                <w:ilvl w:val="0"/>
                <w:numId w:val="1"/>
              </w:numPr>
              <w:spacing w:line="240" w:lineRule="auto"/>
              <w:ind w:left="313" w:hanging="313"/>
              <w:jc w:val="both"/>
              <w:rPr>
                <w:rFonts w:eastAsia="Times New Roman" w:cs="Times New Roman"/>
                <w:bCs w:val="0"/>
                <w:sz w:val="18"/>
                <w:szCs w:val="18"/>
                <w:lang w:val="es-419"/>
              </w:rPr>
            </w:pPr>
          </w:p>
        </w:tc>
        <w:tc>
          <w:tcPr>
            <w:tcW w:w="3401" w:type="dxa"/>
            <w:shd w:val="clear" w:color="auto" w:fill="D0CECE" w:themeFill="background2" w:themeFillShade="E6"/>
          </w:tcPr>
          <w:p w14:paraId="72C6CE3D" w14:textId="3D99BD95" w:rsidR="00EB3388" w:rsidRPr="00EE24D0" w:rsidRDefault="00EE3AD7"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r w:rsidRPr="00EE24D0">
              <w:rPr>
                <w:rFonts w:eastAsia="Times New Roman" w:cs="Times New Roman"/>
                <w:bCs/>
                <w:sz w:val="18"/>
                <w:szCs w:val="18"/>
                <w:lang w:val="es-419"/>
              </w:rPr>
              <w:t>Actualización permanente</w:t>
            </w:r>
          </w:p>
        </w:tc>
        <w:tc>
          <w:tcPr>
            <w:tcW w:w="2127" w:type="dxa"/>
            <w:vMerge/>
          </w:tcPr>
          <w:p w14:paraId="4FE2F81D" w14:textId="77777777" w:rsidR="00EB3388" w:rsidRPr="00EE24D0" w:rsidRDefault="00EB3388" w:rsidP="00C27489">
            <w:pPr>
              <w:spacing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bCs/>
                <w:sz w:val="18"/>
                <w:szCs w:val="18"/>
                <w:lang w:val="es-419"/>
              </w:rPr>
            </w:pPr>
          </w:p>
        </w:tc>
      </w:tr>
    </w:tbl>
    <w:p w14:paraId="130F4AB3" w14:textId="6574B4F9" w:rsidR="00D01422" w:rsidRPr="00EE24D0" w:rsidRDefault="00EA385F" w:rsidP="00EA385F">
      <w:pPr>
        <w:spacing w:line="240" w:lineRule="auto"/>
        <w:rPr>
          <w:rFonts w:cs="Times New Roman"/>
          <w:sz w:val="18"/>
          <w:szCs w:val="18"/>
          <w:lang w:val="es-419"/>
        </w:rPr>
      </w:pPr>
      <w:r w:rsidRPr="00EE24D0">
        <w:rPr>
          <w:rFonts w:cs="Times New Roman"/>
          <w:b/>
          <w:bCs/>
          <w:sz w:val="18"/>
          <w:szCs w:val="18"/>
          <w:lang w:val="es-419"/>
        </w:rPr>
        <w:t>Fuente:</w:t>
      </w:r>
      <w:r w:rsidRPr="00EE24D0">
        <w:rPr>
          <w:rFonts w:cs="Times New Roman"/>
          <w:sz w:val="18"/>
          <w:szCs w:val="18"/>
          <w:lang w:val="es-419"/>
        </w:rPr>
        <w:t xml:space="preserve"> Los autores, Resultados Preliminares (CC-BY-4.0)</w:t>
      </w:r>
    </w:p>
    <w:p w14:paraId="2ECF9E80" w14:textId="77777777" w:rsidR="0058384B" w:rsidRPr="00EE24D0" w:rsidRDefault="0058384B" w:rsidP="0058384B">
      <w:pPr>
        <w:spacing w:line="240" w:lineRule="auto"/>
        <w:jc w:val="both"/>
        <w:rPr>
          <w:rFonts w:cs="Times New Roman"/>
          <w:b/>
          <w:bCs/>
          <w:sz w:val="22"/>
          <w:szCs w:val="22"/>
          <w:lang w:val="es-419"/>
        </w:rPr>
      </w:pPr>
    </w:p>
    <w:p w14:paraId="73D9E6D1" w14:textId="03B6B375" w:rsidR="00416C5D" w:rsidRPr="00EE24D0" w:rsidRDefault="00CE2682" w:rsidP="00245712">
      <w:pPr>
        <w:spacing w:line="240" w:lineRule="auto"/>
        <w:rPr>
          <w:rFonts w:cs="Times New Roman"/>
          <w:b/>
          <w:bCs/>
          <w:sz w:val="22"/>
          <w:szCs w:val="22"/>
          <w:lang w:val="es-419"/>
        </w:rPr>
      </w:pPr>
      <w:r w:rsidRPr="00EE24D0">
        <w:rPr>
          <w:rFonts w:cs="Times New Roman"/>
          <w:b/>
          <w:bCs/>
          <w:sz w:val="22"/>
          <w:szCs w:val="22"/>
          <w:lang w:val="es-419"/>
        </w:rPr>
        <w:t>Categorías representativas generales</w:t>
      </w:r>
    </w:p>
    <w:p w14:paraId="64EC76A7" w14:textId="77777777" w:rsidR="00353793" w:rsidRPr="00EE24D0" w:rsidRDefault="00353793" w:rsidP="00F429A3">
      <w:pPr>
        <w:spacing w:line="240" w:lineRule="auto"/>
        <w:jc w:val="center"/>
        <w:rPr>
          <w:rFonts w:cs="Times New Roman"/>
          <w:b/>
          <w:bCs/>
          <w:sz w:val="22"/>
          <w:szCs w:val="22"/>
          <w:lang w:val="es-419"/>
        </w:rPr>
      </w:pPr>
    </w:p>
    <w:p w14:paraId="63CBAE7E" w14:textId="77777777" w:rsidR="00001FB8" w:rsidRPr="00EE24D0" w:rsidRDefault="00001FB8" w:rsidP="00F429A3">
      <w:pPr>
        <w:spacing w:line="240" w:lineRule="auto"/>
        <w:jc w:val="both"/>
        <w:rPr>
          <w:rFonts w:eastAsia="Times New Roman" w:cs="Times New Roman"/>
          <w:sz w:val="22"/>
          <w:szCs w:val="22"/>
          <w:lang w:val="es-419" w:eastAsia="en-US"/>
        </w:rPr>
      </w:pPr>
    </w:p>
    <w:p w14:paraId="0B9B03EA" w14:textId="2730EFB7" w:rsidR="00001FB8" w:rsidRPr="00EE24D0" w:rsidRDefault="00001FB8" w:rsidP="00001FB8">
      <w:pPr>
        <w:pStyle w:val="Caption"/>
        <w:keepNext/>
        <w:jc w:val="center"/>
        <w:rPr>
          <w:i w:val="0"/>
          <w:iCs w:val="0"/>
          <w:color w:val="auto"/>
        </w:rPr>
      </w:pPr>
      <w:r w:rsidRPr="00EE24D0">
        <w:rPr>
          <w:b/>
          <w:bCs/>
          <w:i w:val="0"/>
          <w:iCs w:val="0"/>
          <w:color w:val="auto"/>
        </w:rPr>
        <w:lastRenderedPageBreak/>
        <w:t xml:space="preserve">Figura </w:t>
      </w:r>
      <w:r w:rsidRPr="00EE24D0">
        <w:rPr>
          <w:b/>
          <w:bCs/>
          <w:i w:val="0"/>
          <w:iCs w:val="0"/>
          <w:color w:val="auto"/>
        </w:rPr>
        <w:fldChar w:fldCharType="begin"/>
      </w:r>
      <w:r w:rsidRPr="00EE24D0">
        <w:rPr>
          <w:b/>
          <w:bCs/>
          <w:i w:val="0"/>
          <w:iCs w:val="0"/>
          <w:color w:val="auto"/>
        </w:rPr>
        <w:instrText xml:space="preserve"> SEQ Figura \* ARABIC </w:instrText>
      </w:r>
      <w:r w:rsidRPr="00EE24D0">
        <w:rPr>
          <w:b/>
          <w:bCs/>
          <w:i w:val="0"/>
          <w:iCs w:val="0"/>
          <w:color w:val="auto"/>
        </w:rPr>
        <w:fldChar w:fldCharType="separate"/>
      </w:r>
      <w:r w:rsidRPr="00EE24D0">
        <w:rPr>
          <w:b/>
          <w:bCs/>
          <w:i w:val="0"/>
          <w:iCs w:val="0"/>
          <w:noProof/>
          <w:color w:val="auto"/>
        </w:rPr>
        <w:t>1</w:t>
      </w:r>
      <w:r w:rsidRPr="00EE24D0">
        <w:rPr>
          <w:b/>
          <w:bCs/>
          <w:i w:val="0"/>
          <w:iCs w:val="0"/>
          <w:color w:val="auto"/>
        </w:rPr>
        <w:fldChar w:fldCharType="end"/>
      </w:r>
      <w:r w:rsidRPr="00EE24D0">
        <w:rPr>
          <w:b/>
          <w:bCs/>
          <w:i w:val="0"/>
          <w:iCs w:val="0"/>
          <w:color w:val="auto"/>
        </w:rPr>
        <w:t xml:space="preserve">: </w:t>
      </w:r>
      <w:r w:rsidR="006E2DEB" w:rsidRPr="00EE24D0">
        <w:rPr>
          <w:i w:val="0"/>
          <w:iCs w:val="0"/>
          <w:color w:val="auto"/>
        </w:rPr>
        <w:t>Estructura del modelo de auto</w:t>
      </w:r>
      <w:r w:rsidR="00EA7C0F">
        <w:rPr>
          <w:i w:val="0"/>
          <w:iCs w:val="0"/>
          <w:color w:val="auto"/>
        </w:rPr>
        <w:t xml:space="preserve"> </w:t>
      </w:r>
      <w:r w:rsidR="006E2DEB" w:rsidRPr="00EE24D0">
        <w:rPr>
          <w:i w:val="0"/>
          <w:iCs w:val="0"/>
          <w:color w:val="auto"/>
        </w:rPr>
        <w:t>evaluación</w:t>
      </w:r>
    </w:p>
    <w:p w14:paraId="37C925F7" w14:textId="4C77FB43" w:rsidR="00001FB8" w:rsidRPr="00EE24D0" w:rsidRDefault="00001FB8" w:rsidP="00001FB8">
      <w:pPr>
        <w:spacing w:line="240" w:lineRule="auto"/>
        <w:jc w:val="center"/>
        <w:rPr>
          <w:rFonts w:cs="Times New Roman"/>
          <w:sz w:val="22"/>
          <w:szCs w:val="22"/>
          <w:lang w:val="es-419"/>
        </w:rPr>
      </w:pPr>
      <w:r w:rsidRPr="00EE24D0">
        <w:rPr>
          <w:rFonts w:cs="Times New Roman"/>
          <w:noProof/>
          <w:sz w:val="22"/>
          <w:szCs w:val="22"/>
          <w:lang w:val="es-419"/>
        </w:rPr>
        <w:drawing>
          <wp:inline distT="0" distB="0" distL="0" distR="0" wp14:anchorId="31EF0C23" wp14:editId="127CB25B">
            <wp:extent cx="4078232" cy="1691643"/>
            <wp:effectExtent l="0" t="0" r="0" b="3810"/>
            <wp:docPr id="1422400736" name="Picture 1" descr="La estructura del modelo de autoevaluación según el modelo de priorización AHP conforme las cinco categorías de riesgo previamente analiza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400736" name="Picture 1" descr="La estructura del modelo de autoevaluación según el modelo de priorización AHP conforme las cinco categorías de riesgo previamente analizada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78232" cy="1691643"/>
                    </a:xfrm>
                    <a:prstGeom prst="rect">
                      <a:avLst/>
                    </a:prstGeom>
                  </pic:spPr>
                </pic:pic>
              </a:graphicData>
            </a:graphic>
          </wp:inline>
        </w:drawing>
      </w:r>
    </w:p>
    <w:p w14:paraId="4B7DED63" w14:textId="42BD3099" w:rsidR="00001FB8" w:rsidRPr="00EE24D0" w:rsidRDefault="00001FB8" w:rsidP="00001FB8">
      <w:pPr>
        <w:spacing w:line="240" w:lineRule="auto"/>
        <w:rPr>
          <w:rFonts w:cs="Times New Roman"/>
          <w:sz w:val="18"/>
          <w:szCs w:val="18"/>
          <w:lang w:val="es-419"/>
        </w:rPr>
      </w:pPr>
      <w:r w:rsidRPr="00EE24D0">
        <w:rPr>
          <w:rFonts w:cs="Times New Roman"/>
          <w:sz w:val="18"/>
          <w:szCs w:val="18"/>
          <w:lang w:val="es-419"/>
        </w:rPr>
        <w:t>Fuente: Los autores, Resultados Preliminares (CC-BY-4.0)</w:t>
      </w:r>
    </w:p>
    <w:p w14:paraId="0125C174" w14:textId="77777777" w:rsidR="005F22C6" w:rsidRPr="00EE24D0" w:rsidRDefault="005F22C6" w:rsidP="00F429A3">
      <w:pPr>
        <w:spacing w:line="240" w:lineRule="auto"/>
        <w:jc w:val="center"/>
        <w:rPr>
          <w:rFonts w:cs="Times New Roman"/>
          <w:b/>
          <w:bCs/>
          <w:sz w:val="22"/>
          <w:szCs w:val="22"/>
          <w:lang w:val="es-419"/>
        </w:rPr>
      </w:pPr>
    </w:p>
    <w:p w14:paraId="7557EC62" w14:textId="29956C95" w:rsidR="00B61B1D" w:rsidRPr="00EE24D0" w:rsidRDefault="00992531" w:rsidP="006D3772">
      <w:pPr>
        <w:spacing w:line="240" w:lineRule="auto"/>
        <w:rPr>
          <w:rFonts w:cs="Times New Roman"/>
          <w:b/>
          <w:bCs/>
          <w:sz w:val="22"/>
          <w:szCs w:val="22"/>
          <w:lang w:val="es-419"/>
        </w:rPr>
      </w:pPr>
      <w:r w:rsidRPr="00EE24D0">
        <w:rPr>
          <w:rFonts w:cs="Times New Roman"/>
          <w:b/>
          <w:bCs/>
          <w:sz w:val="22"/>
          <w:szCs w:val="22"/>
          <w:lang w:val="es-419"/>
        </w:rPr>
        <w:t>P</w:t>
      </w:r>
      <w:r w:rsidR="0061071B" w:rsidRPr="00EE24D0">
        <w:rPr>
          <w:rFonts w:cs="Times New Roman"/>
          <w:b/>
          <w:bCs/>
          <w:sz w:val="22"/>
          <w:szCs w:val="22"/>
          <w:lang w:val="es-419"/>
        </w:rPr>
        <w:t>riorización de las categorías</w:t>
      </w:r>
    </w:p>
    <w:p w14:paraId="3D127650" w14:textId="77777777" w:rsidR="00AF579C" w:rsidRPr="00EE24D0" w:rsidRDefault="00AF579C" w:rsidP="0061071B">
      <w:pPr>
        <w:spacing w:line="240" w:lineRule="auto"/>
        <w:jc w:val="both"/>
        <w:rPr>
          <w:rFonts w:cs="Times New Roman"/>
          <w:sz w:val="22"/>
          <w:szCs w:val="22"/>
          <w:highlight w:val="red"/>
          <w:lang w:val="es-419" w:eastAsia="en-US"/>
        </w:rPr>
      </w:pPr>
    </w:p>
    <w:p w14:paraId="16A3A2ED" w14:textId="1EEBD5FD" w:rsidR="00B61B1D" w:rsidRDefault="00D11BA5" w:rsidP="0061071B">
      <w:pPr>
        <w:spacing w:line="240" w:lineRule="auto"/>
        <w:jc w:val="both"/>
        <w:rPr>
          <w:rFonts w:eastAsia="Times New Roman" w:cs="Times New Roman"/>
          <w:bCs/>
          <w:sz w:val="22"/>
          <w:szCs w:val="22"/>
          <w:lang w:val="es-419"/>
        </w:rPr>
      </w:pPr>
      <w:r w:rsidRPr="00D11BA5">
        <w:rPr>
          <w:rFonts w:cs="Times New Roman"/>
          <w:sz w:val="22"/>
          <w:szCs w:val="22"/>
          <w:lang w:val="es-419" w:eastAsia="en-US"/>
        </w:rPr>
        <w:t>El uso de la técnica de decisión multicriterio permite la descomposición de un problema complejo (priorizar las cinco categorías de riesgo) en una jerarquía de criterios y alternativas, facilitando así la evaluación sistemática y cuantitativa de cada una de ellas (Cordero, 2019). El modelo propuesto permite medir la aparente vulnerabilidad académica exhibida por los investigadores en lo que respecta a las prácticas editoriales inapropiadas. En concordancia con el principio de Pareto 80/20, las tres primeras categorías de riesgo exhiben una mayor prevalencia en términos de vulnerabilidad. Estas fueron gestionadas en conformidad con el estándar ISO 31000, con el propósito de proponer acciones concretas en la mitigación de los impactos derivados de sus consecuencias (ver Tabla 2)</w:t>
      </w:r>
      <w:r w:rsidR="0061071B" w:rsidRPr="00EE24D0">
        <w:rPr>
          <w:rFonts w:eastAsia="Times New Roman" w:cs="Times New Roman"/>
          <w:bCs/>
          <w:sz w:val="22"/>
          <w:szCs w:val="22"/>
          <w:lang w:val="es-419"/>
        </w:rPr>
        <w:t>.</w:t>
      </w:r>
    </w:p>
    <w:p w14:paraId="65C31C6D" w14:textId="77777777" w:rsidR="00EE7DFB" w:rsidRPr="00EE24D0" w:rsidRDefault="00EE7DFB" w:rsidP="0061071B">
      <w:pPr>
        <w:spacing w:line="240" w:lineRule="auto"/>
        <w:jc w:val="both"/>
        <w:rPr>
          <w:rFonts w:eastAsia="Times New Roman" w:cs="Times New Roman"/>
          <w:bCs/>
          <w:sz w:val="22"/>
          <w:szCs w:val="22"/>
          <w:lang w:val="es-419"/>
        </w:rPr>
      </w:pPr>
    </w:p>
    <w:p w14:paraId="162BFFCF" w14:textId="18D37EE4" w:rsidR="008422CB" w:rsidRPr="008422CB" w:rsidRDefault="008422CB" w:rsidP="008422CB">
      <w:pPr>
        <w:pStyle w:val="Caption"/>
        <w:keepNext/>
        <w:jc w:val="center"/>
        <w:rPr>
          <w:b/>
          <w:bCs/>
          <w:i w:val="0"/>
          <w:iCs w:val="0"/>
          <w:color w:val="auto"/>
        </w:rPr>
      </w:pPr>
      <w:r w:rsidRPr="008422CB">
        <w:rPr>
          <w:b/>
          <w:bCs/>
          <w:i w:val="0"/>
          <w:iCs w:val="0"/>
          <w:color w:val="auto"/>
        </w:rPr>
        <w:t xml:space="preserve">Tabla </w:t>
      </w:r>
      <w:r w:rsidRPr="008422CB">
        <w:rPr>
          <w:b/>
          <w:bCs/>
          <w:i w:val="0"/>
          <w:iCs w:val="0"/>
          <w:color w:val="auto"/>
        </w:rPr>
        <w:fldChar w:fldCharType="begin"/>
      </w:r>
      <w:r w:rsidRPr="008422CB">
        <w:rPr>
          <w:b/>
          <w:bCs/>
          <w:i w:val="0"/>
          <w:iCs w:val="0"/>
          <w:color w:val="auto"/>
        </w:rPr>
        <w:instrText xml:space="preserve"> SEQ Tabla_N° \* ARABIC </w:instrText>
      </w:r>
      <w:r w:rsidRPr="008422CB">
        <w:rPr>
          <w:b/>
          <w:bCs/>
          <w:i w:val="0"/>
          <w:iCs w:val="0"/>
          <w:color w:val="auto"/>
        </w:rPr>
        <w:fldChar w:fldCharType="separate"/>
      </w:r>
      <w:r w:rsidRPr="008422CB">
        <w:rPr>
          <w:b/>
          <w:bCs/>
          <w:i w:val="0"/>
          <w:iCs w:val="0"/>
          <w:noProof/>
          <w:color w:val="auto"/>
        </w:rPr>
        <w:t>2</w:t>
      </w:r>
      <w:r w:rsidRPr="008422CB">
        <w:rPr>
          <w:b/>
          <w:bCs/>
          <w:i w:val="0"/>
          <w:iCs w:val="0"/>
          <w:color w:val="auto"/>
        </w:rPr>
        <w:fldChar w:fldCharType="end"/>
      </w:r>
      <w:r>
        <w:rPr>
          <w:b/>
          <w:bCs/>
          <w:i w:val="0"/>
          <w:iCs w:val="0"/>
          <w:color w:val="auto"/>
        </w:rPr>
        <w:t xml:space="preserve">: </w:t>
      </w:r>
    </w:p>
    <w:tbl>
      <w:tblPr>
        <w:tblStyle w:val="ListTable6Colorful"/>
        <w:tblW w:w="0" w:type="auto"/>
        <w:jc w:val="center"/>
        <w:tblLook w:val="06A0" w:firstRow="1" w:lastRow="0" w:firstColumn="1" w:lastColumn="0" w:noHBand="1" w:noVBand="1"/>
      </w:tblPr>
      <w:tblGrid>
        <w:gridCol w:w="4201"/>
        <w:gridCol w:w="687"/>
        <w:gridCol w:w="1942"/>
      </w:tblGrid>
      <w:tr w:rsidR="008844D8" w:rsidRPr="00EE7DFB" w14:paraId="70540C9F" w14:textId="3CE3CC29" w:rsidTr="007573AE">
        <w:trPr>
          <w:cnfStyle w:val="100000000000" w:firstRow="1" w:lastRow="0" w:firstColumn="0" w:lastColumn="0" w:oddVBand="0" w:evenVBand="0" w:oddHBand="0"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11B369F2" w14:textId="21030E4B" w:rsidR="008844D8" w:rsidRPr="00EE7DFB" w:rsidRDefault="008844D8" w:rsidP="0061071B">
            <w:pPr>
              <w:spacing w:line="240" w:lineRule="auto"/>
              <w:jc w:val="center"/>
              <w:rPr>
                <w:rFonts w:eastAsia="Times New Roman" w:cs="Times New Roman"/>
                <w:sz w:val="18"/>
                <w:szCs w:val="18"/>
                <w:lang w:val="es-419"/>
              </w:rPr>
            </w:pPr>
            <w:r w:rsidRPr="00EE7DFB">
              <w:rPr>
                <w:rFonts w:eastAsia="Times New Roman" w:cs="Times New Roman"/>
                <w:sz w:val="18"/>
                <w:szCs w:val="18"/>
                <w:lang w:val="es-419"/>
              </w:rPr>
              <w:t>CATEGORÍAS DE RIESGO</w:t>
            </w:r>
          </w:p>
        </w:tc>
        <w:tc>
          <w:tcPr>
            <w:tcW w:w="0" w:type="auto"/>
          </w:tcPr>
          <w:p w14:paraId="2AF4119A" w14:textId="3134C4A5" w:rsidR="008844D8" w:rsidRPr="00EE7DFB" w:rsidRDefault="008844D8" w:rsidP="0061071B">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7DFB">
              <w:rPr>
                <w:rFonts w:eastAsia="Times New Roman" w:cs="Times New Roman"/>
                <w:sz w:val="18"/>
                <w:szCs w:val="18"/>
                <w:lang w:val="es-419"/>
              </w:rPr>
              <w:t>PESO</w:t>
            </w:r>
          </w:p>
        </w:tc>
        <w:tc>
          <w:tcPr>
            <w:tcW w:w="0" w:type="auto"/>
          </w:tcPr>
          <w:p w14:paraId="0A1C22FB" w14:textId="54216ADF" w:rsidR="008844D8" w:rsidRPr="001C43FD" w:rsidRDefault="008844D8" w:rsidP="0061071B">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1C43FD">
              <w:rPr>
                <w:rFonts w:eastAsia="Times New Roman" w:cs="Times New Roman"/>
                <w:sz w:val="18"/>
                <w:szCs w:val="18"/>
                <w:lang w:val="es-419"/>
              </w:rPr>
              <w:t>PESO ACUMULADO</w:t>
            </w:r>
          </w:p>
        </w:tc>
      </w:tr>
      <w:tr w:rsidR="008844D8" w:rsidRPr="00EE24D0" w14:paraId="4D157313" w14:textId="7476A1BD"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63751B22" w14:textId="5B1C2DD4" w:rsidR="008844D8" w:rsidRPr="0088228E" w:rsidRDefault="008844D8" w:rsidP="00AF579C">
            <w:pPr>
              <w:spacing w:line="240" w:lineRule="auto"/>
              <w:jc w:val="center"/>
              <w:rPr>
                <w:rFonts w:eastAsia="Times New Roman" w:cs="Times New Roman"/>
                <w:sz w:val="18"/>
                <w:szCs w:val="18"/>
                <w:lang w:val="es-419"/>
              </w:rPr>
            </w:pPr>
            <w:r w:rsidRPr="0088228E">
              <w:rPr>
                <w:rFonts w:eastAsia="Times New Roman" w:cs="Times New Roman"/>
                <w:sz w:val="18"/>
                <w:szCs w:val="18"/>
                <w:lang w:val="es-419"/>
              </w:rPr>
              <w:t>Argumentación del comunicado a los investigadores</w:t>
            </w:r>
          </w:p>
        </w:tc>
        <w:tc>
          <w:tcPr>
            <w:tcW w:w="0" w:type="auto"/>
          </w:tcPr>
          <w:p w14:paraId="1E9ECC6F" w14:textId="7D71E0DD" w:rsidR="008844D8" w:rsidRPr="00EE24D0"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24D0">
              <w:rPr>
                <w:rFonts w:eastAsia="Times New Roman" w:cs="Times New Roman"/>
                <w:sz w:val="18"/>
                <w:szCs w:val="18"/>
                <w:lang w:val="es-419"/>
              </w:rPr>
              <w:t>38%</w:t>
            </w:r>
          </w:p>
        </w:tc>
        <w:tc>
          <w:tcPr>
            <w:tcW w:w="0" w:type="auto"/>
          </w:tcPr>
          <w:p w14:paraId="0627D676" w14:textId="6602BF73" w:rsidR="008844D8" w:rsidRPr="00262D75" w:rsidRDefault="001B4B15"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sz w:val="18"/>
                <w:szCs w:val="18"/>
                <w:lang w:val="es-419"/>
              </w:rPr>
            </w:pPr>
            <w:r w:rsidRPr="00262D75">
              <w:rPr>
                <w:rFonts w:eastAsia="Times New Roman" w:cs="Times New Roman"/>
                <w:b/>
                <w:bCs/>
                <w:sz w:val="18"/>
                <w:szCs w:val="18"/>
                <w:lang w:val="es-419"/>
              </w:rPr>
              <w:t>38%</w:t>
            </w:r>
          </w:p>
        </w:tc>
      </w:tr>
      <w:tr w:rsidR="008844D8" w:rsidRPr="00EE24D0" w14:paraId="3888F00D" w14:textId="415B17A7"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4AEC74F2" w14:textId="5B1651F7" w:rsidR="008844D8" w:rsidRPr="0088228E" w:rsidRDefault="008844D8" w:rsidP="00AF579C">
            <w:pPr>
              <w:spacing w:line="240" w:lineRule="auto"/>
              <w:jc w:val="center"/>
              <w:rPr>
                <w:rFonts w:eastAsia="Times New Roman" w:cs="Times New Roman"/>
                <w:sz w:val="18"/>
                <w:szCs w:val="18"/>
                <w:lang w:val="es-419"/>
              </w:rPr>
            </w:pPr>
            <w:r w:rsidRPr="0088228E">
              <w:rPr>
                <w:rFonts w:eastAsia="Times New Roman" w:cs="Times New Roman"/>
                <w:sz w:val="18"/>
                <w:szCs w:val="18"/>
                <w:lang w:val="es-419"/>
              </w:rPr>
              <w:t>Presiones institucionales y promoción académica</w:t>
            </w:r>
          </w:p>
        </w:tc>
        <w:tc>
          <w:tcPr>
            <w:tcW w:w="0" w:type="auto"/>
          </w:tcPr>
          <w:p w14:paraId="6C4F47F8" w14:textId="01239582" w:rsidR="008844D8" w:rsidRPr="00EE24D0"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24D0">
              <w:rPr>
                <w:rFonts w:eastAsia="Times New Roman" w:cs="Times New Roman"/>
                <w:sz w:val="18"/>
                <w:szCs w:val="18"/>
                <w:lang w:val="es-419"/>
              </w:rPr>
              <w:t>22%</w:t>
            </w:r>
          </w:p>
        </w:tc>
        <w:tc>
          <w:tcPr>
            <w:tcW w:w="0" w:type="auto"/>
          </w:tcPr>
          <w:p w14:paraId="5EA730A4" w14:textId="2B21786B" w:rsidR="008844D8" w:rsidRPr="00262D75" w:rsidRDefault="001B4B15"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sz w:val="18"/>
                <w:szCs w:val="18"/>
                <w:lang w:val="es-419"/>
              </w:rPr>
            </w:pPr>
            <w:r w:rsidRPr="00262D75">
              <w:rPr>
                <w:rFonts w:eastAsia="Times New Roman" w:cs="Times New Roman"/>
                <w:b/>
                <w:bCs/>
                <w:sz w:val="18"/>
                <w:szCs w:val="18"/>
                <w:lang w:val="es-419"/>
              </w:rPr>
              <w:t>60</w:t>
            </w:r>
            <w:r w:rsidRPr="00262D75">
              <w:rPr>
                <w:rFonts w:eastAsia="Times New Roman" w:cs="Times New Roman"/>
                <w:b/>
                <w:bCs/>
                <w:sz w:val="18"/>
                <w:szCs w:val="18"/>
                <w:lang w:val="es-419"/>
              </w:rPr>
              <w:t>%</w:t>
            </w:r>
          </w:p>
        </w:tc>
      </w:tr>
      <w:tr w:rsidR="008844D8" w:rsidRPr="00EE24D0" w14:paraId="3589E1C8" w14:textId="4F01EEA6"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786DFF68" w14:textId="6E47C3DE" w:rsidR="008844D8" w:rsidRPr="0088228E" w:rsidRDefault="008844D8" w:rsidP="00AF579C">
            <w:pPr>
              <w:spacing w:line="240" w:lineRule="auto"/>
              <w:jc w:val="center"/>
              <w:rPr>
                <w:rFonts w:eastAsia="Times New Roman" w:cs="Times New Roman"/>
                <w:sz w:val="18"/>
                <w:szCs w:val="18"/>
                <w:lang w:val="es-419"/>
              </w:rPr>
            </w:pPr>
            <w:r w:rsidRPr="0088228E">
              <w:rPr>
                <w:rFonts w:eastAsia="Times New Roman" w:cs="Times New Roman"/>
                <w:sz w:val="18"/>
                <w:szCs w:val="18"/>
                <w:lang w:val="es-419"/>
              </w:rPr>
              <w:t>Entorno y perfil de los autores</w:t>
            </w:r>
          </w:p>
        </w:tc>
        <w:tc>
          <w:tcPr>
            <w:tcW w:w="0" w:type="auto"/>
          </w:tcPr>
          <w:p w14:paraId="2EEC2D12" w14:textId="10922A18" w:rsidR="008844D8" w:rsidRPr="00EE24D0"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24D0">
              <w:rPr>
                <w:rFonts w:eastAsia="Times New Roman" w:cs="Times New Roman"/>
                <w:sz w:val="18"/>
                <w:szCs w:val="18"/>
                <w:lang w:val="es-419"/>
              </w:rPr>
              <w:t>20%</w:t>
            </w:r>
          </w:p>
        </w:tc>
        <w:tc>
          <w:tcPr>
            <w:tcW w:w="0" w:type="auto"/>
          </w:tcPr>
          <w:p w14:paraId="182D45CD" w14:textId="0F1EDD85" w:rsidR="008844D8" w:rsidRPr="00262D75" w:rsidRDefault="00262D75"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sz w:val="18"/>
                <w:szCs w:val="18"/>
                <w:lang w:val="es-419"/>
              </w:rPr>
            </w:pPr>
            <w:r w:rsidRPr="00262D75">
              <w:rPr>
                <w:rFonts w:eastAsia="Times New Roman" w:cs="Times New Roman"/>
                <w:b/>
                <w:bCs/>
                <w:sz w:val="18"/>
                <w:szCs w:val="18"/>
                <w:lang w:val="es-419"/>
              </w:rPr>
              <w:t>8</w:t>
            </w:r>
            <w:r w:rsidRPr="00262D75">
              <w:rPr>
                <w:rFonts w:eastAsia="Times New Roman" w:cs="Times New Roman"/>
                <w:b/>
                <w:bCs/>
                <w:sz w:val="18"/>
                <w:szCs w:val="18"/>
                <w:lang w:val="es-419"/>
              </w:rPr>
              <w:t>0</w:t>
            </w:r>
            <w:r w:rsidRPr="00262D75">
              <w:rPr>
                <w:rFonts w:eastAsia="Times New Roman" w:cs="Times New Roman"/>
                <w:b/>
                <w:bCs/>
                <w:sz w:val="18"/>
                <w:szCs w:val="18"/>
                <w:lang w:val="es-419"/>
              </w:rPr>
              <w:t>%</w:t>
            </w:r>
          </w:p>
        </w:tc>
      </w:tr>
      <w:tr w:rsidR="008844D8" w:rsidRPr="00EE24D0" w14:paraId="19B674C4" w14:textId="1BDB87BE"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05A7921F" w14:textId="0550D762" w:rsidR="008844D8" w:rsidRPr="00EE7DFB" w:rsidRDefault="008844D8" w:rsidP="00AF579C">
            <w:pPr>
              <w:spacing w:line="240" w:lineRule="auto"/>
              <w:jc w:val="center"/>
              <w:rPr>
                <w:rFonts w:eastAsia="Times New Roman" w:cs="Times New Roman"/>
                <w:b w:val="0"/>
                <w:bCs w:val="0"/>
                <w:sz w:val="18"/>
                <w:szCs w:val="18"/>
                <w:lang w:val="es-419"/>
              </w:rPr>
            </w:pPr>
            <w:r w:rsidRPr="00EE7DFB">
              <w:rPr>
                <w:rFonts w:eastAsia="Times New Roman" w:cs="Times New Roman"/>
                <w:b w:val="0"/>
                <w:bCs w:val="0"/>
                <w:sz w:val="18"/>
                <w:szCs w:val="18"/>
                <w:lang w:val="es-419"/>
              </w:rPr>
              <w:t>Regiones y países</w:t>
            </w:r>
          </w:p>
        </w:tc>
        <w:tc>
          <w:tcPr>
            <w:tcW w:w="0" w:type="auto"/>
          </w:tcPr>
          <w:p w14:paraId="089D6849" w14:textId="1EA51379" w:rsidR="008844D8" w:rsidRPr="00EE24D0"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24D0">
              <w:rPr>
                <w:rFonts w:eastAsia="Times New Roman" w:cs="Times New Roman"/>
                <w:sz w:val="18"/>
                <w:szCs w:val="18"/>
                <w:lang w:val="es-419"/>
              </w:rPr>
              <w:t>14%</w:t>
            </w:r>
          </w:p>
        </w:tc>
        <w:tc>
          <w:tcPr>
            <w:tcW w:w="0" w:type="auto"/>
          </w:tcPr>
          <w:p w14:paraId="4FF33553" w14:textId="356ED496" w:rsidR="008844D8" w:rsidRPr="0088228E" w:rsidRDefault="00262D75"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88228E">
              <w:rPr>
                <w:rFonts w:eastAsia="Times New Roman" w:cs="Times New Roman"/>
                <w:sz w:val="18"/>
                <w:szCs w:val="18"/>
                <w:lang w:val="es-419"/>
              </w:rPr>
              <w:t>94</w:t>
            </w:r>
            <w:r w:rsidRPr="0088228E">
              <w:rPr>
                <w:rFonts w:eastAsia="Times New Roman" w:cs="Times New Roman"/>
                <w:sz w:val="18"/>
                <w:szCs w:val="18"/>
                <w:lang w:val="es-419"/>
              </w:rPr>
              <w:t>%</w:t>
            </w:r>
          </w:p>
        </w:tc>
      </w:tr>
      <w:tr w:rsidR="008844D8" w:rsidRPr="00EE24D0" w14:paraId="136539D2" w14:textId="40519EEC"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511E146B" w14:textId="6AA38867" w:rsidR="008844D8" w:rsidRPr="00EE7DFB" w:rsidRDefault="008844D8" w:rsidP="00AF579C">
            <w:pPr>
              <w:spacing w:line="240" w:lineRule="auto"/>
              <w:jc w:val="center"/>
              <w:rPr>
                <w:rFonts w:eastAsia="Times New Roman" w:cs="Times New Roman"/>
                <w:b w:val="0"/>
                <w:bCs w:val="0"/>
                <w:sz w:val="18"/>
                <w:szCs w:val="18"/>
                <w:lang w:val="es-419"/>
              </w:rPr>
            </w:pPr>
            <w:r w:rsidRPr="00EE7DFB">
              <w:rPr>
                <w:rFonts w:eastAsia="Times New Roman" w:cs="Times New Roman"/>
                <w:b w:val="0"/>
                <w:bCs w:val="0"/>
                <w:sz w:val="18"/>
                <w:szCs w:val="18"/>
                <w:lang w:val="es-419"/>
              </w:rPr>
              <w:t>Alfabetización y gestión informacional</w:t>
            </w:r>
          </w:p>
        </w:tc>
        <w:tc>
          <w:tcPr>
            <w:tcW w:w="0" w:type="auto"/>
          </w:tcPr>
          <w:p w14:paraId="0A024030" w14:textId="28CA8F5F" w:rsidR="008844D8" w:rsidRPr="00EE24D0"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sidRPr="00EE24D0">
              <w:rPr>
                <w:rFonts w:eastAsia="Times New Roman" w:cs="Times New Roman"/>
                <w:sz w:val="18"/>
                <w:szCs w:val="18"/>
                <w:lang w:val="es-419"/>
              </w:rPr>
              <w:t>6%</w:t>
            </w:r>
          </w:p>
        </w:tc>
        <w:tc>
          <w:tcPr>
            <w:tcW w:w="0" w:type="auto"/>
          </w:tcPr>
          <w:p w14:paraId="164AA18C" w14:textId="099FD1E4" w:rsidR="008844D8" w:rsidRPr="00EE24D0" w:rsidRDefault="0088228E"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18"/>
                <w:szCs w:val="18"/>
                <w:lang w:val="es-419"/>
              </w:rPr>
            </w:pPr>
            <w:r>
              <w:rPr>
                <w:rFonts w:eastAsia="Times New Roman" w:cs="Times New Roman"/>
                <w:sz w:val="18"/>
                <w:szCs w:val="18"/>
                <w:lang w:val="es-419"/>
              </w:rPr>
              <w:t>100</w:t>
            </w:r>
            <w:r w:rsidRPr="00EE24D0">
              <w:rPr>
                <w:rFonts w:eastAsia="Times New Roman" w:cs="Times New Roman"/>
                <w:sz w:val="18"/>
                <w:szCs w:val="18"/>
                <w:lang w:val="es-419"/>
              </w:rPr>
              <w:t>%</w:t>
            </w:r>
          </w:p>
        </w:tc>
      </w:tr>
      <w:tr w:rsidR="008844D8" w:rsidRPr="00EE24D0" w14:paraId="154FDFAF" w14:textId="48243B38" w:rsidTr="007573AE">
        <w:trPr>
          <w:trHeight w:val="285"/>
          <w:jc w:val="center"/>
        </w:trPr>
        <w:tc>
          <w:tcPr>
            <w:cnfStyle w:val="001000000000" w:firstRow="0" w:lastRow="0" w:firstColumn="1" w:lastColumn="0" w:oddVBand="0" w:evenVBand="0" w:oddHBand="0" w:evenHBand="0" w:firstRowFirstColumn="0" w:firstRowLastColumn="0" w:lastRowFirstColumn="0" w:lastRowLastColumn="0"/>
            <w:tcW w:w="0" w:type="auto"/>
          </w:tcPr>
          <w:p w14:paraId="017D1CC1" w14:textId="70CCD929" w:rsidR="008844D8" w:rsidRPr="00EE7DFB" w:rsidRDefault="008844D8" w:rsidP="00EE7DFB">
            <w:pPr>
              <w:spacing w:line="240" w:lineRule="auto"/>
              <w:jc w:val="right"/>
              <w:rPr>
                <w:rFonts w:eastAsia="Times New Roman" w:cs="Times New Roman"/>
                <w:i/>
                <w:iCs/>
                <w:sz w:val="18"/>
                <w:szCs w:val="18"/>
                <w:lang w:val="es-419"/>
              </w:rPr>
            </w:pPr>
            <w:r w:rsidRPr="00EE7DFB">
              <w:rPr>
                <w:rFonts w:eastAsia="Times New Roman" w:cs="Times New Roman"/>
                <w:i/>
                <w:iCs/>
                <w:sz w:val="18"/>
                <w:szCs w:val="18"/>
                <w:lang w:val="es-419"/>
              </w:rPr>
              <w:t>Total</w:t>
            </w:r>
          </w:p>
        </w:tc>
        <w:tc>
          <w:tcPr>
            <w:tcW w:w="0" w:type="auto"/>
          </w:tcPr>
          <w:p w14:paraId="37C4D5EE" w14:textId="7A4B8B9E" w:rsidR="008844D8" w:rsidRPr="00EE7DFB"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i/>
                <w:iCs/>
                <w:sz w:val="18"/>
                <w:szCs w:val="18"/>
                <w:lang w:val="es-419"/>
              </w:rPr>
            </w:pPr>
            <w:r w:rsidRPr="00EE7DFB">
              <w:rPr>
                <w:rFonts w:eastAsia="Times New Roman" w:cs="Times New Roman"/>
                <w:b/>
                <w:bCs/>
                <w:i/>
                <w:iCs/>
                <w:sz w:val="18"/>
                <w:szCs w:val="18"/>
                <w:lang w:val="es-419"/>
              </w:rPr>
              <w:t>100%</w:t>
            </w:r>
          </w:p>
        </w:tc>
        <w:tc>
          <w:tcPr>
            <w:tcW w:w="0" w:type="auto"/>
          </w:tcPr>
          <w:p w14:paraId="3100B880" w14:textId="77777777" w:rsidR="008844D8" w:rsidRPr="00EE7DFB" w:rsidRDefault="008844D8" w:rsidP="00AF579C">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i/>
                <w:iCs/>
                <w:sz w:val="18"/>
                <w:szCs w:val="18"/>
                <w:lang w:val="es-419"/>
              </w:rPr>
            </w:pPr>
          </w:p>
        </w:tc>
      </w:tr>
    </w:tbl>
    <w:p w14:paraId="6D1F7E86" w14:textId="77777777" w:rsidR="007C57F0" w:rsidRPr="00EE24D0" w:rsidRDefault="007C57F0" w:rsidP="007C57F0">
      <w:pPr>
        <w:spacing w:line="240" w:lineRule="auto"/>
        <w:rPr>
          <w:rFonts w:cs="Times New Roman"/>
          <w:sz w:val="18"/>
          <w:szCs w:val="18"/>
          <w:lang w:val="es-419"/>
        </w:rPr>
      </w:pPr>
      <w:r w:rsidRPr="00EE24D0">
        <w:rPr>
          <w:rFonts w:cs="Times New Roman"/>
          <w:b/>
          <w:bCs/>
          <w:sz w:val="18"/>
          <w:szCs w:val="18"/>
          <w:lang w:val="es-419"/>
        </w:rPr>
        <w:t>Fuente:</w:t>
      </w:r>
      <w:r w:rsidRPr="00EE24D0">
        <w:rPr>
          <w:rFonts w:cs="Times New Roman"/>
          <w:sz w:val="18"/>
          <w:szCs w:val="18"/>
          <w:lang w:val="es-419"/>
        </w:rPr>
        <w:t xml:space="preserve"> Los autores, Resultados Preliminares (CC-BY-4.0)</w:t>
      </w:r>
    </w:p>
    <w:p w14:paraId="7AC27946" w14:textId="77777777" w:rsidR="0041739D" w:rsidRPr="00EE24D0" w:rsidRDefault="0041739D" w:rsidP="00F429A3">
      <w:pPr>
        <w:spacing w:line="240" w:lineRule="auto"/>
        <w:rPr>
          <w:rFonts w:cs="Times New Roman"/>
          <w:sz w:val="22"/>
          <w:szCs w:val="22"/>
          <w:lang w:val="es-419" w:eastAsia="en-US"/>
        </w:rPr>
      </w:pPr>
    </w:p>
    <w:p w14:paraId="39BA422B" w14:textId="7334FE2C" w:rsidR="005E5709" w:rsidRPr="00EE24D0" w:rsidRDefault="005E5709" w:rsidP="00616149">
      <w:pPr>
        <w:pStyle w:val="ListParagraph"/>
        <w:numPr>
          <w:ilvl w:val="0"/>
          <w:numId w:val="10"/>
        </w:numPr>
        <w:spacing w:line="240" w:lineRule="auto"/>
        <w:rPr>
          <w:rFonts w:cs="Times New Roman"/>
          <w:b/>
          <w:bCs/>
          <w:sz w:val="22"/>
          <w:szCs w:val="22"/>
          <w:lang w:val="es-419"/>
        </w:rPr>
      </w:pPr>
      <w:r w:rsidRPr="00EE24D0">
        <w:rPr>
          <w:rFonts w:cs="Times New Roman"/>
          <w:b/>
          <w:bCs/>
          <w:sz w:val="22"/>
          <w:szCs w:val="22"/>
          <w:lang w:val="es-419"/>
        </w:rPr>
        <w:t>Recomendaciones para tratamiento de los riesgos</w:t>
      </w:r>
    </w:p>
    <w:p w14:paraId="72BB3E6C" w14:textId="77777777" w:rsidR="001F3066" w:rsidRPr="00EE24D0" w:rsidRDefault="001F3066" w:rsidP="001F3066">
      <w:pPr>
        <w:spacing w:line="240" w:lineRule="auto"/>
        <w:rPr>
          <w:rFonts w:cs="Times New Roman"/>
          <w:b/>
          <w:bCs/>
          <w:sz w:val="22"/>
          <w:szCs w:val="22"/>
          <w:lang w:val="es-419"/>
        </w:rPr>
      </w:pPr>
    </w:p>
    <w:p w14:paraId="74D6A68F" w14:textId="77777777" w:rsidR="00B34DE4" w:rsidRPr="00B34DE4" w:rsidRDefault="00B34DE4" w:rsidP="00B34DE4">
      <w:pPr>
        <w:spacing w:line="240" w:lineRule="auto"/>
        <w:jc w:val="both"/>
        <w:rPr>
          <w:rFonts w:cs="Times New Roman"/>
          <w:sz w:val="22"/>
          <w:szCs w:val="22"/>
          <w:lang w:val="es-419"/>
        </w:rPr>
      </w:pPr>
      <w:r w:rsidRPr="00B34DE4">
        <w:rPr>
          <w:rFonts w:cs="Times New Roman"/>
          <w:sz w:val="22"/>
          <w:szCs w:val="22"/>
          <w:lang w:val="es-419"/>
        </w:rPr>
        <w:t>De acuerdo con los resultados obtenidos, el modelo de autoevaluación desarrollado posibilitó la medición de la exposición académica de los autores sudamericanos. Para estas tres categorías de riesgo priorizadas (argumentación del comunicado a los investigadores, presiones institucionales, promoción académica, entorno y perfil de los autores), se presentan tres contrapropuestas con la finalidad de mitigarlos:</w:t>
      </w:r>
    </w:p>
    <w:p w14:paraId="69C0AA51" w14:textId="38C91B3E" w:rsidR="00B34DE4" w:rsidRDefault="00B34DE4" w:rsidP="00B34DE4">
      <w:pPr>
        <w:numPr>
          <w:ilvl w:val="0"/>
          <w:numId w:val="12"/>
        </w:numPr>
        <w:spacing w:line="240" w:lineRule="auto"/>
        <w:jc w:val="both"/>
        <w:rPr>
          <w:rFonts w:cs="Times New Roman"/>
          <w:sz w:val="22"/>
          <w:szCs w:val="22"/>
          <w:lang w:val="es-419"/>
        </w:rPr>
      </w:pPr>
      <w:r w:rsidRPr="00B34DE4">
        <w:rPr>
          <w:rFonts w:cs="Times New Roman"/>
          <w:sz w:val="22"/>
          <w:szCs w:val="22"/>
          <w:lang w:val="es-419"/>
        </w:rPr>
        <w:t>Las editoriales depredadoras y de vanidad a menudo prometen tiempos de respuesta y publicación extremadamente breves, a veces en menos de dos meses, o incluso en cuestión de días después de la aceptación, lo cual es una señal</w:t>
      </w:r>
      <w:r w:rsidR="008F33C0">
        <w:rPr>
          <w:rFonts w:cs="Times New Roman"/>
          <w:sz w:val="22"/>
          <w:szCs w:val="22"/>
          <w:lang w:val="es-419"/>
        </w:rPr>
        <w:t xml:space="preserve"> </w:t>
      </w:r>
      <w:r w:rsidR="00702201">
        <w:rPr>
          <w:rFonts w:cs="Times New Roman"/>
          <w:sz w:val="22"/>
          <w:szCs w:val="22"/>
          <w:lang w:val="es-419"/>
        </w:rPr>
        <w:t>expresa</w:t>
      </w:r>
      <w:r w:rsidRPr="00B34DE4">
        <w:rPr>
          <w:rFonts w:cs="Times New Roman"/>
          <w:sz w:val="22"/>
          <w:szCs w:val="22"/>
          <w:lang w:val="es-419"/>
        </w:rPr>
        <w:t xml:space="preserve"> de que no realizan una revisión por pares rigurosa o no la realizan en absoluto. La rapidez es un atractivo para los autores bajo presión para publicar. La reedición de la existente publicación es un tipo de estafa más reciente, donde los editores depredadores se dedican a suplantar la identidad de revistas legítimas</w:t>
      </w:r>
      <w:r w:rsidR="00CC690E">
        <w:rPr>
          <w:rFonts w:cs="Times New Roman"/>
          <w:sz w:val="22"/>
          <w:szCs w:val="22"/>
          <w:lang w:val="es-419"/>
        </w:rPr>
        <w:t xml:space="preserve"> y con modelos de negocio «lícitos» colgados en plataformas digitales reconocidas a nivel mundial</w:t>
      </w:r>
      <w:r w:rsidRPr="00B34DE4">
        <w:rPr>
          <w:rFonts w:cs="Times New Roman"/>
          <w:sz w:val="22"/>
          <w:szCs w:val="22"/>
          <w:lang w:val="es-419"/>
        </w:rPr>
        <w:t>.</w:t>
      </w:r>
    </w:p>
    <w:p w14:paraId="3882FF74" w14:textId="23213134" w:rsidR="00544827" w:rsidRPr="00544827" w:rsidRDefault="00544827" w:rsidP="00544827">
      <w:pPr>
        <w:numPr>
          <w:ilvl w:val="0"/>
          <w:numId w:val="12"/>
        </w:numPr>
        <w:spacing w:before="100" w:beforeAutospacing="1" w:after="100" w:afterAutospacing="1" w:line="240" w:lineRule="auto"/>
        <w:rPr>
          <w:rFonts w:eastAsia="Times New Roman" w:cs="Times New Roman"/>
          <w:lang w:val="es-419" w:eastAsia="en-US"/>
        </w:rPr>
      </w:pPr>
      <w:r w:rsidRPr="00544827">
        <w:rPr>
          <w:rFonts w:eastAsia="Times New Roman" w:cs="Times New Roman"/>
          <w:lang w:val="es-419" w:eastAsia="en-US"/>
        </w:rPr>
        <w:t xml:space="preserve">En el contexto académico, las políticas de evaluación establecen requisitos que incluyen la publicación de una cantidad específica de artículos para avanzar en la escala profesional, lo que puede generar presión para cumplir con estas metas. En concordancia, se aprecia que la presión para publicar en el contexto de procesos de </w:t>
      </w:r>
      <w:r w:rsidRPr="00544827">
        <w:rPr>
          <w:rFonts w:eastAsia="Times New Roman" w:cs="Times New Roman"/>
          <w:lang w:val="es-419" w:eastAsia="en-US"/>
        </w:rPr>
        <w:lastRenderedPageBreak/>
        <w:t xml:space="preserve">graduación, promoción o para alcanzar cuotas de productividad posee un potencial de afectación en la decisión de los autores. En este sentido, se reconoce la entera responsabilidad institucional (para el caso de autores respaldados institucionalmente) para reconsiderar la promoción de estas prácticas y la implementación de mecanismos de debida diligencia, que </w:t>
      </w:r>
      <w:r w:rsidRPr="00544827">
        <w:rPr>
          <w:rFonts w:eastAsia="Times New Roman" w:cs="Times New Roman"/>
          <w:lang w:val="es-419" w:eastAsia="en-US"/>
        </w:rPr>
        <w:t>hoy en día</w:t>
      </w:r>
      <w:r w:rsidRPr="00544827">
        <w:rPr>
          <w:rFonts w:eastAsia="Times New Roman" w:cs="Times New Roman"/>
          <w:lang w:val="es-419" w:eastAsia="en-US"/>
        </w:rPr>
        <w:t xml:space="preserve"> se pueden automatizar dados los avances tecnológicos.</w:t>
      </w:r>
    </w:p>
    <w:p w14:paraId="6F7F192C" w14:textId="37071F4C" w:rsidR="005E5709" w:rsidRPr="00544827" w:rsidRDefault="00544827" w:rsidP="005E5709">
      <w:pPr>
        <w:numPr>
          <w:ilvl w:val="0"/>
          <w:numId w:val="12"/>
        </w:numPr>
        <w:spacing w:before="100" w:beforeAutospacing="1" w:after="100" w:afterAutospacing="1" w:line="240" w:lineRule="auto"/>
        <w:rPr>
          <w:rFonts w:eastAsia="Times New Roman" w:cs="Times New Roman"/>
          <w:lang w:val="es-419" w:eastAsia="en-US"/>
        </w:rPr>
      </w:pPr>
      <w:r w:rsidRPr="00544827">
        <w:rPr>
          <w:rFonts w:eastAsia="Times New Roman" w:cs="Times New Roman"/>
          <w:lang w:val="es-419" w:eastAsia="en-US"/>
        </w:rPr>
        <w:t>Factores psicológicos y del comportamiento que dependen fuertemente de la experiencia con la que cuente el investigador, como por ejemplo superar la etapa del miedo al rechazo, el cual debe dejar de ser un detonante para optar por este tipo de publicaciones. La motivación de los autores, quienes buscan visibilidad inmediata o indicadores de impacto, puede hacer que se sientan atraídos por promesas falsas (incentivos de publicación) y, si está respaldado por un laboratorio o instituto de investigación, debe recibir las guías adecuadas en pro de desistir de considerar las alternativas fraudulentas.</w:t>
      </w:r>
    </w:p>
    <w:p w14:paraId="67128F8C" w14:textId="25B55CEA" w:rsidR="0078621F" w:rsidRPr="00EE24D0" w:rsidRDefault="00263B5D" w:rsidP="00616149">
      <w:pPr>
        <w:pStyle w:val="ListParagraph"/>
        <w:numPr>
          <w:ilvl w:val="0"/>
          <w:numId w:val="10"/>
        </w:numPr>
        <w:spacing w:line="240" w:lineRule="auto"/>
        <w:rPr>
          <w:rFonts w:cs="Times New Roman"/>
          <w:b/>
          <w:bCs/>
          <w:sz w:val="22"/>
          <w:szCs w:val="22"/>
          <w:lang w:val="es-419"/>
        </w:rPr>
      </w:pPr>
      <w:r w:rsidRPr="00EE24D0">
        <w:rPr>
          <w:rFonts w:cs="Times New Roman"/>
          <w:b/>
          <w:bCs/>
          <w:sz w:val="22"/>
          <w:szCs w:val="22"/>
          <w:lang w:val="es-419"/>
        </w:rPr>
        <w:t>Implicaciones y conclusiones</w:t>
      </w:r>
    </w:p>
    <w:p w14:paraId="2464FD0B" w14:textId="436D3381" w:rsidR="008C2BF1" w:rsidRPr="00E94529" w:rsidRDefault="00026C98" w:rsidP="00493FEB">
      <w:pPr>
        <w:spacing w:line="240" w:lineRule="auto"/>
        <w:jc w:val="both"/>
        <w:rPr>
          <w:rFonts w:cs="Times New Roman"/>
          <w:sz w:val="22"/>
          <w:szCs w:val="22"/>
          <w:lang w:val="es-419" w:eastAsia="en-US"/>
        </w:rPr>
      </w:pPr>
      <w:r w:rsidRPr="00026C98">
        <w:rPr>
          <w:rFonts w:cs="Times New Roman"/>
          <w:sz w:val="22"/>
          <w:szCs w:val="22"/>
          <w:lang w:val="es-419" w:eastAsia="en-US"/>
        </w:rPr>
        <w:t xml:space="preserve">Dado el alcance otorgado en el presente estudio, nos hemos limitado para aplicar el actual modelo de </w:t>
      </w:r>
      <w:r w:rsidRPr="00E94529">
        <w:rPr>
          <w:rFonts w:cs="Times New Roman"/>
          <w:sz w:val="22"/>
          <w:szCs w:val="22"/>
          <w:lang w:val="es-419" w:eastAsia="en-US"/>
        </w:rPr>
        <w:t>autoevaluación a no considerar las subsiguientes categorías de riesgo; sin embargo, se ha considerado pertinente enunciarlas con el fin de instar a los autores a emprender investigaciones relacionadas:</w:t>
      </w:r>
    </w:p>
    <w:p w14:paraId="134CFBCA" w14:textId="77777777" w:rsidR="00E94529" w:rsidRPr="00E94529" w:rsidRDefault="00E94529" w:rsidP="00E94529">
      <w:pPr>
        <w:numPr>
          <w:ilvl w:val="0"/>
          <w:numId w:val="14"/>
        </w:numPr>
        <w:spacing w:line="240" w:lineRule="auto"/>
        <w:jc w:val="both"/>
        <w:rPr>
          <w:rFonts w:cs="Times New Roman"/>
          <w:sz w:val="22"/>
          <w:szCs w:val="22"/>
          <w:lang w:val="es-419" w:eastAsia="en-US"/>
        </w:rPr>
      </w:pPr>
      <w:r w:rsidRPr="00E94529">
        <w:rPr>
          <w:rFonts w:cs="Times New Roman"/>
          <w:b/>
          <w:bCs/>
          <w:sz w:val="22"/>
          <w:szCs w:val="22"/>
          <w:lang w:val="es-419" w:eastAsia="en-US"/>
        </w:rPr>
        <w:t xml:space="preserve">Barreras lingüísticas y sesgos editoriales: </w:t>
      </w:r>
      <w:r w:rsidRPr="00E94529">
        <w:rPr>
          <w:rFonts w:cs="Times New Roman"/>
          <w:sz w:val="22"/>
          <w:szCs w:val="22"/>
          <w:lang w:val="es-419" w:eastAsia="en-US"/>
        </w:rPr>
        <w:t>La proveniencia de los investigadores de países donde el inglés no es el idioma materno puede enfrentarse a desafíos adicionales durante el proceso de publicación en revistas de alto impacto; los hace susceptibles a los autores de generar publicaciones de menor calidad o fraudulentas, menos éticas, en definitiva.</w:t>
      </w:r>
    </w:p>
    <w:p w14:paraId="0B642EE8" w14:textId="77777777" w:rsidR="00E94529" w:rsidRPr="00E94529" w:rsidRDefault="00E94529" w:rsidP="00E94529">
      <w:pPr>
        <w:numPr>
          <w:ilvl w:val="0"/>
          <w:numId w:val="14"/>
        </w:numPr>
        <w:spacing w:line="240" w:lineRule="auto"/>
        <w:jc w:val="both"/>
        <w:rPr>
          <w:rFonts w:cs="Times New Roman"/>
          <w:b/>
          <w:bCs/>
          <w:sz w:val="22"/>
          <w:szCs w:val="22"/>
          <w:lang w:val="es-419" w:eastAsia="en-US"/>
        </w:rPr>
      </w:pPr>
      <w:r w:rsidRPr="00E94529">
        <w:rPr>
          <w:rFonts w:cs="Times New Roman"/>
          <w:b/>
          <w:bCs/>
          <w:sz w:val="22"/>
          <w:szCs w:val="22"/>
          <w:lang w:val="es-419" w:eastAsia="en-US"/>
        </w:rPr>
        <w:t>Fuentes de financiación y las presiones económicas:</w:t>
      </w:r>
      <w:r w:rsidRPr="00E94529">
        <w:rPr>
          <w:rFonts w:cs="Times New Roman"/>
          <w:sz w:val="22"/>
          <w:szCs w:val="22"/>
          <w:lang w:val="es-419" w:eastAsia="en-US"/>
        </w:rPr>
        <w:t xml:space="preserve"> Las que están asociadas a la obtención y renovación de fondos de investigación, fundamentadas en la productividad académica, podrían tener efectos contraproducentes y actuar como un incentivo que podría ser tildado de perverso. La determinación de la selección de dónde publicar se ve influenciada por la capacidad de pago de los suscriptores, en lugar de por la calidad editorial de la publicación. La vulnerabilidad económica y financiera de los individuos y organizaciones se presenta como un objetivo primario para las promesas de bajo coste que presentan las publicaciones fraudulentas.</w:t>
      </w:r>
    </w:p>
    <w:p w14:paraId="1D682871" w14:textId="25BECE1D" w:rsidR="00E94529" w:rsidRPr="00E94529" w:rsidRDefault="00E94529" w:rsidP="00E94529">
      <w:pPr>
        <w:numPr>
          <w:ilvl w:val="0"/>
          <w:numId w:val="14"/>
        </w:numPr>
        <w:spacing w:line="240" w:lineRule="auto"/>
        <w:jc w:val="both"/>
        <w:rPr>
          <w:rFonts w:cs="Times New Roman"/>
          <w:b/>
          <w:bCs/>
          <w:sz w:val="22"/>
          <w:szCs w:val="22"/>
          <w:lang w:val="es-419" w:eastAsia="en-US"/>
        </w:rPr>
      </w:pPr>
      <w:r w:rsidRPr="00E94529">
        <w:rPr>
          <w:rFonts w:cs="Times New Roman"/>
          <w:b/>
          <w:bCs/>
          <w:sz w:val="22"/>
          <w:szCs w:val="22"/>
          <w:lang w:val="es-419" w:eastAsia="en-US"/>
        </w:rPr>
        <w:t>En la cultura académica y las métricas de evaluación:</w:t>
      </w:r>
      <w:r w:rsidRPr="00E94529">
        <w:rPr>
          <w:rFonts w:cs="Times New Roman"/>
          <w:sz w:val="22"/>
          <w:szCs w:val="22"/>
          <w:lang w:val="es-419" w:eastAsia="en-US"/>
        </w:rPr>
        <w:t xml:space="preserve"> Se ha observado una tendencia hacia la publicación obligatoria de los resultados de los estudios</w:t>
      </w:r>
      <w:r w:rsidR="00DC6AEF">
        <w:rPr>
          <w:rFonts w:cs="Times New Roman"/>
          <w:sz w:val="22"/>
          <w:szCs w:val="22"/>
          <w:lang w:val="es-419" w:eastAsia="en-US"/>
        </w:rPr>
        <w:t xml:space="preserve"> so pena de ser prematuros</w:t>
      </w:r>
      <w:r w:rsidRPr="00E94529">
        <w:rPr>
          <w:rFonts w:cs="Times New Roman"/>
          <w:sz w:val="22"/>
          <w:szCs w:val="22"/>
          <w:lang w:val="es-419" w:eastAsia="en-US"/>
        </w:rPr>
        <w:t>, conocida como el principio de «publicar o perecer». Esta tendencia se suma al desafío de identificar revistas legítimas que a menudo ofrecen exenciones para investigadores provenientes de países con ingresos bajos y medianos, los cuales abarcan a los países latinoamericanos.</w:t>
      </w:r>
    </w:p>
    <w:p w14:paraId="706A1D35" w14:textId="77777777" w:rsidR="00E94529" w:rsidRPr="00E94529" w:rsidRDefault="00E94529" w:rsidP="00E94529">
      <w:pPr>
        <w:spacing w:line="240" w:lineRule="auto"/>
        <w:jc w:val="both"/>
        <w:rPr>
          <w:rFonts w:cs="Times New Roman"/>
          <w:b/>
          <w:bCs/>
          <w:sz w:val="22"/>
          <w:szCs w:val="22"/>
          <w:lang w:val="es-419" w:eastAsia="en-US"/>
        </w:rPr>
      </w:pPr>
    </w:p>
    <w:p w14:paraId="1AC3F151" w14:textId="6BCCB3F2" w:rsidR="00383D55" w:rsidRPr="00383D55" w:rsidRDefault="0055143A" w:rsidP="00383D55">
      <w:pPr>
        <w:spacing w:line="240" w:lineRule="auto"/>
        <w:jc w:val="both"/>
        <w:rPr>
          <w:rFonts w:cs="Times New Roman"/>
          <w:sz w:val="22"/>
          <w:szCs w:val="22"/>
          <w:lang w:val="es-419"/>
        </w:rPr>
      </w:pPr>
      <w:r w:rsidRPr="0055143A">
        <w:rPr>
          <w:rFonts w:cs="Times New Roman"/>
          <w:sz w:val="22"/>
          <w:szCs w:val="22"/>
          <w:lang w:val="es-419"/>
        </w:rPr>
        <w:t>Los resultados de nuestra investigación sugieren que el modelo desarrollado tiene el potencial de servir como una herramienta valiosa para mejorar el proceso de «pensar, verificar y enviar» para los investigadores, especialmente a la luz de la cultura global de «publicar o perecer». También plantea preguntas sobre el impacto de estas prácticas en la calidad y la profundidad de las publicaciones académicas. A medida que los investigadores se enfrentan a estas presiones, cada vez es más preponderante dar prioridad a la integridad y el rigor en su trabajo. Estudios futuros podrían explorar cómo incorporarlas a los marcos académicos existentes para mejorar tanto la fiabilidad de los resultados de la investigación como la credibilidad general de la comunidad académica</w:t>
      </w:r>
      <w:r>
        <w:rPr>
          <w:rFonts w:cs="Times New Roman"/>
          <w:sz w:val="22"/>
          <w:szCs w:val="22"/>
          <w:lang w:val="es-419"/>
        </w:rPr>
        <w:t>.</w:t>
      </w:r>
    </w:p>
    <w:p w14:paraId="5713BC47" w14:textId="77777777" w:rsidR="00626A4C" w:rsidRPr="00EE24D0" w:rsidRDefault="00626A4C" w:rsidP="002B4F30">
      <w:pPr>
        <w:spacing w:line="240" w:lineRule="auto"/>
        <w:rPr>
          <w:rFonts w:cs="Times New Roman"/>
          <w:b/>
          <w:bCs/>
          <w:sz w:val="22"/>
          <w:szCs w:val="22"/>
          <w:highlight w:val="cyan"/>
          <w:lang w:val="es-419" w:eastAsia="en-US"/>
        </w:rPr>
      </w:pPr>
    </w:p>
    <w:p w14:paraId="547F75CA" w14:textId="7AE66080" w:rsidR="007B68BE" w:rsidRDefault="00A91F1B" w:rsidP="00F429A3">
      <w:pPr>
        <w:spacing w:line="240" w:lineRule="auto"/>
        <w:jc w:val="both"/>
        <w:rPr>
          <w:rFonts w:cs="Times New Roman"/>
          <w:sz w:val="22"/>
          <w:szCs w:val="22"/>
          <w:lang w:val="es-419"/>
        </w:rPr>
      </w:pPr>
      <w:r w:rsidRPr="00A91F1B">
        <w:rPr>
          <w:rFonts w:cs="Times New Roman"/>
          <w:sz w:val="22"/>
          <w:szCs w:val="22"/>
          <w:lang w:val="es-419"/>
        </w:rPr>
        <w:t>Ante la posible propagación de estas prácticas editoriales cuestionables, cabe preguntarse si el sistema de publicación científica está en declive y si la calidad y profundidad de su producción están disminuyendo. Los resultados de nuestra investigación sugieren que el modelo desarrollado tiene el potencial de servir como herramienta valiosa para los investigadores que se enfrentan a las presiones de la cultura académica globalizada y</w:t>
      </w:r>
      <w:r>
        <w:rPr>
          <w:rFonts w:cs="Times New Roman"/>
          <w:sz w:val="22"/>
          <w:szCs w:val="22"/>
          <w:lang w:val="es-419"/>
        </w:rPr>
        <w:t xml:space="preserve"> que en primera línea deben hacer frente</w:t>
      </w:r>
      <w:r w:rsidRPr="00A91F1B">
        <w:rPr>
          <w:rFonts w:cs="Times New Roman"/>
          <w:sz w:val="22"/>
          <w:szCs w:val="22"/>
          <w:lang w:val="es-419"/>
        </w:rPr>
        <w:t xml:space="preserve"> a prácticas engañosas en constante </w:t>
      </w:r>
      <w:r>
        <w:rPr>
          <w:rFonts w:cs="Times New Roman"/>
          <w:sz w:val="22"/>
          <w:szCs w:val="22"/>
          <w:lang w:val="es-419"/>
        </w:rPr>
        <w:t>renovación</w:t>
      </w:r>
      <w:r w:rsidRPr="00A91F1B">
        <w:rPr>
          <w:rFonts w:cs="Times New Roman"/>
          <w:sz w:val="22"/>
          <w:szCs w:val="22"/>
          <w:lang w:val="es-419"/>
        </w:rPr>
        <w:t xml:space="preserve">, lo que dificulta cada vez más priorizar la </w:t>
      </w:r>
      <w:r w:rsidR="00FE0A6A" w:rsidRPr="00A91F1B">
        <w:rPr>
          <w:rFonts w:cs="Times New Roman"/>
          <w:sz w:val="22"/>
          <w:szCs w:val="22"/>
          <w:lang w:val="es-419"/>
        </w:rPr>
        <w:t>rectitud</w:t>
      </w:r>
      <w:r w:rsidRPr="00A91F1B">
        <w:rPr>
          <w:rFonts w:cs="Times New Roman"/>
          <w:sz w:val="22"/>
          <w:szCs w:val="22"/>
          <w:lang w:val="es-419"/>
        </w:rPr>
        <w:t xml:space="preserve"> y el rigor en su </w:t>
      </w:r>
      <w:r w:rsidR="00FE0A6A">
        <w:rPr>
          <w:rFonts w:cs="Times New Roman"/>
          <w:sz w:val="22"/>
          <w:szCs w:val="22"/>
          <w:lang w:val="es-419"/>
        </w:rPr>
        <w:t>labor</w:t>
      </w:r>
      <w:r w:rsidRPr="00A91F1B">
        <w:rPr>
          <w:rFonts w:cs="Times New Roman"/>
          <w:sz w:val="22"/>
          <w:szCs w:val="22"/>
          <w:lang w:val="es-419"/>
        </w:rPr>
        <w:t xml:space="preserve">. Estudios futuros podrían explorar la forma de incorporar estas herramientas a los marcos académicos existentes </w:t>
      </w:r>
      <w:r w:rsidRPr="00A91F1B">
        <w:rPr>
          <w:rFonts w:cs="Times New Roman"/>
          <w:sz w:val="22"/>
          <w:szCs w:val="22"/>
          <w:lang w:val="es-419"/>
        </w:rPr>
        <w:lastRenderedPageBreak/>
        <w:t>para mejorar la fiabilidad de los resultados de la investigación y la credibilidad general de la comunidad académica.</w:t>
      </w:r>
    </w:p>
    <w:p w14:paraId="702BC409" w14:textId="77777777" w:rsidR="00FE0A6A" w:rsidRPr="00EE24D0" w:rsidRDefault="00FE0A6A" w:rsidP="00F429A3">
      <w:pPr>
        <w:spacing w:line="240" w:lineRule="auto"/>
        <w:jc w:val="both"/>
        <w:rPr>
          <w:rFonts w:cs="Times New Roman"/>
          <w:sz w:val="22"/>
          <w:szCs w:val="22"/>
          <w:lang w:val="es-419"/>
        </w:rPr>
      </w:pPr>
    </w:p>
    <w:p w14:paraId="41F71CB8" w14:textId="4620BF92" w:rsidR="00486F62" w:rsidRDefault="00FE0A6A" w:rsidP="00F429A3">
      <w:pPr>
        <w:spacing w:line="240" w:lineRule="auto"/>
        <w:jc w:val="both"/>
        <w:rPr>
          <w:rFonts w:cs="Times New Roman"/>
          <w:sz w:val="22"/>
          <w:szCs w:val="22"/>
          <w:lang w:val="es-419"/>
        </w:rPr>
      </w:pPr>
      <w:r w:rsidRPr="00FE0A6A">
        <w:rPr>
          <w:rFonts w:cs="Times New Roman"/>
          <w:sz w:val="22"/>
          <w:szCs w:val="22"/>
          <w:lang w:val="es-419"/>
        </w:rPr>
        <w:t>Se reconocen los esfuerzos de reconocidas editoriales como Wiley, que están detrás de iniciativas de acceso abierto diseñadas para hacer que la investigación sea más accesible para los investigadores de todo el mundo, especialmente los de países con bajos ingresos. A través del programa Research4Life, Wiley ofrece a los investigadores de países en desarrollo acceso gratuito o de bajo coste a contenidos revisados por pares. Adicionalmente, Wiley ofrece exenciones y descuentos automáticos en las cuotas de publicación de artículos (APC) a los autores que publican en sus revistas de acceso abierto. La lista de países elegibles se actualiza anualmente para garantizar que las iniciativas sigan siendo relevantes y beneficiosas para los investigadores de diversas regiones. El compromiso de Wiley con el acceso abierto se refuerza con el Piloto de Paridad de Poder de Precios de Acceso Abierto, que pretende crear un modelo de publicación dorada y diamante asequibles, especialmente para los autores de América Latina (</w:t>
      </w:r>
      <w:proofErr w:type="spellStart"/>
      <w:r w:rsidRPr="00FE0A6A">
        <w:rPr>
          <w:rFonts w:cs="Times New Roman"/>
          <w:sz w:val="22"/>
          <w:szCs w:val="22"/>
          <w:lang w:val="es-419"/>
        </w:rPr>
        <w:t>Barciela</w:t>
      </w:r>
      <w:proofErr w:type="spellEnd"/>
      <w:r w:rsidRPr="00FE0A6A">
        <w:rPr>
          <w:rFonts w:cs="Times New Roman"/>
          <w:sz w:val="22"/>
          <w:szCs w:val="22"/>
          <w:lang w:val="es-419"/>
        </w:rPr>
        <w:t xml:space="preserve"> y Rincón, 2025).</w:t>
      </w:r>
    </w:p>
    <w:p w14:paraId="5DBEFFC9" w14:textId="77777777" w:rsidR="00FE0A6A" w:rsidRPr="00EE24D0" w:rsidRDefault="00FE0A6A" w:rsidP="00F429A3">
      <w:pPr>
        <w:spacing w:line="240" w:lineRule="auto"/>
        <w:jc w:val="both"/>
        <w:rPr>
          <w:rFonts w:cs="Times New Roman"/>
          <w:sz w:val="22"/>
          <w:szCs w:val="22"/>
          <w:lang w:val="es-419"/>
        </w:rPr>
      </w:pPr>
    </w:p>
    <w:p w14:paraId="33467251" w14:textId="77777777" w:rsidR="002B4F30" w:rsidRPr="00EE24D0" w:rsidRDefault="002B4F30" w:rsidP="002B4F30">
      <w:pPr>
        <w:spacing w:line="240" w:lineRule="auto"/>
        <w:jc w:val="both"/>
        <w:rPr>
          <w:rFonts w:cs="Times New Roman"/>
          <w:b/>
          <w:bCs/>
          <w:sz w:val="22"/>
          <w:szCs w:val="22"/>
          <w:lang w:val="es-419"/>
        </w:rPr>
      </w:pPr>
      <w:r w:rsidRPr="00EE24D0">
        <w:rPr>
          <w:rFonts w:cs="Times New Roman"/>
          <w:b/>
          <w:bCs/>
          <w:sz w:val="22"/>
          <w:szCs w:val="22"/>
          <w:lang w:val="es-419"/>
        </w:rPr>
        <w:t>Declaración de uso de la IA</w:t>
      </w:r>
    </w:p>
    <w:p w14:paraId="309C4985" w14:textId="77777777" w:rsidR="002B4F30" w:rsidRPr="00EE24D0" w:rsidRDefault="002B4F30" w:rsidP="002B4F30">
      <w:pPr>
        <w:spacing w:line="240" w:lineRule="auto"/>
        <w:jc w:val="both"/>
        <w:rPr>
          <w:rFonts w:cs="Times New Roman"/>
          <w:sz w:val="22"/>
          <w:szCs w:val="22"/>
          <w:lang w:val="es-419"/>
        </w:rPr>
      </w:pPr>
    </w:p>
    <w:p w14:paraId="37E10940" w14:textId="10E9663F" w:rsidR="006722B5" w:rsidRPr="00EE24D0" w:rsidRDefault="002B4F30" w:rsidP="002B4F30">
      <w:pPr>
        <w:spacing w:line="240" w:lineRule="auto"/>
        <w:jc w:val="both"/>
        <w:rPr>
          <w:rFonts w:cs="Times New Roman"/>
          <w:sz w:val="22"/>
          <w:szCs w:val="22"/>
          <w:lang w:val="es-419"/>
        </w:rPr>
      </w:pPr>
      <w:r w:rsidRPr="00EE24D0">
        <w:rPr>
          <w:rFonts w:cs="Times New Roman"/>
          <w:sz w:val="22"/>
          <w:szCs w:val="22"/>
          <w:lang w:val="es-419"/>
        </w:rPr>
        <w:t xml:space="preserve">En convención con lo estipulado por el CIBCA 2025, los autores utilizamos las herramientas de la IA en sus últimas versiones de Grammarly y </w:t>
      </w:r>
      <w:proofErr w:type="spellStart"/>
      <w:r w:rsidRPr="00EE24D0">
        <w:rPr>
          <w:rFonts w:cs="Times New Roman"/>
          <w:sz w:val="22"/>
          <w:szCs w:val="22"/>
          <w:lang w:val="es-419"/>
        </w:rPr>
        <w:t>Quillbot</w:t>
      </w:r>
      <w:proofErr w:type="spellEnd"/>
      <w:r w:rsidRPr="00EE24D0">
        <w:rPr>
          <w:rFonts w:cs="Times New Roman"/>
          <w:sz w:val="22"/>
          <w:szCs w:val="22"/>
          <w:lang w:val="es-419"/>
        </w:rPr>
        <w:t xml:space="preserve"> para la corrección de escritura en inglés y español, respectivamente. Empleamos </w:t>
      </w:r>
      <w:proofErr w:type="spellStart"/>
      <w:r w:rsidRPr="00EE24D0">
        <w:rPr>
          <w:rFonts w:cs="Times New Roman"/>
          <w:sz w:val="22"/>
          <w:szCs w:val="22"/>
          <w:lang w:val="es-419"/>
        </w:rPr>
        <w:t>Perplexity</w:t>
      </w:r>
      <w:proofErr w:type="spellEnd"/>
      <w:r w:rsidRPr="00EE24D0">
        <w:rPr>
          <w:rFonts w:cs="Times New Roman"/>
          <w:sz w:val="22"/>
          <w:szCs w:val="22"/>
          <w:lang w:val="es-419"/>
        </w:rPr>
        <w:t xml:space="preserve"> para contrastar y referenciar de fuentes científicas las cinco categorías presentadas en este estudio mediante el siguiente </w:t>
      </w:r>
      <w:proofErr w:type="spellStart"/>
      <w:r w:rsidRPr="00EE24D0">
        <w:rPr>
          <w:rFonts w:cs="Times New Roman"/>
          <w:sz w:val="22"/>
          <w:szCs w:val="22"/>
          <w:lang w:val="es-419"/>
        </w:rPr>
        <w:t>prompt</w:t>
      </w:r>
      <w:proofErr w:type="spellEnd"/>
      <w:r w:rsidRPr="00EE24D0">
        <w:rPr>
          <w:rFonts w:cs="Times New Roman"/>
          <w:sz w:val="22"/>
          <w:szCs w:val="22"/>
          <w:lang w:val="es-419"/>
        </w:rPr>
        <w:t>: «He acopiado cinco categorías relacionadas que inciden de manera directa en el riesgo o probabilidad de ocurrencia de los autores para sufrir malas prácticas editoriales. ¿Puedes incluir o excluir alguna otra categoría que consideres importante dentro del análisis planteado?», cuya respuesta fue validada.</w:t>
      </w:r>
      <w:r w:rsidR="006722B5" w:rsidRPr="00EE24D0">
        <w:rPr>
          <w:rFonts w:cs="Times New Roman"/>
          <w:sz w:val="22"/>
          <w:szCs w:val="22"/>
          <w:lang w:val="es-419"/>
        </w:rPr>
        <w:br w:type="page"/>
      </w:r>
    </w:p>
    <w:p w14:paraId="1369B269" w14:textId="005B2D27" w:rsidR="00B61B1D" w:rsidRPr="00EE24D0" w:rsidRDefault="006722B5" w:rsidP="00F429A3">
      <w:pPr>
        <w:spacing w:line="240" w:lineRule="auto"/>
        <w:rPr>
          <w:rFonts w:eastAsia="Times New Roman" w:cs="Times New Roman"/>
          <w:b/>
          <w:bCs/>
          <w:sz w:val="22"/>
          <w:szCs w:val="22"/>
          <w:lang w:val="es-419"/>
        </w:rPr>
      </w:pPr>
      <w:r w:rsidRPr="00EE24D0">
        <w:rPr>
          <w:rFonts w:eastAsia="Times New Roman" w:cs="Times New Roman"/>
          <w:b/>
          <w:bCs/>
          <w:sz w:val="22"/>
          <w:szCs w:val="22"/>
          <w:lang w:val="es-419"/>
        </w:rPr>
        <w:lastRenderedPageBreak/>
        <w:t>REFERENCIAS BIBLIOGRÁFICAS</w:t>
      </w:r>
    </w:p>
    <w:p w14:paraId="58EE107A" w14:textId="7AFF1348" w:rsidR="00B61B1D" w:rsidRPr="00EE24D0" w:rsidRDefault="00B61B1D" w:rsidP="00F429A3">
      <w:pPr>
        <w:spacing w:line="240" w:lineRule="auto"/>
        <w:rPr>
          <w:rFonts w:eastAsia="Times New Roman" w:cs="Times New Roman"/>
          <w:b/>
          <w:bCs/>
          <w:sz w:val="22"/>
          <w:szCs w:val="22"/>
          <w:lang w:val="es-419"/>
        </w:rPr>
      </w:pPr>
    </w:p>
    <w:p w14:paraId="3D18C681" w14:textId="37FAE191" w:rsidR="0007200D" w:rsidRPr="00EE24D0" w:rsidRDefault="0007200D" w:rsidP="00F429A3">
      <w:pPr>
        <w:pStyle w:val="ListParagraph"/>
        <w:numPr>
          <w:ilvl w:val="0"/>
          <w:numId w:val="4"/>
        </w:numPr>
        <w:spacing w:line="240" w:lineRule="auto"/>
        <w:rPr>
          <w:rFonts w:eastAsia="Times New Roman" w:cs="Times New Roman"/>
          <w:sz w:val="22"/>
          <w:szCs w:val="22"/>
          <w:lang w:val="en-US" w:eastAsia="en-US"/>
        </w:rPr>
      </w:pPr>
      <w:proofErr w:type="spellStart"/>
      <w:r w:rsidRPr="00EE24D0">
        <w:rPr>
          <w:rFonts w:eastAsia="Times New Roman" w:cs="Times New Roman"/>
          <w:sz w:val="22"/>
          <w:szCs w:val="22"/>
          <w:lang w:eastAsia="en-US"/>
        </w:rPr>
        <w:t>Barciela</w:t>
      </w:r>
      <w:proofErr w:type="spellEnd"/>
      <w:r w:rsidRPr="00EE24D0">
        <w:rPr>
          <w:rFonts w:eastAsia="Times New Roman" w:cs="Times New Roman"/>
          <w:sz w:val="22"/>
          <w:szCs w:val="22"/>
          <w:lang w:eastAsia="en-US"/>
        </w:rPr>
        <w:t xml:space="preserve">, A., y </w:t>
      </w:r>
      <w:r w:rsidR="003A0AA8" w:rsidRPr="00EE24D0">
        <w:rPr>
          <w:rFonts w:eastAsia="Times New Roman" w:cs="Times New Roman"/>
          <w:sz w:val="22"/>
          <w:szCs w:val="22"/>
          <w:lang w:eastAsia="en-US"/>
        </w:rPr>
        <w:t>Rincón</w:t>
      </w:r>
      <w:r w:rsidRPr="00EE24D0">
        <w:rPr>
          <w:rFonts w:eastAsia="Times New Roman" w:cs="Times New Roman"/>
          <w:sz w:val="22"/>
          <w:szCs w:val="22"/>
          <w:lang w:eastAsia="en-US"/>
        </w:rPr>
        <w:t xml:space="preserve">-Ovalles, R. (2025, septiembre 18). </w:t>
      </w:r>
      <w:r w:rsidRPr="00EE24D0">
        <w:rPr>
          <w:rFonts w:eastAsia="Times New Roman" w:cs="Times New Roman"/>
          <w:i/>
          <w:iCs/>
          <w:sz w:val="22"/>
          <w:szCs w:val="22"/>
          <w:lang w:eastAsia="en-US"/>
        </w:rPr>
        <w:t>El futuro es abierto: Acceso abierto, datos abiertos y ciencia abierta</w:t>
      </w:r>
      <w:r w:rsidRPr="00EE24D0">
        <w:rPr>
          <w:rFonts w:eastAsia="Times New Roman" w:cs="Times New Roman"/>
          <w:sz w:val="22"/>
          <w:szCs w:val="22"/>
          <w:lang w:eastAsia="en-US"/>
        </w:rPr>
        <w:t xml:space="preserve"> [Grabación de seminario web]. Wiley. </w:t>
      </w:r>
    </w:p>
    <w:p w14:paraId="566BE8EB" w14:textId="578C5153" w:rsidR="001855C8" w:rsidRPr="00EE24D0" w:rsidRDefault="008C3990"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s-419" w:eastAsia="en-US"/>
        </w:rPr>
        <w:t xml:space="preserve">Cordero, B. P. (2019). Selección de proveedores priorizando criterios sostenibles para productos: un enfoque de AHP en compras públicas peruanas. </w:t>
      </w:r>
      <w:r w:rsidRPr="00EE24D0">
        <w:rPr>
          <w:rFonts w:eastAsia="Times New Roman" w:cs="Times New Roman"/>
          <w:i/>
          <w:iCs/>
          <w:sz w:val="22"/>
          <w:szCs w:val="22"/>
          <w:lang w:val="en-US" w:eastAsia="en-US"/>
        </w:rPr>
        <w:t>Industrial Data</w:t>
      </w:r>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22</w:t>
      </w:r>
      <w:r w:rsidRPr="00EE24D0">
        <w:rPr>
          <w:rFonts w:eastAsia="Times New Roman" w:cs="Times New Roman"/>
          <w:sz w:val="22"/>
          <w:szCs w:val="22"/>
          <w:lang w:val="en-US" w:eastAsia="en-US"/>
        </w:rPr>
        <w:t xml:space="preserve">(1), 153-172. </w:t>
      </w:r>
      <w:hyperlink r:id="rId11" w:history="1">
        <w:r w:rsidR="00987234" w:rsidRPr="00EE24D0">
          <w:rPr>
            <w:rStyle w:val="Hyperlink"/>
            <w:rFonts w:eastAsia="Times New Roman" w:cs="Times New Roman"/>
            <w:color w:val="auto"/>
            <w:sz w:val="22"/>
            <w:szCs w:val="22"/>
            <w:lang w:val="en-US" w:eastAsia="en-US"/>
          </w:rPr>
          <w:t>https://doi.org/10.15381/idata.v22i1.16532</w:t>
        </w:r>
      </w:hyperlink>
    </w:p>
    <w:p w14:paraId="47F7DA7C" w14:textId="4EF36055" w:rsidR="00BD4F28" w:rsidRPr="00EE24D0" w:rsidRDefault="001855C8"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n-US" w:eastAsia="en-US"/>
        </w:rPr>
        <w:t xml:space="preserve">Elmore, S. A., y Weston, E. H. (2020). Predatory Journals: What They Are and How to Avoid Them. </w:t>
      </w:r>
      <w:r w:rsidRPr="00EE24D0">
        <w:rPr>
          <w:rFonts w:eastAsia="Times New Roman" w:cs="Times New Roman"/>
          <w:i/>
          <w:iCs/>
          <w:sz w:val="22"/>
          <w:szCs w:val="22"/>
          <w:lang w:val="en-US" w:eastAsia="en-US"/>
        </w:rPr>
        <w:t>Toxicologic Pathology</w:t>
      </w:r>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48</w:t>
      </w:r>
      <w:r w:rsidRPr="00EE24D0">
        <w:rPr>
          <w:rFonts w:eastAsia="Times New Roman" w:cs="Times New Roman"/>
          <w:sz w:val="22"/>
          <w:szCs w:val="22"/>
          <w:lang w:val="en-US" w:eastAsia="en-US"/>
        </w:rPr>
        <w:t xml:space="preserve">(4), 607-610. </w:t>
      </w:r>
      <w:hyperlink r:id="rId12" w:history="1">
        <w:r w:rsidRPr="00EE24D0">
          <w:rPr>
            <w:rStyle w:val="Hyperlink"/>
            <w:rFonts w:eastAsia="Times New Roman" w:cs="Times New Roman"/>
            <w:color w:val="auto"/>
            <w:sz w:val="22"/>
            <w:szCs w:val="22"/>
            <w:lang w:val="en-US" w:eastAsia="en-US"/>
          </w:rPr>
          <w:t>https://doi.org/10.1177/0192623320920209</w:t>
        </w:r>
      </w:hyperlink>
    </w:p>
    <w:p w14:paraId="264956BA" w14:textId="38B9A199" w:rsidR="00790698" w:rsidRPr="00EE24D0" w:rsidRDefault="00790698" w:rsidP="00790698">
      <w:pPr>
        <w:pStyle w:val="ListParagraph"/>
        <w:numPr>
          <w:ilvl w:val="0"/>
          <w:numId w:val="4"/>
        </w:numPr>
        <w:spacing w:line="240" w:lineRule="auto"/>
        <w:rPr>
          <w:rFonts w:eastAsia="Times New Roman" w:cs="Times New Roman"/>
          <w:sz w:val="22"/>
          <w:szCs w:val="22"/>
          <w:lang w:val="es-419" w:eastAsia="en-US"/>
        </w:rPr>
      </w:pPr>
      <w:r w:rsidRPr="00EE24D0">
        <w:rPr>
          <w:rFonts w:eastAsia="Times New Roman" w:cs="Times New Roman"/>
          <w:sz w:val="22"/>
          <w:szCs w:val="22"/>
          <w:lang w:eastAsia="en-US"/>
        </w:rPr>
        <w:t>García-Puente, María. (2019). La epidemia de las revistas depredadoras. </w:t>
      </w:r>
      <w:r w:rsidRPr="00EE24D0">
        <w:rPr>
          <w:rFonts w:eastAsia="Times New Roman" w:cs="Times New Roman"/>
          <w:i/>
          <w:iCs/>
          <w:sz w:val="22"/>
          <w:szCs w:val="22"/>
          <w:lang w:eastAsia="en-US"/>
        </w:rPr>
        <w:t>Pediatría Atención Primaria</w:t>
      </w:r>
      <w:r w:rsidRPr="00EE24D0">
        <w:rPr>
          <w:rFonts w:eastAsia="Times New Roman" w:cs="Times New Roman"/>
          <w:sz w:val="22"/>
          <w:szCs w:val="22"/>
          <w:lang w:eastAsia="en-US"/>
        </w:rPr>
        <w:t>, </w:t>
      </w:r>
      <w:r w:rsidRPr="00EE24D0">
        <w:rPr>
          <w:rFonts w:eastAsia="Times New Roman" w:cs="Times New Roman"/>
          <w:i/>
          <w:iCs/>
          <w:sz w:val="22"/>
          <w:szCs w:val="22"/>
          <w:lang w:eastAsia="en-US"/>
        </w:rPr>
        <w:t>21</w:t>
      </w:r>
      <w:r w:rsidRPr="00EE24D0">
        <w:rPr>
          <w:rFonts w:eastAsia="Times New Roman" w:cs="Times New Roman"/>
          <w:sz w:val="22"/>
          <w:szCs w:val="22"/>
          <w:lang w:eastAsia="en-US"/>
        </w:rPr>
        <w:t xml:space="preserve">(81), 81-85. </w:t>
      </w:r>
      <w:hyperlink r:id="rId13" w:history="1">
        <w:r w:rsidRPr="00EE24D0">
          <w:rPr>
            <w:rStyle w:val="Hyperlink"/>
            <w:rFonts w:eastAsia="Times New Roman" w:cs="Times New Roman"/>
            <w:color w:val="auto"/>
            <w:sz w:val="22"/>
            <w:szCs w:val="22"/>
            <w:lang w:eastAsia="en-US"/>
          </w:rPr>
          <w:t>http://scielo.isciii.es/scielo.php?script=sci_arttext&amp;pid=S1139-76322019000100019&amp;lng=es&amp;tlng=es</w:t>
        </w:r>
      </w:hyperlink>
    </w:p>
    <w:p w14:paraId="7F48F557" w14:textId="4907C6D5" w:rsidR="003673D9" w:rsidRPr="00EE24D0" w:rsidRDefault="003673D9" w:rsidP="003673D9">
      <w:pPr>
        <w:pStyle w:val="ListParagraph"/>
        <w:numPr>
          <w:ilvl w:val="0"/>
          <w:numId w:val="4"/>
        </w:numPr>
        <w:spacing w:line="240" w:lineRule="auto"/>
        <w:rPr>
          <w:rFonts w:eastAsia="Times New Roman" w:cs="Times New Roman"/>
          <w:sz w:val="22"/>
          <w:szCs w:val="22"/>
          <w:lang w:val="es-419" w:eastAsia="en-US"/>
        </w:rPr>
      </w:pPr>
      <w:r w:rsidRPr="00EE24D0">
        <w:rPr>
          <w:rFonts w:eastAsia="Times New Roman" w:cs="Times New Roman"/>
          <w:sz w:val="22"/>
          <w:szCs w:val="22"/>
          <w:lang w:val="en-US" w:eastAsia="en-US"/>
        </w:rPr>
        <w:t xml:space="preserve">Iqbal, M. A. (2022). Think, Check &amp; Submit: Unique Approach to Journal Selection. </w:t>
      </w:r>
      <w:proofErr w:type="spellStart"/>
      <w:r w:rsidRPr="00EE24D0">
        <w:rPr>
          <w:rFonts w:eastAsia="Times New Roman" w:cs="Times New Roman"/>
          <w:i/>
          <w:iCs/>
          <w:sz w:val="22"/>
          <w:szCs w:val="22"/>
          <w:lang w:val="es-419" w:eastAsia="en-US"/>
        </w:rPr>
        <w:t>Update</w:t>
      </w:r>
      <w:proofErr w:type="spellEnd"/>
      <w:r w:rsidRPr="00EE24D0">
        <w:rPr>
          <w:rFonts w:eastAsia="Times New Roman" w:cs="Times New Roman"/>
          <w:i/>
          <w:iCs/>
          <w:sz w:val="22"/>
          <w:szCs w:val="22"/>
          <w:lang w:val="es-419" w:eastAsia="en-US"/>
        </w:rPr>
        <w:t xml:space="preserve"> Dental </w:t>
      </w:r>
      <w:proofErr w:type="spellStart"/>
      <w:r w:rsidRPr="00EE24D0">
        <w:rPr>
          <w:rFonts w:eastAsia="Times New Roman" w:cs="Times New Roman"/>
          <w:i/>
          <w:iCs/>
          <w:sz w:val="22"/>
          <w:szCs w:val="22"/>
          <w:lang w:val="es-419" w:eastAsia="en-US"/>
        </w:rPr>
        <w:t>College</w:t>
      </w:r>
      <w:proofErr w:type="spellEnd"/>
      <w:r w:rsidRPr="00EE24D0">
        <w:rPr>
          <w:rFonts w:eastAsia="Times New Roman" w:cs="Times New Roman"/>
          <w:i/>
          <w:iCs/>
          <w:sz w:val="22"/>
          <w:szCs w:val="22"/>
          <w:lang w:val="es-419" w:eastAsia="en-US"/>
        </w:rPr>
        <w:t xml:space="preserve"> </w:t>
      </w:r>
      <w:proofErr w:type="spellStart"/>
      <w:r w:rsidRPr="00EE24D0">
        <w:rPr>
          <w:rFonts w:eastAsia="Times New Roman" w:cs="Times New Roman"/>
          <w:i/>
          <w:iCs/>
          <w:sz w:val="22"/>
          <w:szCs w:val="22"/>
          <w:lang w:val="es-419" w:eastAsia="en-US"/>
        </w:rPr>
        <w:t>Journal</w:t>
      </w:r>
      <w:proofErr w:type="spellEnd"/>
      <w:r w:rsidRPr="00EE24D0">
        <w:rPr>
          <w:rFonts w:eastAsia="Times New Roman" w:cs="Times New Roman"/>
          <w:i/>
          <w:iCs/>
          <w:sz w:val="22"/>
          <w:szCs w:val="22"/>
          <w:lang w:val="es-419" w:eastAsia="en-US"/>
        </w:rPr>
        <w:t>, 12</w:t>
      </w:r>
      <w:r w:rsidRPr="00EE24D0">
        <w:rPr>
          <w:rFonts w:eastAsia="Times New Roman" w:cs="Times New Roman"/>
          <w:sz w:val="22"/>
          <w:szCs w:val="22"/>
          <w:lang w:val="es-419" w:eastAsia="en-US"/>
        </w:rPr>
        <w:t xml:space="preserve">(2), 1-2. </w:t>
      </w:r>
      <w:hyperlink r:id="rId14" w:history="1">
        <w:r w:rsidRPr="00EE24D0">
          <w:rPr>
            <w:rStyle w:val="Hyperlink"/>
            <w:rFonts w:eastAsia="Times New Roman" w:cs="Times New Roman"/>
            <w:color w:val="auto"/>
            <w:sz w:val="22"/>
            <w:szCs w:val="22"/>
            <w:lang w:val="es-419" w:eastAsia="en-US"/>
          </w:rPr>
          <w:t>https://doi.org/10.3329/updcj.v12i2.61945</w:t>
        </w:r>
      </w:hyperlink>
    </w:p>
    <w:p w14:paraId="17951FD8" w14:textId="0CF5C844" w:rsidR="00E61F4B" w:rsidRPr="00EE24D0" w:rsidRDefault="004A6AC5"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n-US" w:eastAsia="en-US"/>
        </w:rPr>
        <w:t xml:space="preserve">Klimczak, M. (2020). The evolution of the publishing industry: The impact of vanity publishing. </w:t>
      </w:r>
      <w:r w:rsidRPr="00EE24D0">
        <w:rPr>
          <w:rFonts w:eastAsia="Times New Roman" w:cs="Times New Roman"/>
          <w:i/>
          <w:iCs/>
          <w:sz w:val="22"/>
          <w:szCs w:val="22"/>
          <w:lang w:val="en-US" w:eastAsia="en-US"/>
        </w:rPr>
        <w:t>Education Excellence and Innovation Management: A 2025 Vision to Sustain Economic Development during Global Challenges</w:t>
      </w:r>
      <w:r w:rsidRPr="00EE24D0">
        <w:rPr>
          <w:rFonts w:eastAsia="Times New Roman" w:cs="Times New Roman"/>
          <w:sz w:val="22"/>
          <w:szCs w:val="22"/>
          <w:lang w:val="en-US" w:eastAsia="en-US"/>
        </w:rPr>
        <w:t>, 16739–16748.</w:t>
      </w:r>
    </w:p>
    <w:p w14:paraId="52E05E5A" w14:textId="70467CDF" w:rsidR="004A6AC5" w:rsidRPr="00EE24D0" w:rsidRDefault="00E61F4B"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n-US" w:eastAsia="en-US"/>
        </w:rPr>
        <w:t xml:space="preserve">Koerber, A., Starkey, J. C., Ardon-Dryer, K., Cummins, R. G., Eko, L., &amp; Kee, K. F. (2023). </w:t>
      </w:r>
      <w:r w:rsidRPr="00EE24D0">
        <w:rPr>
          <w:rFonts w:eastAsia="Times New Roman" w:cs="Times New Roman"/>
          <w:i/>
          <w:iCs/>
          <w:sz w:val="22"/>
          <w:szCs w:val="22"/>
          <w:lang w:val="en-US" w:eastAsia="en-US"/>
        </w:rPr>
        <w:t>The predatory paradox</w:t>
      </w:r>
      <w:r w:rsidRPr="00EE24D0">
        <w:rPr>
          <w:rFonts w:eastAsia="Times New Roman" w:cs="Times New Roman"/>
          <w:sz w:val="22"/>
          <w:szCs w:val="22"/>
          <w:lang w:val="en-US" w:eastAsia="en-US"/>
        </w:rPr>
        <w:t xml:space="preserve">. </w:t>
      </w:r>
      <w:hyperlink r:id="rId15" w:history="1">
        <w:r w:rsidRPr="00EE24D0">
          <w:rPr>
            <w:rStyle w:val="Hyperlink"/>
            <w:rFonts w:eastAsia="Times New Roman" w:cs="Times New Roman"/>
            <w:color w:val="auto"/>
            <w:sz w:val="22"/>
            <w:szCs w:val="22"/>
            <w:lang w:val="en-US" w:eastAsia="en-US"/>
          </w:rPr>
          <w:t>https://doi.org/10.11647/obp.0364</w:t>
        </w:r>
      </w:hyperlink>
    </w:p>
    <w:p w14:paraId="67413B16" w14:textId="5B317B1C" w:rsidR="00D32BC9" w:rsidRPr="00EE24D0" w:rsidRDefault="00D32BC9" w:rsidP="00F429A3">
      <w:pPr>
        <w:pStyle w:val="ListParagraph"/>
        <w:numPr>
          <w:ilvl w:val="0"/>
          <w:numId w:val="4"/>
        </w:numPr>
        <w:spacing w:line="240" w:lineRule="auto"/>
        <w:rPr>
          <w:rFonts w:cs="Times New Roman"/>
          <w:sz w:val="22"/>
          <w:szCs w:val="22"/>
          <w:lang w:val="es-419" w:eastAsia="en-US"/>
        </w:rPr>
      </w:pPr>
      <w:r w:rsidRPr="00EE24D0">
        <w:rPr>
          <w:rFonts w:cs="Times New Roman"/>
          <w:sz w:val="22"/>
          <w:szCs w:val="22"/>
          <w:lang w:val="en-US" w:eastAsia="en-US"/>
        </w:rPr>
        <w:t xml:space="preserve">Nicholas, D., Rodríguez-Bravo, B., </w:t>
      </w:r>
      <w:proofErr w:type="spellStart"/>
      <w:r w:rsidRPr="00EE24D0">
        <w:rPr>
          <w:rFonts w:cs="Times New Roman"/>
          <w:sz w:val="22"/>
          <w:szCs w:val="22"/>
          <w:lang w:val="en-US" w:eastAsia="en-US"/>
        </w:rPr>
        <w:t>Boukacem-Zeghmouri</w:t>
      </w:r>
      <w:proofErr w:type="spellEnd"/>
      <w:r w:rsidRPr="00EE24D0">
        <w:rPr>
          <w:rFonts w:cs="Times New Roman"/>
          <w:sz w:val="22"/>
          <w:szCs w:val="22"/>
          <w:lang w:val="en-US" w:eastAsia="en-US"/>
        </w:rPr>
        <w:t xml:space="preserve">, C., Herman, E., Clark, D., Xu, J., </w:t>
      </w:r>
      <w:proofErr w:type="spellStart"/>
      <w:r w:rsidRPr="00EE24D0">
        <w:rPr>
          <w:rFonts w:cs="Times New Roman"/>
          <w:sz w:val="22"/>
          <w:szCs w:val="22"/>
          <w:lang w:val="en-US" w:eastAsia="en-US"/>
        </w:rPr>
        <w:t>Abrizah</w:t>
      </w:r>
      <w:proofErr w:type="spellEnd"/>
      <w:r w:rsidRPr="00EE24D0">
        <w:rPr>
          <w:rFonts w:cs="Times New Roman"/>
          <w:sz w:val="22"/>
          <w:szCs w:val="22"/>
          <w:lang w:val="en-US" w:eastAsia="en-US"/>
        </w:rPr>
        <w:t xml:space="preserve">, A., </w:t>
      </w:r>
      <w:proofErr w:type="spellStart"/>
      <w:r w:rsidRPr="00EE24D0">
        <w:rPr>
          <w:rFonts w:cs="Times New Roman"/>
          <w:sz w:val="22"/>
          <w:szCs w:val="22"/>
          <w:lang w:val="en-US" w:eastAsia="en-US"/>
        </w:rPr>
        <w:t>Świgoń</w:t>
      </w:r>
      <w:proofErr w:type="spellEnd"/>
      <w:r w:rsidRPr="00EE24D0">
        <w:rPr>
          <w:rFonts w:cs="Times New Roman"/>
          <w:sz w:val="22"/>
          <w:szCs w:val="22"/>
          <w:lang w:val="en-US" w:eastAsia="en-US"/>
        </w:rPr>
        <w:t xml:space="preserve">, M., Watkinson, A., Sims, D., Jamali, H. R., </w:t>
      </w:r>
      <w:proofErr w:type="spellStart"/>
      <w:r w:rsidRPr="00EE24D0">
        <w:rPr>
          <w:rFonts w:cs="Times New Roman"/>
          <w:sz w:val="22"/>
          <w:szCs w:val="22"/>
          <w:lang w:val="en-US" w:eastAsia="en-US"/>
        </w:rPr>
        <w:t>Tenopir</w:t>
      </w:r>
      <w:proofErr w:type="spellEnd"/>
      <w:r w:rsidRPr="00EE24D0">
        <w:rPr>
          <w:rFonts w:cs="Times New Roman"/>
          <w:sz w:val="22"/>
          <w:szCs w:val="22"/>
          <w:lang w:val="en-US" w:eastAsia="en-US"/>
        </w:rPr>
        <w:t xml:space="preserve">, C., </w:t>
      </w:r>
      <w:r w:rsidR="002250A4" w:rsidRPr="00EE24D0">
        <w:rPr>
          <w:rFonts w:cs="Times New Roman"/>
          <w:sz w:val="22"/>
          <w:szCs w:val="22"/>
          <w:lang w:val="en-US" w:eastAsia="en-US"/>
        </w:rPr>
        <w:t>y</w:t>
      </w:r>
      <w:r w:rsidRPr="00EE24D0">
        <w:rPr>
          <w:rFonts w:cs="Times New Roman"/>
          <w:sz w:val="22"/>
          <w:szCs w:val="22"/>
          <w:lang w:val="en-US" w:eastAsia="en-US"/>
        </w:rPr>
        <w:t xml:space="preserve"> Allard, S. (2023). Early career researchers and predatory journals during the Covid-19 pandemic. </w:t>
      </w:r>
      <w:proofErr w:type="spellStart"/>
      <w:r w:rsidRPr="00EE24D0">
        <w:rPr>
          <w:rFonts w:cs="Times New Roman"/>
          <w:sz w:val="22"/>
          <w:szCs w:val="22"/>
          <w:lang w:val="es-419" w:eastAsia="en-US"/>
        </w:rPr>
        <w:t>An</w:t>
      </w:r>
      <w:proofErr w:type="spellEnd"/>
      <w:r w:rsidRPr="00EE24D0">
        <w:rPr>
          <w:rFonts w:cs="Times New Roman"/>
          <w:sz w:val="22"/>
          <w:szCs w:val="22"/>
          <w:lang w:val="es-419" w:eastAsia="en-US"/>
        </w:rPr>
        <w:t xml:space="preserve"> </w:t>
      </w:r>
      <w:proofErr w:type="spellStart"/>
      <w:r w:rsidRPr="00EE24D0">
        <w:rPr>
          <w:rFonts w:cs="Times New Roman"/>
          <w:sz w:val="22"/>
          <w:szCs w:val="22"/>
          <w:lang w:val="es-419" w:eastAsia="en-US"/>
        </w:rPr>
        <w:t>international</w:t>
      </w:r>
      <w:proofErr w:type="spellEnd"/>
      <w:r w:rsidRPr="00EE24D0">
        <w:rPr>
          <w:rFonts w:cs="Times New Roman"/>
          <w:sz w:val="22"/>
          <w:szCs w:val="22"/>
          <w:lang w:val="es-419" w:eastAsia="en-US"/>
        </w:rPr>
        <w:t xml:space="preserve"> </w:t>
      </w:r>
      <w:proofErr w:type="spellStart"/>
      <w:r w:rsidRPr="00EE24D0">
        <w:rPr>
          <w:rFonts w:cs="Times New Roman"/>
          <w:sz w:val="22"/>
          <w:szCs w:val="22"/>
          <w:lang w:val="es-419" w:eastAsia="en-US"/>
        </w:rPr>
        <w:t>analysis</w:t>
      </w:r>
      <w:proofErr w:type="spellEnd"/>
      <w:r w:rsidRPr="00EE24D0">
        <w:rPr>
          <w:rFonts w:cs="Times New Roman"/>
          <w:sz w:val="22"/>
          <w:szCs w:val="22"/>
          <w:lang w:val="es-419" w:eastAsia="en-US"/>
        </w:rPr>
        <w:t xml:space="preserve">. </w:t>
      </w:r>
      <w:r w:rsidRPr="00EE24D0">
        <w:rPr>
          <w:rFonts w:cs="Times New Roman"/>
          <w:i/>
          <w:iCs/>
          <w:sz w:val="22"/>
          <w:szCs w:val="22"/>
          <w:lang w:val="es-419" w:eastAsia="en-US"/>
        </w:rPr>
        <w:t xml:space="preserve">El Profesional de la </w:t>
      </w:r>
      <w:r w:rsidR="002250A4" w:rsidRPr="00EE24D0">
        <w:rPr>
          <w:rFonts w:cs="Times New Roman"/>
          <w:i/>
          <w:iCs/>
          <w:sz w:val="22"/>
          <w:szCs w:val="22"/>
          <w:lang w:val="es-419" w:eastAsia="en-US"/>
        </w:rPr>
        <w:t>Información</w:t>
      </w:r>
      <w:r w:rsidRPr="00EE24D0">
        <w:rPr>
          <w:rFonts w:cs="Times New Roman"/>
          <w:sz w:val="22"/>
          <w:szCs w:val="22"/>
          <w:lang w:val="es-419" w:eastAsia="en-US"/>
        </w:rPr>
        <w:t xml:space="preserve">. </w:t>
      </w:r>
      <w:hyperlink r:id="rId16" w:history="1">
        <w:r w:rsidRPr="00EE24D0">
          <w:rPr>
            <w:rStyle w:val="Hyperlink"/>
            <w:rFonts w:cs="Times New Roman"/>
            <w:color w:val="auto"/>
            <w:sz w:val="22"/>
            <w:szCs w:val="22"/>
            <w:lang w:val="es-419" w:eastAsia="en-US"/>
          </w:rPr>
          <w:t>https://doi.org/10.3145/epi.2023.ene.17</w:t>
        </w:r>
      </w:hyperlink>
    </w:p>
    <w:p w14:paraId="277CB9F6" w14:textId="144CC401" w:rsidR="00D32BC9" w:rsidRPr="00EE24D0" w:rsidRDefault="001A2970" w:rsidP="00F429A3">
      <w:pPr>
        <w:pStyle w:val="ListParagraph"/>
        <w:numPr>
          <w:ilvl w:val="0"/>
          <w:numId w:val="4"/>
        </w:numPr>
        <w:spacing w:line="240" w:lineRule="auto"/>
        <w:rPr>
          <w:rFonts w:cs="Times New Roman"/>
          <w:sz w:val="22"/>
          <w:szCs w:val="22"/>
          <w:lang w:val="en-US" w:eastAsia="en-US"/>
        </w:rPr>
      </w:pPr>
      <w:proofErr w:type="spellStart"/>
      <w:r w:rsidRPr="00EE24D0">
        <w:rPr>
          <w:rFonts w:cs="Times New Roman"/>
          <w:sz w:val="22"/>
          <w:szCs w:val="22"/>
          <w:lang w:val="es-419" w:eastAsia="en-US"/>
        </w:rPr>
        <w:t>Mertkan</w:t>
      </w:r>
      <w:proofErr w:type="spellEnd"/>
      <w:r w:rsidRPr="00EE24D0">
        <w:rPr>
          <w:rFonts w:cs="Times New Roman"/>
          <w:sz w:val="22"/>
          <w:szCs w:val="22"/>
          <w:lang w:val="es-419" w:eastAsia="en-US"/>
        </w:rPr>
        <w:t xml:space="preserve">, S., </w:t>
      </w:r>
      <w:proofErr w:type="spellStart"/>
      <w:r w:rsidRPr="00EE24D0">
        <w:rPr>
          <w:rFonts w:cs="Times New Roman"/>
          <w:sz w:val="22"/>
          <w:szCs w:val="22"/>
          <w:lang w:val="es-419" w:eastAsia="en-US"/>
        </w:rPr>
        <w:t>Aliusta</w:t>
      </w:r>
      <w:proofErr w:type="spellEnd"/>
      <w:r w:rsidRPr="00EE24D0">
        <w:rPr>
          <w:rFonts w:cs="Times New Roman"/>
          <w:sz w:val="22"/>
          <w:szCs w:val="22"/>
          <w:lang w:val="es-419" w:eastAsia="en-US"/>
        </w:rPr>
        <w:t xml:space="preserve">, G. O., </w:t>
      </w:r>
      <w:r w:rsidR="00BD4F28" w:rsidRPr="00EE24D0">
        <w:rPr>
          <w:rFonts w:cs="Times New Roman"/>
          <w:sz w:val="22"/>
          <w:szCs w:val="22"/>
          <w:lang w:val="es-419" w:eastAsia="en-US"/>
        </w:rPr>
        <w:t>y</w:t>
      </w:r>
      <w:r w:rsidRPr="00EE24D0">
        <w:rPr>
          <w:rFonts w:cs="Times New Roman"/>
          <w:sz w:val="22"/>
          <w:szCs w:val="22"/>
          <w:lang w:val="es-419" w:eastAsia="en-US"/>
        </w:rPr>
        <w:t xml:space="preserve"> </w:t>
      </w:r>
      <w:proofErr w:type="spellStart"/>
      <w:r w:rsidRPr="00EE24D0">
        <w:rPr>
          <w:rFonts w:cs="Times New Roman"/>
          <w:sz w:val="22"/>
          <w:szCs w:val="22"/>
          <w:lang w:val="es-419" w:eastAsia="en-US"/>
        </w:rPr>
        <w:t>Suphi</w:t>
      </w:r>
      <w:proofErr w:type="spellEnd"/>
      <w:r w:rsidRPr="00EE24D0">
        <w:rPr>
          <w:rFonts w:cs="Times New Roman"/>
          <w:sz w:val="22"/>
          <w:szCs w:val="22"/>
          <w:lang w:val="es-419" w:eastAsia="en-US"/>
        </w:rPr>
        <w:t xml:space="preserve">, N. (2021). </w:t>
      </w:r>
      <w:r w:rsidRPr="00EE24D0">
        <w:rPr>
          <w:rFonts w:cs="Times New Roman"/>
          <w:sz w:val="22"/>
          <w:szCs w:val="22"/>
          <w:lang w:val="en-US" w:eastAsia="en-US"/>
        </w:rPr>
        <w:t xml:space="preserve">Profile of authors publishing in ‘predatory’ journals and causal factors behind their decision: A systematic review. </w:t>
      </w:r>
      <w:r w:rsidRPr="00EE24D0">
        <w:rPr>
          <w:rFonts w:cs="Times New Roman"/>
          <w:i/>
          <w:iCs/>
          <w:sz w:val="22"/>
          <w:szCs w:val="22"/>
          <w:lang w:val="en-US" w:eastAsia="en-US"/>
        </w:rPr>
        <w:t>Research Evaluation</w:t>
      </w:r>
      <w:r w:rsidRPr="00EE24D0">
        <w:rPr>
          <w:rFonts w:cs="Times New Roman"/>
          <w:sz w:val="22"/>
          <w:szCs w:val="22"/>
          <w:lang w:val="en-US" w:eastAsia="en-US"/>
        </w:rPr>
        <w:t xml:space="preserve">. </w:t>
      </w:r>
      <w:hyperlink r:id="rId17" w:history="1">
        <w:r w:rsidRPr="00EE24D0">
          <w:rPr>
            <w:rStyle w:val="Hyperlink"/>
            <w:rFonts w:cs="Times New Roman"/>
            <w:color w:val="auto"/>
            <w:sz w:val="22"/>
            <w:szCs w:val="22"/>
            <w:lang w:val="en-US" w:eastAsia="en-US"/>
          </w:rPr>
          <w:t>https://doi.org/10.1093/reseval/rvab032</w:t>
        </w:r>
      </w:hyperlink>
    </w:p>
    <w:p w14:paraId="44303C8E" w14:textId="6008243E" w:rsidR="00987234" w:rsidRPr="00EE24D0" w:rsidRDefault="00C96EEE"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s-419" w:eastAsia="en-US"/>
        </w:rPr>
        <w:t xml:space="preserve">Mills, D., </w:t>
      </w:r>
      <w:r w:rsidR="00F44BFB" w:rsidRPr="00EE24D0">
        <w:rPr>
          <w:rFonts w:eastAsia="Times New Roman" w:cs="Times New Roman"/>
          <w:sz w:val="22"/>
          <w:szCs w:val="22"/>
          <w:lang w:val="es-419" w:eastAsia="en-US"/>
        </w:rPr>
        <w:t>y</w:t>
      </w:r>
      <w:r w:rsidRPr="00EE24D0">
        <w:rPr>
          <w:rFonts w:eastAsia="Times New Roman" w:cs="Times New Roman"/>
          <w:sz w:val="22"/>
          <w:szCs w:val="22"/>
          <w:lang w:val="es-419" w:eastAsia="en-US"/>
        </w:rPr>
        <w:t xml:space="preserve"> </w:t>
      </w:r>
      <w:proofErr w:type="spellStart"/>
      <w:r w:rsidRPr="00EE24D0">
        <w:rPr>
          <w:rFonts w:eastAsia="Times New Roman" w:cs="Times New Roman"/>
          <w:sz w:val="22"/>
          <w:szCs w:val="22"/>
          <w:lang w:val="es-419" w:eastAsia="en-US"/>
        </w:rPr>
        <w:t>Inouye</w:t>
      </w:r>
      <w:proofErr w:type="spellEnd"/>
      <w:r w:rsidRPr="00EE24D0">
        <w:rPr>
          <w:rFonts w:eastAsia="Times New Roman" w:cs="Times New Roman"/>
          <w:sz w:val="22"/>
          <w:szCs w:val="22"/>
          <w:lang w:val="es-419" w:eastAsia="en-US"/>
        </w:rPr>
        <w:t xml:space="preserve">, K. (2020). </w:t>
      </w:r>
      <w:r w:rsidRPr="00EE24D0">
        <w:rPr>
          <w:rFonts w:eastAsia="Times New Roman" w:cs="Times New Roman"/>
          <w:sz w:val="22"/>
          <w:szCs w:val="22"/>
          <w:lang w:val="en-US" w:eastAsia="en-US"/>
        </w:rPr>
        <w:t xml:space="preserve">Problematizing ‘predatory publishing’: A systematic review of factors shaping publishing motives, decisions, and experiences. </w:t>
      </w:r>
      <w:r w:rsidRPr="00EE24D0">
        <w:rPr>
          <w:rFonts w:eastAsia="Times New Roman" w:cs="Times New Roman"/>
          <w:i/>
          <w:iCs/>
          <w:sz w:val="22"/>
          <w:szCs w:val="22"/>
          <w:lang w:val="en-US" w:eastAsia="en-US"/>
        </w:rPr>
        <w:t>Learned Publishing</w:t>
      </w:r>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34</w:t>
      </w:r>
      <w:r w:rsidRPr="00EE24D0">
        <w:rPr>
          <w:rFonts w:eastAsia="Times New Roman" w:cs="Times New Roman"/>
          <w:sz w:val="22"/>
          <w:szCs w:val="22"/>
          <w:lang w:val="en-US" w:eastAsia="en-US"/>
        </w:rPr>
        <w:t xml:space="preserve">(2), 89-104. </w:t>
      </w:r>
      <w:hyperlink r:id="rId18" w:history="1">
        <w:r w:rsidR="00987234" w:rsidRPr="00EE24D0">
          <w:rPr>
            <w:rStyle w:val="Hyperlink"/>
            <w:rFonts w:eastAsia="Times New Roman" w:cs="Times New Roman"/>
            <w:color w:val="auto"/>
            <w:sz w:val="22"/>
            <w:szCs w:val="22"/>
            <w:lang w:val="en-US" w:eastAsia="en-US"/>
          </w:rPr>
          <w:t>https://doi.org/10.1002/leap.1325</w:t>
        </w:r>
      </w:hyperlink>
    </w:p>
    <w:p w14:paraId="2AB4F2E2" w14:textId="253102EC" w:rsidR="009D6FD9" w:rsidRPr="00EE24D0" w:rsidRDefault="009D6FD9" w:rsidP="00F429A3">
      <w:pPr>
        <w:pStyle w:val="ListParagraph"/>
        <w:numPr>
          <w:ilvl w:val="0"/>
          <w:numId w:val="4"/>
        </w:numPr>
        <w:spacing w:line="240" w:lineRule="auto"/>
        <w:rPr>
          <w:rFonts w:eastAsia="Times New Roman" w:cs="Times New Roman"/>
          <w:sz w:val="22"/>
          <w:szCs w:val="22"/>
          <w:lang w:val="es-419" w:eastAsia="en-US"/>
        </w:rPr>
      </w:pPr>
      <w:r w:rsidRPr="00EE24D0">
        <w:rPr>
          <w:rFonts w:eastAsia="Times New Roman" w:cs="Times New Roman"/>
          <w:sz w:val="22"/>
          <w:szCs w:val="22"/>
          <w:lang w:eastAsia="en-US"/>
        </w:rPr>
        <w:t>Organización Internacional de Normalización [ISO]. (2018). Administración/Gestión de riesgos — Lineamientos guía (ISO 31000:2018).</w:t>
      </w:r>
      <w:r w:rsidR="005D1D7D" w:rsidRPr="00EE24D0">
        <w:rPr>
          <w:rFonts w:eastAsia="Times New Roman" w:cs="Times New Roman"/>
          <w:sz w:val="22"/>
          <w:szCs w:val="22"/>
          <w:lang w:eastAsia="en-US"/>
        </w:rPr>
        <w:t xml:space="preserve"> </w:t>
      </w:r>
      <w:hyperlink r:id="rId19" w:history="1">
        <w:r w:rsidR="005D1D7D" w:rsidRPr="00EE24D0">
          <w:rPr>
            <w:rStyle w:val="Hyperlink"/>
            <w:rFonts w:eastAsia="Times New Roman" w:cs="Times New Roman"/>
            <w:color w:val="auto"/>
            <w:sz w:val="22"/>
            <w:szCs w:val="22"/>
            <w:lang w:eastAsia="en-US"/>
          </w:rPr>
          <w:t>https://www.iso.org/standard/65694.html</w:t>
        </w:r>
      </w:hyperlink>
    </w:p>
    <w:p w14:paraId="4E38F27B" w14:textId="4F9A2D15" w:rsidR="00F04579" w:rsidRPr="00EE24D0" w:rsidRDefault="00F04579" w:rsidP="00952192">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n-US" w:eastAsia="en-US"/>
        </w:rPr>
        <w:t>Saaty, T. L. (1977). A Scaling Method for Priorities in Hierarchical Structures. </w:t>
      </w:r>
      <w:proofErr w:type="spellStart"/>
      <w:r w:rsidRPr="00EE24D0">
        <w:rPr>
          <w:rFonts w:eastAsia="Times New Roman" w:cs="Times New Roman"/>
          <w:i/>
          <w:iCs/>
          <w:sz w:val="22"/>
          <w:szCs w:val="22"/>
          <w:lang w:eastAsia="en-US"/>
        </w:rPr>
        <w:t>Journal</w:t>
      </w:r>
      <w:proofErr w:type="spellEnd"/>
      <w:r w:rsidRPr="00EE24D0">
        <w:rPr>
          <w:rFonts w:eastAsia="Times New Roman" w:cs="Times New Roman"/>
          <w:i/>
          <w:iCs/>
          <w:sz w:val="22"/>
          <w:szCs w:val="22"/>
          <w:lang w:eastAsia="en-US"/>
        </w:rPr>
        <w:t xml:space="preserve"> </w:t>
      </w:r>
      <w:proofErr w:type="spellStart"/>
      <w:r w:rsidRPr="00EE24D0">
        <w:rPr>
          <w:rFonts w:eastAsia="Times New Roman" w:cs="Times New Roman"/>
          <w:i/>
          <w:iCs/>
          <w:sz w:val="22"/>
          <w:szCs w:val="22"/>
          <w:lang w:eastAsia="en-US"/>
        </w:rPr>
        <w:t>of</w:t>
      </w:r>
      <w:proofErr w:type="spellEnd"/>
      <w:r w:rsidRPr="00EE24D0">
        <w:rPr>
          <w:rFonts w:eastAsia="Times New Roman" w:cs="Times New Roman"/>
          <w:i/>
          <w:iCs/>
          <w:sz w:val="22"/>
          <w:szCs w:val="22"/>
          <w:lang w:eastAsia="en-US"/>
        </w:rPr>
        <w:t xml:space="preserve"> </w:t>
      </w:r>
      <w:proofErr w:type="spellStart"/>
      <w:r w:rsidRPr="00EE24D0">
        <w:rPr>
          <w:rFonts w:eastAsia="Times New Roman" w:cs="Times New Roman"/>
          <w:i/>
          <w:iCs/>
          <w:sz w:val="22"/>
          <w:szCs w:val="22"/>
          <w:lang w:eastAsia="en-US"/>
        </w:rPr>
        <w:t>Mathematical</w:t>
      </w:r>
      <w:proofErr w:type="spellEnd"/>
      <w:r w:rsidRPr="00EE24D0">
        <w:rPr>
          <w:rFonts w:eastAsia="Times New Roman" w:cs="Times New Roman"/>
          <w:i/>
          <w:iCs/>
          <w:sz w:val="22"/>
          <w:szCs w:val="22"/>
          <w:lang w:eastAsia="en-US"/>
        </w:rPr>
        <w:t xml:space="preserve"> </w:t>
      </w:r>
      <w:proofErr w:type="spellStart"/>
      <w:r w:rsidRPr="00EE24D0">
        <w:rPr>
          <w:rFonts w:eastAsia="Times New Roman" w:cs="Times New Roman"/>
          <w:i/>
          <w:iCs/>
          <w:sz w:val="22"/>
          <w:szCs w:val="22"/>
          <w:lang w:eastAsia="en-US"/>
        </w:rPr>
        <w:t>Psychology</w:t>
      </w:r>
      <w:proofErr w:type="spellEnd"/>
      <w:r w:rsidRPr="00EE24D0">
        <w:rPr>
          <w:rFonts w:eastAsia="Times New Roman" w:cs="Times New Roman"/>
          <w:sz w:val="22"/>
          <w:szCs w:val="22"/>
          <w:lang w:eastAsia="en-US"/>
        </w:rPr>
        <w:t>, 15(3), 234-281.</w:t>
      </w:r>
      <w:hyperlink r:id="rId20" w:history="1">
        <w:r w:rsidRPr="00EE24D0">
          <w:rPr>
            <w:rStyle w:val="Hyperlink"/>
            <w:rFonts w:eastAsia="Times New Roman" w:cs="Times New Roman"/>
            <w:color w:val="auto"/>
            <w:sz w:val="22"/>
            <w:szCs w:val="22"/>
            <w:lang w:eastAsia="en-US"/>
          </w:rPr>
          <w:t>https://doi.org/10.1016/0022-2496(77)90033-5</w:t>
        </w:r>
      </w:hyperlink>
    </w:p>
    <w:p w14:paraId="0BABBA04" w14:textId="46B6263E" w:rsidR="00DA6BFE" w:rsidRPr="00EE24D0" w:rsidRDefault="00DA6BFE" w:rsidP="00F429A3">
      <w:pPr>
        <w:pStyle w:val="ListParagraph"/>
        <w:numPr>
          <w:ilvl w:val="0"/>
          <w:numId w:val="4"/>
        </w:numPr>
        <w:spacing w:line="240" w:lineRule="auto"/>
        <w:rPr>
          <w:rFonts w:eastAsia="Times New Roman" w:cs="Times New Roman"/>
          <w:sz w:val="22"/>
          <w:szCs w:val="22"/>
          <w:lang w:val="en-US" w:eastAsia="en-US"/>
        </w:rPr>
      </w:pPr>
      <w:proofErr w:type="spellStart"/>
      <w:r w:rsidRPr="00EE24D0">
        <w:rPr>
          <w:rFonts w:eastAsia="Times New Roman" w:cs="Times New Roman"/>
          <w:sz w:val="22"/>
          <w:szCs w:val="22"/>
          <w:lang w:val="es-419" w:eastAsia="en-US"/>
        </w:rPr>
        <w:t>Talari</w:t>
      </w:r>
      <w:proofErr w:type="spellEnd"/>
      <w:r w:rsidRPr="00EE24D0">
        <w:rPr>
          <w:rFonts w:eastAsia="Times New Roman" w:cs="Times New Roman"/>
          <w:sz w:val="22"/>
          <w:szCs w:val="22"/>
          <w:lang w:val="es-419" w:eastAsia="en-US"/>
        </w:rPr>
        <w:t xml:space="preserve">, K., y </w:t>
      </w:r>
      <w:proofErr w:type="spellStart"/>
      <w:r w:rsidRPr="00EE24D0">
        <w:rPr>
          <w:rFonts w:eastAsia="Times New Roman" w:cs="Times New Roman"/>
          <w:sz w:val="22"/>
          <w:szCs w:val="22"/>
          <w:lang w:val="es-419" w:eastAsia="en-US"/>
        </w:rPr>
        <w:t>Ravindran</w:t>
      </w:r>
      <w:proofErr w:type="spellEnd"/>
      <w:r w:rsidRPr="00EE24D0">
        <w:rPr>
          <w:rFonts w:eastAsia="Times New Roman" w:cs="Times New Roman"/>
          <w:sz w:val="22"/>
          <w:szCs w:val="22"/>
          <w:lang w:val="es-419" w:eastAsia="en-US"/>
        </w:rPr>
        <w:t xml:space="preserve">, V. (2023). </w:t>
      </w:r>
      <w:r w:rsidRPr="00EE24D0">
        <w:rPr>
          <w:rFonts w:eastAsia="Times New Roman" w:cs="Times New Roman"/>
          <w:sz w:val="22"/>
          <w:szCs w:val="22"/>
          <w:lang w:val="en-US" w:eastAsia="en-US"/>
        </w:rPr>
        <w:t xml:space="preserve">Predatory journals: How to </w:t>
      </w:r>
      <w:proofErr w:type="spellStart"/>
      <w:r w:rsidRPr="00EE24D0">
        <w:rPr>
          <w:rFonts w:eastAsia="Times New Roman" w:cs="Times New Roman"/>
          <w:sz w:val="22"/>
          <w:szCs w:val="22"/>
          <w:lang w:val="en-US" w:eastAsia="en-US"/>
        </w:rPr>
        <w:t>recognise</w:t>
      </w:r>
      <w:proofErr w:type="spellEnd"/>
      <w:r w:rsidRPr="00EE24D0">
        <w:rPr>
          <w:rFonts w:eastAsia="Times New Roman" w:cs="Times New Roman"/>
          <w:sz w:val="22"/>
          <w:szCs w:val="22"/>
          <w:lang w:val="en-US" w:eastAsia="en-US"/>
        </w:rPr>
        <w:t xml:space="preserve"> and keep clear! </w:t>
      </w:r>
      <w:r w:rsidRPr="00EE24D0">
        <w:rPr>
          <w:rFonts w:eastAsia="Times New Roman" w:cs="Times New Roman"/>
          <w:i/>
          <w:iCs/>
          <w:sz w:val="22"/>
          <w:szCs w:val="22"/>
          <w:lang w:val="en-US" w:eastAsia="en-US"/>
        </w:rPr>
        <w:t xml:space="preserve">The Journal </w:t>
      </w:r>
      <w:r w:rsidR="00F04579" w:rsidRPr="00EE24D0">
        <w:rPr>
          <w:rFonts w:eastAsia="Times New Roman" w:cs="Times New Roman"/>
          <w:i/>
          <w:iCs/>
          <w:sz w:val="22"/>
          <w:szCs w:val="22"/>
          <w:lang w:val="en-US" w:eastAsia="en-US"/>
        </w:rPr>
        <w:t xml:space="preserve">of </w:t>
      </w:r>
      <w:r w:rsidRPr="00EE24D0">
        <w:rPr>
          <w:rFonts w:eastAsia="Times New Roman" w:cs="Times New Roman"/>
          <w:i/>
          <w:iCs/>
          <w:sz w:val="22"/>
          <w:szCs w:val="22"/>
          <w:lang w:val="en-US" w:eastAsia="en-US"/>
        </w:rPr>
        <w:t xml:space="preserve">The Royal College </w:t>
      </w:r>
      <w:r w:rsidR="00F04579" w:rsidRPr="00EE24D0">
        <w:rPr>
          <w:rFonts w:eastAsia="Times New Roman" w:cs="Times New Roman"/>
          <w:i/>
          <w:iCs/>
          <w:sz w:val="22"/>
          <w:szCs w:val="22"/>
          <w:lang w:val="en-US" w:eastAsia="en-US"/>
        </w:rPr>
        <w:t xml:space="preserve">of </w:t>
      </w:r>
      <w:r w:rsidRPr="00EE24D0">
        <w:rPr>
          <w:rFonts w:eastAsia="Times New Roman" w:cs="Times New Roman"/>
          <w:i/>
          <w:iCs/>
          <w:sz w:val="22"/>
          <w:szCs w:val="22"/>
          <w:lang w:val="en-US" w:eastAsia="en-US"/>
        </w:rPr>
        <w:t xml:space="preserve">Physicians </w:t>
      </w:r>
      <w:r w:rsidR="00F04579" w:rsidRPr="00EE24D0">
        <w:rPr>
          <w:rFonts w:eastAsia="Times New Roman" w:cs="Times New Roman"/>
          <w:i/>
          <w:iCs/>
          <w:sz w:val="22"/>
          <w:szCs w:val="22"/>
          <w:lang w:val="en-US" w:eastAsia="en-US"/>
        </w:rPr>
        <w:t xml:space="preserve">of </w:t>
      </w:r>
      <w:r w:rsidRPr="00EE24D0">
        <w:rPr>
          <w:rFonts w:eastAsia="Times New Roman" w:cs="Times New Roman"/>
          <w:i/>
          <w:iCs/>
          <w:sz w:val="22"/>
          <w:szCs w:val="22"/>
          <w:lang w:val="en-US" w:eastAsia="en-US"/>
        </w:rPr>
        <w:t>Edinburgh</w:t>
      </w:r>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53</w:t>
      </w:r>
      <w:r w:rsidRPr="00EE24D0">
        <w:rPr>
          <w:rFonts w:eastAsia="Times New Roman" w:cs="Times New Roman"/>
          <w:sz w:val="22"/>
          <w:szCs w:val="22"/>
          <w:lang w:val="en-US" w:eastAsia="en-US"/>
        </w:rPr>
        <w:t xml:space="preserve">(4), 232-236. </w:t>
      </w:r>
      <w:hyperlink r:id="rId21" w:history="1">
        <w:r w:rsidRPr="00EE24D0">
          <w:rPr>
            <w:rStyle w:val="Hyperlink"/>
            <w:rFonts w:eastAsia="Times New Roman" w:cs="Times New Roman"/>
            <w:color w:val="auto"/>
            <w:sz w:val="22"/>
            <w:szCs w:val="22"/>
            <w:lang w:val="en-US" w:eastAsia="en-US"/>
          </w:rPr>
          <w:t>https://doi.org/10.1177/14782715231215525</w:t>
        </w:r>
      </w:hyperlink>
    </w:p>
    <w:p w14:paraId="6E3CB647" w14:textId="0105D2FF" w:rsidR="004A6AC5" w:rsidRPr="00EE24D0" w:rsidRDefault="00987234" w:rsidP="00F429A3">
      <w:pPr>
        <w:pStyle w:val="ListParagraph"/>
        <w:numPr>
          <w:ilvl w:val="0"/>
          <w:numId w:val="4"/>
        </w:numPr>
        <w:spacing w:line="240" w:lineRule="auto"/>
        <w:rPr>
          <w:rFonts w:eastAsia="Times New Roman" w:cs="Times New Roman"/>
          <w:sz w:val="22"/>
          <w:szCs w:val="22"/>
          <w:lang w:val="en-US" w:eastAsia="en-US"/>
        </w:rPr>
      </w:pPr>
      <w:r w:rsidRPr="00EE24D0">
        <w:rPr>
          <w:rFonts w:eastAsia="Times New Roman" w:cs="Times New Roman"/>
          <w:sz w:val="22"/>
          <w:szCs w:val="22"/>
          <w:lang w:val="en-US" w:eastAsia="en-US"/>
        </w:rPr>
        <w:t xml:space="preserve">Vakil, C. (2019). Predatory journals: Authors and readers beware. </w:t>
      </w:r>
      <w:r w:rsidRPr="00EE24D0">
        <w:rPr>
          <w:rFonts w:eastAsia="Times New Roman" w:cs="Times New Roman"/>
          <w:i/>
          <w:iCs/>
          <w:sz w:val="22"/>
          <w:szCs w:val="22"/>
          <w:lang w:val="en-US" w:eastAsia="en-US"/>
        </w:rPr>
        <w:t>PubMed</w:t>
      </w:r>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65</w:t>
      </w:r>
      <w:r w:rsidRPr="00EE24D0">
        <w:rPr>
          <w:rFonts w:eastAsia="Times New Roman" w:cs="Times New Roman"/>
          <w:sz w:val="22"/>
          <w:szCs w:val="22"/>
          <w:lang w:val="en-US" w:eastAsia="en-US"/>
        </w:rPr>
        <w:t xml:space="preserve">(2), 92-94. </w:t>
      </w:r>
      <w:hyperlink r:id="rId22" w:history="1">
        <w:r w:rsidRPr="00EE24D0">
          <w:rPr>
            <w:rStyle w:val="Hyperlink"/>
            <w:rFonts w:eastAsia="Times New Roman" w:cs="Times New Roman"/>
            <w:color w:val="auto"/>
            <w:sz w:val="22"/>
            <w:szCs w:val="22"/>
            <w:lang w:val="en-US" w:eastAsia="en-US"/>
          </w:rPr>
          <w:t>https://pubmed.ncbi.nlm.nih.gov/30765346</w:t>
        </w:r>
      </w:hyperlink>
    </w:p>
    <w:p w14:paraId="136A99F9" w14:textId="68B5F772" w:rsidR="00CE2682" w:rsidRPr="00EE24D0" w:rsidRDefault="009E6D16" w:rsidP="00F429A3">
      <w:pPr>
        <w:pStyle w:val="ListParagraph"/>
        <w:numPr>
          <w:ilvl w:val="0"/>
          <w:numId w:val="4"/>
        </w:numPr>
        <w:spacing w:line="240" w:lineRule="auto"/>
        <w:rPr>
          <w:rFonts w:cs="Times New Roman"/>
          <w:sz w:val="22"/>
          <w:szCs w:val="22"/>
          <w:lang w:val="en-US"/>
        </w:rPr>
      </w:pPr>
      <w:r w:rsidRPr="00EE24D0">
        <w:rPr>
          <w:rFonts w:eastAsia="Times New Roman" w:cs="Times New Roman"/>
          <w:sz w:val="22"/>
          <w:szCs w:val="22"/>
          <w:lang w:val="en-US" w:eastAsia="en-US"/>
        </w:rPr>
        <w:t>Vogel, C. (2024). „Beyond Access: New Ideas to Survive APC, AI, Predatory Publishing and a Changing World “–</w:t>
      </w:r>
      <w:proofErr w:type="spellStart"/>
      <w:r w:rsidRPr="00EE24D0">
        <w:rPr>
          <w:rFonts w:eastAsia="Times New Roman" w:cs="Times New Roman"/>
          <w:sz w:val="22"/>
          <w:szCs w:val="22"/>
          <w:lang w:val="en-US" w:eastAsia="en-US"/>
        </w:rPr>
        <w:t>eine</w:t>
      </w:r>
      <w:proofErr w:type="spellEnd"/>
      <w:r w:rsidRPr="00EE24D0">
        <w:rPr>
          <w:rFonts w:eastAsia="Times New Roman" w:cs="Times New Roman"/>
          <w:sz w:val="22"/>
          <w:szCs w:val="22"/>
          <w:lang w:val="en-US" w:eastAsia="en-US"/>
        </w:rPr>
        <w:t xml:space="preserve"> </w:t>
      </w:r>
      <w:proofErr w:type="spellStart"/>
      <w:r w:rsidRPr="00EE24D0">
        <w:rPr>
          <w:rFonts w:eastAsia="Times New Roman" w:cs="Times New Roman"/>
          <w:sz w:val="22"/>
          <w:szCs w:val="22"/>
          <w:lang w:val="en-US" w:eastAsia="en-US"/>
        </w:rPr>
        <w:t>Nachbesprechung</w:t>
      </w:r>
      <w:proofErr w:type="spellEnd"/>
      <w:r w:rsidRPr="00EE24D0">
        <w:rPr>
          <w:rFonts w:eastAsia="Times New Roman" w:cs="Times New Roman"/>
          <w:sz w:val="22"/>
          <w:szCs w:val="22"/>
          <w:lang w:val="en-US" w:eastAsia="en-US"/>
        </w:rPr>
        <w:t xml:space="preserve"> </w:t>
      </w:r>
      <w:proofErr w:type="spellStart"/>
      <w:r w:rsidRPr="00EE24D0">
        <w:rPr>
          <w:rFonts w:eastAsia="Times New Roman" w:cs="Times New Roman"/>
          <w:sz w:val="22"/>
          <w:szCs w:val="22"/>
          <w:lang w:val="en-US" w:eastAsia="en-US"/>
        </w:rPr>
        <w:t>mit</w:t>
      </w:r>
      <w:proofErr w:type="spellEnd"/>
      <w:r w:rsidRPr="00EE24D0">
        <w:rPr>
          <w:rFonts w:eastAsia="Times New Roman" w:cs="Times New Roman"/>
          <w:sz w:val="22"/>
          <w:szCs w:val="22"/>
          <w:lang w:val="en-US" w:eastAsia="en-US"/>
        </w:rPr>
        <w:t xml:space="preserve"> ChatGPT | </w:t>
      </w:r>
      <w:proofErr w:type="spellStart"/>
      <w:r w:rsidRPr="00EE24D0">
        <w:rPr>
          <w:rFonts w:eastAsia="Times New Roman" w:cs="Times New Roman"/>
          <w:sz w:val="22"/>
          <w:szCs w:val="22"/>
          <w:lang w:val="en-US" w:eastAsia="en-US"/>
        </w:rPr>
        <w:t>Publisso</w:t>
      </w:r>
      <w:proofErr w:type="spellEnd"/>
      <w:r w:rsidRPr="00EE24D0">
        <w:rPr>
          <w:rFonts w:eastAsia="Times New Roman" w:cs="Times New Roman"/>
          <w:sz w:val="22"/>
          <w:szCs w:val="22"/>
          <w:lang w:val="en-US" w:eastAsia="en-US"/>
        </w:rPr>
        <w:t xml:space="preserve">. </w:t>
      </w:r>
      <w:r w:rsidRPr="00EE24D0">
        <w:rPr>
          <w:rFonts w:eastAsia="Times New Roman" w:cs="Times New Roman"/>
          <w:i/>
          <w:iCs/>
          <w:sz w:val="22"/>
          <w:szCs w:val="22"/>
          <w:lang w:val="en-US" w:eastAsia="en-US"/>
        </w:rPr>
        <w:t>journals.publisso.de</w:t>
      </w:r>
      <w:r w:rsidRPr="00EE24D0">
        <w:rPr>
          <w:rFonts w:eastAsia="Times New Roman" w:cs="Times New Roman"/>
          <w:sz w:val="22"/>
          <w:szCs w:val="22"/>
          <w:lang w:val="en-US" w:eastAsia="en-US"/>
        </w:rPr>
        <w:t xml:space="preserve">. </w:t>
      </w:r>
      <w:hyperlink r:id="rId23" w:history="1">
        <w:r w:rsidR="00987234" w:rsidRPr="00EE24D0">
          <w:rPr>
            <w:rStyle w:val="Hyperlink"/>
            <w:rFonts w:eastAsia="Times New Roman" w:cs="Times New Roman"/>
            <w:color w:val="auto"/>
            <w:sz w:val="22"/>
            <w:szCs w:val="22"/>
            <w:lang w:val="en-US" w:eastAsia="en-US"/>
          </w:rPr>
          <w:t>https://doi.org/10.3205/mbi000603</w:t>
        </w:r>
      </w:hyperlink>
    </w:p>
    <w:p w14:paraId="3A16A66C" w14:textId="77777777" w:rsidR="00FD2C25" w:rsidRPr="00EE24D0" w:rsidRDefault="00FD2C25" w:rsidP="00FD2C25">
      <w:pPr>
        <w:spacing w:line="240" w:lineRule="auto"/>
        <w:rPr>
          <w:rFonts w:cs="Times New Roman"/>
          <w:sz w:val="22"/>
          <w:szCs w:val="22"/>
          <w:lang w:val="es-419"/>
        </w:rPr>
      </w:pPr>
    </w:p>
    <w:p w14:paraId="671C2EBA" w14:textId="77777777" w:rsidR="00FD2C25" w:rsidRPr="00EE24D0" w:rsidRDefault="00FD2C25" w:rsidP="00486F62">
      <w:pPr>
        <w:spacing w:line="240" w:lineRule="auto"/>
        <w:rPr>
          <w:sz w:val="22"/>
          <w:szCs w:val="22"/>
          <w:lang w:val="es-419"/>
        </w:rPr>
      </w:pPr>
      <w:r w:rsidRPr="00EE24D0">
        <w:rPr>
          <w:b/>
          <w:bCs/>
          <w:sz w:val="22"/>
          <w:szCs w:val="22"/>
          <w:lang w:val="es-419"/>
        </w:rPr>
        <w:t>Licencia</w:t>
      </w:r>
    </w:p>
    <w:p w14:paraId="62D27A37" w14:textId="17CEEA4F" w:rsidR="00FD2C25" w:rsidRPr="00EE24D0" w:rsidRDefault="00486F62" w:rsidP="00486F62">
      <w:pPr>
        <w:spacing w:line="240" w:lineRule="auto"/>
        <w:jc w:val="both"/>
        <w:rPr>
          <w:sz w:val="22"/>
          <w:szCs w:val="22"/>
          <w:lang w:val="es-419"/>
        </w:rPr>
      </w:pPr>
      <w:r w:rsidRPr="00EE24D0">
        <w:rPr>
          <w:sz w:val="22"/>
          <w:szCs w:val="22"/>
          <w:lang w:val="es-419"/>
        </w:rPr>
        <w:t xml:space="preserve">Este resumen ampliado se distribuye bajo licencia Creative </w:t>
      </w:r>
      <w:proofErr w:type="spellStart"/>
      <w:r w:rsidRPr="00EE24D0">
        <w:rPr>
          <w:sz w:val="22"/>
          <w:szCs w:val="22"/>
          <w:lang w:val="es-419"/>
        </w:rPr>
        <w:t>Commons</w:t>
      </w:r>
      <w:proofErr w:type="spellEnd"/>
      <w:r w:rsidRPr="00EE24D0">
        <w:rPr>
          <w:sz w:val="22"/>
          <w:szCs w:val="22"/>
          <w:lang w:val="es-419"/>
        </w:rPr>
        <w:t xml:space="preserve"> Atribución 4.0 (CC-BY-NC 4.0).</w:t>
      </w:r>
    </w:p>
    <w:sectPr w:rsidR="00FD2C25" w:rsidRPr="00EE24D0" w:rsidSect="00157ECC">
      <w:pgSz w:w="11906" w:h="16838" w:code="9"/>
      <w:pgMar w:top="1440" w:right="1440" w:bottom="1440" w:left="1440" w:header="708" w:footer="708"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517B0"/>
    <w:multiLevelType w:val="hybridMultilevel"/>
    <w:tmpl w:val="E13EBF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7422FF"/>
    <w:multiLevelType w:val="hybridMultilevel"/>
    <w:tmpl w:val="90F6A99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1C7A2E"/>
    <w:multiLevelType w:val="multilevel"/>
    <w:tmpl w:val="05F03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6943E8"/>
    <w:multiLevelType w:val="multilevel"/>
    <w:tmpl w:val="AD202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F258CA"/>
    <w:multiLevelType w:val="hybridMultilevel"/>
    <w:tmpl w:val="8DC08400"/>
    <w:lvl w:ilvl="0" w:tplc="6A084B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AE70FF"/>
    <w:multiLevelType w:val="hybridMultilevel"/>
    <w:tmpl w:val="90F6A992"/>
    <w:lvl w:ilvl="0" w:tplc="0409000F">
      <w:start w:val="1"/>
      <w:numFmt w:val="decimal"/>
      <w:lvlText w:val="%1."/>
      <w:lvlJc w:val="left"/>
      <w:pPr>
        <w:ind w:left="220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3B77EF"/>
    <w:multiLevelType w:val="hybridMultilevel"/>
    <w:tmpl w:val="A6885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D746B"/>
    <w:multiLevelType w:val="hybridMultilevel"/>
    <w:tmpl w:val="4D00830C"/>
    <w:lvl w:ilvl="0" w:tplc="CBBA5DCA">
      <w:start w:val="1"/>
      <w:numFmt w:val="decimal"/>
      <w:lvlText w:val="%1."/>
      <w:lvlJc w:val="left"/>
      <w:pPr>
        <w:ind w:left="720" w:hanging="360"/>
      </w:pPr>
    </w:lvl>
    <w:lvl w:ilvl="1" w:tplc="7C0EBE72">
      <w:start w:val="1"/>
      <w:numFmt w:val="lowerLetter"/>
      <w:lvlText w:val="%2."/>
      <w:lvlJc w:val="left"/>
      <w:pPr>
        <w:ind w:left="1440" w:hanging="360"/>
      </w:pPr>
    </w:lvl>
    <w:lvl w:ilvl="2" w:tplc="BB04127C">
      <w:start w:val="1"/>
      <w:numFmt w:val="lowerRoman"/>
      <w:lvlText w:val="%3."/>
      <w:lvlJc w:val="right"/>
      <w:pPr>
        <w:ind w:left="2160" w:hanging="180"/>
      </w:pPr>
    </w:lvl>
    <w:lvl w:ilvl="3" w:tplc="85CAF4D4">
      <w:start w:val="1"/>
      <w:numFmt w:val="decimal"/>
      <w:lvlText w:val="%4."/>
      <w:lvlJc w:val="left"/>
      <w:pPr>
        <w:ind w:left="2880" w:hanging="360"/>
      </w:pPr>
    </w:lvl>
    <w:lvl w:ilvl="4" w:tplc="F7FAEA42">
      <w:start w:val="1"/>
      <w:numFmt w:val="lowerLetter"/>
      <w:lvlText w:val="%5."/>
      <w:lvlJc w:val="left"/>
      <w:pPr>
        <w:ind w:left="3600" w:hanging="360"/>
      </w:pPr>
    </w:lvl>
    <w:lvl w:ilvl="5" w:tplc="8C1C95D2">
      <w:start w:val="1"/>
      <w:numFmt w:val="lowerRoman"/>
      <w:lvlText w:val="%6."/>
      <w:lvlJc w:val="right"/>
      <w:pPr>
        <w:ind w:left="4320" w:hanging="180"/>
      </w:pPr>
    </w:lvl>
    <w:lvl w:ilvl="6" w:tplc="2FBC8912">
      <w:start w:val="1"/>
      <w:numFmt w:val="decimal"/>
      <w:lvlText w:val="%7."/>
      <w:lvlJc w:val="left"/>
      <w:pPr>
        <w:ind w:left="5040" w:hanging="360"/>
      </w:pPr>
    </w:lvl>
    <w:lvl w:ilvl="7" w:tplc="D97272B0">
      <w:start w:val="1"/>
      <w:numFmt w:val="lowerLetter"/>
      <w:lvlText w:val="%8."/>
      <w:lvlJc w:val="left"/>
      <w:pPr>
        <w:ind w:left="5760" w:hanging="360"/>
      </w:pPr>
    </w:lvl>
    <w:lvl w:ilvl="8" w:tplc="5EAC597A">
      <w:start w:val="1"/>
      <w:numFmt w:val="lowerRoman"/>
      <w:lvlText w:val="%9."/>
      <w:lvlJc w:val="right"/>
      <w:pPr>
        <w:ind w:left="6480" w:hanging="180"/>
      </w:pPr>
    </w:lvl>
  </w:abstractNum>
  <w:abstractNum w:abstractNumId="8" w15:restartNumberingAfterBreak="0">
    <w:nsid w:val="4C731B70"/>
    <w:multiLevelType w:val="hybridMultilevel"/>
    <w:tmpl w:val="996C4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7B0868"/>
    <w:multiLevelType w:val="hybridMultilevel"/>
    <w:tmpl w:val="8286B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5A5CE0"/>
    <w:multiLevelType w:val="hybridMultilevel"/>
    <w:tmpl w:val="7DFED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FE53CB"/>
    <w:multiLevelType w:val="multilevel"/>
    <w:tmpl w:val="A6E87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646C6C"/>
    <w:multiLevelType w:val="hybridMultilevel"/>
    <w:tmpl w:val="93F23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48716B"/>
    <w:multiLevelType w:val="hybridMultilevel"/>
    <w:tmpl w:val="EC2CD3B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170948">
    <w:abstractNumId w:val="5"/>
  </w:num>
  <w:num w:numId="2" w16cid:durableId="748962979">
    <w:abstractNumId w:val="12"/>
  </w:num>
  <w:num w:numId="3" w16cid:durableId="442582055">
    <w:abstractNumId w:val="9"/>
  </w:num>
  <w:num w:numId="4" w16cid:durableId="1440417414">
    <w:abstractNumId w:val="1"/>
  </w:num>
  <w:num w:numId="5" w16cid:durableId="1785805769">
    <w:abstractNumId w:val="6"/>
  </w:num>
  <w:num w:numId="6" w16cid:durableId="1217275781">
    <w:abstractNumId w:val="10"/>
  </w:num>
  <w:num w:numId="7" w16cid:durableId="767576210">
    <w:abstractNumId w:val="8"/>
  </w:num>
  <w:num w:numId="8" w16cid:durableId="1737587559">
    <w:abstractNumId w:val="13"/>
  </w:num>
  <w:num w:numId="9" w16cid:durableId="1836676903">
    <w:abstractNumId w:val="7"/>
  </w:num>
  <w:num w:numId="10" w16cid:durableId="1906063945">
    <w:abstractNumId w:val="4"/>
  </w:num>
  <w:num w:numId="11" w16cid:durableId="100682463">
    <w:abstractNumId w:val="0"/>
  </w:num>
  <w:num w:numId="12" w16cid:durableId="1076829769">
    <w:abstractNumId w:val="3"/>
  </w:num>
  <w:num w:numId="13" w16cid:durableId="552355506">
    <w:abstractNumId w:val="11"/>
  </w:num>
  <w:num w:numId="14" w16cid:durableId="14081094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19F"/>
    <w:rsid w:val="0000057E"/>
    <w:rsid w:val="00001FB8"/>
    <w:rsid w:val="0002211D"/>
    <w:rsid w:val="00026C98"/>
    <w:rsid w:val="00031455"/>
    <w:rsid w:val="00032093"/>
    <w:rsid w:val="0005745E"/>
    <w:rsid w:val="00061EA2"/>
    <w:rsid w:val="000626F1"/>
    <w:rsid w:val="00064935"/>
    <w:rsid w:val="000653A5"/>
    <w:rsid w:val="0006573B"/>
    <w:rsid w:val="0007200D"/>
    <w:rsid w:val="00073E3D"/>
    <w:rsid w:val="00083068"/>
    <w:rsid w:val="00095018"/>
    <w:rsid w:val="000A0408"/>
    <w:rsid w:val="000A6ABD"/>
    <w:rsid w:val="000C1447"/>
    <w:rsid w:val="000C3858"/>
    <w:rsid w:val="000D0F8D"/>
    <w:rsid w:val="000E2285"/>
    <w:rsid w:val="000F1251"/>
    <w:rsid w:val="00103037"/>
    <w:rsid w:val="00113BA5"/>
    <w:rsid w:val="00115606"/>
    <w:rsid w:val="00116AEE"/>
    <w:rsid w:val="001237D8"/>
    <w:rsid w:val="001333A4"/>
    <w:rsid w:val="00134ADC"/>
    <w:rsid w:val="00157ECC"/>
    <w:rsid w:val="001644F6"/>
    <w:rsid w:val="00176CD7"/>
    <w:rsid w:val="001855C8"/>
    <w:rsid w:val="001961C1"/>
    <w:rsid w:val="001A2970"/>
    <w:rsid w:val="001A3E5A"/>
    <w:rsid w:val="001B220F"/>
    <w:rsid w:val="001B4B15"/>
    <w:rsid w:val="001C01C4"/>
    <w:rsid w:val="001C05F9"/>
    <w:rsid w:val="001C1BEB"/>
    <w:rsid w:val="001C43FD"/>
    <w:rsid w:val="001D00BD"/>
    <w:rsid w:val="001F29A4"/>
    <w:rsid w:val="001F3066"/>
    <w:rsid w:val="001F7270"/>
    <w:rsid w:val="001F7908"/>
    <w:rsid w:val="0020294B"/>
    <w:rsid w:val="00217829"/>
    <w:rsid w:val="00217A80"/>
    <w:rsid w:val="00222A62"/>
    <w:rsid w:val="002250A4"/>
    <w:rsid w:val="0022594D"/>
    <w:rsid w:val="00230B2D"/>
    <w:rsid w:val="00231A73"/>
    <w:rsid w:val="00240C64"/>
    <w:rsid w:val="00242C54"/>
    <w:rsid w:val="00245712"/>
    <w:rsid w:val="0025407D"/>
    <w:rsid w:val="00255876"/>
    <w:rsid w:val="00261B33"/>
    <w:rsid w:val="00262D75"/>
    <w:rsid w:val="00263B5D"/>
    <w:rsid w:val="002679E2"/>
    <w:rsid w:val="0028766F"/>
    <w:rsid w:val="00287C3F"/>
    <w:rsid w:val="002B4F30"/>
    <w:rsid w:val="002E4957"/>
    <w:rsid w:val="002F08BD"/>
    <w:rsid w:val="002F3F16"/>
    <w:rsid w:val="002F4639"/>
    <w:rsid w:val="0031266C"/>
    <w:rsid w:val="003128B7"/>
    <w:rsid w:val="00320373"/>
    <w:rsid w:val="003318BF"/>
    <w:rsid w:val="00341376"/>
    <w:rsid w:val="003426BA"/>
    <w:rsid w:val="0035067A"/>
    <w:rsid w:val="00353793"/>
    <w:rsid w:val="00360700"/>
    <w:rsid w:val="00360FAF"/>
    <w:rsid w:val="003673D9"/>
    <w:rsid w:val="0038098A"/>
    <w:rsid w:val="00380B8F"/>
    <w:rsid w:val="00382A39"/>
    <w:rsid w:val="00383D55"/>
    <w:rsid w:val="00386B01"/>
    <w:rsid w:val="00391EE9"/>
    <w:rsid w:val="00394173"/>
    <w:rsid w:val="00394A42"/>
    <w:rsid w:val="003A0AA8"/>
    <w:rsid w:val="003A5576"/>
    <w:rsid w:val="003C1089"/>
    <w:rsid w:val="003C68A9"/>
    <w:rsid w:val="003C7AC3"/>
    <w:rsid w:val="003D5A1D"/>
    <w:rsid w:val="003E61BC"/>
    <w:rsid w:val="003F21B2"/>
    <w:rsid w:val="003F6548"/>
    <w:rsid w:val="00413245"/>
    <w:rsid w:val="00416C5D"/>
    <w:rsid w:val="0041739D"/>
    <w:rsid w:val="004224E1"/>
    <w:rsid w:val="00425073"/>
    <w:rsid w:val="00426DF5"/>
    <w:rsid w:val="00441794"/>
    <w:rsid w:val="00443016"/>
    <w:rsid w:val="00445207"/>
    <w:rsid w:val="00460338"/>
    <w:rsid w:val="00460BFB"/>
    <w:rsid w:val="0046366D"/>
    <w:rsid w:val="00466EDF"/>
    <w:rsid w:val="00473B0D"/>
    <w:rsid w:val="00477C38"/>
    <w:rsid w:val="00486F62"/>
    <w:rsid w:val="00493FEB"/>
    <w:rsid w:val="004A6AC5"/>
    <w:rsid w:val="004B010C"/>
    <w:rsid w:val="004C4E07"/>
    <w:rsid w:val="004D2EC4"/>
    <w:rsid w:val="004D7CBA"/>
    <w:rsid w:val="004E1CF9"/>
    <w:rsid w:val="00506DC2"/>
    <w:rsid w:val="0052022E"/>
    <w:rsid w:val="00523C3E"/>
    <w:rsid w:val="00525643"/>
    <w:rsid w:val="00534DEF"/>
    <w:rsid w:val="00535C66"/>
    <w:rsid w:val="00536642"/>
    <w:rsid w:val="00537CD1"/>
    <w:rsid w:val="00544827"/>
    <w:rsid w:val="00545C43"/>
    <w:rsid w:val="0055143A"/>
    <w:rsid w:val="0055155C"/>
    <w:rsid w:val="0057236D"/>
    <w:rsid w:val="00573ABD"/>
    <w:rsid w:val="00573B6F"/>
    <w:rsid w:val="0058384B"/>
    <w:rsid w:val="005908C5"/>
    <w:rsid w:val="00593BC5"/>
    <w:rsid w:val="00597509"/>
    <w:rsid w:val="00597D3D"/>
    <w:rsid w:val="005A0120"/>
    <w:rsid w:val="005A6D58"/>
    <w:rsid w:val="005B0EB9"/>
    <w:rsid w:val="005B1488"/>
    <w:rsid w:val="005B3E24"/>
    <w:rsid w:val="005C74BD"/>
    <w:rsid w:val="005D1D7D"/>
    <w:rsid w:val="005D7D3A"/>
    <w:rsid w:val="005E5709"/>
    <w:rsid w:val="005E58B8"/>
    <w:rsid w:val="005E76CB"/>
    <w:rsid w:val="005F22C6"/>
    <w:rsid w:val="0061071B"/>
    <w:rsid w:val="00610FBB"/>
    <w:rsid w:val="00616149"/>
    <w:rsid w:val="0062053A"/>
    <w:rsid w:val="00622566"/>
    <w:rsid w:val="00626287"/>
    <w:rsid w:val="006266F5"/>
    <w:rsid w:val="00626A4C"/>
    <w:rsid w:val="006368AE"/>
    <w:rsid w:val="00640AA6"/>
    <w:rsid w:val="00643A77"/>
    <w:rsid w:val="00650D19"/>
    <w:rsid w:val="0065752A"/>
    <w:rsid w:val="006629D0"/>
    <w:rsid w:val="00666038"/>
    <w:rsid w:val="006722B5"/>
    <w:rsid w:val="00675776"/>
    <w:rsid w:val="0067652E"/>
    <w:rsid w:val="0068030C"/>
    <w:rsid w:val="00691105"/>
    <w:rsid w:val="006937BF"/>
    <w:rsid w:val="0069445F"/>
    <w:rsid w:val="00695142"/>
    <w:rsid w:val="00696A2A"/>
    <w:rsid w:val="00697993"/>
    <w:rsid w:val="006B2F7C"/>
    <w:rsid w:val="006C1527"/>
    <w:rsid w:val="006D24F2"/>
    <w:rsid w:val="006D3772"/>
    <w:rsid w:val="006E02A5"/>
    <w:rsid w:val="006E2DEB"/>
    <w:rsid w:val="006E2F4A"/>
    <w:rsid w:val="006E737F"/>
    <w:rsid w:val="0070091F"/>
    <w:rsid w:val="007013A6"/>
    <w:rsid w:val="00702201"/>
    <w:rsid w:val="00704535"/>
    <w:rsid w:val="007126D6"/>
    <w:rsid w:val="00722AB3"/>
    <w:rsid w:val="00737053"/>
    <w:rsid w:val="00737852"/>
    <w:rsid w:val="0074041F"/>
    <w:rsid w:val="00754725"/>
    <w:rsid w:val="00757A8E"/>
    <w:rsid w:val="007628FB"/>
    <w:rsid w:val="0077455D"/>
    <w:rsid w:val="007751A9"/>
    <w:rsid w:val="00781BAC"/>
    <w:rsid w:val="00785564"/>
    <w:rsid w:val="0078621F"/>
    <w:rsid w:val="0078629F"/>
    <w:rsid w:val="00790698"/>
    <w:rsid w:val="0079144E"/>
    <w:rsid w:val="007A1352"/>
    <w:rsid w:val="007A5B26"/>
    <w:rsid w:val="007B2CFC"/>
    <w:rsid w:val="007B68BE"/>
    <w:rsid w:val="007C57F0"/>
    <w:rsid w:val="007C7176"/>
    <w:rsid w:val="007D39BF"/>
    <w:rsid w:val="007E3FB4"/>
    <w:rsid w:val="007E509E"/>
    <w:rsid w:val="007E7124"/>
    <w:rsid w:val="00802B16"/>
    <w:rsid w:val="00822857"/>
    <w:rsid w:val="00825DF3"/>
    <w:rsid w:val="00836459"/>
    <w:rsid w:val="00840120"/>
    <w:rsid w:val="008422CB"/>
    <w:rsid w:val="00855537"/>
    <w:rsid w:val="00863A17"/>
    <w:rsid w:val="00863B96"/>
    <w:rsid w:val="00871676"/>
    <w:rsid w:val="0088228E"/>
    <w:rsid w:val="008844D8"/>
    <w:rsid w:val="00885CB8"/>
    <w:rsid w:val="00886626"/>
    <w:rsid w:val="008918F5"/>
    <w:rsid w:val="0089194D"/>
    <w:rsid w:val="0089196F"/>
    <w:rsid w:val="00894BCA"/>
    <w:rsid w:val="008A1E8D"/>
    <w:rsid w:val="008B5AB2"/>
    <w:rsid w:val="008B5DA7"/>
    <w:rsid w:val="008C2BF1"/>
    <w:rsid w:val="008C3990"/>
    <w:rsid w:val="008C551C"/>
    <w:rsid w:val="008C7180"/>
    <w:rsid w:val="008C78C8"/>
    <w:rsid w:val="008D03CD"/>
    <w:rsid w:val="008D1A0D"/>
    <w:rsid w:val="008D5C3F"/>
    <w:rsid w:val="008D66AC"/>
    <w:rsid w:val="008F33C0"/>
    <w:rsid w:val="00900EB4"/>
    <w:rsid w:val="00903C47"/>
    <w:rsid w:val="009040D1"/>
    <w:rsid w:val="009106FE"/>
    <w:rsid w:val="00922FB7"/>
    <w:rsid w:val="00930906"/>
    <w:rsid w:val="00930FD0"/>
    <w:rsid w:val="0093239B"/>
    <w:rsid w:val="00935370"/>
    <w:rsid w:val="009464A0"/>
    <w:rsid w:val="0097170A"/>
    <w:rsid w:val="0097170D"/>
    <w:rsid w:val="00976F88"/>
    <w:rsid w:val="00987234"/>
    <w:rsid w:val="009915EB"/>
    <w:rsid w:val="00992531"/>
    <w:rsid w:val="0099538E"/>
    <w:rsid w:val="009A02BB"/>
    <w:rsid w:val="009A399E"/>
    <w:rsid w:val="009C17B8"/>
    <w:rsid w:val="009C1936"/>
    <w:rsid w:val="009C3BDC"/>
    <w:rsid w:val="009D497C"/>
    <w:rsid w:val="009D5859"/>
    <w:rsid w:val="009D6FD9"/>
    <w:rsid w:val="009E6D16"/>
    <w:rsid w:val="009F49A9"/>
    <w:rsid w:val="009F76C7"/>
    <w:rsid w:val="00A04F63"/>
    <w:rsid w:val="00A055A0"/>
    <w:rsid w:val="00A14C67"/>
    <w:rsid w:val="00A153AD"/>
    <w:rsid w:val="00A16C83"/>
    <w:rsid w:val="00A312F0"/>
    <w:rsid w:val="00A3437B"/>
    <w:rsid w:val="00A4594F"/>
    <w:rsid w:val="00A50DD4"/>
    <w:rsid w:val="00A5243C"/>
    <w:rsid w:val="00A62B19"/>
    <w:rsid w:val="00A73B01"/>
    <w:rsid w:val="00A7527C"/>
    <w:rsid w:val="00A7555B"/>
    <w:rsid w:val="00A8094B"/>
    <w:rsid w:val="00A91D76"/>
    <w:rsid w:val="00A91F1B"/>
    <w:rsid w:val="00A920CD"/>
    <w:rsid w:val="00AA3982"/>
    <w:rsid w:val="00AA5EE6"/>
    <w:rsid w:val="00AB186D"/>
    <w:rsid w:val="00AB7976"/>
    <w:rsid w:val="00AF579C"/>
    <w:rsid w:val="00B00DC2"/>
    <w:rsid w:val="00B04475"/>
    <w:rsid w:val="00B155C8"/>
    <w:rsid w:val="00B20082"/>
    <w:rsid w:val="00B216A3"/>
    <w:rsid w:val="00B34DE4"/>
    <w:rsid w:val="00B5188E"/>
    <w:rsid w:val="00B52F22"/>
    <w:rsid w:val="00B53CEF"/>
    <w:rsid w:val="00B61B1D"/>
    <w:rsid w:val="00B64E84"/>
    <w:rsid w:val="00B65082"/>
    <w:rsid w:val="00B7484F"/>
    <w:rsid w:val="00B8223F"/>
    <w:rsid w:val="00B82B35"/>
    <w:rsid w:val="00B83BFC"/>
    <w:rsid w:val="00B942D5"/>
    <w:rsid w:val="00BA38B5"/>
    <w:rsid w:val="00BA4C37"/>
    <w:rsid w:val="00BA5E5C"/>
    <w:rsid w:val="00BB659A"/>
    <w:rsid w:val="00BB66A9"/>
    <w:rsid w:val="00BC319F"/>
    <w:rsid w:val="00BD4F28"/>
    <w:rsid w:val="00BF226F"/>
    <w:rsid w:val="00BF25A8"/>
    <w:rsid w:val="00C12691"/>
    <w:rsid w:val="00C12E35"/>
    <w:rsid w:val="00C150BB"/>
    <w:rsid w:val="00C1609B"/>
    <w:rsid w:val="00C21C69"/>
    <w:rsid w:val="00C246A6"/>
    <w:rsid w:val="00C24FCB"/>
    <w:rsid w:val="00C348C9"/>
    <w:rsid w:val="00C35B8C"/>
    <w:rsid w:val="00C50071"/>
    <w:rsid w:val="00C5251A"/>
    <w:rsid w:val="00C625E8"/>
    <w:rsid w:val="00C6361C"/>
    <w:rsid w:val="00C752BE"/>
    <w:rsid w:val="00C76994"/>
    <w:rsid w:val="00C83639"/>
    <w:rsid w:val="00C96EEE"/>
    <w:rsid w:val="00CA0E41"/>
    <w:rsid w:val="00CA4498"/>
    <w:rsid w:val="00CA5BDF"/>
    <w:rsid w:val="00CB4A06"/>
    <w:rsid w:val="00CB7677"/>
    <w:rsid w:val="00CC690E"/>
    <w:rsid w:val="00CC71F7"/>
    <w:rsid w:val="00CD3E25"/>
    <w:rsid w:val="00CE2682"/>
    <w:rsid w:val="00CE363B"/>
    <w:rsid w:val="00D001E2"/>
    <w:rsid w:val="00D01422"/>
    <w:rsid w:val="00D07E8D"/>
    <w:rsid w:val="00D11BA5"/>
    <w:rsid w:val="00D15808"/>
    <w:rsid w:val="00D2005A"/>
    <w:rsid w:val="00D27ADD"/>
    <w:rsid w:val="00D27F70"/>
    <w:rsid w:val="00D30F7D"/>
    <w:rsid w:val="00D32BC9"/>
    <w:rsid w:val="00D3346B"/>
    <w:rsid w:val="00D45ADF"/>
    <w:rsid w:val="00D51C4B"/>
    <w:rsid w:val="00D56BD7"/>
    <w:rsid w:val="00D70253"/>
    <w:rsid w:val="00D73F20"/>
    <w:rsid w:val="00D84303"/>
    <w:rsid w:val="00D9690A"/>
    <w:rsid w:val="00DA05F4"/>
    <w:rsid w:val="00DA452B"/>
    <w:rsid w:val="00DA6730"/>
    <w:rsid w:val="00DA6BFE"/>
    <w:rsid w:val="00DC1EAB"/>
    <w:rsid w:val="00DC2AA1"/>
    <w:rsid w:val="00DC6AEF"/>
    <w:rsid w:val="00DC746B"/>
    <w:rsid w:val="00DD24D0"/>
    <w:rsid w:val="00DE16F0"/>
    <w:rsid w:val="00DE1E05"/>
    <w:rsid w:val="00E33A7D"/>
    <w:rsid w:val="00E54623"/>
    <w:rsid w:val="00E55B48"/>
    <w:rsid w:val="00E61F4B"/>
    <w:rsid w:val="00E81451"/>
    <w:rsid w:val="00E92378"/>
    <w:rsid w:val="00E94529"/>
    <w:rsid w:val="00EA385F"/>
    <w:rsid w:val="00EA4C43"/>
    <w:rsid w:val="00EA7C0F"/>
    <w:rsid w:val="00EB1A57"/>
    <w:rsid w:val="00EB3388"/>
    <w:rsid w:val="00EB619D"/>
    <w:rsid w:val="00EC2DC8"/>
    <w:rsid w:val="00EC68B1"/>
    <w:rsid w:val="00ED2C74"/>
    <w:rsid w:val="00ED3DED"/>
    <w:rsid w:val="00EE1517"/>
    <w:rsid w:val="00EE24D0"/>
    <w:rsid w:val="00EE32BA"/>
    <w:rsid w:val="00EE3AD7"/>
    <w:rsid w:val="00EE776C"/>
    <w:rsid w:val="00EE7DFB"/>
    <w:rsid w:val="00F0298F"/>
    <w:rsid w:val="00F0400D"/>
    <w:rsid w:val="00F040A9"/>
    <w:rsid w:val="00F04579"/>
    <w:rsid w:val="00F128A2"/>
    <w:rsid w:val="00F1675B"/>
    <w:rsid w:val="00F200B0"/>
    <w:rsid w:val="00F239FB"/>
    <w:rsid w:val="00F25F80"/>
    <w:rsid w:val="00F26960"/>
    <w:rsid w:val="00F33E5D"/>
    <w:rsid w:val="00F368FE"/>
    <w:rsid w:val="00F429A3"/>
    <w:rsid w:val="00F44BFB"/>
    <w:rsid w:val="00F4583A"/>
    <w:rsid w:val="00F46F6E"/>
    <w:rsid w:val="00F661D0"/>
    <w:rsid w:val="00F6686D"/>
    <w:rsid w:val="00F74AEC"/>
    <w:rsid w:val="00F8070F"/>
    <w:rsid w:val="00F8285F"/>
    <w:rsid w:val="00F95F87"/>
    <w:rsid w:val="00F971D8"/>
    <w:rsid w:val="00F975FA"/>
    <w:rsid w:val="00FA0383"/>
    <w:rsid w:val="00FB08F6"/>
    <w:rsid w:val="00FB77B5"/>
    <w:rsid w:val="00FC4932"/>
    <w:rsid w:val="00FC7723"/>
    <w:rsid w:val="00FD2C25"/>
    <w:rsid w:val="00FE0A6A"/>
    <w:rsid w:val="00FE0A9C"/>
    <w:rsid w:val="00FE378A"/>
    <w:rsid w:val="00FE5616"/>
    <w:rsid w:val="00FE5D5D"/>
    <w:rsid w:val="00FF05B5"/>
    <w:rsid w:val="00FF6FAC"/>
    <w:rsid w:val="1AB57B76"/>
    <w:rsid w:val="2F04E66A"/>
    <w:rsid w:val="3C0C2746"/>
    <w:rsid w:val="679A91D2"/>
    <w:rsid w:val="76975D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40BAA"/>
  <w15:docId w15:val="{32D7E852-7D54-9644-B89F-13807D1D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EC"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7F0"/>
    <w:pPr>
      <w:spacing w:line="360" w:lineRule="auto"/>
    </w:pPr>
    <w:rPr>
      <w:rFonts w:ascii="Times New Roman" w:hAnsi="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F41D5B"/>
    <w:rPr>
      <w:color w:val="0563C1" w:themeColor="hyperlink"/>
      <w:u w:val="single"/>
    </w:rPr>
  </w:style>
  <w:style w:type="character" w:styleId="UnresolvedMention">
    <w:name w:val="Unresolved Mention"/>
    <w:basedOn w:val="DefaultParagraphFont"/>
    <w:uiPriority w:val="99"/>
    <w:semiHidden/>
    <w:unhideWhenUsed/>
    <w:rsid w:val="00F41D5B"/>
    <w:rPr>
      <w:color w:val="605E5C"/>
      <w:shd w:val="clear" w:color="auto" w:fill="E1DFDD"/>
    </w:rPr>
  </w:style>
  <w:style w:type="paragraph" w:styleId="NormalWeb">
    <w:name w:val="Normal (Web)"/>
    <w:basedOn w:val="Normal"/>
    <w:uiPriority w:val="99"/>
    <w:semiHidden/>
    <w:unhideWhenUsed/>
    <w:rsid w:val="00F41D5B"/>
    <w:pPr>
      <w:spacing w:before="100" w:beforeAutospacing="1" w:after="100" w:afterAutospacing="1"/>
    </w:pPr>
    <w:rPr>
      <w:rFonts w:eastAsia="Times New Roman" w:cs="Times New Roman"/>
      <w:lang w:eastAsia="es-ES_tradn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top w:w="15" w:type="dxa"/>
        <w:left w:w="15" w:type="dxa"/>
        <w:bottom w:w="15" w:type="dxa"/>
        <w:right w:w="15" w:type="dxa"/>
      </w:tblCellMar>
    </w:tblPr>
  </w:style>
  <w:style w:type="table" w:customStyle="1" w:styleId="a0">
    <w:basedOn w:val="TableNormal1"/>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1237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6C5D"/>
    <w:pPr>
      <w:ind w:left="720"/>
      <w:contextualSpacing/>
    </w:pPr>
  </w:style>
  <w:style w:type="character" w:styleId="FollowedHyperlink">
    <w:name w:val="FollowedHyperlink"/>
    <w:basedOn w:val="DefaultParagraphFont"/>
    <w:uiPriority w:val="99"/>
    <w:semiHidden/>
    <w:unhideWhenUsed/>
    <w:rsid w:val="003C7AC3"/>
    <w:rPr>
      <w:color w:val="954F72" w:themeColor="followedHyperlink"/>
      <w:u w:val="single"/>
    </w:rPr>
  </w:style>
  <w:style w:type="paragraph" w:styleId="Caption">
    <w:name w:val="caption"/>
    <w:basedOn w:val="Normal"/>
    <w:next w:val="Normal"/>
    <w:uiPriority w:val="35"/>
    <w:unhideWhenUsed/>
    <w:qFormat/>
    <w:rsid w:val="00001FB8"/>
    <w:pPr>
      <w:spacing w:after="200" w:line="240" w:lineRule="auto"/>
    </w:pPr>
    <w:rPr>
      <w:i/>
      <w:iCs/>
      <w:color w:val="44546A" w:themeColor="text2"/>
      <w:sz w:val="18"/>
      <w:szCs w:val="18"/>
    </w:rPr>
  </w:style>
  <w:style w:type="table" w:styleId="PlainTable5">
    <w:name w:val="Plain Table 5"/>
    <w:basedOn w:val="TableNormal"/>
    <w:uiPriority w:val="45"/>
    <w:rsid w:val="005F22C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2-Accent3">
    <w:name w:val="List Table 2 Accent 3"/>
    <w:basedOn w:val="TableNormal"/>
    <w:uiPriority w:val="47"/>
    <w:rsid w:val="005F22C6"/>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
    <w:name w:val="List Table 6 Colorful"/>
    <w:basedOn w:val="TableNormal"/>
    <w:uiPriority w:val="51"/>
    <w:rsid w:val="00EE7DF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5326">
      <w:bodyDiv w:val="1"/>
      <w:marLeft w:val="0"/>
      <w:marRight w:val="0"/>
      <w:marTop w:val="0"/>
      <w:marBottom w:val="0"/>
      <w:divBdr>
        <w:top w:val="none" w:sz="0" w:space="0" w:color="auto"/>
        <w:left w:val="none" w:sz="0" w:space="0" w:color="auto"/>
        <w:bottom w:val="none" w:sz="0" w:space="0" w:color="auto"/>
        <w:right w:val="none" w:sz="0" w:space="0" w:color="auto"/>
      </w:divBdr>
    </w:div>
    <w:div w:id="73363871">
      <w:bodyDiv w:val="1"/>
      <w:marLeft w:val="0"/>
      <w:marRight w:val="0"/>
      <w:marTop w:val="0"/>
      <w:marBottom w:val="0"/>
      <w:divBdr>
        <w:top w:val="none" w:sz="0" w:space="0" w:color="auto"/>
        <w:left w:val="none" w:sz="0" w:space="0" w:color="auto"/>
        <w:bottom w:val="none" w:sz="0" w:space="0" w:color="auto"/>
        <w:right w:val="none" w:sz="0" w:space="0" w:color="auto"/>
      </w:divBdr>
    </w:div>
    <w:div w:id="97528329">
      <w:bodyDiv w:val="1"/>
      <w:marLeft w:val="0"/>
      <w:marRight w:val="0"/>
      <w:marTop w:val="0"/>
      <w:marBottom w:val="0"/>
      <w:divBdr>
        <w:top w:val="none" w:sz="0" w:space="0" w:color="auto"/>
        <w:left w:val="none" w:sz="0" w:space="0" w:color="auto"/>
        <w:bottom w:val="none" w:sz="0" w:space="0" w:color="auto"/>
        <w:right w:val="none" w:sz="0" w:space="0" w:color="auto"/>
      </w:divBdr>
      <w:divsChild>
        <w:div w:id="203443349">
          <w:marLeft w:val="-720"/>
          <w:marRight w:val="0"/>
          <w:marTop w:val="0"/>
          <w:marBottom w:val="0"/>
          <w:divBdr>
            <w:top w:val="none" w:sz="0" w:space="0" w:color="auto"/>
            <w:left w:val="none" w:sz="0" w:space="0" w:color="auto"/>
            <w:bottom w:val="none" w:sz="0" w:space="0" w:color="auto"/>
            <w:right w:val="none" w:sz="0" w:space="0" w:color="auto"/>
          </w:divBdr>
        </w:div>
      </w:divsChild>
    </w:div>
    <w:div w:id="186338400">
      <w:bodyDiv w:val="1"/>
      <w:marLeft w:val="0"/>
      <w:marRight w:val="0"/>
      <w:marTop w:val="0"/>
      <w:marBottom w:val="0"/>
      <w:divBdr>
        <w:top w:val="none" w:sz="0" w:space="0" w:color="auto"/>
        <w:left w:val="none" w:sz="0" w:space="0" w:color="auto"/>
        <w:bottom w:val="none" w:sz="0" w:space="0" w:color="auto"/>
        <w:right w:val="none" w:sz="0" w:space="0" w:color="auto"/>
      </w:divBdr>
      <w:divsChild>
        <w:div w:id="58406392">
          <w:marLeft w:val="-720"/>
          <w:marRight w:val="0"/>
          <w:marTop w:val="0"/>
          <w:marBottom w:val="0"/>
          <w:divBdr>
            <w:top w:val="none" w:sz="0" w:space="0" w:color="auto"/>
            <w:left w:val="none" w:sz="0" w:space="0" w:color="auto"/>
            <w:bottom w:val="none" w:sz="0" w:space="0" w:color="auto"/>
            <w:right w:val="none" w:sz="0" w:space="0" w:color="auto"/>
          </w:divBdr>
        </w:div>
      </w:divsChild>
    </w:div>
    <w:div w:id="327708834">
      <w:bodyDiv w:val="1"/>
      <w:marLeft w:val="0"/>
      <w:marRight w:val="0"/>
      <w:marTop w:val="0"/>
      <w:marBottom w:val="0"/>
      <w:divBdr>
        <w:top w:val="none" w:sz="0" w:space="0" w:color="auto"/>
        <w:left w:val="none" w:sz="0" w:space="0" w:color="auto"/>
        <w:bottom w:val="none" w:sz="0" w:space="0" w:color="auto"/>
        <w:right w:val="none" w:sz="0" w:space="0" w:color="auto"/>
      </w:divBdr>
    </w:div>
    <w:div w:id="339312621">
      <w:bodyDiv w:val="1"/>
      <w:marLeft w:val="0"/>
      <w:marRight w:val="0"/>
      <w:marTop w:val="0"/>
      <w:marBottom w:val="0"/>
      <w:divBdr>
        <w:top w:val="none" w:sz="0" w:space="0" w:color="auto"/>
        <w:left w:val="none" w:sz="0" w:space="0" w:color="auto"/>
        <w:bottom w:val="none" w:sz="0" w:space="0" w:color="auto"/>
        <w:right w:val="none" w:sz="0" w:space="0" w:color="auto"/>
      </w:divBdr>
      <w:divsChild>
        <w:div w:id="464810900">
          <w:marLeft w:val="-720"/>
          <w:marRight w:val="0"/>
          <w:marTop w:val="0"/>
          <w:marBottom w:val="0"/>
          <w:divBdr>
            <w:top w:val="none" w:sz="0" w:space="0" w:color="auto"/>
            <w:left w:val="none" w:sz="0" w:space="0" w:color="auto"/>
            <w:bottom w:val="none" w:sz="0" w:space="0" w:color="auto"/>
            <w:right w:val="none" w:sz="0" w:space="0" w:color="auto"/>
          </w:divBdr>
        </w:div>
      </w:divsChild>
    </w:div>
    <w:div w:id="345135939">
      <w:bodyDiv w:val="1"/>
      <w:marLeft w:val="0"/>
      <w:marRight w:val="0"/>
      <w:marTop w:val="0"/>
      <w:marBottom w:val="0"/>
      <w:divBdr>
        <w:top w:val="none" w:sz="0" w:space="0" w:color="auto"/>
        <w:left w:val="none" w:sz="0" w:space="0" w:color="auto"/>
        <w:bottom w:val="none" w:sz="0" w:space="0" w:color="auto"/>
        <w:right w:val="none" w:sz="0" w:space="0" w:color="auto"/>
      </w:divBdr>
    </w:div>
    <w:div w:id="362902286">
      <w:bodyDiv w:val="1"/>
      <w:marLeft w:val="0"/>
      <w:marRight w:val="0"/>
      <w:marTop w:val="0"/>
      <w:marBottom w:val="0"/>
      <w:divBdr>
        <w:top w:val="none" w:sz="0" w:space="0" w:color="auto"/>
        <w:left w:val="none" w:sz="0" w:space="0" w:color="auto"/>
        <w:bottom w:val="none" w:sz="0" w:space="0" w:color="auto"/>
        <w:right w:val="none" w:sz="0" w:space="0" w:color="auto"/>
      </w:divBdr>
    </w:div>
    <w:div w:id="367023119">
      <w:bodyDiv w:val="1"/>
      <w:marLeft w:val="0"/>
      <w:marRight w:val="0"/>
      <w:marTop w:val="0"/>
      <w:marBottom w:val="0"/>
      <w:divBdr>
        <w:top w:val="none" w:sz="0" w:space="0" w:color="auto"/>
        <w:left w:val="none" w:sz="0" w:space="0" w:color="auto"/>
        <w:bottom w:val="none" w:sz="0" w:space="0" w:color="auto"/>
        <w:right w:val="none" w:sz="0" w:space="0" w:color="auto"/>
      </w:divBdr>
    </w:div>
    <w:div w:id="452597194">
      <w:bodyDiv w:val="1"/>
      <w:marLeft w:val="0"/>
      <w:marRight w:val="0"/>
      <w:marTop w:val="0"/>
      <w:marBottom w:val="0"/>
      <w:divBdr>
        <w:top w:val="none" w:sz="0" w:space="0" w:color="auto"/>
        <w:left w:val="none" w:sz="0" w:space="0" w:color="auto"/>
        <w:bottom w:val="none" w:sz="0" w:space="0" w:color="auto"/>
        <w:right w:val="none" w:sz="0" w:space="0" w:color="auto"/>
      </w:divBdr>
      <w:divsChild>
        <w:div w:id="2025084301">
          <w:marLeft w:val="-720"/>
          <w:marRight w:val="0"/>
          <w:marTop w:val="0"/>
          <w:marBottom w:val="0"/>
          <w:divBdr>
            <w:top w:val="none" w:sz="0" w:space="0" w:color="auto"/>
            <w:left w:val="none" w:sz="0" w:space="0" w:color="auto"/>
            <w:bottom w:val="none" w:sz="0" w:space="0" w:color="auto"/>
            <w:right w:val="none" w:sz="0" w:space="0" w:color="auto"/>
          </w:divBdr>
        </w:div>
      </w:divsChild>
    </w:div>
    <w:div w:id="488136761">
      <w:bodyDiv w:val="1"/>
      <w:marLeft w:val="0"/>
      <w:marRight w:val="0"/>
      <w:marTop w:val="0"/>
      <w:marBottom w:val="0"/>
      <w:divBdr>
        <w:top w:val="none" w:sz="0" w:space="0" w:color="auto"/>
        <w:left w:val="none" w:sz="0" w:space="0" w:color="auto"/>
        <w:bottom w:val="none" w:sz="0" w:space="0" w:color="auto"/>
        <w:right w:val="none" w:sz="0" w:space="0" w:color="auto"/>
      </w:divBdr>
    </w:div>
    <w:div w:id="505638205">
      <w:bodyDiv w:val="1"/>
      <w:marLeft w:val="0"/>
      <w:marRight w:val="0"/>
      <w:marTop w:val="0"/>
      <w:marBottom w:val="0"/>
      <w:divBdr>
        <w:top w:val="none" w:sz="0" w:space="0" w:color="auto"/>
        <w:left w:val="none" w:sz="0" w:space="0" w:color="auto"/>
        <w:bottom w:val="none" w:sz="0" w:space="0" w:color="auto"/>
        <w:right w:val="none" w:sz="0" w:space="0" w:color="auto"/>
      </w:divBdr>
      <w:divsChild>
        <w:div w:id="696346835">
          <w:marLeft w:val="-720"/>
          <w:marRight w:val="0"/>
          <w:marTop w:val="0"/>
          <w:marBottom w:val="0"/>
          <w:divBdr>
            <w:top w:val="none" w:sz="0" w:space="0" w:color="auto"/>
            <w:left w:val="none" w:sz="0" w:space="0" w:color="auto"/>
            <w:bottom w:val="none" w:sz="0" w:space="0" w:color="auto"/>
            <w:right w:val="none" w:sz="0" w:space="0" w:color="auto"/>
          </w:divBdr>
        </w:div>
      </w:divsChild>
    </w:div>
    <w:div w:id="540629363">
      <w:bodyDiv w:val="1"/>
      <w:marLeft w:val="0"/>
      <w:marRight w:val="0"/>
      <w:marTop w:val="0"/>
      <w:marBottom w:val="0"/>
      <w:divBdr>
        <w:top w:val="none" w:sz="0" w:space="0" w:color="auto"/>
        <w:left w:val="none" w:sz="0" w:space="0" w:color="auto"/>
        <w:bottom w:val="none" w:sz="0" w:space="0" w:color="auto"/>
        <w:right w:val="none" w:sz="0" w:space="0" w:color="auto"/>
      </w:divBdr>
      <w:divsChild>
        <w:div w:id="1250386548">
          <w:marLeft w:val="-720"/>
          <w:marRight w:val="0"/>
          <w:marTop w:val="0"/>
          <w:marBottom w:val="0"/>
          <w:divBdr>
            <w:top w:val="none" w:sz="0" w:space="0" w:color="auto"/>
            <w:left w:val="none" w:sz="0" w:space="0" w:color="auto"/>
            <w:bottom w:val="none" w:sz="0" w:space="0" w:color="auto"/>
            <w:right w:val="none" w:sz="0" w:space="0" w:color="auto"/>
          </w:divBdr>
        </w:div>
      </w:divsChild>
    </w:div>
    <w:div w:id="565649665">
      <w:bodyDiv w:val="1"/>
      <w:marLeft w:val="0"/>
      <w:marRight w:val="0"/>
      <w:marTop w:val="0"/>
      <w:marBottom w:val="0"/>
      <w:divBdr>
        <w:top w:val="none" w:sz="0" w:space="0" w:color="auto"/>
        <w:left w:val="none" w:sz="0" w:space="0" w:color="auto"/>
        <w:bottom w:val="none" w:sz="0" w:space="0" w:color="auto"/>
        <w:right w:val="none" w:sz="0" w:space="0" w:color="auto"/>
      </w:divBdr>
    </w:div>
    <w:div w:id="620962888">
      <w:bodyDiv w:val="1"/>
      <w:marLeft w:val="0"/>
      <w:marRight w:val="0"/>
      <w:marTop w:val="0"/>
      <w:marBottom w:val="0"/>
      <w:divBdr>
        <w:top w:val="none" w:sz="0" w:space="0" w:color="auto"/>
        <w:left w:val="none" w:sz="0" w:space="0" w:color="auto"/>
        <w:bottom w:val="none" w:sz="0" w:space="0" w:color="auto"/>
        <w:right w:val="none" w:sz="0" w:space="0" w:color="auto"/>
      </w:divBdr>
      <w:divsChild>
        <w:div w:id="1757901152">
          <w:marLeft w:val="-720"/>
          <w:marRight w:val="0"/>
          <w:marTop w:val="0"/>
          <w:marBottom w:val="0"/>
          <w:divBdr>
            <w:top w:val="none" w:sz="0" w:space="0" w:color="auto"/>
            <w:left w:val="none" w:sz="0" w:space="0" w:color="auto"/>
            <w:bottom w:val="none" w:sz="0" w:space="0" w:color="auto"/>
            <w:right w:val="none" w:sz="0" w:space="0" w:color="auto"/>
          </w:divBdr>
        </w:div>
      </w:divsChild>
    </w:div>
    <w:div w:id="686566560">
      <w:bodyDiv w:val="1"/>
      <w:marLeft w:val="0"/>
      <w:marRight w:val="0"/>
      <w:marTop w:val="0"/>
      <w:marBottom w:val="0"/>
      <w:divBdr>
        <w:top w:val="none" w:sz="0" w:space="0" w:color="auto"/>
        <w:left w:val="none" w:sz="0" w:space="0" w:color="auto"/>
        <w:bottom w:val="none" w:sz="0" w:space="0" w:color="auto"/>
        <w:right w:val="none" w:sz="0" w:space="0" w:color="auto"/>
      </w:divBdr>
      <w:divsChild>
        <w:div w:id="1259414001">
          <w:marLeft w:val="-720"/>
          <w:marRight w:val="0"/>
          <w:marTop w:val="0"/>
          <w:marBottom w:val="0"/>
          <w:divBdr>
            <w:top w:val="none" w:sz="0" w:space="0" w:color="auto"/>
            <w:left w:val="none" w:sz="0" w:space="0" w:color="auto"/>
            <w:bottom w:val="none" w:sz="0" w:space="0" w:color="auto"/>
            <w:right w:val="none" w:sz="0" w:space="0" w:color="auto"/>
          </w:divBdr>
        </w:div>
      </w:divsChild>
    </w:div>
    <w:div w:id="708650396">
      <w:bodyDiv w:val="1"/>
      <w:marLeft w:val="0"/>
      <w:marRight w:val="0"/>
      <w:marTop w:val="0"/>
      <w:marBottom w:val="0"/>
      <w:divBdr>
        <w:top w:val="none" w:sz="0" w:space="0" w:color="auto"/>
        <w:left w:val="none" w:sz="0" w:space="0" w:color="auto"/>
        <w:bottom w:val="none" w:sz="0" w:space="0" w:color="auto"/>
        <w:right w:val="none" w:sz="0" w:space="0" w:color="auto"/>
      </w:divBdr>
    </w:div>
    <w:div w:id="751855487">
      <w:bodyDiv w:val="1"/>
      <w:marLeft w:val="0"/>
      <w:marRight w:val="0"/>
      <w:marTop w:val="0"/>
      <w:marBottom w:val="0"/>
      <w:divBdr>
        <w:top w:val="none" w:sz="0" w:space="0" w:color="auto"/>
        <w:left w:val="none" w:sz="0" w:space="0" w:color="auto"/>
        <w:bottom w:val="none" w:sz="0" w:space="0" w:color="auto"/>
        <w:right w:val="none" w:sz="0" w:space="0" w:color="auto"/>
      </w:divBdr>
    </w:div>
    <w:div w:id="766003390">
      <w:bodyDiv w:val="1"/>
      <w:marLeft w:val="0"/>
      <w:marRight w:val="0"/>
      <w:marTop w:val="0"/>
      <w:marBottom w:val="0"/>
      <w:divBdr>
        <w:top w:val="none" w:sz="0" w:space="0" w:color="auto"/>
        <w:left w:val="none" w:sz="0" w:space="0" w:color="auto"/>
        <w:bottom w:val="none" w:sz="0" w:space="0" w:color="auto"/>
        <w:right w:val="none" w:sz="0" w:space="0" w:color="auto"/>
      </w:divBdr>
    </w:div>
    <w:div w:id="843400498">
      <w:bodyDiv w:val="1"/>
      <w:marLeft w:val="0"/>
      <w:marRight w:val="0"/>
      <w:marTop w:val="0"/>
      <w:marBottom w:val="0"/>
      <w:divBdr>
        <w:top w:val="none" w:sz="0" w:space="0" w:color="auto"/>
        <w:left w:val="none" w:sz="0" w:space="0" w:color="auto"/>
        <w:bottom w:val="none" w:sz="0" w:space="0" w:color="auto"/>
        <w:right w:val="none" w:sz="0" w:space="0" w:color="auto"/>
      </w:divBdr>
      <w:divsChild>
        <w:div w:id="1412043211">
          <w:marLeft w:val="-720"/>
          <w:marRight w:val="0"/>
          <w:marTop w:val="0"/>
          <w:marBottom w:val="0"/>
          <w:divBdr>
            <w:top w:val="none" w:sz="0" w:space="0" w:color="auto"/>
            <w:left w:val="none" w:sz="0" w:space="0" w:color="auto"/>
            <w:bottom w:val="none" w:sz="0" w:space="0" w:color="auto"/>
            <w:right w:val="none" w:sz="0" w:space="0" w:color="auto"/>
          </w:divBdr>
        </w:div>
      </w:divsChild>
    </w:div>
    <w:div w:id="891041274">
      <w:bodyDiv w:val="1"/>
      <w:marLeft w:val="0"/>
      <w:marRight w:val="0"/>
      <w:marTop w:val="0"/>
      <w:marBottom w:val="0"/>
      <w:divBdr>
        <w:top w:val="none" w:sz="0" w:space="0" w:color="auto"/>
        <w:left w:val="none" w:sz="0" w:space="0" w:color="auto"/>
        <w:bottom w:val="none" w:sz="0" w:space="0" w:color="auto"/>
        <w:right w:val="none" w:sz="0" w:space="0" w:color="auto"/>
      </w:divBdr>
      <w:divsChild>
        <w:div w:id="570505698">
          <w:marLeft w:val="-720"/>
          <w:marRight w:val="0"/>
          <w:marTop w:val="0"/>
          <w:marBottom w:val="0"/>
          <w:divBdr>
            <w:top w:val="none" w:sz="0" w:space="0" w:color="auto"/>
            <w:left w:val="none" w:sz="0" w:space="0" w:color="auto"/>
            <w:bottom w:val="none" w:sz="0" w:space="0" w:color="auto"/>
            <w:right w:val="none" w:sz="0" w:space="0" w:color="auto"/>
          </w:divBdr>
        </w:div>
      </w:divsChild>
    </w:div>
    <w:div w:id="902957548">
      <w:bodyDiv w:val="1"/>
      <w:marLeft w:val="0"/>
      <w:marRight w:val="0"/>
      <w:marTop w:val="0"/>
      <w:marBottom w:val="0"/>
      <w:divBdr>
        <w:top w:val="none" w:sz="0" w:space="0" w:color="auto"/>
        <w:left w:val="none" w:sz="0" w:space="0" w:color="auto"/>
        <w:bottom w:val="none" w:sz="0" w:space="0" w:color="auto"/>
        <w:right w:val="none" w:sz="0" w:space="0" w:color="auto"/>
      </w:divBdr>
      <w:divsChild>
        <w:div w:id="968557096">
          <w:marLeft w:val="-720"/>
          <w:marRight w:val="0"/>
          <w:marTop w:val="0"/>
          <w:marBottom w:val="0"/>
          <w:divBdr>
            <w:top w:val="none" w:sz="0" w:space="0" w:color="auto"/>
            <w:left w:val="none" w:sz="0" w:space="0" w:color="auto"/>
            <w:bottom w:val="none" w:sz="0" w:space="0" w:color="auto"/>
            <w:right w:val="none" w:sz="0" w:space="0" w:color="auto"/>
          </w:divBdr>
        </w:div>
      </w:divsChild>
    </w:div>
    <w:div w:id="1013650353">
      <w:bodyDiv w:val="1"/>
      <w:marLeft w:val="0"/>
      <w:marRight w:val="0"/>
      <w:marTop w:val="0"/>
      <w:marBottom w:val="0"/>
      <w:divBdr>
        <w:top w:val="none" w:sz="0" w:space="0" w:color="auto"/>
        <w:left w:val="none" w:sz="0" w:space="0" w:color="auto"/>
        <w:bottom w:val="none" w:sz="0" w:space="0" w:color="auto"/>
        <w:right w:val="none" w:sz="0" w:space="0" w:color="auto"/>
      </w:divBdr>
    </w:div>
    <w:div w:id="1034693878">
      <w:bodyDiv w:val="1"/>
      <w:marLeft w:val="0"/>
      <w:marRight w:val="0"/>
      <w:marTop w:val="0"/>
      <w:marBottom w:val="0"/>
      <w:divBdr>
        <w:top w:val="none" w:sz="0" w:space="0" w:color="auto"/>
        <w:left w:val="none" w:sz="0" w:space="0" w:color="auto"/>
        <w:bottom w:val="none" w:sz="0" w:space="0" w:color="auto"/>
        <w:right w:val="none" w:sz="0" w:space="0" w:color="auto"/>
      </w:divBdr>
    </w:div>
    <w:div w:id="1147210588">
      <w:bodyDiv w:val="1"/>
      <w:marLeft w:val="0"/>
      <w:marRight w:val="0"/>
      <w:marTop w:val="0"/>
      <w:marBottom w:val="0"/>
      <w:divBdr>
        <w:top w:val="none" w:sz="0" w:space="0" w:color="auto"/>
        <w:left w:val="none" w:sz="0" w:space="0" w:color="auto"/>
        <w:bottom w:val="none" w:sz="0" w:space="0" w:color="auto"/>
        <w:right w:val="none" w:sz="0" w:space="0" w:color="auto"/>
      </w:divBdr>
      <w:divsChild>
        <w:div w:id="1419137418">
          <w:marLeft w:val="0"/>
          <w:marRight w:val="0"/>
          <w:marTop w:val="0"/>
          <w:marBottom w:val="0"/>
          <w:divBdr>
            <w:top w:val="none" w:sz="0" w:space="0" w:color="auto"/>
            <w:left w:val="none" w:sz="0" w:space="0" w:color="auto"/>
            <w:bottom w:val="none" w:sz="0" w:space="0" w:color="auto"/>
            <w:right w:val="none" w:sz="0" w:space="0" w:color="auto"/>
          </w:divBdr>
          <w:divsChild>
            <w:div w:id="88259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790618">
      <w:bodyDiv w:val="1"/>
      <w:marLeft w:val="0"/>
      <w:marRight w:val="0"/>
      <w:marTop w:val="0"/>
      <w:marBottom w:val="0"/>
      <w:divBdr>
        <w:top w:val="none" w:sz="0" w:space="0" w:color="auto"/>
        <w:left w:val="none" w:sz="0" w:space="0" w:color="auto"/>
        <w:bottom w:val="none" w:sz="0" w:space="0" w:color="auto"/>
        <w:right w:val="none" w:sz="0" w:space="0" w:color="auto"/>
      </w:divBdr>
    </w:div>
    <w:div w:id="1159619941">
      <w:bodyDiv w:val="1"/>
      <w:marLeft w:val="0"/>
      <w:marRight w:val="0"/>
      <w:marTop w:val="0"/>
      <w:marBottom w:val="0"/>
      <w:divBdr>
        <w:top w:val="none" w:sz="0" w:space="0" w:color="auto"/>
        <w:left w:val="none" w:sz="0" w:space="0" w:color="auto"/>
        <w:bottom w:val="none" w:sz="0" w:space="0" w:color="auto"/>
        <w:right w:val="none" w:sz="0" w:space="0" w:color="auto"/>
      </w:divBdr>
    </w:div>
    <w:div w:id="1404645243">
      <w:bodyDiv w:val="1"/>
      <w:marLeft w:val="0"/>
      <w:marRight w:val="0"/>
      <w:marTop w:val="0"/>
      <w:marBottom w:val="0"/>
      <w:divBdr>
        <w:top w:val="none" w:sz="0" w:space="0" w:color="auto"/>
        <w:left w:val="none" w:sz="0" w:space="0" w:color="auto"/>
        <w:bottom w:val="none" w:sz="0" w:space="0" w:color="auto"/>
        <w:right w:val="none" w:sz="0" w:space="0" w:color="auto"/>
      </w:divBdr>
    </w:div>
    <w:div w:id="1445806322">
      <w:bodyDiv w:val="1"/>
      <w:marLeft w:val="0"/>
      <w:marRight w:val="0"/>
      <w:marTop w:val="0"/>
      <w:marBottom w:val="0"/>
      <w:divBdr>
        <w:top w:val="none" w:sz="0" w:space="0" w:color="auto"/>
        <w:left w:val="none" w:sz="0" w:space="0" w:color="auto"/>
        <w:bottom w:val="none" w:sz="0" w:space="0" w:color="auto"/>
        <w:right w:val="none" w:sz="0" w:space="0" w:color="auto"/>
      </w:divBdr>
      <w:divsChild>
        <w:div w:id="2008630582">
          <w:marLeft w:val="-720"/>
          <w:marRight w:val="0"/>
          <w:marTop w:val="0"/>
          <w:marBottom w:val="0"/>
          <w:divBdr>
            <w:top w:val="none" w:sz="0" w:space="0" w:color="auto"/>
            <w:left w:val="none" w:sz="0" w:space="0" w:color="auto"/>
            <w:bottom w:val="none" w:sz="0" w:space="0" w:color="auto"/>
            <w:right w:val="none" w:sz="0" w:space="0" w:color="auto"/>
          </w:divBdr>
        </w:div>
      </w:divsChild>
    </w:div>
    <w:div w:id="1481380296">
      <w:bodyDiv w:val="1"/>
      <w:marLeft w:val="0"/>
      <w:marRight w:val="0"/>
      <w:marTop w:val="0"/>
      <w:marBottom w:val="0"/>
      <w:divBdr>
        <w:top w:val="none" w:sz="0" w:space="0" w:color="auto"/>
        <w:left w:val="none" w:sz="0" w:space="0" w:color="auto"/>
        <w:bottom w:val="none" w:sz="0" w:space="0" w:color="auto"/>
        <w:right w:val="none" w:sz="0" w:space="0" w:color="auto"/>
      </w:divBdr>
      <w:divsChild>
        <w:div w:id="1168326442">
          <w:marLeft w:val="-720"/>
          <w:marRight w:val="0"/>
          <w:marTop w:val="0"/>
          <w:marBottom w:val="0"/>
          <w:divBdr>
            <w:top w:val="none" w:sz="0" w:space="0" w:color="auto"/>
            <w:left w:val="none" w:sz="0" w:space="0" w:color="auto"/>
            <w:bottom w:val="none" w:sz="0" w:space="0" w:color="auto"/>
            <w:right w:val="none" w:sz="0" w:space="0" w:color="auto"/>
          </w:divBdr>
        </w:div>
      </w:divsChild>
    </w:div>
    <w:div w:id="1555501671">
      <w:bodyDiv w:val="1"/>
      <w:marLeft w:val="0"/>
      <w:marRight w:val="0"/>
      <w:marTop w:val="0"/>
      <w:marBottom w:val="0"/>
      <w:divBdr>
        <w:top w:val="none" w:sz="0" w:space="0" w:color="auto"/>
        <w:left w:val="none" w:sz="0" w:space="0" w:color="auto"/>
        <w:bottom w:val="none" w:sz="0" w:space="0" w:color="auto"/>
        <w:right w:val="none" w:sz="0" w:space="0" w:color="auto"/>
      </w:divBdr>
    </w:div>
    <w:div w:id="1565336664">
      <w:bodyDiv w:val="1"/>
      <w:marLeft w:val="0"/>
      <w:marRight w:val="0"/>
      <w:marTop w:val="0"/>
      <w:marBottom w:val="0"/>
      <w:divBdr>
        <w:top w:val="none" w:sz="0" w:space="0" w:color="auto"/>
        <w:left w:val="none" w:sz="0" w:space="0" w:color="auto"/>
        <w:bottom w:val="none" w:sz="0" w:space="0" w:color="auto"/>
        <w:right w:val="none" w:sz="0" w:space="0" w:color="auto"/>
      </w:divBdr>
      <w:divsChild>
        <w:div w:id="2063366789">
          <w:marLeft w:val="0"/>
          <w:marRight w:val="0"/>
          <w:marTop w:val="0"/>
          <w:marBottom w:val="0"/>
          <w:divBdr>
            <w:top w:val="none" w:sz="0" w:space="0" w:color="auto"/>
            <w:left w:val="none" w:sz="0" w:space="0" w:color="auto"/>
            <w:bottom w:val="none" w:sz="0" w:space="0" w:color="auto"/>
            <w:right w:val="none" w:sz="0" w:space="0" w:color="auto"/>
          </w:divBdr>
          <w:divsChild>
            <w:div w:id="112742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5464">
      <w:bodyDiv w:val="1"/>
      <w:marLeft w:val="0"/>
      <w:marRight w:val="0"/>
      <w:marTop w:val="0"/>
      <w:marBottom w:val="0"/>
      <w:divBdr>
        <w:top w:val="none" w:sz="0" w:space="0" w:color="auto"/>
        <w:left w:val="none" w:sz="0" w:space="0" w:color="auto"/>
        <w:bottom w:val="none" w:sz="0" w:space="0" w:color="auto"/>
        <w:right w:val="none" w:sz="0" w:space="0" w:color="auto"/>
      </w:divBdr>
      <w:divsChild>
        <w:div w:id="1537693081">
          <w:marLeft w:val="-720"/>
          <w:marRight w:val="0"/>
          <w:marTop w:val="0"/>
          <w:marBottom w:val="0"/>
          <w:divBdr>
            <w:top w:val="none" w:sz="0" w:space="0" w:color="auto"/>
            <w:left w:val="none" w:sz="0" w:space="0" w:color="auto"/>
            <w:bottom w:val="none" w:sz="0" w:space="0" w:color="auto"/>
            <w:right w:val="none" w:sz="0" w:space="0" w:color="auto"/>
          </w:divBdr>
        </w:div>
      </w:divsChild>
    </w:div>
    <w:div w:id="1600290323">
      <w:bodyDiv w:val="1"/>
      <w:marLeft w:val="0"/>
      <w:marRight w:val="0"/>
      <w:marTop w:val="0"/>
      <w:marBottom w:val="0"/>
      <w:divBdr>
        <w:top w:val="none" w:sz="0" w:space="0" w:color="auto"/>
        <w:left w:val="none" w:sz="0" w:space="0" w:color="auto"/>
        <w:bottom w:val="none" w:sz="0" w:space="0" w:color="auto"/>
        <w:right w:val="none" w:sz="0" w:space="0" w:color="auto"/>
      </w:divBdr>
    </w:div>
    <w:div w:id="1608541978">
      <w:bodyDiv w:val="1"/>
      <w:marLeft w:val="0"/>
      <w:marRight w:val="0"/>
      <w:marTop w:val="0"/>
      <w:marBottom w:val="0"/>
      <w:divBdr>
        <w:top w:val="none" w:sz="0" w:space="0" w:color="auto"/>
        <w:left w:val="none" w:sz="0" w:space="0" w:color="auto"/>
        <w:bottom w:val="none" w:sz="0" w:space="0" w:color="auto"/>
        <w:right w:val="none" w:sz="0" w:space="0" w:color="auto"/>
      </w:divBdr>
    </w:div>
    <w:div w:id="1643080597">
      <w:bodyDiv w:val="1"/>
      <w:marLeft w:val="0"/>
      <w:marRight w:val="0"/>
      <w:marTop w:val="0"/>
      <w:marBottom w:val="0"/>
      <w:divBdr>
        <w:top w:val="none" w:sz="0" w:space="0" w:color="auto"/>
        <w:left w:val="none" w:sz="0" w:space="0" w:color="auto"/>
        <w:bottom w:val="none" w:sz="0" w:space="0" w:color="auto"/>
        <w:right w:val="none" w:sz="0" w:space="0" w:color="auto"/>
      </w:divBdr>
      <w:divsChild>
        <w:div w:id="1657608800">
          <w:marLeft w:val="-720"/>
          <w:marRight w:val="0"/>
          <w:marTop w:val="0"/>
          <w:marBottom w:val="0"/>
          <w:divBdr>
            <w:top w:val="none" w:sz="0" w:space="0" w:color="auto"/>
            <w:left w:val="none" w:sz="0" w:space="0" w:color="auto"/>
            <w:bottom w:val="none" w:sz="0" w:space="0" w:color="auto"/>
            <w:right w:val="none" w:sz="0" w:space="0" w:color="auto"/>
          </w:divBdr>
        </w:div>
      </w:divsChild>
    </w:div>
    <w:div w:id="1682274397">
      <w:bodyDiv w:val="1"/>
      <w:marLeft w:val="0"/>
      <w:marRight w:val="0"/>
      <w:marTop w:val="0"/>
      <w:marBottom w:val="0"/>
      <w:divBdr>
        <w:top w:val="none" w:sz="0" w:space="0" w:color="auto"/>
        <w:left w:val="none" w:sz="0" w:space="0" w:color="auto"/>
        <w:bottom w:val="none" w:sz="0" w:space="0" w:color="auto"/>
        <w:right w:val="none" w:sz="0" w:space="0" w:color="auto"/>
      </w:divBdr>
    </w:div>
    <w:div w:id="1707484663">
      <w:bodyDiv w:val="1"/>
      <w:marLeft w:val="0"/>
      <w:marRight w:val="0"/>
      <w:marTop w:val="0"/>
      <w:marBottom w:val="0"/>
      <w:divBdr>
        <w:top w:val="none" w:sz="0" w:space="0" w:color="auto"/>
        <w:left w:val="none" w:sz="0" w:space="0" w:color="auto"/>
        <w:bottom w:val="none" w:sz="0" w:space="0" w:color="auto"/>
        <w:right w:val="none" w:sz="0" w:space="0" w:color="auto"/>
      </w:divBdr>
      <w:divsChild>
        <w:div w:id="1320425960">
          <w:marLeft w:val="-720"/>
          <w:marRight w:val="0"/>
          <w:marTop w:val="0"/>
          <w:marBottom w:val="0"/>
          <w:divBdr>
            <w:top w:val="none" w:sz="0" w:space="0" w:color="auto"/>
            <w:left w:val="none" w:sz="0" w:space="0" w:color="auto"/>
            <w:bottom w:val="none" w:sz="0" w:space="0" w:color="auto"/>
            <w:right w:val="none" w:sz="0" w:space="0" w:color="auto"/>
          </w:divBdr>
        </w:div>
      </w:divsChild>
    </w:div>
    <w:div w:id="1709721422">
      <w:bodyDiv w:val="1"/>
      <w:marLeft w:val="0"/>
      <w:marRight w:val="0"/>
      <w:marTop w:val="0"/>
      <w:marBottom w:val="0"/>
      <w:divBdr>
        <w:top w:val="none" w:sz="0" w:space="0" w:color="auto"/>
        <w:left w:val="none" w:sz="0" w:space="0" w:color="auto"/>
        <w:bottom w:val="none" w:sz="0" w:space="0" w:color="auto"/>
        <w:right w:val="none" w:sz="0" w:space="0" w:color="auto"/>
      </w:divBdr>
    </w:div>
    <w:div w:id="1726679525">
      <w:bodyDiv w:val="1"/>
      <w:marLeft w:val="0"/>
      <w:marRight w:val="0"/>
      <w:marTop w:val="0"/>
      <w:marBottom w:val="0"/>
      <w:divBdr>
        <w:top w:val="none" w:sz="0" w:space="0" w:color="auto"/>
        <w:left w:val="none" w:sz="0" w:space="0" w:color="auto"/>
        <w:bottom w:val="none" w:sz="0" w:space="0" w:color="auto"/>
        <w:right w:val="none" w:sz="0" w:space="0" w:color="auto"/>
      </w:divBdr>
    </w:div>
    <w:div w:id="1737319789">
      <w:bodyDiv w:val="1"/>
      <w:marLeft w:val="0"/>
      <w:marRight w:val="0"/>
      <w:marTop w:val="0"/>
      <w:marBottom w:val="0"/>
      <w:divBdr>
        <w:top w:val="none" w:sz="0" w:space="0" w:color="auto"/>
        <w:left w:val="none" w:sz="0" w:space="0" w:color="auto"/>
        <w:bottom w:val="none" w:sz="0" w:space="0" w:color="auto"/>
        <w:right w:val="none" w:sz="0" w:space="0" w:color="auto"/>
      </w:divBdr>
    </w:div>
    <w:div w:id="1765806261">
      <w:bodyDiv w:val="1"/>
      <w:marLeft w:val="0"/>
      <w:marRight w:val="0"/>
      <w:marTop w:val="0"/>
      <w:marBottom w:val="0"/>
      <w:divBdr>
        <w:top w:val="none" w:sz="0" w:space="0" w:color="auto"/>
        <w:left w:val="none" w:sz="0" w:space="0" w:color="auto"/>
        <w:bottom w:val="none" w:sz="0" w:space="0" w:color="auto"/>
        <w:right w:val="none" w:sz="0" w:space="0" w:color="auto"/>
      </w:divBdr>
    </w:div>
    <w:div w:id="1783303405">
      <w:bodyDiv w:val="1"/>
      <w:marLeft w:val="0"/>
      <w:marRight w:val="0"/>
      <w:marTop w:val="0"/>
      <w:marBottom w:val="0"/>
      <w:divBdr>
        <w:top w:val="none" w:sz="0" w:space="0" w:color="auto"/>
        <w:left w:val="none" w:sz="0" w:space="0" w:color="auto"/>
        <w:bottom w:val="none" w:sz="0" w:space="0" w:color="auto"/>
        <w:right w:val="none" w:sz="0" w:space="0" w:color="auto"/>
      </w:divBdr>
      <w:divsChild>
        <w:div w:id="369188596">
          <w:marLeft w:val="-720"/>
          <w:marRight w:val="0"/>
          <w:marTop w:val="0"/>
          <w:marBottom w:val="0"/>
          <w:divBdr>
            <w:top w:val="none" w:sz="0" w:space="0" w:color="auto"/>
            <w:left w:val="none" w:sz="0" w:space="0" w:color="auto"/>
            <w:bottom w:val="none" w:sz="0" w:space="0" w:color="auto"/>
            <w:right w:val="none" w:sz="0" w:space="0" w:color="auto"/>
          </w:divBdr>
        </w:div>
      </w:divsChild>
    </w:div>
    <w:div w:id="1808427660">
      <w:bodyDiv w:val="1"/>
      <w:marLeft w:val="0"/>
      <w:marRight w:val="0"/>
      <w:marTop w:val="0"/>
      <w:marBottom w:val="0"/>
      <w:divBdr>
        <w:top w:val="none" w:sz="0" w:space="0" w:color="auto"/>
        <w:left w:val="none" w:sz="0" w:space="0" w:color="auto"/>
        <w:bottom w:val="none" w:sz="0" w:space="0" w:color="auto"/>
        <w:right w:val="none" w:sz="0" w:space="0" w:color="auto"/>
      </w:divBdr>
      <w:divsChild>
        <w:div w:id="161051932">
          <w:marLeft w:val="-720"/>
          <w:marRight w:val="0"/>
          <w:marTop w:val="0"/>
          <w:marBottom w:val="0"/>
          <w:divBdr>
            <w:top w:val="none" w:sz="0" w:space="0" w:color="auto"/>
            <w:left w:val="none" w:sz="0" w:space="0" w:color="auto"/>
            <w:bottom w:val="none" w:sz="0" w:space="0" w:color="auto"/>
            <w:right w:val="none" w:sz="0" w:space="0" w:color="auto"/>
          </w:divBdr>
        </w:div>
      </w:divsChild>
    </w:div>
    <w:div w:id="1844196431">
      <w:bodyDiv w:val="1"/>
      <w:marLeft w:val="0"/>
      <w:marRight w:val="0"/>
      <w:marTop w:val="0"/>
      <w:marBottom w:val="0"/>
      <w:divBdr>
        <w:top w:val="none" w:sz="0" w:space="0" w:color="auto"/>
        <w:left w:val="none" w:sz="0" w:space="0" w:color="auto"/>
        <w:bottom w:val="none" w:sz="0" w:space="0" w:color="auto"/>
        <w:right w:val="none" w:sz="0" w:space="0" w:color="auto"/>
      </w:divBdr>
      <w:divsChild>
        <w:div w:id="1855268713">
          <w:marLeft w:val="-720"/>
          <w:marRight w:val="0"/>
          <w:marTop w:val="0"/>
          <w:marBottom w:val="0"/>
          <w:divBdr>
            <w:top w:val="none" w:sz="0" w:space="0" w:color="auto"/>
            <w:left w:val="none" w:sz="0" w:space="0" w:color="auto"/>
            <w:bottom w:val="none" w:sz="0" w:space="0" w:color="auto"/>
            <w:right w:val="none" w:sz="0" w:space="0" w:color="auto"/>
          </w:divBdr>
        </w:div>
      </w:divsChild>
    </w:div>
    <w:div w:id="1875388503">
      <w:bodyDiv w:val="1"/>
      <w:marLeft w:val="0"/>
      <w:marRight w:val="0"/>
      <w:marTop w:val="0"/>
      <w:marBottom w:val="0"/>
      <w:divBdr>
        <w:top w:val="none" w:sz="0" w:space="0" w:color="auto"/>
        <w:left w:val="none" w:sz="0" w:space="0" w:color="auto"/>
        <w:bottom w:val="none" w:sz="0" w:space="0" w:color="auto"/>
        <w:right w:val="none" w:sz="0" w:space="0" w:color="auto"/>
      </w:divBdr>
      <w:divsChild>
        <w:div w:id="1853495761">
          <w:marLeft w:val="-720"/>
          <w:marRight w:val="0"/>
          <w:marTop w:val="0"/>
          <w:marBottom w:val="0"/>
          <w:divBdr>
            <w:top w:val="none" w:sz="0" w:space="0" w:color="auto"/>
            <w:left w:val="none" w:sz="0" w:space="0" w:color="auto"/>
            <w:bottom w:val="none" w:sz="0" w:space="0" w:color="auto"/>
            <w:right w:val="none" w:sz="0" w:space="0" w:color="auto"/>
          </w:divBdr>
        </w:div>
      </w:divsChild>
    </w:div>
    <w:div w:id="1882356469">
      <w:bodyDiv w:val="1"/>
      <w:marLeft w:val="0"/>
      <w:marRight w:val="0"/>
      <w:marTop w:val="0"/>
      <w:marBottom w:val="0"/>
      <w:divBdr>
        <w:top w:val="none" w:sz="0" w:space="0" w:color="auto"/>
        <w:left w:val="none" w:sz="0" w:space="0" w:color="auto"/>
        <w:bottom w:val="none" w:sz="0" w:space="0" w:color="auto"/>
        <w:right w:val="none" w:sz="0" w:space="0" w:color="auto"/>
      </w:divBdr>
    </w:div>
    <w:div w:id="1898592390">
      <w:bodyDiv w:val="1"/>
      <w:marLeft w:val="0"/>
      <w:marRight w:val="0"/>
      <w:marTop w:val="0"/>
      <w:marBottom w:val="0"/>
      <w:divBdr>
        <w:top w:val="none" w:sz="0" w:space="0" w:color="auto"/>
        <w:left w:val="none" w:sz="0" w:space="0" w:color="auto"/>
        <w:bottom w:val="none" w:sz="0" w:space="0" w:color="auto"/>
        <w:right w:val="none" w:sz="0" w:space="0" w:color="auto"/>
      </w:divBdr>
    </w:div>
    <w:div w:id="1906262403">
      <w:bodyDiv w:val="1"/>
      <w:marLeft w:val="0"/>
      <w:marRight w:val="0"/>
      <w:marTop w:val="0"/>
      <w:marBottom w:val="0"/>
      <w:divBdr>
        <w:top w:val="none" w:sz="0" w:space="0" w:color="auto"/>
        <w:left w:val="none" w:sz="0" w:space="0" w:color="auto"/>
        <w:bottom w:val="none" w:sz="0" w:space="0" w:color="auto"/>
        <w:right w:val="none" w:sz="0" w:space="0" w:color="auto"/>
      </w:divBdr>
      <w:divsChild>
        <w:div w:id="1948006750">
          <w:marLeft w:val="-720"/>
          <w:marRight w:val="0"/>
          <w:marTop w:val="0"/>
          <w:marBottom w:val="0"/>
          <w:divBdr>
            <w:top w:val="none" w:sz="0" w:space="0" w:color="auto"/>
            <w:left w:val="none" w:sz="0" w:space="0" w:color="auto"/>
            <w:bottom w:val="none" w:sz="0" w:space="0" w:color="auto"/>
            <w:right w:val="none" w:sz="0" w:space="0" w:color="auto"/>
          </w:divBdr>
        </w:div>
      </w:divsChild>
    </w:div>
    <w:div w:id="1934167395">
      <w:bodyDiv w:val="1"/>
      <w:marLeft w:val="0"/>
      <w:marRight w:val="0"/>
      <w:marTop w:val="0"/>
      <w:marBottom w:val="0"/>
      <w:divBdr>
        <w:top w:val="none" w:sz="0" w:space="0" w:color="auto"/>
        <w:left w:val="none" w:sz="0" w:space="0" w:color="auto"/>
        <w:bottom w:val="none" w:sz="0" w:space="0" w:color="auto"/>
        <w:right w:val="none" w:sz="0" w:space="0" w:color="auto"/>
      </w:divBdr>
    </w:div>
    <w:div w:id="1951008159">
      <w:bodyDiv w:val="1"/>
      <w:marLeft w:val="0"/>
      <w:marRight w:val="0"/>
      <w:marTop w:val="0"/>
      <w:marBottom w:val="0"/>
      <w:divBdr>
        <w:top w:val="none" w:sz="0" w:space="0" w:color="auto"/>
        <w:left w:val="none" w:sz="0" w:space="0" w:color="auto"/>
        <w:bottom w:val="none" w:sz="0" w:space="0" w:color="auto"/>
        <w:right w:val="none" w:sz="0" w:space="0" w:color="auto"/>
      </w:divBdr>
    </w:div>
    <w:div w:id="1965842277">
      <w:bodyDiv w:val="1"/>
      <w:marLeft w:val="0"/>
      <w:marRight w:val="0"/>
      <w:marTop w:val="0"/>
      <w:marBottom w:val="0"/>
      <w:divBdr>
        <w:top w:val="none" w:sz="0" w:space="0" w:color="auto"/>
        <w:left w:val="none" w:sz="0" w:space="0" w:color="auto"/>
        <w:bottom w:val="none" w:sz="0" w:space="0" w:color="auto"/>
        <w:right w:val="none" w:sz="0" w:space="0" w:color="auto"/>
      </w:divBdr>
      <w:divsChild>
        <w:div w:id="1136263525">
          <w:marLeft w:val="-720"/>
          <w:marRight w:val="0"/>
          <w:marTop w:val="0"/>
          <w:marBottom w:val="0"/>
          <w:divBdr>
            <w:top w:val="none" w:sz="0" w:space="0" w:color="auto"/>
            <w:left w:val="none" w:sz="0" w:space="0" w:color="auto"/>
            <w:bottom w:val="none" w:sz="0" w:space="0" w:color="auto"/>
            <w:right w:val="none" w:sz="0" w:space="0" w:color="auto"/>
          </w:divBdr>
        </w:div>
      </w:divsChild>
    </w:div>
    <w:div w:id="1987540556">
      <w:bodyDiv w:val="1"/>
      <w:marLeft w:val="0"/>
      <w:marRight w:val="0"/>
      <w:marTop w:val="0"/>
      <w:marBottom w:val="0"/>
      <w:divBdr>
        <w:top w:val="none" w:sz="0" w:space="0" w:color="auto"/>
        <w:left w:val="none" w:sz="0" w:space="0" w:color="auto"/>
        <w:bottom w:val="none" w:sz="0" w:space="0" w:color="auto"/>
        <w:right w:val="none" w:sz="0" w:space="0" w:color="auto"/>
      </w:divBdr>
    </w:div>
    <w:div w:id="2006937003">
      <w:bodyDiv w:val="1"/>
      <w:marLeft w:val="0"/>
      <w:marRight w:val="0"/>
      <w:marTop w:val="0"/>
      <w:marBottom w:val="0"/>
      <w:divBdr>
        <w:top w:val="none" w:sz="0" w:space="0" w:color="auto"/>
        <w:left w:val="none" w:sz="0" w:space="0" w:color="auto"/>
        <w:bottom w:val="none" w:sz="0" w:space="0" w:color="auto"/>
        <w:right w:val="none" w:sz="0" w:space="0" w:color="auto"/>
      </w:divBdr>
      <w:divsChild>
        <w:div w:id="589970793">
          <w:marLeft w:val="-720"/>
          <w:marRight w:val="0"/>
          <w:marTop w:val="0"/>
          <w:marBottom w:val="0"/>
          <w:divBdr>
            <w:top w:val="none" w:sz="0" w:space="0" w:color="auto"/>
            <w:left w:val="none" w:sz="0" w:space="0" w:color="auto"/>
            <w:bottom w:val="none" w:sz="0" w:space="0" w:color="auto"/>
            <w:right w:val="none" w:sz="0" w:space="0" w:color="auto"/>
          </w:divBdr>
        </w:div>
      </w:divsChild>
    </w:div>
    <w:div w:id="2009627941">
      <w:bodyDiv w:val="1"/>
      <w:marLeft w:val="0"/>
      <w:marRight w:val="0"/>
      <w:marTop w:val="0"/>
      <w:marBottom w:val="0"/>
      <w:divBdr>
        <w:top w:val="none" w:sz="0" w:space="0" w:color="auto"/>
        <w:left w:val="none" w:sz="0" w:space="0" w:color="auto"/>
        <w:bottom w:val="none" w:sz="0" w:space="0" w:color="auto"/>
        <w:right w:val="none" w:sz="0" w:space="0" w:color="auto"/>
      </w:divBdr>
    </w:div>
    <w:div w:id="20287516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riofrio@utmachala.edu.ec" TargetMode="External"/><Relationship Id="rId13" Type="http://schemas.openxmlformats.org/officeDocument/2006/relationships/hyperlink" Target="http://scielo.isciii.es/scielo.php?script=sci_arttext&amp;pid=S1139-76322019000100019&amp;lng=es&amp;tlng=es" TargetMode="External"/><Relationship Id="rId18" Type="http://schemas.openxmlformats.org/officeDocument/2006/relationships/hyperlink" Target="https://doi.org/10.1002/leap.1325" TargetMode="External"/><Relationship Id="rId3" Type="http://schemas.openxmlformats.org/officeDocument/2006/relationships/styles" Target="styles.xml"/><Relationship Id="rId21" Type="http://schemas.openxmlformats.org/officeDocument/2006/relationships/hyperlink" Target="https://doi.org/10.1177/14782715231215525" TargetMode="External"/><Relationship Id="rId7" Type="http://schemas.openxmlformats.org/officeDocument/2006/relationships/hyperlink" Target="https://orcid.org/0000-0001-9139-8672" TargetMode="External"/><Relationship Id="rId12" Type="http://schemas.openxmlformats.org/officeDocument/2006/relationships/hyperlink" Target="https://doi.org/10.1177/0192623320920209" TargetMode="External"/><Relationship Id="rId17" Type="http://schemas.openxmlformats.org/officeDocument/2006/relationships/hyperlink" Target="https://doi.org/10.1093/reseval/rvab032"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3145/epi.2023.ene.17" TargetMode="External"/><Relationship Id="rId20" Type="http://schemas.openxmlformats.org/officeDocument/2006/relationships/hyperlink" Target="https://doi.org/10.1016/0022-2496(77)90033-5" TargetMode="External"/><Relationship Id="rId1" Type="http://schemas.openxmlformats.org/officeDocument/2006/relationships/customXml" Target="../customXml/item1.xml"/><Relationship Id="rId6" Type="http://schemas.openxmlformats.org/officeDocument/2006/relationships/hyperlink" Target="mailto:bpcordero@yahoo.es" TargetMode="External"/><Relationship Id="rId11" Type="http://schemas.openxmlformats.org/officeDocument/2006/relationships/hyperlink" Target="https://doi.org/10.15381/idata.v22i1.1653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1647/obp.0364" TargetMode="External"/><Relationship Id="rId23" Type="http://schemas.openxmlformats.org/officeDocument/2006/relationships/hyperlink" Target="https://doi.org/10.3205/mbi000603" TargetMode="External"/><Relationship Id="rId10" Type="http://schemas.openxmlformats.org/officeDocument/2006/relationships/image" Target="media/image1.png"/><Relationship Id="rId19" Type="http://schemas.openxmlformats.org/officeDocument/2006/relationships/hyperlink" Target="https://www.iso.org/standard/65694.html" TargetMode="External"/><Relationship Id="rId4" Type="http://schemas.openxmlformats.org/officeDocument/2006/relationships/settings" Target="settings.xml"/><Relationship Id="rId9" Type="http://schemas.openxmlformats.org/officeDocument/2006/relationships/hyperlink" Target="https://orcid.org/0000-0002-2332-824X" TargetMode="External"/><Relationship Id="rId14" Type="http://schemas.openxmlformats.org/officeDocument/2006/relationships/hyperlink" Target="https://doi.org/10.3329/updcj.v12i2.61945" TargetMode="External"/><Relationship Id="rId22" Type="http://schemas.openxmlformats.org/officeDocument/2006/relationships/hyperlink" Target="https://pubmed.ncbi.nlm.nih.gov/3076534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bTbv+yuxtqnwSHM5GtQqZYrtHQ==">AMUW2mX298Q2U1WO6r7v+NAbs+tMwxpBkFZmbkIvkQwJwqE9ve8kR38d6l3jf+aD5Bkic+Lrln65b94UgdKkgh3leP1VWckFDKunHpE/dKiqrS/0rIgpVWY1epc8Vd4P8j/eCuuKZ0FJbvEq/XDJLaFOz8yOFRRKfXSeguxBBULBuH6eDXPa89mpF2gI31/Q+NthYO3qGsVqIw7QY11kMBDhwnziFhf7ckSHz6DR/x+bYtkOjJZHcz3YueRJ/6gt99T58we1aO4rMLB28SseQBMrM+Y+6fOUZbii5sFf8qgrvnyLg8fshdNlWsPEUWfBdAg9iCcykA5ALIggUhY6A3fI74KHBL2bcd4pbskrgoEfutrh2lHgAifn3VkvYKojdvpH4D82nb3MTHysq6gzrEUEnDqdr1wIrIMnhE3x2Aez6SYygzH9PEJi15ryxgLEPe/kgAgkxGhwPJjotiCLICDEtav1zMw5KJplkuS4vzUiC1pSbg9Jd16wf8Jo87icHiHwLOirwAikFlMYTDOzHX3laXJIZbziCjElNtzPzXksVC9deyLAKp4jFCbHnYIBSDWmxTuXZM6nywr+pk0OvwujFXrgsRQv8yLyIVnYSEovp1VnOo0DI8E8eP8grF4z3yXUIHhsaDtyeyVsEkDroIOCVL5xaoKkfJxY1k0gQvE7gEx4QJ/qbLKBxY6wnz7FMErA6u8a4dwjYq30JFoTgVHUzCGdS5l0cL7j+NYc98TOA3aKjXtCk06hOl0qJr1qJHV0biMuyOoJ2CzHpTT2ciOtK07PX94YXqtpe02gtzBOuC0XcSYR+u7/rmyz5HURe8PuJ8OPjnmrnr1Pb7vy24CyPVjaHh5Klh9Brq/ujC3WSxscUorzvCB8T4YsiJoSZ9GYexD4XSXGpsUe4/277AciAx4IoGbEbUFd7FX50AxqZ0fG28FbP9GTVc97zKBjR0uptQQi6qpVsW5+CyD6HuaYahnJ3GX7kc7wAsVrtcVwIbxUN7WHTWsbbpZ2Hm6FldwKJxEqHlXewt80zv8jNjriySQI2IJPEPdvsWUt4P2zZ3eK1WDIYdHcYGEt3g1ogZP3X9kWZP4JBHGOjTeuXmpe4PsD6KhBIvlUBDx/NJSGuGjQ6Uijqp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3771</TotalTime>
  <Pages>7</Pages>
  <Words>3476</Words>
  <Characters>19816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Revisor/a</cp:lastModifiedBy>
  <cp:revision>401</cp:revision>
  <dcterms:created xsi:type="dcterms:W3CDTF">2022-04-04T18:25:00Z</dcterms:created>
  <dcterms:modified xsi:type="dcterms:W3CDTF">2025-09-24T23:20:00Z</dcterms:modified>
</cp:coreProperties>
</file>