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5EC05" w14:textId="77777777" w:rsidR="007516F7" w:rsidRPr="00FB60C2" w:rsidRDefault="007516F7" w:rsidP="00B701C8"/>
    <w:p w14:paraId="16FF04CB" w14:textId="77777777" w:rsidR="00770F86" w:rsidRPr="00FB60C2" w:rsidRDefault="00770F86" w:rsidP="00B701C8"/>
    <w:p w14:paraId="54091F6B" w14:textId="77777777" w:rsidR="00306F9C" w:rsidRPr="00FB60C2" w:rsidRDefault="00306F9C" w:rsidP="00B701C8">
      <w:pPr>
        <w:jc w:val="center"/>
        <w:rPr>
          <w:b/>
          <w:color w:val="000000"/>
          <w:sz w:val="32"/>
          <w:szCs w:val="32"/>
        </w:rPr>
      </w:pPr>
    </w:p>
    <w:p w14:paraId="15F98BE5" w14:textId="77777777" w:rsidR="00306F9C" w:rsidRPr="00FB60C2" w:rsidRDefault="00306F9C" w:rsidP="00B701C8">
      <w:pPr>
        <w:jc w:val="center"/>
        <w:rPr>
          <w:b/>
          <w:color w:val="000000"/>
          <w:sz w:val="32"/>
          <w:szCs w:val="32"/>
        </w:rPr>
      </w:pPr>
    </w:p>
    <w:p w14:paraId="2AA76308" w14:textId="77777777" w:rsidR="00306F9C" w:rsidRPr="00FB60C2" w:rsidRDefault="00306F9C" w:rsidP="00B701C8">
      <w:pPr>
        <w:jc w:val="center"/>
        <w:rPr>
          <w:b/>
          <w:color w:val="000000"/>
          <w:sz w:val="32"/>
          <w:szCs w:val="32"/>
        </w:rPr>
      </w:pPr>
    </w:p>
    <w:p w14:paraId="7161E125" w14:textId="77777777" w:rsidR="00306F9C" w:rsidRPr="00FB60C2" w:rsidRDefault="00306F9C" w:rsidP="00B701C8">
      <w:pPr>
        <w:jc w:val="center"/>
        <w:rPr>
          <w:b/>
          <w:color w:val="000000"/>
          <w:sz w:val="32"/>
          <w:szCs w:val="32"/>
        </w:rPr>
      </w:pPr>
    </w:p>
    <w:p w14:paraId="587DBF11" w14:textId="77777777" w:rsidR="00306F9C" w:rsidRPr="00FB60C2" w:rsidRDefault="00306F9C" w:rsidP="00B701C8">
      <w:pPr>
        <w:jc w:val="center"/>
        <w:rPr>
          <w:b/>
          <w:color w:val="000000"/>
          <w:sz w:val="32"/>
          <w:szCs w:val="32"/>
        </w:rPr>
      </w:pPr>
    </w:p>
    <w:p w14:paraId="0E1C66E0" w14:textId="77777777" w:rsidR="00306F9C" w:rsidRPr="00FB60C2" w:rsidRDefault="00306F9C" w:rsidP="00B701C8">
      <w:pPr>
        <w:jc w:val="center"/>
        <w:rPr>
          <w:b/>
          <w:color w:val="000000"/>
          <w:sz w:val="32"/>
          <w:szCs w:val="32"/>
        </w:rPr>
      </w:pPr>
    </w:p>
    <w:p w14:paraId="7D16193A" w14:textId="77777777" w:rsidR="00306F9C" w:rsidRPr="00FB60C2" w:rsidRDefault="00306F9C" w:rsidP="00B701C8">
      <w:pPr>
        <w:jc w:val="center"/>
        <w:rPr>
          <w:b/>
          <w:color w:val="000000"/>
          <w:sz w:val="32"/>
          <w:szCs w:val="32"/>
        </w:rPr>
      </w:pPr>
    </w:p>
    <w:p w14:paraId="5971AD24" w14:textId="77777777" w:rsidR="00306F9C" w:rsidRPr="00FB60C2" w:rsidRDefault="00306F9C" w:rsidP="00B701C8">
      <w:pPr>
        <w:jc w:val="center"/>
        <w:rPr>
          <w:b/>
          <w:color w:val="000000"/>
          <w:sz w:val="32"/>
          <w:szCs w:val="32"/>
        </w:rPr>
      </w:pPr>
    </w:p>
    <w:p w14:paraId="5F210E00" w14:textId="77777777" w:rsidR="00306F9C" w:rsidRPr="00FB60C2" w:rsidRDefault="00306F9C" w:rsidP="00B701C8">
      <w:pPr>
        <w:jc w:val="center"/>
        <w:rPr>
          <w:b/>
          <w:color w:val="000000"/>
          <w:sz w:val="32"/>
          <w:szCs w:val="32"/>
        </w:rPr>
      </w:pPr>
    </w:p>
    <w:p w14:paraId="50678C54" w14:textId="790C1225" w:rsidR="00770F86" w:rsidRPr="00FB60C2" w:rsidRDefault="00770F86" w:rsidP="00B701C8">
      <w:pPr>
        <w:jc w:val="center"/>
        <w:rPr>
          <w:b/>
          <w:sz w:val="32"/>
          <w:szCs w:val="32"/>
        </w:rPr>
      </w:pPr>
      <w:r w:rsidRPr="00FB60C2">
        <w:rPr>
          <w:b/>
          <w:color w:val="000000"/>
          <w:sz w:val="32"/>
          <w:szCs w:val="32"/>
        </w:rPr>
        <w:t>Rapport et recommandations relatifs à</w:t>
      </w:r>
      <w:r w:rsidRPr="00FB60C2">
        <w:rPr>
          <w:b/>
          <w:color w:val="000000"/>
          <w:sz w:val="32"/>
          <w:szCs w:val="32"/>
        </w:rPr>
        <w:br/>
        <w:t xml:space="preserve">l’Initiative de gestion de l’accès contrôlé </w:t>
      </w:r>
      <w:r w:rsidRPr="00FB60C2">
        <w:rPr>
          <w:b/>
          <w:color w:val="000000"/>
          <w:sz w:val="32"/>
          <w:szCs w:val="32"/>
        </w:rPr>
        <w:br/>
        <w:t>aux données de recherche</w:t>
      </w:r>
    </w:p>
    <w:p w14:paraId="2F7F4F47" w14:textId="77777777" w:rsidR="00770F86" w:rsidRPr="00FB60C2" w:rsidRDefault="00770F86" w:rsidP="00B701C8">
      <w:pPr>
        <w:jc w:val="center"/>
      </w:pPr>
    </w:p>
    <w:p w14:paraId="42112BB0" w14:textId="77777777" w:rsidR="00770F86" w:rsidRPr="00FB60C2" w:rsidRDefault="00770F86" w:rsidP="00B701C8">
      <w:pPr>
        <w:jc w:val="center"/>
        <w:rPr>
          <w:sz w:val="28"/>
          <w:szCs w:val="28"/>
        </w:rPr>
      </w:pPr>
      <w:r w:rsidRPr="00FB60C2">
        <w:rPr>
          <w:color w:val="000000"/>
          <w:sz w:val="28"/>
          <w:szCs w:val="28"/>
        </w:rPr>
        <w:t xml:space="preserve">Préparé par </w:t>
      </w:r>
    </w:p>
    <w:p w14:paraId="27C5D110" w14:textId="77777777" w:rsidR="00770F86" w:rsidRPr="00FB60C2" w:rsidRDefault="00770F86" w:rsidP="00B701C8">
      <w:pPr>
        <w:jc w:val="center"/>
        <w:rPr>
          <w:sz w:val="28"/>
          <w:szCs w:val="28"/>
        </w:rPr>
      </w:pPr>
      <w:r w:rsidRPr="00FB60C2">
        <w:rPr>
          <w:color w:val="000000"/>
          <w:sz w:val="28"/>
          <w:szCs w:val="28"/>
        </w:rPr>
        <w:t>les organisations partenaires de l’Initiative de gestion de l’accès contrôlé</w:t>
      </w:r>
      <w:r w:rsidRPr="00FB60C2">
        <w:rPr>
          <w:color w:val="000000"/>
          <w:sz w:val="28"/>
          <w:szCs w:val="28"/>
          <w:shd w:val="clear" w:color="auto" w:fill="9999FF"/>
        </w:rPr>
        <w:t xml:space="preserve"> </w:t>
      </w:r>
    </w:p>
    <w:p w14:paraId="6AF20948" w14:textId="77777777" w:rsidR="00770F86" w:rsidRPr="00FB60C2" w:rsidRDefault="00770F86" w:rsidP="00B701C8">
      <w:pPr>
        <w:jc w:val="center"/>
        <w:rPr>
          <w:sz w:val="28"/>
          <w:szCs w:val="28"/>
        </w:rPr>
      </w:pPr>
      <w:r w:rsidRPr="00FB60C2">
        <w:rPr>
          <w:color w:val="000000"/>
          <w:sz w:val="28"/>
          <w:szCs w:val="28"/>
        </w:rPr>
        <w:t xml:space="preserve">en collaboration avec </w:t>
      </w:r>
      <w:r w:rsidRPr="00FB60C2">
        <w:rPr>
          <w:color w:val="000000"/>
          <w:sz w:val="28"/>
          <w:szCs w:val="28"/>
        </w:rPr>
        <w:br/>
        <w:t>l’Alliance de recherche numérique du Canada</w:t>
      </w:r>
    </w:p>
    <w:p w14:paraId="625B1161" w14:textId="77777777" w:rsidR="00770F86" w:rsidRPr="00FB60C2" w:rsidRDefault="00770F86" w:rsidP="00B701C8">
      <w:pPr>
        <w:jc w:val="center"/>
        <w:rPr>
          <w:sz w:val="28"/>
          <w:szCs w:val="28"/>
        </w:rPr>
      </w:pPr>
    </w:p>
    <w:p w14:paraId="5AB6AAC0" w14:textId="77777777" w:rsidR="00770F86" w:rsidRPr="00FB60C2" w:rsidRDefault="00770F86" w:rsidP="00B701C8">
      <w:pPr>
        <w:jc w:val="center"/>
        <w:rPr>
          <w:sz w:val="28"/>
          <w:szCs w:val="28"/>
        </w:rPr>
      </w:pPr>
      <w:r w:rsidRPr="00FB60C2">
        <w:rPr>
          <w:color w:val="000000"/>
          <w:sz w:val="28"/>
          <w:szCs w:val="28"/>
        </w:rPr>
        <w:t>Version : 16 juillet 2025</w:t>
      </w:r>
    </w:p>
    <w:p w14:paraId="2CC172E6" w14:textId="77777777" w:rsidR="00770F86" w:rsidRPr="00FB60C2" w:rsidRDefault="00770F86" w:rsidP="00B701C8">
      <w:pPr>
        <w:jc w:val="center"/>
        <w:rPr>
          <w:sz w:val="28"/>
          <w:szCs w:val="28"/>
        </w:rPr>
      </w:pPr>
    </w:p>
    <w:p w14:paraId="1461B1A8" w14:textId="77777777" w:rsidR="00770F86" w:rsidRPr="00FB60C2" w:rsidRDefault="00770F86" w:rsidP="00B701C8">
      <w:pPr>
        <w:jc w:val="center"/>
        <w:rPr>
          <w:sz w:val="28"/>
          <w:szCs w:val="28"/>
        </w:rPr>
      </w:pPr>
    </w:p>
    <w:p w14:paraId="02E9342E" w14:textId="77777777" w:rsidR="00770F86" w:rsidRPr="00FB60C2" w:rsidRDefault="00770F86" w:rsidP="00B701C8">
      <w:pPr>
        <w:jc w:val="center"/>
        <w:rPr>
          <w:sz w:val="28"/>
          <w:szCs w:val="28"/>
        </w:rPr>
      </w:pPr>
    </w:p>
    <w:p w14:paraId="47837A63" w14:textId="77777777" w:rsidR="00770F86" w:rsidRPr="00FB60C2" w:rsidRDefault="00770F86" w:rsidP="00B701C8">
      <w:pPr>
        <w:jc w:val="center"/>
        <w:rPr>
          <w:sz w:val="28"/>
          <w:szCs w:val="28"/>
        </w:rPr>
      </w:pPr>
    </w:p>
    <w:p w14:paraId="19FB1238" w14:textId="77777777" w:rsidR="00770F86" w:rsidRPr="00FB60C2" w:rsidRDefault="00770F86" w:rsidP="00B701C8">
      <w:pPr>
        <w:jc w:val="center"/>
        <w:rPr>
          <w:sz w:val="28"/>
          <w:szCs w:val="28"/>
        </w:rPr>
      </w:pPr>
    </w:p>
    <w:p w14:paraId="4FF6A830" w14:textId="77777777" w:rsidR="00770F86" w:rsidRPr="00FB60C2" w:rsidRDefault="00770F86" w:rsidP="00B701C8">
      <w:pPr>
        <w:jc w:val="center"/>
        <w:rPr>
          <w:sz w:val="28"/>
          <w:szCs w:val="28"/>
        </w:rPr>
      </w:pPr>
    </w:p>
    <w:p w14:paraId="449F1BF8" w14:textId="77777777" w:rsidR="00770F86" w:rsidRPr="00FB60C2" w:rsidRDefault="00770F86" w:rsidP="00B701C8">
      <w:pPr>
        <w:jc w:val="center"/>
        <w:rPr>
          <w:sz w:val="28"/>
          <w:szCs w:val="28"/>
        </w:rPr>
      </w:pPr>
    </w:p>
    <w:p w14:paraId="2700CD77" w14:textId="77777777" w:rsidR="00770F86" w:rsidRPr="00FB60C2" w:rsidRDefault="00770F86" w:rsidP="00B701C8">
      <w:pPr>
        <w:jc w:val="center"/>
        <w:rPr>
          <w:sz w:val="28"/>
          <w:szCs w:val="28"/>
        </w:rPr>
      </w:pPr>
    </w:p>
    <w:p w14:paraId="64D715EF" w14:textId="77777777" w:rsidR="00770F86" w:rsidRPr="00FB60C2" w:rsidRDefault="00770F86" w:rsidP="00B701C8">
      <w:pPr>
        <w:jc w:val="center"/>
        <w:rPr>
          <w:sz w:val="28"/>
          <w:szCs w:val="28"/>
        </w:rPr>
      </w:pPr>
    </w:p>
    <w:p w14:paraId="2A716B82" w14:textId="77777777" w:rsidR="00770F86" w:rsidRPr="00FB60C2" w:rsidRDefault="00770F86" w:rsidP="00B701C8">
      <w:pPr>
        <w:jc w:val="center"/>
        <w:rPr>
          <w:sz w:val="28"/>
          <w:szCs w:val="28"/>
        </w:rPr>
      </w:pPr>
    </w:p>
    <w:p w14:paraId="5C363377" w14:textId="77777777" w:rsidR="00770F86" w:rsidRPr="00FB60C2" w:rsidRDefault="00770F86" w:rsidP="00B701C8">
      <w:pPr>
        <w:jc w:val="center"/>
        <w:rPr>
          <w:sz w:val="28"/>
          <w:szCs w:val="28"/>
        </w:rPr>
      </w:pPr>
    </w:p>
    <w:p w14:paraId="266142E2" w14:textId="77777777" w:rsidR="00770F86" w:rsidRPr="00FB60C2" w:rsidRDefault="00770F86" w:rsidP="00B701C8">
      <w:pPr>
        <w:jc w:val="center"/>
        <w:rPr>
          <w:sz w:val="28"/>
          <w:szCs w:val="28"/>
        </w:rPr>
      </w:pPr>
    </w:p>
    <w:p w14:paraId="7C4FAC18" w14:textId="77777777" w:rsidR="00770F86" w:rsidRPr="00FB60C2" w:rsidRDefault="00770F86" w:rsidP="00B701C8">
      <w:pPr>
        <w:jc w:val="center"/>
        <w:rPr>
          <w:sz w:val="28"/>
          <w:szCs w:val="28"/>
        </w:rPr>
      </w:pPr>
    </w:p>
    <w:p w14:paraId="178A0650" w14:textId="77777777" w:rsidR="00770F86" w:rsidRPr="00FB60C2" w:rsidRDefault="00770F86" w:rsidP="00B701C8">
      <w:pPr>
        <w:jc w:val="center"/>
        <w:rPr>
          <w:sz w:val="28"/>
          <w:szCs w:val="28"/>
        </w:rPr>
      </w:pPr>
    </w:p>
    <w:p w14:paraId="2520ECA0" w14:textId="77777777" w:rsidR="00770F86" w:rsidRPr="00FB60C2" w:rsidRDefault="00770F86" w:rsidP="00B701C8">
      <w:pPr>
        <w:jc w:val="center"/>
        <w:rPr>
          <w:sz w:val="28"/>
          <w:szCs w:val="28"/>
        </w:rPr>
      </w:pPr>
    </w:p>
    <w:p w14:paraId="7B228D7D" w14:textId="77777777" w:rsidR="00770F86" w:rsidRPr="00FB60C2" w:rsidRDefault="00770F86" w:rsidP="00B701C8">
      <w:pPr>
        <w:rPr>
          <w:sz w:val="40"/>
          <w:szCs w:val="40"/>
        </w:rPr>
      </w:pPr>
    </w:p>
    <w:p w14:paraId="779AECAB" w14:textId="77777777" w:rsidR="00770F86" w:rsidRPr="00FB60C2" w:rsidRDefault="00770F86" w:rsidP="00B701C8">
      <w:pPr>
        <w:rPr>
          <w:sz w:val="40"/>
          <w:szCs w:val="40"/>
        </w:rPr>
      </w:pPr>
      <w:r w:rsidRPr="00FB60C2">
        <w:rPr>
          <w:color w:val="000000"/>
          <w:sz w:val="40"/>
          <w:szCs w:val="40"/>
        </w:rPr>
        <w:t>Organisations partenaires</w:t>
      </w:r>
    </w:p>
    <w:p w14:paraId="0D764A7E" w14:textId="77777777" w:rsidR="00770F86" w:rsidRPr="00FB60C2" w:rsidRDefault="00770F86" w:rsidP="00B701C8">
      <w:pPr>
        <w:rPr>
          <w:sz w:val="40"/>
          <w:szCs w:val="40"/>
        </w:rPr>
      </w:pPr>
    </w:p>
    <w:p w14:paraId="0E148CAF" w14:textId="5FF387E1" w:rsidR="00770F86" w:rsidRPr="00FB60C2" w:rsidRDefault="00770F86" w:rsidP="00B701C8">
      <w:pPr>
        <w:numPr>
          <w:ilvl w:val="0"/>
          <w:numId w:val="22"/>
        </w:numPr>
      </w:pPr>
      <w:r w:rsidRPr="00FB60C2">
        <w:rPr>
          <w:color w:val="000000"/>
        </w:rPr>
        <w:t xml:space="preserve">Université </w:t>
      </w:r>
      <w:r w:rsidR="008C5D5A" w:rsidRPr="00FB60C2">
        <w:rPr>
          <w:color w:val="000000"/>
        </w:rPr>
        <w:t>d’</w:t>
      </w:r>
      <w:r w:rsidRPr="00FB60C2">
        <w:rPr>
          <w:color w:val="000000"/>
        </w:rPr>
        <w:t>Athabasca</w:t>
      </w:r>
    </w:p>
    <w:p w14:paraId="4565BEEF" w14:textId="77777777" w:rsidR="00770F86" w:rsidRPr="00FB60C2" w:rsidRDefault="00770F86" w:rsidP="00B701C8">
      <w:pPr>
        <w:numPr>
          <w:ilvl w:val="0"/>
          <w:numId w:val="22"/>
        </w:numPr>
      </w:pPr>
      <w:r w:rsidRPr="00FB60C2">
        <w:rPr>
          <w:color w:val="000000"/>
        </w:rPr>
        <w:t>Borealis (Bibliothèques de l’Université de Toronto)</w:t>
      </w:r>
    </w:p>
    <w:p w14:paraId="6B5ABADA" w14:textId="77777777" w:rsidR="00770F86" w:rsidRPr="00FB60C2" w:rsidRDefault="00770F86" w:rsidP="00B701C8">
      <w:pPr>
        <w:numPr>
          <w:ilvl w:val="0"/>
          <w:numId w:val="22"/>
        </w:numPr>
      </w:pPr>
      <w:r w:rsidRPr="00FB60C2">
        <w:rPr>
          <w:color w:val="000000"/>
        </w:rPr>
        <w:t>Réseau canadien de documentation pour la recherche</w:t>
      </w:r>
    </w:p>
    <w:p w14:paraId="12BF29D8" w14:textId="77777777" w:rsidR="00770F86" w:rsidRPr="00FB60C2" w:rsidRDefault="00770F86" w:rsidP="00B701C8">
      <w:pPr>
        <w:numPr>
          <w:ilvl w:val="0"/>
          <w:numId w:val="22"/>
        </w:numPr>
      </w:pPr>
      <w:r w:rsidRPr="00FB60C2">
        <w:rPr>
          <w:color w:val="000000"/>
        </w:rPr>
        <w:t>Université Carleton</w:t>
      </w:r>
    </w:p>
    <w:p w14:paraId="4AB505A1" w14:textId="77777777" w:rsidR="00770F86" w:rsidRPr="00FB60C2" w:rsidRDefault="00770F86" w:rsidP="00B701C8">
      <w:pPr>
        <w:numPr>
          <w:ilvl w:val="0"/>
          <w:numId w:val="22"/>
        </w:numPr>
      </w:pPr>
      <w:r w:rsidRPr="00FB60C2">
        <w:rPr>
          <w:color w:val="000000"/>
        </w:rPr>
        <w:t>Centre de recherche de l’institut universitaire de santé mentale de Montréal</w:t>
      </w:r>
    </w:p>
    <w:p w14:paraId="1DA5DA3E" w14:textId="7E64D95B" w:rsidR="00770F86" w:rsidRPr="00FB60C2" w:rsidRDefault="00625FE3" w:rsidP="00B701C8">
      <w:pPr>
        <w:numPr>
          <w:ilvl w:val="0"/>
          <w:numId w:val="22"/>
        </w:numPr>
      </w:pPr>
      <w:r w:rsidRPr="00625FE3">
        <w:rPr>
          <w:color w:val="000000"/>
        </w:rPr>
        <w:t>Centre de recherche Azrieli du CHU Sainte-Justine</w:t>
      </w:r>
    </w:p>
    <w:p w14:paraId="7EB22D73" w14:textId="77777777" w:rsidR="00770F86" w:rsidRPr="00FB60C2" w:rsidRDefault="00770F86" w:rsidP="00B701C8">
      <w:pPr>
        <w:numPr>
          <w:ilvl w:val="0"/>
          <w:numId w:val="22"/>
        </w:numPr>
      </w:pPr>
      <w:r w:rsidRPr="00FB60C2">
        <w:rPr>
          <w:color w:val="000000"/>
        </w:rPr>
        <w:t>Centre de toxicomanie et de santé mentale</w:t>
      </w:r>
    </w:p>
    <w:p w14:paraId="14868612" w14:textId="77777777" w:rsidR="00770F86" w:rsidRPr="00FB60C2" w:rsidRDefault="00770F86" w:rsidP="00B701C8">
      <w:pPr>
        <w:numPr>
          <w:ilvl w:val="0"/>
          <w:numId w:val="22"/>
        </w:numPr>
      </w:pPr>
      <w:r w:rsidRPr="00FB60C2">
        <w:rPr>
          <w:color w:val="000000"/>
        </w:rPr>
        <w:t>Consortium Érudit</w:t>
      </w:r>
    </w:p>
    <w:p w14:paraId="07D22C98" w14:textId="77777777" w:rsidR="00770F86" w:rsidRPr="00FB60C2" w:rsidRDefault="00770F86" w:rsidP="00B701C8">
      <w:pPr>
        <w:numPr>
          <w:ilvl w:val="0"/>
          <w:numId w:val="22"/>
        </w:numPr>
      </w:pPr>
      <w:r w:rsidRPr="00FB60C2">
        <w:rPr>
          <w:color w:val="000000"/>
        </w:rPr>
        <w:t>Dépôt fédéré de données de recherche (Alliance de recherche numérique du Canada)</w:t>
      </w:r>
    </w:p>
    <w:p w14:paraId="250584B5" w14:textId="77777777" w:rsidR="00770F86" w:rsidRPr="00FB60C2" w:rsidRDefault="00770F86" w:rsidP="00B701C8">
      <w:pPr>
        <w:numPr>
          <w:ilvl w:val="0"/>
          <w:numId w:val="22"/>
        </w:numPr>
      </w:pPr>
      <w:r w:rsidRPr="00FB60C2">
        <w:rPr>
          <w:color w:val="000000"/>
        </w:rPr>
        <w:t>Université polytechnique Kwantlen</w:t>
      </w:r>
    </w:p>
    <w:p w14:paraId="5FC0E426" w14:textId="77777777" w:rsidR="00770F86" w:rsidRPr="00FB60C2" w:rsidRDefault="00770F86" w:rsidP="00B701C8">
      <w:pPr>
        <w:numPr>
          <w:ilvl w:val="0"/>
          <w:numId w:val="22"/>
        </w:numPr>
      </w:pPr>
      <w:r w:rsidRPr="00FB60C2">
        <w:rPr>
          <w:color w:val="000000"/>
        </w:rPr>
        <w:t>Centre McGill pour la neuroscience intégrative</w:t>
      </w:r>
    </w:p>
    <w:p w14:paraId="05FD8231" w14:textId="77777777" w:rsidR="00770F86" w:rsidRPr="00FB60C2" w:rsidRDefault="00770F86" w:rsidP="00B701C8">
      <w:pPr>
        <w:numPr>
          <w:ilvl w:val="0"/>
          <w:numId w:val="22"/>
        </w:numPr>
      </w:pPr>
      <w:r w:rsidRPr="00FB60C2">
        <w:rPr>
          <w:color w:val="000000"/>
        </w:rPr>
        <w:t>Université McGill</w:t>
      </w:r>
    </w:p>
    <w:p w14:paraId="697832FE" w14:textId="77777777" w:rsidR="00770F86" w:rsidRPr="00FB60C2" w:rsidRDefault="00770F86" w:rsidP="00B701C8">
      <w:pPr>
        <w:numPr>
          <w:ilvl w:val="0"/>
          <w:numId w:val="22"/>
        </w:numPr>
      </w:pPr>
      <w:r w:rsidRPr="00FB60C2">
        <w:rPr>
          <w:color w:val="000000"/>
        </w:rPr>
        <w:t>Université McMaster</w:t>
      </w:r>
    </w:p>
    <w:p w14:paraId="43492605" w14:textId="77777777" w:rsidR="00770F86" w:rsidRPr="00FB60C2" w:rsidRDefault="00770F86" w:rsidP="00B701C8">
      <w:pPr>
        <w:numPr>
          <w:ilvl w:val="0"/>
          <w:numId w:val="22"/>
        </w:numPr>
      </w:pPr>
      <w:r w:rsidRPr="00FB60C2">
        <w:rPr>
          <w:color w:val="000000"/>
        </w:rPr>
        <w:t>Collège NorQuest</w:t>
      </w:r>
    </w:p>
    <w:p w14:paraId="68446F4C" w14:textId="77777777" w:rsidR="00770F86" w:rsidRPr="00FB60C2" w:rsidRDefault="00770F86" w:rsidP="00B701C8">
      <w:pPr>
        <w:numPr>
          <w:ilvl w:val="0"/>
          <w:numId w:val="22"/>
        </w:numPr>
      </w:pPr>
      <w:r w:rsidRPr="00FB60C2">
        <w:rPr>
          <w:color w:val="000000"/>
        </w:rPr>
        <w:t>PolicyWise for Children &amp; Families</w:t>
      </w:r>
    </w:p>
    <w:p w14:paraId="246E9C84" w14:textId="77777777" w:rsidR="00770F86" w:rsidRPr="00FB60C2" w:rsidRDefault="00770F86" w:rsidP="00B701C8">
      <w:pPr>
        <w:numPr>
          <w:ilvl w:val="0"/>
          <w:numId w:val="22"/>
        </w:numPr>
      </w:pPr>
      <w:r w:rsidRPr="00FB60C2">
        <w:rPr>
          <w:color w:val="000000"/>
        </w:rPr>
        <w:t>Université Queen’s</w:t>
      </w:r>
    </w:p>
    <w:p w14:paraId="427728A1" w14:textId="77777777" w:rsidR="00770F86" w:rsidRPr="00FB60C2" w:rsidRDefault="00770F86" w:rsidP="00B701C8">
      <w:pPr>
        <w:numPr>
          <w:ilvl w:val="0"/>
          <w:numId w:val="22"/>
        </w:numPr>
      </w:pPr>
      <w:r w:rsidRPr="00FB60C2">
        <w:rPr>
          <w:color w:val="000000"/>
        </w:rPr>
        <w:t>Université Simon-Fraser</w:t>
      </w:r>
    </w:p>
    <w:p w14:paraId="705E7690" w14:textId="77777777" w:rsidR="00770F86" w:rsidRPr="00FB60C2" w:rsidRDefault="00770F86" w:rsidP="00B701C8">
      <w:pPr>
        <w:numPr>
          <w:ilvl w:val="0"/>
          <w:numId w:val="22"/>
        </w:numPr>
      </w:pPr>
      <w:r w:rsidRPr="00FB60C2">
        <w:rPr>
          <w:color w:val="000000"/>
        </w:rPr>
        <w:t>Conseil de recherches en sciences humaines et sociales</w:t>
      </w:r>
    </w:p>
    <w:p w14:paraId="72F7567D" w14:textId="77777777" w:rsidR="00770F86" w:rsidRPr="00FB60C2" w:rsidRDefault="00770F86" w:rsidP="00B701C8">
      <w:pPr>
        <w:numPr>
          <w:ilvl w:val="0"/>
          <w:numId w:val="22"/>
        </w:numPr>
      </w:pPr>
      <w:r w:rsidRPr="00FB60C2">
        <w:rPr>
          <w:color w:val="000000"/>
        </w:rPr>
        <w:t>TRIUMF</w:t>
      </w:r>
    </w:p>
    <w:p w14:paraId="15BDF412" w14:textId="77777777" w:rsidR="00770F86" w:rsidRPr="00FB60C2" w:rsidRDefault="00770F86" w:rsidP="00B701C8">
      <w:pPr>
        <w:numPr>
          <w:ilvl w:val="0"/>
          <w:numId w:val="22"/>
        </w:numPr>
      </w:pPr>
      <w:r w:rsidRPr="00FB60C2">
        <w:rPr>
          <w:color w:val="000000"/>
        </w:rPr>
        <w:t>Unity Health Toronto</w:t>
      </w:r>
    </w:p>
    <w:p w14:paraId="3349175A" w14:textId="77777777" w:rsidR="00770F86" w:rsidRPr="00FB60C2" w:rsidRDefault="00770F86" w:rsidP="00B701C8">
      <w:pPr>
        <w:numPr>
          <w:ilvl w:val="0"/>
          <w:numId w:val="22"/>
        </w:numPr>
      </w:pPr>
      <w:r w:rsidRPr="00FB60C2">
        <w:rPr>
          <w:color w:val="000000"/>
        </w:rPr>
        <w:t>Université de Montréal (UdeM)</w:t>
      </w:r>
    </w:p>
    <w:p w14:paraId="1611B61C" w14:textId="77777777" w:rsidR="00770F86" w:rsidRPr="00FB60C2" w:rsidRDefault="00770F86" w:rsidP="00B701C8">
      <w:pPr>
        <w:numPr>
          <w:ilvl w:val="0"/>
          <w:numId w:val="22"/>
        </w:numPr>
      </w:pPr>
      <w:r w:rsidRPr="00FB60C2">
        <w:rPr>
          <w:color w:val="000000"/>
        </w:rPr>
        <w:t>Université de Sherbrooke</w:t>
      </w:r>
    </w:p>
    <w:p w14:paraId="4083FE8E" w14:textId="77777777" w:rsidR="00770F86" w:rsidRPr="00FB60C2" w:rsidRDefault="00770F86" w:rsidP="00B701C8">
      <w:pPr>
        <w:numPr>
          <w:ilvl w:val="0"/>
          <w:numId w:val="22"/>
        </w:numPr>
      </w:pPr>
      <w:r w:rsidRPr="00FB60C2">
        <w:rPr>
          <w:color w:val="000000"/>
        </w:rPr>
        <w:t>Université du Québec à Montréal (UQAM)</w:t>
      </w:r>
    </w:p>
    <w:p w14:paraId="22C951C6" w14:textId="77777777" w:rsidR="00770F86" w:rsidRPr="00FB60C2" w:rsidRDefault="00770F86" w:rsidP="00B701C8">
      <w:pPr>
        <w:numPr>
          <w:ilvl w:val="0"/>
          <w:numId w:val="22"/>
        </w:numPr>
      </w:pPr>
      <w:r w:rsidRPr="00FB60C2">
        <w:rPr>
          <w:color w:val="000000"/>
        </w:rPr>
        <w:t>Université Laval</w:t>
      </w:r>
    </w:p>
    <w:p w14:paraId="2052D7A6" w14:textId="77777777" w:rsidR="00770F86" w:rsidRPr="00FB60C2" w:rsidRDefault="00770F86" w:rsidP="00B701C8">
      <w:pPr>
        <w:numPr>
          <w:ilvl w:val="0"/>
          <w:numId w:val="22"/>
        </w:numPr>
      </w:pPr>
      <w:r w:rsidRPr="00FB60C2">
        <w:rPr>
          <w:color w:val="000000"/>
        </w:rPr>
        <w:t>Université de Colombie-Britannique</w:t>
      </w:r>
    </w:p>
    <w:p w14:paraId="2527B00E" w14:textId="77777777" w:rsidR="00770F86" w:rsidRPr="00FB60C2" w:rsidRDefault="00770F86" w:rsidP="00B701C8">
      <w:pPr>
        <w:numPr>
          <w:ilvl w:val="0"/>
          <w:numId w:val="22"/>
        </w:numPr>
      </w:pPr>
      <w:r w:rsidRPr="00FB60C2">
        <w:rPr>
          <w:color w:val="000000"/>
        </w:rPr>
        <w:t>Université de Calgary</w:t>
      </w:r>
    </w:p>
    <w:p w14:paraId="7E99DE20" w14:textId="77777777" w:rsidR="00770F86" w:rsidRPr="00FB60C2" w:rsidRDefault="00770F86" w:rsidP="00B701C8">
      <w:pPr>
        <w:numPr>
          <w:ilvl w:val="0"/>
          <w:numId w:val="22"/>
        </w:numPr>
      </w:pPr>
      <w:r w:rsidRPr="00FB60C2">
        <w:rPr>
          <w:color w:val="000000"/>
        </w:rPr>
        <w:t>Université de Guelph</w:t>
      </w:r>
    </w:p>
    <w:p w14:paraId="6FEB780B" w14:textId="77777777" w:rsidR="00770F86" w:rsidRPr="00FB60C2" w:rsidRDefault="00770F86" w:rsidP="00B701C8">
      <w:pPr>
        <w:numPr>
          <w:ilvl w:val="0"/>
          <w:numId w:val="22"/>
        </w:numPr>
      </w:pPr>
      <w:r w:rsidRPr="00FB60C2">
        <w:rPr>
          <w:color w:val="000000"/>
        </w:rPr>
        <w:t>Université de Toronto</w:t>
      </w:r>
    </w:p>
    <w:p w14:paraId="3769391B" w14:textId="77777777" w:rsidR="00770F86" w:rsidRPr="00FB60C2" w:rsidRDefault="00770F86" w:rsidP="00B701C8">
      <w:pPr>
        <w:numPr>
          <w:ilvl w:val="0"/>
          <w:numId w:val="22"/>
        </w:numPr>
      </w:pPr>
      <w:r w:rsidRPr="00FB60C2">
        <w:rPr>
          <w:color w:val="000000"/>
        </w:rPr>
        <w:t>Institut Vecteur</w:t>
      </w:r>
    </w:p>
    <w:p w14:paraId="5AC08511" w14:textId="77777777" w:rsidR="00770F86" w:rsidRPr="00FB60C2" w:rsidRDefault="00770F86" w:rsidP="00B701C8"/>
    <w:p w14:paraId="26BDC939" w14:textId="77777777" w:rsidR="00770F86" w:rsidRPr="00FB60C2" w:rsidRDefault="00770F86" w:rsidP="00B701C8"/>
    <w:p w14:paraId="59DD66B3" w14:textId="77777777" w:rsidR="00770F86" w:rsidRPr="00FB60C2" w:rsidRDefault="00770F86" w:rsidP="00B701C8"/>
    <w:p w14:paraId="1DB9B673" w14:textId="77777777" w:rsidR="00770F86" w:rsidRPr="00FB60C2" w:rsidRDefault="00770F86" w:rsidP="00B701C8"/>
    <w:p w14:paraId="78990FF3" w14:textId="77777777" w:rsidR="00770F86" w:rsidRPr="00FB60C2" w:rsidRDefault="00770F86" w:rsidP="00B701C8"/>
    <w:p w14:paraId="2305C3A2" w14:textId="77777777" w:rsidR="00770F86" w:rsidRPr="00FB60C2" w:rsidRDefault="00770F86" w:rsidP="00B701C8"/>
    <w:p w14:paraId="2F2ED620" w14:textId="77777777" w:rsidR="00770F86" w:rsidRPr="00FB60C2" w:rsidRDefault="00770F86" w:rsidP="00B701C8"/>
    <w:p w14:paraId="32D94CE9" w14:textId="77777777" w:rsidR="00770F86" w:rsidRPr="00FB60C2" w:rsidRDefault="00770F86" w:rsidP="00B701C8"/>
    <w:p w14:paraId="556864D4" w14:textId="77777777" w:rsidR="00770F86" w:rsidRPr="00FB60C2" w:rsidRDefault="00770F86" w:rsidP="00B701C8"/>
    <w:p w14:paraId="20F0FF38" w14:textId="77777777" w:rsidR="00770F86" w:rsidRPr="00FB60C2" w:rsidRDefault="00770F86" w:rsidP="00B701C8"/>
    <w:p w14:paraId="587BD7E4" w14:textId="77777777" w:rsidR="00770F86" w:rsidRPr="00FB60C2" w:rsidRDefault="00770F86" w:rsidP="00B701C8"/>
    <w:p w14:paraId="221629C9" w14:textId="77777777" w:rsidR="00770F86" w:rsidRPr="00FB60C2" w:rsidRDefault="00770F86" w:rsidP="00B701C8"/>
    <w:p w14:paraId="474DC355" w14:textId="77777777" w:rsidR="00770F86" w:rsidRPr="00FB60C2" w:rsidRDefault="00770F86" w:rsidP="00B701C8">
      <w:pPr>
        <w:rPr>
          <w:sz w:val="40"/>
          <w:szCs w:val="40"/>
        </w:rPr>
      </w:pPr>
    </w:p>
    <w:p w14:paraId="0D4B8061" w14:textId="77777777" w:rsidR="00770F86" w:rsidRPr="00FB60C2" w:rsidRDefault="00770F86" w:rsidP="00B701C8">
      <w:pPr>
        <w:rPr>
          <w:sz w:val="40"/>
          <w:szCs w:val="40"/>
        </w:rPr>
      </w:pPr>
      <w:r w:rsidRPr="00FB60C2">
        <w:rPr>
          <w:color w:val="000000"/>
          <w:sz w:val="40"/>
          <w:szCs w:val="40"/>
        </w:rPr>
        <w:t>Table des matières</w:t>
      </w:r>
    </w:p>
    <w:sdt>
      <w:sdtPr>
        <w:rPr>
          <w:rFonts w:ascii="Arial" w:eastAsia="Arial" w:hAnsi="Arial" w:cs="Arial"/>
          <w:noProof/>
          <w:color w:val="auto"/>
          <w:sz w:val="22"/>
          <w:szCs w:val="22"/>
          <w:lang w:val="fr-FR" w:eastAsia="en-CA"/>
        </w:rPr>
        <w:id w:val="-1039120794"/>
        <w:docPartObj>
          <w:docPartGallery w:val="Table of Contents"/>
          <w:docPartUnique/>
        </w:docPartObj>
      </w:sdtPr>
      <w:sdtEndPr>
        <w:rPr>
          <w:b/>
          <w:bCs/>
        </w:rPr>
      </w:sdtEndPr>
      <w:sdtContent>
        <w:p w14:paraId="2488BD51" w14:textId="77777777" w:rsidR="00770F86" w:rsidRPr="00FB60C2" w:rsidRDefault="00770F86" w:rsidP="00B701C8">
          <w:pPr>
            <w:pStyle w:val="TOCHeading"/>
            <w:spacing w:line="276" w:lineRule="auto"/>
            <w:rPr>
              <w:rFonts w:ascii="Arial" w:hAnsi="Arial" w:cs="Arial"/>
              <w:sz w:val="40"/>
              <w:szCs w:val="40"/>
            </w:rPr>
          </w:pPr>
        </w:p>
        <w:p w14:paraId="033616E5" w14:textId="4A4A3AE1" w:rsidR="008135F1" w:rsidRDefault="00770F86">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r w:rsidRPr="00FB60C2">
            <w:rPr>
              <w:rFonts w:eastAsiaTheme="minorEastAsia"/>
              <w:lang w:val="en-US" w:eastAsia="en-US"/>
            </w:rPr>
            <w:fldChar w:fldCharType="begin"/>
          </w:r>
          <w:r w:rsidRPr="00FB60C2">
            <w:instrText xml:space="preserve"> TOC \o "1-3" \h \z \u </w:instrText>
          </w:r>
          <w:r w:rsidRPr="00FB60C2">
            <w:rPr>
              <w:rFonts w:eastAsiaTheme="minorEastAsia"/>
              <w:lang w:val="en-US" w:eastAsia="en-US"/>
            </w:rPr>
            <w:fldChar w:fldCharType="separate"/>
          </w:r>
          <w:hyperlink w:anchor="_Toc207100000" w:history="1">
            <w:r w:rsidR="008135F1" w:rsidRPr="00C17A54">
              <w:rPr>
                <w:rStyle w:val="Hyperlink"/>
              </w:rPr>
              <w:t>1.</w:t>
            </w:r>
            <w:r w:rsidR="008135F1">
              <w:rPr>
                <w:rFonts w:asciiTheme="minorHAnsi" w:eastAsiaTheme="minorEastAsia" w:hAnsiTheme="minorHAnsi" w:cstheme="minorBidi"/>
                <w:kern w:val="2"/>
                <w:sz w:val="24"/>
                <w:szCs w:val="24"/>
                <w:lang w:eastAsia="fr-CA"/>
                <w14:ligatures w14:val="standardContextual"/>
              </w:rPr>
              <w:tab/>
            </w:r>
            <w:r w:rsidR="008135F1" w:rsidRPr="00C17A54">
              <w:rPr>
                <w:rStyle w:val="Hyperlink"/>
              </w:rPr>
              <w:t>Résumé</w:t>
            </w:r>
            <w:r w:rsidR="008135F1">
              <w:rPr>
                <w:webHidden/>
              </w:rPr>
              <w:tab/>
            </w:r>
            <w:r w:rsidR="008135F1">
              <w:rPr>
                <w:webHidden/>
              </w:rPr>
              <w:fldChar w:fldCharType="begin"/>
            </w:r>
            <w:r w:rsidR="008135F1">
              <w:rPr>
                <w:webHidden/>
              </w:rPr>
              <w:instrText xml:space="preserve"> PAGEREF _Toc207100000 \h </w:instrText>
            </w:r>
            <w:r w:rsidR="008135F1">
              <w:rPr>
                <w:webHidden/>
              </w:rPr>
            </w:r>
            <w:r w:rsidR="008135F1">
              <w:rPr>
                <w:webHidden/>
              </w:rPr>
              <w:fldChar w:fldCharType="separate"/>
            </w:r>
            <w:r w:rsidR="008135F1">
              <w:rPr>
                <w:webHidden/>
              </w:rPr>
              <w:t>5</w:t>
            </w:r>
            <w:r w:rsidR="008135F1">
              <w:rPr>
                <w:webHidden/>
              </w:rPr>
              <w:fldChar w:fldCharType="end"/>
            </w:r>
          </w:hyperlink>
        </w:p>
        <w:p w14:paraId="4D1902AB" w14:textId="4B9ED715"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1" w:history="1">
            <w:r w:rsidRPr="00C17A54">
              <w:rPr>
                <w:rStyle w:val="Hyperlink"/>
              </w:rPr>
              <w:t>A.</w:t>
            </w:r>
            <w:r>
              <w:rPr>
                <w:rFonts w:asciiTheme="minorHAnsi" w:eastAsiaTheme="minorEastAsia" w:hAnsiTheme="minorHAnsi" w:cstheme="minorBidi"/>
                <w:kern w:val="2"/>
                <w:sz w:val="24"/>
                <w:szCs w:val="24"/>
                <w:lang w:eastAsia="fr-CA"/>
                <w14:ligatures w14:val="standardContextual"/>
              </w:rPr>
              <w:tab/>
            </w:r>
            <w:r w:rsidRPr="00C17A54">
              <w:rPr>
                <w:rStyle w:val="Hyperlink"/>
              </w:rPr>
              <w:t>État des choses</w:t>
            </w:r>
            <w:r>
              <w:rPr>
                <w:webHidden/>
              </w:rPr>
              <w:tab/>
            </w:r>
            <w:r>
              <w:rPr>
                <w:webHidden/>
              </w:rPr>
              <w:fldChar w:fldCharType="begin"/>
            </w:r>
            <w:r>
              <w:rPr>
                <w:webHidden/>
              </w:rPr>
              <w:instrText xml:space="preserve"> PAGEREF _Toc207100001 \h </w:instrText>
            </w:r>
            <w:r>
              <w:rPr>
                <w:webHidden/>
              </w:rPr>
            </w:r>
            <w:r>
              <w:rPr>
                <w:webHidden/>
              </w:rPr>
              <w:fldChar w:fldCharType="separate"/>
            </w:r>
            <w:r>
              <w:rPr>
                <w:webHidden/>
              </w:rPr>
              <w:t>5</w:t>
            </w:r>
            <w:r>
              <w:rPr>
                <w:webHidden/>
              </w:rPr>
              <w:fldChar w:fldCharType="end"/>
            </w:r>
          </w:hyperlink>
        </w:p>
        <w:p w14:paraId="53882BCB" w14:textId="603F7C7A"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2" w:history="1">
            <w:r w:rsidRPr="00C17A54">
              <w:rPr>
                <w:rStyle w:val="Hyperlink"/>
              </w:rPr>
              <w:t>B.</w:t>
            </w:r>
            <w:r>
              <w:rPr>
                <w:rFonts w:asciiTheme="minorHAnsi" w:eastAsiaTheme="minorEastAsia" w:hAnsiTheme="minorHAnsi" w:cstheme="minorBidi"/>
                <w:kern w:val="2"/>
                <w:sz w:val="24"/>
                <w:szCs w:val="24"/>
                <w:lang w:eastAsia="fr-CA"/>
                <w14:ligatures w14:val="standardContextual"/>
              </w:rPr>
              <w:tab/>
            </w:r>
            <w:r w:rsidRPr="00C17A54">
              <w:rPr>
                <w:rStyle w:val="Hyperlink"/>
              </w:rPr>
              <w:t>Besoins et défis</w:t>
            </w:r>
            <w:r>
              <w:rPr>
                <w:webHidden/>
              </w:rPr>
              <w:tab/>
            </w:r>
            <w:r>
              <w:rPr>
                <w:webHidden/>
              </w:rPr>
              <w:fldChar w:fldCharType="begin"/>
            </w:r>
            <w:r>
              <w:rPr>
                <w:webHidden/>
              </w:rPr>
              <w:instrText xml:space="preserve"> PAGEREF _Toc207100002 \h </w:instrText>
            </w:r>
            <w:r>
              <w:rPr>
                <w:webHidden/>
              </w:rPr>
            </w:r>
            <w:r>
              <w:rPr>
                <w:webHidden/>
              </w:rPr>
              <w:fldChar w:fldCharType="separate"/>
            </w:r>
            <w:r>
              <w:rPr>
                <w:webHidden/>
              </w:rPr>
              <w:t>5</w:t>
            </w:r>
            <w:r>
              <w:rPr>
                <w:webHidden/>
              </w:rPr>
              <w:fldChar w:fldCharType="end"/>
            </w:r>
          </w:hyperlink>
        </w:p>
        <w:p w14:paraId="2A04FB24" w14:textId="0959C67E"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3" w:history="1">
            <w:r w:rsidRPr="00C17A54">
              <w:rPr>
                <w:rStyle w:val="Hyperlink"/>
              </w:rPr>
              <w:t>C.</w:t>
            </w:r>
            <w:r>
              <w:rPr>
                <w:rFonts w:asciiTheme="minorHAnsi" w:eastAsiaTheme="minorEastAsia" w:hAnsiTheme="minorHAnsi" w:cstheme="minorBidi"/>
                <w:kern w:val="2"/>
                <w:sz w:val="24"/>
                <w:szCs w:val="24"/>
                <w:lang w:eastAsia="fr-CA"/>
                <w14:ligatures w14:val="standardContextual"/>
              </w:rPr>
              <w:tab/>
            </w:r>
            <w:r w:rsidRPr="00C17A54">
              <w:rPr>
                <w:rStyle w:val="Hyperlink"/>
              </w:rPr>
              <w:t>Recommandations</w:t>
            </w:r>
            <w:r>
              <w:rPr>
                <w:webHidden/>
              </w:rPr>
              <w:tab/>
            </w:r>
            <w:r>
              <w:rPr>
                <w:webHidden/>
              </w:rPr>
              <w:fldChar w:fldCharType="begin"/>
            </w:r>
            <w:r>
              <w:rPr>
                <w:webHidden/>
              </w:rPr>
              <w:instrText xml:space="preserve"> PAGEREF _Toc207100003 \h </w:instrText>
            </w:r>
            <w:r>
              <w:rPr>
                <w:webHidden/>
              </w:rPr>
            </w:r>
            <w:r>
              <w:rPr>
                <w:webHidden/>
              </w:rPr>
              <w:fldChar w:fldCharType="separate"/>
            </w:r>
            <w:r>
              <w:rPr>
                <w:webHidden/>
              </w:rPr>
              <w:t>6</w:t>
            </w:r>
            <w:r>
              <w:rPr>
                <w:webHidden/>
              </w:rPr>
              <w:fldChar w:fldCharType="end"/>
            </w:r>
          </w:hyperlink>
        </w:p>
        <w:p w14:paraId="1C23593D" w14:textId="7E01C3CC"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4" w:history="1">
            <w:r w:rsidRPr="00C17A54">
              <w:rPr>
                <w:rStyle w:val="Hyperlink"/>
              </w:rPr>
              <w:t>2.</w:t>
            </w:r>
            <w:r>
              <w:rPr>
                <w:rFonts w:asciiTheme="minorHAnsi" w:eastAsiaTheme="minorEastAsia" w:hAnsiTheme="minorHAnsi" w:cstheme="minorBidi"/>
                <w:kern w:val="2"/>
                <w:sz w:val="24"/>
                <w:szCs w:val="24"/>
                <w:lang w:eastAsia="fr-CA"/>
                <w14:ligatures w14:val="standardContextual"/>
              </w:rPr>
              <w:tab/>
            </w:r>
            <w:r w:rsidRPr="00C17A54">
              <w:rPr>
                <w:rStyle w:val="Hyperlink"/>
              </w:rPr>
              <w:t>Remerciements</w:t>
            </w:r>
            <w:r>
              <w:rPr>
                <w:webHidden/>
              </w:rPr>
              <w:tab/>
            </w:r>
            <w:r>
              <w:rPr>
                <w:webHidden/>
              </w:rPr>
              <w:fldChar w:fldCharType="begin"/>
            </w:r>
            <w:r>
              <w:rPr>
                <w:webHidden/>
              </w:rPr>
              <w:instrText xml:space="preserve"> PAGEREF _Toc207100004 \h </w:instrText>
            </w:r>
            <w:r>
              <w:rPr>
                <w:webHidden/>
              </w:rPr>
            </w:r>
            <w:r>
              <w:rPr>
                <w:webHidden/>
              </w:rPr>
              <w:fldChar w:fldCharType="separate"/>
            </w:r>
            <w:r>
              <w:rPr>
                <w:webHidden/>
              </w:rPr>
              <w:t>8</w:t>
            </w:r>
            <w:r>
              <w:rPr>
                <w:webHidden/>
              </w:rPr>
              <w:fldChar w:fldCharType="end"/>
            </w:r>
          </w:hyperlink>
        </w:p>
        <w:p w14:paraId="132345BD" w14:textId="2C2865D8"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5" w:history="1">
            <w:r w:rsidRPr="00C17A54">
              <w:rPr>
                <w:rStyle w:val="Hyperlink"/>
              </w:rPr>
              <w:t>3.</w:t>
            </w:r>
            <w:r>
              <w:rPr>
                <w:rFonts w:asciiTheme="minorHAnsi" w:eastAsiaTheme="minorEastAsia" w:hAnsiTheme="minorHAnsi" w:cstheme="minorBidi"/>
                <w:kern w:val="2"/>
                <w:sz w:val="24"/>
                <w:szCs w:val="24"/>
                <w:lang w:eastAsia="fr-CA"/>
                <w14:ligatures w14:val="standardContextual"/>
              </w:rPr>
              <w:tab/>
            </w:r>
            <w:r w:rsidRPr="00C17A54">
              <w:rPr>
                <w:rStyle w:val="Hyperlink"/>
              </w:rPr>
              <w:t>Présentation de l’Initiative de gestion de l’accès contrôlé</w:t>
            </w:r>
            <w:r>
              <w:rPr>
                <w:webHidden/>
              </w:rPr>
              <w:tab/>
            </w:r>
            <w:r>
              <w:rPr>
                <w:webHidden/>
              </w:rPr>
              <w:fldChar w:fldCharType="begin"/>
            </w:r>
            <w:r>
              <w:rPr>
                <w:webHidden/>
              </w:rPr>
              <w:instrText xml:space="preserve"> PAGEREF _Toc207100005 \h </w:instrText>
            </w:r>
            <w:r>
              <w:rPr>
                <w:webHidden/>
              </w:rPr>
            </w:r>
            <w:r>
              <w:rPr>
                <w:webHidden/>
              </w:rPr>
              <w:fldChar w:fldCharType="separate"/>
            </w:r>
            <w:r>
              <w:rPr>
                <w:webHidden/>
              </w:rPr>
              <w:t>9</w:t>
            </w:r>
            <w:r>
              <w:rPr>
                <w:webHidden/>
              </w:rPr>
              <w:fldChar w:fldCharType="end"/>
            </w:r>
          </w:hyperlink>
        </w:p>
        <w:p w14:paraId="4B372F90" w14:textId="07A309F5"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6" w:history="1">
            <w:r w:rsidRPr="00C17A54">
              <w:rPr>
                <w:rStyle w:val="Hyperlink"/>
              </w:rPr>
              <w:t>4.</w:t>
            </w:r>
            <w:r>
              <w:rPr>
                <w:rFonts w:asciiTheme="minorHAnsi" w:eastAsiaTheme="minorEastAsia" w:hAnsiTheme="minorHAnsi" w:cstheme="minorBidi"/>
                <w:kern w:val="2"/>
                <w:sz w:val="24"/>
                <w:szCs w:val="24"/>
                <w:lang w:eastAsia="fr-CA"/>
                <w14:ligatures w14:val="standardContextual"/>
              </w:rPr>
              <w:tab/>
            </w:r>
            <w:r w:rsidRPr="00C17A54">
              <w:rPr>
                <w:rStyle w:val="Hyperlink"/>
              </w:rPr>
              <w:t>Paysage de l’écosystème canadien de gestion de l’accès contrôlé, besoins et enjeux</w:t>
            </w:r>
            <w:r>
              <w:rPr>
                <w:webHidden/>
              </w:rPr>
              <w:tab/>
            </w:r>
            <w:r>
              <w:rPr>
                <w:webHidden/>
              </w:rPr>
              <w:fldChar w:fldCharType="begin"/>
            </w:r>
            <w:r>
              <w:rPr>
                <w:webHidden/>
              </w:rPr>
              <w:instrText xml:space="preserve"> PAGEREF _Toc207100006 \h </w:instrText>
            </w:r>
            <w:r>
              <w:rPr>
                <w:webHidden/>
              </w:rPr>
            </w:r>
            <w:r>
              <w:rPr>
                <w:webHidden/>
              </w:rPr>
              <w:fldChar w:fldCharType="separate"/>
            </w:r>
            <w:r>
              <w:rPr>
                <w:webHidden/>
              </w:rPr>
              <w:t>10</w:t>
            </w:r>
            <w:r>
              <w:rPr>
                <w:webHidden/>
              </w:rPr>
              <w:fldChar w:fldCharType="end"/>
            </w:r>
          </w:hyperlink>
        </w:p>
        <w:p w14:paraId="1F28813B" w14:textId="63E64554"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7" w:history="1">
            <w:r w:rsidRPr="00C17A54">
              <w:rPr>
                <w:rStyle w:val="Hyperlink"/>
              </w:rPr>
              <w:t>A.</w:t>
            </w:r>
            <w:r>
              <w:rPr>
                <w:rFonts w:asciiTheme="minorHAnsi" w:eastAsiaTheme="minorEastAsia" w:hAnsiTheme="minorHAnsi" w:cstheme="minorBidi"/>
                <w:kern w:val="2"/>
                <w:sz w:val="24"/>
                <w:szCs w:val="24"/>
                <w:lang w:eastAsia="fr-CA"/>
                <w14:ligatures w14:val="standardContextual"/>
              </w:rPr>
              <w:tab/>
            </w:r>
            <w:r w:rsidRPr="00C17A54">
              <w:rPr>
                <w:rStyle w:val="Hyperlink"/>
              </w:rPr>
              <w:t>Paysage de la gestion de l’accès contrôlé au Canada</w:t>
            </w:r>
            <w:r>
              <w:rPr>
                <w:webHidden/>
              </w:rPr>
              <w:tab/>
            </w:r>
            <w:r>
              <w:rPr>
                <w:webHidden/>
              </w:rPr>
              <w:fldChar w:fldCharType="begin"/>
            </w:r>
            <w:r>
              <w:rPr>
                <w:webHidden/>
              </w:rPr>
              <w:instrText xml:space="preserve"> PAGEREF _Toc207100007 \h </w:instrText>
            </w:r>
            <w:r>
              <w:rPr>
                <w:webHidden/>
              </w:rPr>
            </w:r>
            <w:r>
              <w:rPr>
                <w:webHidden/>
              </w:rPr>
              <w:fldChar w:fldCharType="separate"/>
            </w:r>
            <w:r>
              <w:rPr>
                <w:webHidden/>
              </w:rPr>
              <w:t>10</w:t>
            </w:r>
            <w:r>
              <w:rPr>
                <w:webHidden/>
              </w:rPr>
              <w:fldChar w:fldCharType="end"/>
            </w:r>
          </w:hyperlink>
        </w:p>
        <w:p w14:paraId="6FF266B5" w14:textId="2AFF34D2"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08" w:history="1">
            <w:r w:rsidRPr="00C17A54">
              <w:rPr>
                <w:rStyle w:val="Hyperlink"/>
              </w:rPr>
              <w:t>B.</w:t>
            </w:r>
            <w:r>
              <w:rPr>
                <w:rFonts w:asciiTheme="minorHAnsi" w:eastAsiaTheme="minorEastAsia" w:hAnsiTheme="minorHAnsi" w:cstheme="minorBidi"/>
                <w:kern w:val="2"/>
                <w:sz w:val="24"/>
                <w:szCs w:val="24"/>
                <w:lang w:eastAsia="fr-CA"/>
                <w14:ligatures w14:val="standardContextual"/>
              </w:rPr>
              <w:tab/>
            </w:r>
            <w:r w:rsidRPr="00C17A54">
              <w:rPr>
                <w:rStyle w:val="Hyperlink"/>
              </w:rPr>
              <w:t>Besoins et difficultés en matière de gestion de l’accès contrôlé dans l’écosystème de recherche au Canada</w:t>
            </w:r>
            <w:r>
              <w:rPr>
                <w:webHidden/>
              </w:rPr>
              <w:tab/>
            </w:r>
            <w:r>
              <w:rPr>
                <w:webHidden/>
              </w:rPr>
              <w:fldChar w:fldCharType="begin"/>
            </w:r>
            <w:r>
              <w:rPr>
                <w:webHidden/>
              </w:rPr>
              <w:instrText xml:space="preserve"> PAGEREF _Toc207100008 \h </w:instrText>
            </w:r>
            <w:r>
              <w:rPr>
                <w:webHidden/>
              </w:rPr>
            </w:r>
            <w:r>
              <w:rPr>
                <w:webHidden/>
              </w:rPr>
              <w:fldChar w:fldCharType="separate"/>
            </w:r>
            <w:r>
              <w:rPr>
                <w:webHidden/>
              </w:rPr>
              <w:t>15</w:t>
            </w:r>
            <w:r>
              <w:rPr>
                <w:webHidden/>
              </w:rPr>
              <w:fldChar w:fldCharType="end"/>
            </w:r>
          </w:hyperlink>
        </w:p>
        <w:p w14:paraId="415B2963" w14:textId="029D69E2"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09" w:history="1">
            <w:r w:rsidRPr="00C17A54">
              <w:rPr>
                <w:rStyle w:val="Hyperlink"/>
                <w:b/>
              </w:rPr>
              <w:t>1. Difficultés liées aux infrastructures et au stockage</w:t>
            </w:r>
            <w:r>
              <w:rPr>
                <w:webHidden/>
              </w:rPr>
              <w:tab/>
            </w:r>
            <w:r>
              <w:rPr>
                <w:webHidden/>
              </w:rPr>
              <w:fldChar w:fldCharType="begin"/>
            </w:r>
            <w:r>
              <w:rPr>
                <w:webHidden/>
              </w:rPr>
              <w:instrText xml:space="preserve"> PAGEREF _Toc207100009 \h </w:instrText>
            </w:r>
            <w:r>
              <w:rPr>
                <w:webHidden/>
              </w:rPr>
            </w:r>
            <w:r>
              <w:rPr>
                <w:webHidden/>
              </w:rPr>
              <w:fldChar w:fldCharType="separate"/>
            </w:r>
            <w:r>
              <w:rPr>
                <w:webHidden/>
              </w:rPr>
              <w:t>15</w:t>
            </w:r>
            <w:r>
              <w:rPr>
                <w:webHidden/>
              </w:rPr>
              <w:fldChar w:fldCharType="end"/>
            </w:r>
          </w:hyperlink>
        </w:p>
        <w:p w14:paraId="614F89B6" w14:textId="01F7A331"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0" w:history="1">
            <w:r w:rsidRPr="00C17A54">
              <w:rPr>
                <w:rStyle w:val="Hyperlink"/>
                <w:b/>
              </w:rPr>
              <w:t>2. Manque de stratégies et de normes régissant le contrôle de l’accès</w:t>
            </w:r>
            <w:r>
              <w:rPr>
                <w:webHidden/>
              </w:rPr>
              <w:tab/>
            </w:r>
            <w:r>
              <w:rPr>
                <w:webHidden/>
              </w:rPr>
              <w:fldChar w:fldCharType="begin"/>
            </w:r>
            <w:r>
              <w:rPr>
                <w:webHidden/>
              </w:rPr>
              <w:instrText xml:space="preserve"> PAGEREF _Toc207100010 \h </w:instrText>
            </w:r>
            <w:r>
              <w:rPr>
                <w:webHidden/>
              </w:rPr>
            </w:r>
            <w:r>
              <w:rPr>
                <w:webHidden/>
              </w:rPr>
              <w:fldChar w:fldCharType="separate"/>
            </w:r>
            <w:r>
              <w:rPr>
                <w:webHidden/>
              </w:rPr>
              <w:t>15</w:t>
            </w:r>
            <w:r>
              <w:rPr>
                <w:webHidden/>
              </w:rPr>
              <w:fldChar w:fldCharType="end"/>
            </w:r>
          </w:hyperlink>
        </w:p>
        <w:p w14:paraId="436307A6" w14:textId="65857DF3"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1" w:history="1">
            <w:r w:rsidRPr="00C17A54">
              <w:rPr>
                <w:rStyle w:val="Hyperlink"/>
                <w:b/>
              </w:rPr>
              <w:t>3. Questions de conformité, de sécurité et de gouvernance des données</w:t>
            </w:r>
            <w:r>
              <w:rPr>
                <w:webHidden/>
              </w:rPr>
              <w:tab/>
            </w:r>
            <w:r>
              <w:rPr>
                <w:webHidden/>
              </w:rPr>
              <w:fldChar w:fldCharType="begin"/>
            </w:r>
            <w:r>
              <w:rPr>
                <w:webHidden/>
              </w:rPr>
              <w:instrText xml:space="preserve"> PAGEREF _Toc207100011 \h </w:instrText>
            </w:r>
            <w:r>
              <w:rPr>
                <w:webHidden/>
              </w:rPr>
            </w:r>
            <w:r>
              <w:rPr>
                <w:webHidden/>
              </w:rPr>
              <w:fldChar w:fldCharType="separate"/>
            </w:r>
            <w:r>
              <w:rPr>
                <w:webHidden/>
              </w:rPr>
              <w:t>15</w:t>
            </w:r>
            <w:r>
              <w:rPr>
                <w:webHidden/>
              </w:rPr>
              <w:fldChar w:fldCharType="end"/>
            </w:r>
          </w:hyperlink>
        </w:p>
        <w:p w14:paraId="492940CC" w14:textId="55B66093"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2" w:history="1">
            <w:r w:rsidRPr="00C17A54">
              <w:rPr>
                <w:rStyle w:val="Hyperlink"/>
                <w:b/>
              </w:rPr>
              <w:t>4. Questions juridiques et éthiques</w:t>
            </w:r>
            <w:r>
              <w:rPr>
                <w:webHidden/>
              </w:rPr>
              <w:tab/>
            </w:r>
            <w:r>
              <w:rPr>
                <w:webHidden/>
              </w:rPr>
              <w:fldChar w:fldCharType="begin"/>
            </w:r>
            <w:r>
              <w:rPr>
                <w:webHidden/>
              </w:rPr>
              <w:instrText xml:space="preserve"> PAGEREF _Toc207100012 \h </w:instrText>
            </w:r>
            <w:r>
              <w:rPr>
                <w:webHidden/>
              </w:rPr>
            </w:r>
            <w:r>
              <w:rPr>
                <w:webHidden/>
              </w:rPr>
              <w:fldChar w:fldCharType="separate"/>
            </w:r>
            <w:r>
              <w:rPr>
                <w:webHidden/>
              </w:rPr>
              <w:t>15</w:t>
            </w:r>
            <w:r>
              <w:rPr>
                <w:webHidden/>
              </w:rPr>
              <w:fldChar w:fldCharType="end"/>
            </w:r>
          </w:hyperlink>
        </w:p>
        <w:p w14:paraId="4EA7B59D" w14:textId="34DA5D77"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3" w:history="1">
            <w:r w:rsidRPr="00C17A54">
              <w:rPr>
                <w:rStyle w:val="Hyperlink"/>
                <w:b/>
              </w:rPr>
              <w:t>5. Souveraineté et gouvernance des données autochtones</w:t>
            </w:r>
            <w:r>
              <w:rPr>
                <w:webHidden/>
              </w:rPr>
              <w:tab/>
            </w:r>
            <w:r>
              <w:rPr>
                <w:webHidden/>
              </w:rPr>
              <w:fldChar w:fldCharType="begin"/>
            </w:r>
            <w:r>
              <w:rPr>
                <w:webHidden/>
              </w:rPr>
              <w:instrText xml:space="preserve"> PAGEREF _Toc207100013 \h </w:instrText>
            </w:r>
            <w:r>
              <w:rPr>
                <w:webHidden/>
              </w:rPr>
            </w:r>
            <w:r>
              <w:rPr>
                <w:webHidden/>
              </w:rPr>
              <w:fldChar w:fldCharType="separate"/>
            </w:r>
            <w:r>
              <w:rPr>
                <w:webHidden/>
              </w:rPr>
              <w:t>16</w:t>
            </w:r>
            <w:r>
              <w:rPr>
                <w:webHidden/>
              </w:rPr>
              <w:fldChar w:fldCharType="end"/>
            </w:r>
          </w:hyperlink>
        </w:p>
        <w:p w14:paraId="12EF2A45" w14:textId="199C1B1F"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4" w:history="1">
            <w:r w:rsidRPr="00C17A54">
              <w:rPr>
                <w:rStyle w:val="Hyperlink"/>
                <w:b/>
              </w:rPr>
              <w:t>6. Besoin de formation, de soutien et de sensibilisation</w:t>
            </w:r>
            <w:r>
              <w:rPr>
                <w:webHidden/>
              </w:rPr>
              <w:tab/>
            </w:r>
            <w:r>
              <w:rPr>
                <w:webHidden/>
              </w:rPr>
              <w:fldChar w:fldCharType="begin"/>
            </w:r>
            <w:r>
              <w:rPr>
                <w:webHidden/>
              </w:rPr>
              <w:instrText xml:space="preserve"> PAGEREF _Toc207100014 \h </w:instrText>
            </w:r>
            <w:r>
              <w:rPr>
                <w:webHidden/>
              </w:rPr>
            </w:r>
            <w:r>
              <w:rPr>
                <w:webHidden/>
              </w:rPr>
              <w:fldChar w:fldCharType="separate"/>
            </w:r>
            <w:r>
              <w:rPr>
                <w:webHidden/>
              </w:rPr>
              <w:t>16</w:t>
            </w:r>
            <w:r>
              <w:rPr>
                <w:webHidden/>
              </w:rPr>
              <w:fldChar w:fldCharType="end"/>
            </w:r>
          </w:hyperlink>
        </w:p>
        <w:p w14:paraId="7C35518F" w14:textId="07D4C37F"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5" w:history="1">
            <w:r w:rsidRPr="00C17A54">
              <w:rPr>
                <w:rStyle w:val="Hyperlink"/>
                <w:b/>
              </w:rPr>
              <w:t>7. Outils et stratégies de réponse aux besoins techniques et fonctionnels</w:t>
            </w:r>
            <w:r>
              <w:rPr>
                <w:webHidden/>
              </w:rPr>
              <w:tab/>
            </w:r>
            <w:r>
              <w:rPr>
                <w:webHidden/>
              </w:rPr>
              <w:fldChar w:fldCharType="begin"/>
            </w:r>
            <w:r>
              <w:rPr>
                <w:webHidden/>
              </w:rPr>
              <w:instrText xml:space="preserve"> PAGEREF _Toc207100015 \h </w:instrText>
            </w:r>
            <w:r>
              <w:rPr>
                <w:webHidden/>
              </w:rPr>
            </w:r>
            <w:r>
              <w:rPr>
                <w:webHidden/>
              </w:rPr>
              <w:fldChar w:fldCharType="separate"/>
            </w:r>
            <w:r>
              <w:rPr>
                <w:webHidden/>
              </w:rPr>
              <w:t>16</w:t>
            </w:r>
            <w:r>
              <w:rPr>
                <w:webHidden/>
              </w:rPr>
              <w:fldChar w:fldCharType="end"/>
            </w:r>
          </w:hyperlink>
        </w:p>
        <w:p w14:paraId="2486D981" w14:textId="5FFBDF07"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16" w:history="1">
            <w:r w:rsidRPr="00C17A54">
              <w:rPr>
                <w:rStyle w:val="Hyperlink"/>
                <w:b/>
              </w:rPr>
              <w:t>8. Besoin de services et de systèmes relatifs aux dépôts</w:t>
            </w:r>
            <w:r>
              <w:rPr>
                <w:webHidden/>
              </w:rPr>
              <w:tab/>
            </w:r>
            <w:r>
              <w:rPr>
                <w:webHidden/>
              </w:rPr>
              <w:fldChar w:fldCharType="begin"/>
            </w:r>
            <w:r>
              <w:rPr>
                <w:webHidden/>
              </w:rPr>
              <w:instrText xml:space="preserve"> PAGEREF _Toc207100016 \h </w:instrText>
            </w:r>
            <w:r>
              <w:rPr>
                <w:webHidden/>
              </w:rPr>
            </w:r>
            <w:r>
              <w:rPr>
                <w:webHidden/>
              </w:rPr>
              <w:fldChar w:fldCharType="separate"/>
            </w:r>
            <w:r>
              <w:rPr>
                <w:webHidden/>
              </w:rPr>
              <w:t>16</w:t>
            </w:r>
            <w:r>
              <w:rPr>
                <w:webHidden/>
              </w:rPr>
              <w:fldChar w:fldCharType="end"/>
            </w:r>
          </w:hyperlink>
        </w:p>
        <w:p w14:paraId="6452FBC2" w14:textId="33A52443"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17" w:history="1">
            <w:r w:rsidRPr="00C17A54">
              <w:rPr>
                <w:rStyle w:val="Hyperlink"/>
              </w:rPr>
              <w:t>5.</w:t>
            </w:r>
            <w:r>
              <w:rPr>
                <w:rFonts w:asciiTheme="minorHAnsi" w:eastAsiaTheme="minorEastAsia" w:hAnsiTheme="minorHAnsi" w:cstheme="minorBidi"/>
                <w:kern w:val="2"/>
                <w:sz w:val="24"/>
                <w:szCs w:val="24"/>
                <w:lang w:eastAsia="fr-CA"/>
                <w14:ligatures w14:val="standardContextual"/>
              </w:rPr>
              <w:tab/>
            </w:r>
            <w:r w:rsidRPr="00C17A54">
              <w:rPr>
                <w:rStyle w:val="Hyperlink"/>
              </w:rPr>
              <w:t>Recommandations</w:t>
            </w:r>
            <w:r>
              <w:rPr>
                <w:webHidden/>
              </w:rPr>
              <w:tab/>
            </w:r>
            <w:r>
              <w:rPr>
                <w:webHidden/>
              </w:rPr>
              <w:fldChar w:fldCharType="begin"/>
            </w:r>
            <w:r>
              <w:rPr>
                <w:webHidden/>
              </w:rPr>
              <w:instrText xml:space="preserve"> PAGEREF _Toc207100017 \h </w:instrText>
            </w:r>
            <w:r>
              <w:rPr>
                <w:webHidden/>
              </w:rPr>
            </w:r>
            <w:r>
              <w:rPr>
                <w:webHidden/>
              </w:rPr>
              <w:fldChar w:fldCharType="separate"/>
            </w:r>
            <w:r>
              <w:rPr>
                <w:webHidden/>
              </w:rPr>
              <w:t>17</w:t>
            </w:r>
            <w:r>
              <w:rPr>
                <w:webHidden/>
              </w:rPr>
              <w:fldChar w:fldCharType="end"/>
            </w:r>
          </w:hyperlink>
        </w:p>
        <w:p w14:paraId="5E912FC5" w14:textId="2AF5BFD8"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18" w:history="1">
            <w:r w:rsidRPr="00C17A54">
              <w:rPr>
                <w:rStyle w:val="Hyperlink"/>
              </w:rPr>
              <w:t>A.</w:t>
            </w:r>
            <w:r>
              <w:rPr>
                <w:rFonts w:asciiTheme="minorHAnsi" w:eastAsiaTheme="minorEastAsia" w:hAnsiTheme="minorHAnsi" w:cstheme="minorBidi"/>
                <w:kern w:val="2"/>
                <w:sz w:val="24"/>
                <w:szCs w:val="24"/>
                <w:lang w:eastAsia="fr-CA"/>
                <w14:ligatures w14:val="standardContextual"/>
              </w:rPr>
              <w:tab/>
            </w:r>
            <w:r w:rsidRPr="00C17A54">
              <w:rPr>
                <w:rStyle w:val="Hyperlink"/>
              </w:rPr>
              <w:t>Préface aux recommandations</w:t>
            </w:r>
            <w:r>
              <w:rPr>
                <w:webHidden/>
              </w:rPr>
              <w:tab/>
            </w:r>
            <w:r>
              <w:rPr>
                <w:webHidden/>
              </w:rPr>
              <w:fldChar w:fldCharType="begin"/>
            </w:r>
            <w:r>
              <w:rPr>
                <w:webHidden/>
              </w:rPr>
              <w:instrText xml:space="preserve"> PAGEREF _Toc207100018 \h </w:instrText>
            </w:r>
            <w:r>
              <w:rPr>
                <w:webHidden/>
              </w:rPr>
            </w:r>
            <w:r>
              <w:rPr>
                <w:webHidden/>
              </w:rPr>
              <w:fldChar w:fldCharType="separate"/>
            </w:r>
            <w:r>
              <w:rPr>
                <w:webHidden/>
              </w:rPr>
              <w:t>17</w:t>
            </w:r>
            <w:r>
              <w:rPr>
                <w:webHidden/>
              </w:rPr>
              <w:fldChar w:fldCharType="end"/>
            </w:r>
          </w:hyperlink>
        </w:p>
        <w:p w14:paraId="02E280CC" w14:textId="57DDB920"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19" w:history="1">
            <w:r w:rsidRPr="00C17A54">
              <w:rPr>
                <w:rStyle w:val="Hyperlink"/>
              </w:rPr>
              <w:t>B.</w:t>
            </w:r>
            <w:r>
              <w:rPr>
                <w:rFonts w:asciiTheme="minorHAnsi" w:eastAsiaTheme="minorEastAsia" w:hAnsiTheme="minorHAnsi" w:cstheme="minorBidi"/>
                <w:kern w:val="2"/>
                <w:sz w:val="24"/>
                <w:szCs w:val="24"/>
                <w:lang w:eastAsia="fr-CA"/>
                <w14:ligatures w14:val="standardContextual"/>
              </w:rPr>
              <w:tab/>
            </w:r>
            <w:r w:rsidRPr="00C17A54">
              <w:rPr>
                <w:rStyle w:val="Hyperlink"/>
              </w:rPr>
              <w:t>Investir à grande échelle dans des infrastructures de gestion de l’accès contrôlé aux données de recherche</w:t>
            </w:r>
            <w:r>
              <w:rPr>
                <w:webHidden/>
              </w:rPr>
              <w:tab/>
            </w:r>
            <w:r>
              <w:rPr>
                <w:webHidden/>
              </w:rPr>
              <w:fldChar w:fldCharType="begin"/>
            </w:r>
            <w:r>
              <w:rPr>
                <w:webHidden/>
              </w:rPr>
              <w:instrText xml:space="preserve"> PAGEREF _Toc207100019 \h </w:instrText>
            </w:r>
            <w:r>
              <w:rPr>
                <w:webHidden/>
              </w:rPr>
            </w:r>
            <w:r>
              <w:rPr>
                <w:webHidden/>
              </w:rPr>
              <w:fldChar w:fldCharType="separate"/>
            </w:r>
            <w:r>
              <w:rPr>
                <w:webHidden/>
              </w:rPr>
              <w:t>18</w:t>
            </w:r>
            <w:r>
              <w:rPr>
                <w:webHidden/>
              </w:rPr>
              <w:fldChar w:fldCharType="end"/>
            </w:r>
          </w:hyperlink>
        </w:p>
        <w:p w14:paraId="4673B89F" w14:textId="44D63739"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0" w:history="1">
            <w:r w:rsidRPr="00C17A54">
              <w:rPr>
                <w:rStyle w:val="Hyperlink"/>
              </w:rPr>
              <w:t>Recommandation 1</w:t>
            </w:r>
            <w:r>
              <w:rPr>
                <w:webHidden/>
              </w:rPr>
              <w:tab/>
            </w:r>
            <w:r>
              <w:rPr>
                <w:webHidden/>
              </w:rPr>
              <w:fldChar w:fldCharType="begin"/>
            </w:r>
            <w:r>
              <w:rPr>
                <w:webHidden/>
              </w:rPr>
              <w:instrText xml:space="preserve"> PAGEREF _Toc207100020 \h </w:instrText>
            </w:r>
            <w:r>
              <w:rPr>
                <w:webHidden/>
              </w:rPr>
            </w:r>
            <w:r>
              <w:rPr>
                <w:webHidden/>
              </w:rPr>
              <w:fldChar w:fldCharType="separate"/>
            </w:r>
            <w:r>
              <w:rPr>
                <w:webHidden/>
              </w:rPr>
              <w:t>18</w:t>
            </w:r>
            <w:r>
              <w:rPr>
                <w:webHidden/>
              </w:rPr>
              <w:fldChar w:fldCharType="end"/>
            </w:r>
          </w:hyperlink>
        </w:p>
        <w:p w14:paraId="607E938A" w14:textId="58356A6E"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21" w:history="1">
            <w:r w:rsidRPr="00C17A54">
              <w:rPr>
                <w:rStyle w:val="Hyperlink"/>
              </w:rPr>
              <w:t>C.</w:t>
            </w:r>
            <w:r>
              <w:rPr>
                <w:rFonts w:asciiTheme="minorHAnsi" w:eastAsiaTheme="minorEastAsia" w:hAnsiTheme="minorHAnsi" w:cstheme="minorBidi"/>
                <w:kern w:val="2"/>
                <w:sz w:val="24"/>
                <w:szCs w:val="24"/>
                <w:lang w:eastAsia="fr-CA"/>
                <w14:ligatures w14:val="standardContextual"/>
              </w:rPr>
              <w:tab/>
            </w:r>
            <w:r w:rsidRPr="00C17A54">
              <w:rPr>
                <w:rStyle w:val="Hyperlink"/>
              </w:rPr>
              <w:t>Définir les rôles et donner aux parties prenantes les moyens de les assumer</w:t>
            </w:r>
            <w:r>
              <w:rPr>
                <w:webHidden/>
              </w:rPr>
              <w:tab/>
            </w:r>
            <w:r>
              <w:rPr>
                <w:webHidden/>
              </w:rPr>
              <w:fldChar w:fldCharType="begin"/>
            </w:r>
            <w:r>
              <w:rPr>
                <w:webHidden/>
              </w:rPr>
              <w:instrText xml:space="preserve"> PAGEREF _Toc207100021 \h </w:instrText>
            </w:r>
            <w:r>
              <w:rPr>
                <w:webHidden/>
              </w:rPr>
            </w:r>
            <w:r>
              <w:rPr>
                <w:webHidden/>
              </w:rPr>
              <w:fldChar w:fldCharType="separate"/>
            </w:r>
            <w:r>
              <w:rPr>
                <w:webHidden/>
              </w:rPr>
              <w:t>19</w:t>
            </w:r>
            <w:r>
              <w:rPr>
                <w:webHidden/>
              </w:rPr>
              <w:fldChar w:fldCharType="end"/>
            </w:r>
          </w:hyperlink>
        </w:p>
        <w:p w14:paraId="72EEF590" w14:textId="188C4F29"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2" w:history="1">
            <w:r w:rsidRPr="00C17A54">
              <w:rPr>
                <w:rStyle w:val="Hyperlink"/>
              </w:rPr>
              <w:t>Recommandation 2</w:t>
            </w:r>
            <w:r>
              <w:rPr>
                <w:webHidden/>
              </w:rPr>
              <w:tab/>
            </w:r>
            <w:r>
              <w:rPr>
                <w:webHidden/>
              </w:rPr>
              <w:fldChar w:fldCharType="begin"/>
            </w:r>
            <w:r>
              <w:rPr>
                <w:webHidden/>
              </w:rPr>
              <w:instrText xml:space="preserve"> PAGEREF _Toc207100022 \h </w:instrText>
            </w:r>
            <w:r>
              <w:rPr>
                <w:webHidden/>
              </w:rPr>
            </w:r>
            <w:r>
              <w:rPr>
                <w:webHidden/>
              </w:rPr>
              <w:fldChar w:fldCharType="separate"/>
            </w:r>
            <w:r>
              <w:rPr>
                <w:webHidden/>
              </w:rPr>
              <w:t>19</w:t>
            </w:r>
            <w:r>
              <w:rPr>
                <w:webHidden/>
              </w:rPr>
              <w:fldChar w:fldCharType="end"/>
            </w:r>
          </w:hyperlink>
        </w:p>
        <w:p w14:paraId="544F8CBF" w14:textId="0EADDD14"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3" w:history="1">
            <w:r w:rsidRPr="00C17A54">
              <w:rPr>
                <w:rStyle w:val="Hyperlink"/>
              </w:rPr>
              <w:t>Recommandation 3</w:t>
            </w:r>
            <w:r>
              <w:rPr>
                <w:webHidden/>
              </w:rPr>
              <w:tab/>
            </w:r>
            <w:r>
              <w:rPr>
                <w:webHidden/>
              </w:rPr>
              <w:fldChar w:fldCharType="begin"/>
            </w:r>
            <w:r>
              <w:rPr>
                <w:webHidden/>
              </w:rPr>
              <w:instrText xml:space="preserve"> PAGEREF _Toc207100023 \h </w:instrText>
            </w:r>
            <w:r>
              <w:rPr>
                <w:webHidden/>
              </w:rPr>
            </w:r>
            <w:r>
              <w:rPr>
                <w:webHidden/>
              </w:rPr>
              <w:fldChar w:fldCharType="separate"/>
            </w:r>
            <w:r>
              <w:rPr>
                <w:webHidden/>
              </w:rPr>
              <w:t>20</w:t>
            </w:r>
            <w:r>
              <w:rPr>
                <w:webHidden/>
              </w:rPr>
              <w:fldChar w:fldCharType="end"/>
            </w:r>
          </w:hyperlink>
        </w:p>
        <w:p w14:paraId="0AD769E9" w14:textId="0A1CB7E3"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24" w:history="1">
            <w:r w:rsidRPr="00C17A54">
              <w:rPr>
                <w:rStyle w:val="Hyperlink"/>
              </w:rPr>
              <w:t>D.</w:t>
            </w:r>
            <w:r>
              <w:rPr>
                <w:rFonts w:asciiTheme="minorHAnsi" w:eastAsiaTheme="minorEastAsia" w:hAnsiTheme="minorHAnsi" w:cstheme="minorBidi"/>
                <w:kern w:val="2"/>
                <w:sz w:val="24"/>
                <w:szCs w:val="24"/>
                <w:lang w:eastAsia="fr-CA"/>
                <w14:ligatures w14:val="standardContextual"/>
              </w:rPr>
              <w:tab/>
            </w:r>
            <w:r w:rsidRPr="00C17A54">
              <w:rPr>
                <w:rStyle w:val="Hyperlink"/>
              </w:rPr>
              <w:t>Favoriser la coordination et la collaboration entre les parties prenantes</w:t>
            </w:r>
            <w:r>
              <w:rPr>
                <w:webHidden/>
              </w:rPr>
              <w:tab/>
            </w:r>
            <w:r>
              <w:rPr>
                <w:webHidden/>
              </w:rPr>
              <w:fldChar w:fldCharType="begin"/>
            </w:r>
            <w:r>
              <w:rPr>
                <w:webHidden/>
              </w:rPr>
              <w:instrText xml:space="preserve"> PAGEREF _Toc207100024 \h </w:instrText>
            </w:r>
            <w:r>
              <w:rPr>
                <w:webHidden/>
              </w:rPr>
            </w:r>
            <w:r>
              <w:rPr>
                <w:webHidden/>
              </w:rPr>
              <w:fldChar w:fldCharType="separate"/>
            </w:r>
            <w:r>
              <w:rPr>
                <w:webHidden/>
              </w:rPr>
              <w:t>21</w:t>
            </w:r>
            <w:r>
              <w:rPr>
                <w:webHidden/>
              </w:rPr>
              <w:fldChar w:fldCharType="end"/>
            </w:r>
          </w:hyperlink>
        </w:p>
        <w:p w14:paraId="0506C00D" w14:textId="19C2F927"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5" w:history="1">
            <w:r w:rsidRPr="00C17A54">
              <w:rPr>
                <w:rStyle w:val="Hyperlink"/>
              </w:rPr>
              <w:t>Recommandation 4</w:t>
            </w:r>
            <w:r>
              <w:rPr>
                <w:webHidden/>
              </w:rPr>
              <w:tab/>
            </w:r>
            <w:r>
              <w:rPr>
                <w:webHidden/>
              </w:rPr>
              <w:fldChar w:fldCharType="begin"/>
            </w:r>
            <w:r>
              <w:rPr>
                <w:webHidden/>
              </w:rPr>
              <w:instrText xml:space="preserve"> PAGEREF _Toc207100025 \h </w:instrText>
            </w:r>
            <w:r>
              <w:rPr>
                <w:webHidden/>
              </w:rPr>
            </w:r>
            <w:r>
              <w:rPr>
                <w:webHidden/>
              </w:rPr>
              <w:fldChar w:fldCharType="separate"/>
            </w:r>
            <w:r>
              <w:rPr>
                <w:webHidden/>
              </w:rPr>
              <w:t>21</w:t>
            </w:r>
            <w:r>
              <w:rPr>
                <w:webHidden/>
              </w:rPr>
              <w:fldChar w:fldCharType="end"/>
            </w:r>
          </w:hyperlink>
        </w:p>
        <w:p w14:paraId="6F02733C" w14:textId="266E3498"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6" w:history="1">
            <w:r w:rsidRPr="00C17A54">
              <w:rPr>
                <w:rStyle w:val="Hyperlink"/>
              </w:rPr>
              <w:t>Recommandation 5</w:t>
            </w:r>
            <w:r>
              <w:rPr>
                <w:webHidden/>
              </w:rPr>
              <w:tab/>
            </w:r>
            <w:r>
              <w:rPr>
                <w:webHidden/>
              </w:rPr>
              <w:fldChar w:fldCharType="begin"/>
            </w:r>
            <w:r>
              <w:rPr>
                <w:webHidden/>
              </w:rPr>
              <w:instrText xml:space="preserve"> PAGEREF _Toc207100026 \h </w:instrText>
            </w:r>
            <w:r>
              <w:rPr>
                <w:webHidden/>
              </w:rPr>
            </w:r>
            <w:r>
              <w:rPr>
                <w:webHidden/>
              </w:rPr>
              <w:fldChar w:fldCharType="separate"/>
            </w:r>
            <w:r>
              <w:rPr>
                <w:webHidden/>
              </w:rPr>
              <w:t>22</w:t>
            </w:r>
            <w:r>
              <w:rPr>
                <w:webHidden/>
              </w:rPr>
              <w:fldChar w:fldCharType="end"/>
            </w:r>
          </w:hyperlink>
        </w:p>
        <w:p w14:paraId="4C0BADB2" w14:textId="150DEAEB"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7" w:history="1">
            <w:r w:rsidRPr="00C17A54">
              <w:rPr>
                <w:rStyle w:val="Hyperlink"/>
              </w:rPr>
              <w:t>Recommandation 6</w:t>
            </w:r>
            <w:r>
              <w:rPr>
                <w:webHidden/>
              </w:rPr>
              <w:tab/>
            </w:r>
            <w:r>
              <w:rPr>
                <w:webHidden/>
              </w:rPr>
              <w:fldChar w:fldCharType="begin"/>
            </w:r>
            <w:r>
              <w:rPr>
                <w:webHidden/>
              </w:rPr>
              <w:instrText xml:space="preserve"> PAGEREF _Toc207100027 \h </w:instrText>
            </w:r>
            <w:r>
              <w:rPr>
                <w:webHidden/>
              </w:rPr>
            </w:r>
            <w:r>
              <w:rPr>
                <w:webHidden/>
              </w:rPr>
              <w:fldChar w:fldCharType="separate"/>
            </w:r>
            <w:r>
              <w:rPr>
                <w:webHidden/>
              </w:rPr>
              <w:t>24</w:t>
            </w:r>
            <w:r>
              <w:rPr>
                <w:webHidden/>
              </w:rPr>
              <w:fldChar w:fldCharType="end"/>
            </w:r>
          </w:hyperlink>
        </w:p>
        <w:p w14:paraId="77136AE4" w14:textId="7DB4FED8"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28" w:history="1">
            <w:r w:rsidRPr="00C17A54">
              <w:rPr>
                <w:rStyle w:val="Hyperlink"/>
              </w:rPr>
              <w:t>E.</w:t>
            </w:r>
            <w:r>
              <w:rPr>
                <w:rFonts w:asciiTheme="minorHAnsi" w:eastAsiaTheme="minorEastAsia" w:hAnsiTheme="minorHAnsi" w:cstheme="minorBidi"/>
                <w:kern w:val="2"/>
                <w:sz w:val="24"/>
                <w:szCs w:val="24"/>
                <w:lang w:eastAsia="fr-CA"/>
                <w14:ligatures w14:val="standardContextual"/>
              </w:rPr>
              <w:tab/>
            </w:r>
            <w:r w:rsidRPr="00C17A54">
              <w:rPr>
                <w:rStyle w:val="Hyperlink"/>
              </w:rPr>
              <w:t>Prioriser les bonnes et meilleures pratiques</w:t>
            </w:r>
            <w:r>
              <w:rPr>
                <w:webHidden/>
              </w:rPr>
              <w:tab/>
            </w:r>
            <w:r>
              <w:rPr>
                <w:webHidden/>
              </w:rPr>
              <w:fldChar w:fldCharType="begin"/>
            </w:r>
            <w:r>
              <w:rPr>
                <w:webHidden/>
              </w:rPr>
              <w:instrText xml:space="preserve"> PAGEREF _Toc207100028 \h </w:instrText>
            </w:r>
            <w:r>
              <w:rPr>
                <w:webHidden/>
              </w:rPr>
            </w:r>
            <w:r>
              <w:rPr>
                <w:webHidden/>
              </w:rPr>
              <w:fldChar w:fldCharType="separate"/>
            </w:r>
            <w:r>
              <w:rPr>
                <w:webHidden/>
              </w:rPr>
              <w:t>24</w:t>
            </w:r>
            <w:r>
              <w:rPr>
                <w:webHidden/>
              </w:rPr>
              <w:fldChar w:fldCharType="end"/>
            </w:r>
          </w:hyperlink>
        </w:p>
        <w:p w14:paraId="3EF895E1" w14:textId="094302BD"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29" w:history="1">
            <w:r w:rsidRPr="00C17A54">
              <w:rPr>
                <w:rStyle w:val="Hyperlink"/>
              </w:rPr>
              <w:t>Recommandation 7</w:t>
            </w:r>
            <w:r>
              <w:rPr>
                <w:webHidden/>
              </w:rPr>
              <w:tab/>
            </w:r>
            <w:r>
              <w:rPr>
                <w:webHidden/>
              </w:rPr>
              <w:fldChar w:fldCharType="begin"/>
            </w:r>
            <w:r>
              <w:rPr>
                <w:webHidden/>
              </w:rPr>
              <w:instrText xml:space="preserve"> PAGEREF _Toc207100029 \h </w:instrText>
            </w:r>
            <w:r>
              <w:rPr>
                <w:webHidden/>
              </w:rPr>
            </w:r>
            <w:r>
              <w:rPr>
                <w:webHidden/>
              </w:rPr>
              <w:fldChar w:fldCharType="separate"/>
            </w:r>
            <w:r>
              <w:rPr>
                <w:webHidden/>
              </w:rPr>
              <w:t>25</w:t>
            </w:r>
            <w:r>
              <w:rPr>
                <w:webHidden/>
              </w:rPr>
              <w:fldChar w:fldCharType="end"/>
            </w:r>
          </w:hyperlink>
        </w:p>
        <w:p w14:paraId="619AA5B0" w14:textId="4B27B992"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0" w:history="1">
            <w:r w:rsidRPr="00C17A54">
              <w:rPr>
                <w:rStyle w:val="Hyperlink"/>
              </w:rPr>
              <w:t>Recommandation 8</w:t>
            </w:r>
            <w:r>
              <w:rPr>
                <w:webHidden/>
              </w:rPr>
              <w:tab/>
            </w:r>
            <w:r>
              <w:rPr>
                <w:webHidden/>
              </w:rPr>
              <w:fldChar w:fldCharType="begin"/>
            </w:r>
            <w:r>
              <w:rPr>
                <w:webHidden/>
              </w:rPr>
              <w:instrText xml:space="preserve"> PAGEREF _Toc207100030 \h </w:instrText>
            </w:r>
            <w:r>
              <w:rPr>
                <w:webHidden/>
              </w:rPr>
            </w:r>
            <w:r>
              <w:rPr>
                <w:webHidden/>
              </w:rPr>
              <w:fldChar w:fldCharType="separate"/>
            </w:r>
            <w:r>
              <w:rPr>
                <w:webHidden/>
              </w:rPr>
              <w:t>25</w:t>
            </w:r>
            <w:r>
              <w:rPr>
                <w:webHidden/>
              </w:rPr>
              <w:fldChar w:fldCharType="end"/>
            </w:r>
          </w:hyperlink>
        </w:p>
        <w:p w14:paraId="04D33FAF" w14:textId="78F9F5C1"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1" w:history="1">
            <w:r w:rsidRPr="00C17A54">
              <w:rPr>
                <w:rStyle w:val="Hyperlink"/>
              </w:rPr>
              <w:t>Recommandation 9</w:t>
            </w:r>
            <w:r>
              <w:rPr>
                <w:webHidden/>
              </w:rPr>
              <w:tab/>
            </w:r>
            <w:r>
              <w:rPr>
                <w:webHidden/>
              </w:rPr>
              <w:fldChar w:fldCharType="begin"/>
            </w:r>
            <w:r>
              <w:rPr>
                <w:webHidden/>
              </w:rPr>
              <w:instrText xml:space="preserve"> PAGEREF _Toc207100031 \h </w:instrText>
            </w:r>
            <w:r>
              <w:rPr>
                <w:webHidden/>
              </w:rPr>
            </w:r>
            <w:r>
              <w:rPr>
                <w:webHidden/>
              </w:rPr>
              <w:fldChar w:fldCharType="separate"/>
            </w:r>
            <w:r>
              <w:rPr>
                <w:webHidden/>
              </w:rPr>
              <w:t>26</w:t>
            </w:r>
            <w:r>
              <w:rPr>
                <w:webHidden/>
              </w:rPr>
              <w:fldChar w:fldCharType="end"/>
            </w:r>
          </w:hyperlink>
        </w:p>
        <w:p w14:paraId="373EE1E2" w14:textId="03BD4B55"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2" w:history="1">
            <w:r w:rsidRPr="00C17A54">
              <w:rPr>
                <w:rStyle w:val="Hyperlink"/>
              </w:rPr>
              <w:t>Recommandation 10</w:t>
            </w:r>
            <w:r>
              <w:rPr>
                <w:webHidden/>
              </w:rPr>
              <w:tab/>
            </w:r>
            <w:r>
              <w:rPr>
                <w:webHidden/>
              </w:rPr>
              <w:fldChar w:fldCharType="begin"/>
            </w:r>
            <w:r>
              <w:rPr>
                <w:webHidden/>
              </w:rPr>
              <w:instrText xml:space="preserve"> PAGEREF _Toc207100032 \h </w:instrText>
            </w:r>
            <w:r>
              <w:rPr>
                <w:webHidden/>
              </w:rPr>
            </w:r>
            <w:r>
              <w:rPr>
                <w:webHidden/>
              </w:rPr>
              <w:fldChar w:fldCharType="separate"/>
            </w:r>
            <w:r>
              <w:rPr>
                <w:webHidden/>
              </w:rPr>
              <w:t>27</w:t>
            </w:r>
            <w:r>
              <w:rPr>
                <w:webHidden/>
              </w:rPr>
              <w:fldChar w:fldCharType="end"/>
            </w:r>
          </w:hyperlink>
        </w:p>
        <w:p w14:paraId="026C759E" w14:textId="5DDA7488"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3" w:history="1">
            <w:r w:rsidRPr="00C17A54">
              <w:rPr>
                <w:rStyle w:val="Hyperlink"/>
              </w:rPr>
              <w:t>Recommandation 11</w:t>
            </w:r>
            <w:r>
              <w:rPr>
                <w:webHidden/>
              </w:rPr>
              <w:tab/>
            </w:r>
            <w:r>
              <w:rPr>
                <w:webHidden/>
              </w:rPr>
              <w:fldChar w:fldCharType="begin"/>
            </w:r>
            <w:r>
              <w:rPr>
                <w:webHidden/>
              </w:rPr>
              <w:instrText xml:space="preserve"> PAGEREF _Toc207100033 \h </w:instrText>
            </w:r>
            <w:r>
              <w:rPr>
                <w:webHidden/>
              </w:rPr>
            </w:r>
            <w:r>
              <w:rPr>
                <w:webHidden/>
              </w:rPr>
              <w:fldChar w:fldCharType="separate"/>
            </w:r>
            <w:r>
              <w:rPr>
                <w:webHidden/>
              </w:rPr>
              <w:t>28</w:t>
            </w:r>
            <w:r>
              <w:rPr>
                <w:webHidden/>
              </w:rPr>
              <w:fldChar w:fldCharType="end"/>
            </w:r>
          </w:hyperlink>
        </w:p>
        <w:p w14:paraId="15E8F210" w14:textId="6CA8BC4D"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4" w:history="1">
            <w:r w:rsidRPr="00C17A54">
              <w:rPr>
                <w:rStyle w:val="Hyperlink"/>
              </w:rPr>
              <w:t>Recommandation 12</w:t>
            </w:r>
            <w:r>
              <w:rPr>
                <w:webHidden/>
              </w:rPr>
              <w:tab/>
            </w:r>
            <w:r>
              <w:rPr>
                <w:webHidden/>
              </w:rPr>
              <w:fldChar w:fldCharType="begin"/>
            </w:r>
            <w:r>
              <w:rPr>
                <w:webHidden/>
              </w:rPr>
              <w:instrText xml:space="preserve"> PAGEREF _Toc207100034 \h </w:instrText>
            </w:r>
            <w:r>
              <w:rPr>
                <w:webHidden/>
              </w:rPr>
            </w:r>
            <w:r>
              <w:rPr>
                <w:webHidden/>
              </w:rPr>
              <w:fldChar w:fldCharType="separate"/>
            </w:r>
            <w:r>
              <w:rPr>
                <w:webHidden/>
              </w:rPr>
              <w:t>29</w:t>
            </w:r>
            <w:r>
              <w:rPr>
                <w:webHidden/>
              </w:rPr>
              <w:fldChar w:fldCharType="end"/>
            </w:r>
          </w:hyperlink>
        </w:p>
        <w:p w14:paraId="249B041E" w14:textId="3D264083"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5" w:history="1">
            <w:r w:rsidRPr="00C17A54">
              <w:rPr>
                <w:rStyle w:val="Hyperlink"/>
              </w:rPr>
              <w:t>Recommandation 13</w:t>
            </w:r>
            <w:r>
              <w:rPr>
                <w:webHidden/>
              </w:rPr>
              <w:tab/>
            </w:r>
            <w:r>
              <w:rPr>
                <w:webHidden/>
              </w:rPr>
              <w:fldChar w:fldCharType="begin"/>
            </w:r>
            <w:r>
              <w:rPr>
                <w:webHidden/>
              </w:rPr>
              <w:instrText xml:space="preserve"> PAGEREF _Toc207100035 \h </w:instrText>
            </w:r>
            <w:r>
              <w:rPr>
                <w:webHidden/>
              </w:rPr>
            </w:r>
            <w:r>
              <w:rPr>
                <w:webHidden/>
              </w:rPr>
              <w:fldChar w:fldCharType="separate"/>
            </w:r>
            <w:r>
              <w:rPr>
                <w:webHidden/>
              </w:rPr>
              <w:t>29</w:t>
            </w:r>
            <w:r>
              <w:rPr>
                <w:webHidden/>
              </w:rPr>
              <w:fldChar w:fldCharType="end"/>
            </w:r>
          </w:hyperlink>
        </w:p>
        <w:p w14:paraId="69F9B522" w14:textId="4A76C57C"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6" w:history="1">
            <w:r w:rsidRPr="00C17A54">
              <w:rPr>
                <w:rStyle w:val="Hyperlink"/>
              </w:rPr>
              <w:t>Recommandation 14</w:t>
            </w:r>
            <w:r>
              <w:rPr>
                <w:webHidden/>
              </w:rPr>
              <w:tab/>
            </w:r>
            <w:r>
              <w:rPr>
                <w:webHidden/>
              </w:rPr>
              <w:fldChar w:fldCharType="begin"/>
            </w:r>
            <w:r>
              <w:rPr>
                <w:webHidden/>
              </w:rPr>
              <w:instrText xml:space="preserve"> PAGEREF _Toc207100036 \h </w:instrText>
            </w:r>
            <w:r>
              <w:rPr>
                <w:webHidden/>
              </w:rPr>
            </w:r>
            <w:r>
              <w:rPr>
                <w:webHidden/>
              </w:rPr>
              <w:fldChar w:fldCharType="separate"/>
            </w:r>
            <w:r>
              <w:rPr>
                <w:webHidden/>
              </w:rPr>
              <w:t>30</w:t>
            </w:r>
            <w:r>
              <w:rPr>
                <w:webHidden/>
              </w:rPr>
              <w:fldChar w:fldCharType="end"/>
            </w:r>
          </w:hyperlink>
        </w:p>
        <w:p w14:paraId="2BA6C912" w14:textId="4040C8EA"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7" w:history="1">
            <w:r w:rsidRPr="00C17A54">
              <w:rPr>
                <w:rStyle w:val="Hyperlink"/>
              </w:rPr>
              <w:t>Recommandation 15</w:t>
            </w:r>
            <w:r>
              <w:rPr>
                <w:webHidden/>
              </w:rPr>
              <w:tab/>
            </w:r>
            <w:r>
              <w:rPr>
                <w:webHidden/>
              </w:rPr>
              <w:fldChar w:fldCharType="begin"/>
            </w:r>
            <w:r>
              <w:rPr>
                <w:webHidden/>
              </w:rPr>
              <w:instrText xml:space="preserve"> PAGEREF _Toc207100037 \h </w:instrText>
            </w:r>
            <w:r>
              <w:rPr>
                <w:webHidden/>
              </w:rPr>
            </w:r>
            <w:r>
              <w:rPr>
                <w:webHidden/>
              </w:rPr>
              <w:fldChar w:fldCharType="separate"/>
            </w:r>
            <w:r>
              <w:rPr>
                <w:webHidden/>
              </w:rPr>
              <w:t>31</w:t>
            </w:r>
            <w:r>
              <w:rPr>
                <w:webHidden/>
              </w:rPr>
              <w:fldChar w:fldCharType="end"/>
            </w:r>
          </w:hyperlink>
        </w:p>
        <w:p w14:paraId="387C8AB6" w14:textId="17605A4D"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38" w:history="1">
            <w:r w:rsidRPr="00C17A54">
              <w:rPr>
                <w:rStyle w:val="Hyperlink"/>
              </w:rPr>
              <w:t>F.</w:t>
            </w:r>
            <w:r>
              <w:rPr>
                <w:rFonts w:asciiTheme="minorHAnsi" w:eastAsiaTheme="minorEastAsia" w:hAnsiTheme="minorHAnsi" w:cstheme="minorBidi"/>
                <w:kern w:val="2"/>
                <w:sz w:val="24"/>
                <w:szCs w:val="24"/>
                <w:lang w:eastAsia="fr-CA"/>
                <w14:ligatures w14:val="standardContextual"/>
              </w:rPr>
              <w:tab/>
            </w:r>
            <w:r w:rsidRPr="00C17A54">
              <w:rPr>
                <w:rStyle w:val="Hyperlink"/>
              </w:rPr>
              <w:t>Protection de la vie privée des participantes et participants aux recherches</w:t>
            </w:r>
            <w:r>
              <w:rPr>
                <w:webHidden/>
              </w:rPr>
              <w:tab/>
            </w:r>
            <w:r>
              <w:rPr>
                <w:webHidden/>
              </w:rPr>
              <w:fldChar w:fldCharType="begin"/>
            </w:r>
            <w:r>
              <w:rPr>
                <w:webHidden/>
              </w:rPr>
              <w:instrText xml:space="preserve"> PAGEREF _Toc207100038 \h </w:instrText>
            </w:r>
            <w:r>
              <w:rPr>
                <w:webHidden/>
              </w:rPr>
            </w:r>
            <w:r>
              <w:rPr>
                <w:webHidden/>
              </w:rPr>
              <w:fldChar w:fldCharType="separate"/>
            </w:r>
            <w:r>
              <w:rPr>
                <w:webHidden/>
              </w:rPr>
              <w:t>32</w:t>
            </w:r>
            <w:r>
              <w:rPr>
                <w:webHidden/>
              </w:rPr>
              <w:fldChar w:fldCharType="end"/>
            </w:r>
          </w:hyperlink>
        </w:p>
        <w:p w14:paraId="1CE2336C" w14:textId="2E1BAB93" w:rsidR="008135F1" w:rsidRDefault="008135F1">
          <w:pPr>
            <w:pStyle w:val="TOC3"/>
            <w:tabs>
              <w:tab w:val="right" w:leader="dot" w:pos="9019"/>
            </w:tabs>
            <w:rPr>
              <w:rFonts w:asciiTheme="minorHAnsi" w:eastAsiaTheme="minorEastAsia" w:hAnsiTheme="minorHAnsi" w:cstheme="minorBidi"/>
              <w:kern w:val="2"/>
              <w:sz w:val="24"/>
              <w:szCs w:val="24"/>
              <w:lang w:eastAsia="fr-CA"/>
              <w14:ligatures w14:val="standardContextual"/>
            </w:rPr>
          </w:pPr>
          <w:hyperlink w:anchor="_Toc207100039" w:history="1">
            <w:r w:rsidRPr="00C17A54">
              <w:rPr>
                <w:rStyle w:val="Hyperlink"/>
              </w:rPr>
              <w:t>Recommandation 16</w:t>
            </w:r>
            <w:r>
              <w:rPr>
                <w:webHidden/>
              </w:rPr>
              <w:tab/>
            </w:r>
            <w:r>
              <w:rPr>
                <w:webHidden/>
              </w:rPr>
              <w:fldChar w:fldCharType="begin"/>
            </w:r>
            <w:r>
              <w:rPr>
                <w:webHidden/>
              </w:rPr>
              <w:instrText xml:space="preserve"> PAGEREF _Toc207100039 \h </w:instrText>
            </w:r>
            <w:r>
              <w:rPr>
                <w:webHidden/>
              </w:rPr>
            </w:r>
            <w:r>
              <w:rPr>
                <w:webHidden/>
              </w:rPr>
              <w:fldChar w:fldCharType="separate"/>
            </w:r>
            <w:r>
              <w:rPr>
                <w:webHidden/>
              </w:rPr>
              <w:t>32</w:t>
            </w:r>
            <w:r>
              <w:rPr>
                <w:webHidden/>
              </w:rPr>
              <w:fldChar w:fldCharType="end"/>
            </w:r>
          </w:hyperlink>
        </w:p>
        <w:p w14:paraId="2CDB7EC4" w14:textId="55ADCF68"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0" w:history="1">
            <w:r w:rsidRPr="00C17A54">
              <w:rPr>
                <w:rStyle w:val="Hyperlink"/>
              </w:rPr>
              <w:t>6.</w:t>
            </w:r>
            <w:r>
              <w:rPr>
                <w:rFonts w:asciiTheme="minorHAnsi" w:eastAsiaTheme="minorEastAsia" w:hAnsiTheme="minorHAnsi" w:cstheme="minorBidi"/>
                <w:kern w:val="2"/>
                <w:sz w:val="24"/>
                <w:szCs w:val="24"/>
                <w:lang w:eastAsia="fr-CA"/>
                <w14:ligatures w14:val="standardContextual"/>
              </w:rPr>
              <w:tab/>
            </w:r>
            <w:r w:rsidRPr="00C17A54">
              <w:rPr>
                <w:rStyle w:val="Hyperlink"/>
              </w:rPr>
              <w:t>Conclusion et prochaines étapes</w:t>
            </w:r>
            <w:r>
              <w:rPr>
                <w:webHidden/>
              </w:rPr>
              <w:tab/>
            </w:r>
            <w:r>
              <w:rPr>
                <w:webHidden/>
              </w:rPr>
              <w:fldChar w:fldCharType="begin"/>
            </w:r>
            <w:r>
              <w:rPr>
                <w:webHidden/>
              </w:rPr>
              <w:instrText xml:space="preserve"> PAGEREF _Toc207100040 \h </w:instrText>
            </w:r>
            <w:r>
              <w:rPr>
                <w:webHidden/>
              </w:rPr>
            </w:r>
            <w:r>
              <w:rPr>
                <w:webHidden/>
              </w:rPr>
              <w:fldChar w:fldCharType="separate"/>
            </w:r>
            <w:r>
              <w:rPr>
                <w:webHidden/>
              </w:rPr>
              <w:t>32</w:t>
            </w:r>
            <w:r>
              <w:rPr>
                <w:webHidden/>
              </w:rPr>
              <w:fldChar w:fldCharType="end"/>
            </w:r>
          </w:hyperlink>
        </w:p>
        <w:p w14:paraId="7B9AF872" w14:textId="384B5C42"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1" w:history="1">
            <w:r w:rsidRPr="00C17A54">
              <w:rPr>
                <w:rStyle w:val="Hyperlink"/>
              </w:rPr>
              <w:t>7.</w:t>
            </w:r>
            <w:r>
              <w:rPr>
                <w:rFonts w:asciiTheme="minorHAnsi" w:eastAsiaTheme="minorEastAsia" w:hAnsiTheme="minorHAnsi" w:cstheme="minorBidi"/>
                <w:kern w:val="2"/>
                <w:sz w:val="24"/>
                <w:szCs w:val="24"/>
                <w:lang w:eastAsia="fr-CA"/>
                <w14:ligatures w14:val="standardContextual"/>
              </w:rPr>
              <w:tab/>
            </w:r>
            <w:r w:rsidRPr="00C17A54">
              <w:rPr>
                <w:rStyle w:val="Hyperlink"/>
              </w:rPr>
              <w:t>Glossaire</w:t>
            </w:r>
            <w:r>
              <w:rPr>
                <w:webHidden/>
              </w:rPr>
              <w:tab/>
            </w:r>
            <w:r>
              <w:rPr>
                <w:webHidden/>
              </w:rPr>
              <w:fldChar w:fldCharType="begin"/>
            </w:r>
            <w:r>
              <w:rPr>
                <w:webHidden/>
              </w:rPr>
              <w:instrText xml:space="preserve"> PAGEREF _Toc207100041 \h </w:instrText>
            </w:r>
            <w:r>
              <w:rPr>
                <w:webHidden/>
              </w:rPr>
            </w:r>
            <w:r>
              <w:rPr>
                <w:webHidden/>
              </w:rPr>
              <w:fldChar w:fldCharType="separate"/>
            </w:r>
            <w:r>
              <w:rPr>
                <w:webHidden/>
              </w:rPr>
              <w:t>33</w:t>
            </w:r>
            <w:r>
              <w:rPr>
                <w:webHidden/>
              </w:rPr>
              <w:fldChar w:fldCharType="end"/>
            </w:r>
          </w:hyperlink>
        </w:p>
        <w:p w14:paraId="033A260D" w14:textId="4B40D7DC"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2" w:history="1">
            <w:r w:rsidRPr="00C17A54">
              <w:rPr>
                <w:rStyle w:val="Hyperlink"/>
              </w:rPr>
              <w:t>8.</w:t>
            </w:r>
            <w:r>
              <w:rPr>
                <w:rFonts w:asciiTheme="minorHAnsi" w:eastAsiaTheme="minorEastAsia" w:hAnsiTheme="minorHAnsi" w:cstheme="minorBidi"/>
                <w:kern w:val="2"/>
                <w:sz w:val="24"/>
                <w:szCs w:val="24"/>
                <w:lang w:eastAsia="fr-CA"/>
                <w14:ligatures w14:val="standardContextual"/>
              </w:rPr>
              <w:tab/>
            </w:r>
            <w:r w:rsidRPr="00C17A54">
              <w:rPr>
                <w:rStyle w:val="Hyperlink"/>
              </w:rPr>
              <w:t>Références</w:t>
            </w:r>
            <w:r>
              <w:rPr>
                <w:webHidden/>
              </w:rPr>
              <w:tab/>
            </w:r>
            <w:r>
              <w:rPr>
                <w:webHidden/>
              </w:rPr>
              <w:fldChar w:fldCharType="begin"/>
            </w:r>
            <w:r>
              <w:rPr>
                <w:webHidden/>
              </w:rPr>
              <w:instrText xml:space="preserve"> PAGEREF _Toc207100042 \h </w:instrText>
            </w:r>
            <w:r>
              <w:rPr>
                <w:webHidden/>
              </w:rPr>
            </w:r>
            <w:r>
              <w:rPr>
                <w:webHidden/>
              </w:rPr>
              <w:fldChar w:fldCharType="separate"/>
            </w:r>
            <w:r>
              <w:rPr>
                <w:webHidden/>
              </w:rPr>
              <w:t>36</w:t>
            </w:r>
            <w:r>
              <w:rPr>
                <w:webHidden/>
              </w:rPr>
              <w:fldChar w:fldCharType="end"/>
            </w:r>
          </w:hyperlink>
        </w:p>
        <w:p w14:paraId="68D28548" w14:textId="238A5CC2" w:rsidR="008135F1" w:rsidRDefault="008135F1">
          <w:pPr>
            <w:pStyle w:val="TOC1"/>
            <w:tabs>
              <w:tab w:val="left" w:pos="44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3" w:history="1">
            <w:r w:rsidRPr="00C17A54">
              <w:rPr>
                <w:rStyle w:val="Hyperlink"/>
              </w:rPr>
              <w:t>9.</w:t>
            </w:r>
            <w:r>
              <w:rPr>
                <w:rFonts w:asciiTheme="minorHAnsi" w:eastAsiaTheme="minorEastAsia" w:hAnsiTheme="minorHAnsi" w:cstheme="minorBidi"/>
                <w:kern w:val="2"/>
                <w:sz w:val="24"/>
                <w:szCs w:val="24"/>
                <w:lang w:eastAsia="fr-CA"/>
                <w14:ligatures w14:val="standardContextual"/>
              </w:rPr>
              <w:tab/>
            </w:r>
            <w:r w:rsidRPr="00C17A54">
              <w:rPr>
                <w:rStyle w:val="Hyperlink"/>
              </w:rPr>
              <w:t>Annexes</w:t>
            </w:r>
            <w:r>
              <w:rPr>
                <w:webHidden/>
              </w:rPr>
              <w:tab/>
            </w:r>
            <w:r>
              <w:rPr>
                <w:webHidden/>
              </w:rPr>
              <w:fldChar w:fldCharType="begin"/>
            </w:r>
            <w:r>
              <w:rPr>
                <w:webHidden/>
              </w:rPr>
              <w:instrText xml:space="preserve"> PAGEREF _Toc207100043 \h </w:instrText>
            </w:r>
            <w:r>
              <w:rPr>
                <w:webHidden/>
              </w:rPr>
            </w:r>
            <w:r>
              <w:rPr>
                <w:webHidden/>
              </w:rPr>
              <w:fldChar w:fldCharType="separate"/>
            </w:r>
            <w:r>
              <w:rPr>
                <w:webHidden/>
              </w:rPr>
              <w:t>40</w:t>
            </w:r>
            <w:r>
              <w:rPr>
                <w:webHidden/>
              </w:rPr>
              <w:fldChar w:fldCharType="end"/>
            </w:r>
          </w:hyperlink>
        </w:p>
        <w:p w14:paraId="6F4FFCB6" w14:textId="60D65088"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4" w:history="1">
            <w:r w:rsidRPr="00C17A54">
              <w:rPr>
                <w:rStyle w:val="Hyperlink"/>
              </w:rPr>
              <w:t>A.</w:t>
            </w:r>
            <w:r>
              <w:rPr>
                <w:rFonts w:asciiTheme="minorHAnsi" w:eastAsiaTheme="minorEastAsia" w:hAnsiTheme="minorHAnsi" w:cstheme="minorBidi"/>
                <w:kern w:val="2"/>
                <w:sz w:val="24"/>
                <w:szCs w:val="24"/>
                <w:lang w:eastAsia="fr-CA"/>
                <w14:ligatures w14:val="standardContextual"/>
              </w:rPr>
              <w:tab/>
            </w:r>
            <w:r w:rsidRPr="00C17A54">
              <w:rPr>
                <w:rStyle w:val="Hyperlink"/>
              </w:rPr>
              <w:t>Annexe 1 : Liste des membres des groupes de travail sur la gestion de l’accès contrôlé</w:t>
            </w:r>
            <w:r>
              <w:rPr>
                <w:webHidden/>
              </w:rPr>
              <w:tab/>
            </w:r>
            <w:r>
              <w:rPr>
                <w:webHidden/>
              </w:rPr>
              <w:fldChar w:fldCharType="begin"/>
            </w:r>
            <w:r>
              <w:rPr>
                <w:webHidden/>
              </w:rPr>
              <w:instrText xml:space="preserve"> PAGEREF _Toc207100044 \h </w:instrText>
            </w:r>
            <w:r>
              <w:rPr>
                <w:webHidden/>
              </w:rPr>
            </w:r>
            <w:r>
              <w:rPr>
                <w:webHidden/>
              </w:rPr>
              <w:fldChar w:fldCharType="separate"/>
            </w:r>
            <w:r>
              <w:rPr>
                <w:webHidden/>
              </w:rPr>
              <w:t>40</w:t>
            </w:r>
            <w:r>
              <w:rPr>
                <w:webHidden/>
              </w:rPr>
              <w:fldChar w:fldCharType="end"/>
            </w:r>
          </w:hyperlink>
        </w:p>
        <w:p w14:paraId="6A9ED5FD" w14:textId="58AC659F"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5" w:history="1">
            <w:r w:rsidRPr="00C17A54">
              <w:rPr>
                <w:rStyle w:val="Hyperlink"/>
              </w:rPr>
              <w:t>B.</w:t>
            </w:r>
            <w:r>
              <w:rPr>
                <w:rFonts w:asciiTheme="minorHAnsi" w:eastAsiaTheme="minorEastAsia" w:hAnsiTheme="minorHAnsi" w:cstheme="minorBidi"/>
                <w:kern w:val="2"/>
                <w:sz w:val="24"/>
                <w:szCs w:val="24"/>
                <w:lang w:eastAsia="fr-CA"/>
                <w14:ligatures w14:val="standardContextual"/>
              </w:rPr>
              <w:tab/>
            </w:r>
            <w:r w:rsidRPr="00C17A54">
              <w:rPr>
                <w:rStyle w:val="Hyperlink"/>
              </w:rPr>
              <w:t>Annexe 2 : Liste des parties prenantes de l’écosystème de recherche</w:t>
            </w:r>
            <w:r>
              <w:rPr>
                <w:webHidden/>
              </w:rPr>
              <w:tab/>
            </w:r>
            <w:r>
              <w:rPr>
                <w:webHidden/>
              </w:rPr>
              <w:fldChar w:fldCharType="begin"/>
            </w:r>
            <w:r>
              <w:rPr>
                <w:webHidden/>
              </w:rPr>
              <w:instrText xml:space="preserve"> PAGEREF _Toc207100045 \h </w:instrText>
            </w:r>
            <w:r>
              <w:rPr>
                <w:webHidden/>
              </w:rPr>
            </w:r>
            <w:r>
              <w:rPr>
                <w:webHidden/>
              </w:rPr>
              <w:fldChar w:fldCharType="separate"/>
            </w:r>
            <w:r>
              <w:rPr>
                <w:webHidden/>
              </w:rPr>
              <w:t>42</w:t>
            </w:r>
            <w:r>
              <w:rPr>
                <w:webHidden/>
              </w:rPr>
              <w:fldChar w:fldCharType="end"/>
            </w:r>
          </w:hyperlink>
        </w:p>
        <w:p w14:paraId="6A843F1F" w14:textId="2E9497A1" w:rsidR="008135F1" w:rsidRDefault="008135F1">
          <w:pPr>
            <w:pStyle w:val="TOC2"/>
            <w:tabs>
              <w:tab w:val="left" w:pos="720"/>
              <w:tab w:val="right" w:leader="dot" w:pos="9019"/>
            </w:tabs>
            <w:rPr>
              <w:rFonts w:asciiTheme="minorHAnsi" w:eastAsiaTheme="minorEastAsia" w:hAnsiTheme="minorHAnsi" w:cstheme="minorBidi"/>
              <w:kern w:val="2"/>
              <w:sz w:val="24"/>
              <w:szCs w:val="24"/>
              <w:lang w:eastAsia="fr-CA"/>
              <w14:ligatures w14:val="standardContextual"/>
            </w:rPr>
          </w:pPr>
          <w:hyperlink w:anchor="_Toc207100046" w:history="1">
            <w:r w:rsidRPr="00C17A54">
              <w:rPr>
                <w:rStyle w:val="Hyperlink"/>
              </w:rPr>
              <w:t>C.</w:t>
            </w:r>
            <w:r>
              <w:rPr>
                <w:rFonts w:asciiTheme="minorHAnsi" w:eastAsiaTheme="minorEastAsia" w:hAnsiTheme="minorHAnsi" w:cstheme="minorBidi"/>
                <w:kern w:val="2"/>
                <w:sz w:val="24"/>
                <w:szCs w:val="24"/>
                <w:lang w:eastAsia="fr-CA"/>
                <w14:ligatures w14:val="standardContextual"/>
              </w:rPr>
              <w:tab/>
            </w:r>
            <w:r w:rsidRPr="00C17A54">
              <w:rPr>
                <w:rStyle w:val="Hyperlink"/>
              </w:rPr>
              <w:t>Annexe 3 : Méthodologie du groupe de travail sur l’état des choses</w:t>
            </w:r>
            <w:r>
              <w:rPr>
                <w:webHidden/>
              </w:rPr>
              <w:tab/>
            </w:r>
            <w:r>
              <w:rPr>
                <w:webHidden/>
              </w:rPr>
              <w:fldChar w:fldCharType="begin"/>
            </w:r>
            <w:r>
              <w:rPr>
                <w:webHidden/>
              </w:rPr>
              <w:instrText xml:space="preserve"> PAGEREF _Toc207100046 \h </w:instrText>
            </w:r>
            <w:r>
              <w:rPr>
                <w:webHidden/>
              </w:rPr>
            </w:r>
            <w:r>
              <w:rPr>
                <w:webHidden/>
              </w:rPr>
              <w:fldChar w:fldCharType="separate"/>
            </w:r>
            <w:r>
              <w:rPr>
                <w:webHidden/>
              </w:rPr>
              <w:t>42</w:t>
            </w:r>
            <w:r>
              <w:rPr>
                <w:webHidden/>
              </w:rPr>
              <w:fldChar w:fldCharType="end"/>
            </w:r>
          </w:hyperlink>
        </w:p>
        <w:p w14:paraId="12C54A96" w14:textId="6E767DE6" w:rsidR="00770F86" w:rsidRPr="00FB60C2" w:rsidRDefault="00770F86" w:rsidP="00B701C8">
          <w:r w:rsidRPr="00FB60C2">
            <w:rPr>
              <w:b/>
              <w:bCs/>
              <w:lang w:val="fr-FR"/>
            </w:rPr>
            <w:fldChar w:fldCharType="end"/>
          </w:r>
        </w:p>
      </w:sdtContent>
    </w:sdt>
    <w:p w14:paraId="35CB167D" w14:textId="77777777" w:rsidR="00770F86" w:rsidRPr="00FB60C2" w:rsidRDefault="00770F86" w:rsidP="00B701C8"/>
    <w:p w14:paraId="4B2A8384" w14:textId="77777777" w:rsidR="00770F86" w:rsidRPr="00FB60C2" w:rsidRDefault="00770F86" w:rsidP="00B701C8">
      <w:pPr>
        <w:pStyle w:val="Heading1"/>
        <w:ind w:left="720"/>
      </w:pPr>
      <w:r w:rsidRPr="00FB60C2">
        <w:rPr>
          <w:color w:val="000000"/>
        </w:rPr>
        <w:br w:type="page"/>
      </w:r>
    </w:p>
    <w:p w14:paraId="39042B15" w14:textId="77777777" w:rsidR="00770F86" w:rsidRPr="00FB60C2" w:rsidRDefault="00770F86" w:rsidP="00B701C8">
      <w:pPr>
        <w:pStyle w:val="Heading1"/>
        <w:numPr>
          <w:ilvl w:val="0"/>
          <w:numId w:val="7"/>
        </w:numPr>
      </w:pPr>
      <w:bookmarkStart w:id="0" w:name="_Toc207100000"/>
      <w:r w:rsidRPr="00FB60C2">
        <w:rPr>
          <w:color w:val="000000"/>
        </w:rPr>
        <w:lastRenderedPageBreak/>
        <w:t>Résumé</w:t>
      </w:r>
      <w:bookmarkEnd w:id="0"/>
    </w:p>
    <w:p w14:paraId="6FF58D15" w14:textId="77777777" w:rsidR="00770F86" w:rsidRPr="00FB60C2" w:rsidRDefault="00770F86" w:rsidP="00B701C8"/>
    <w:p w14:paraId="3A325145" w14:textId="77777777" w:rsidR="00770F86" w:rsidRPr="00FB60C2" w:rsidRDefault="00770F86" w:rsidP="00B701C8">
      <w:pPr>
        <w:rPr>
          <w:color w:val="000000"/>
        </w:rPr>
      </w:pPr>
      <w:r w:rsidRPr="00FB60C2">
        <w:rPr>
          <w:color w:val="000000"/>
        </w:rPr>
        <w:t>De plus en plus, on demande aux chercheuses et chercheurs canadiens de rendre leurs données disponibles en vue d’une réutilisation. Néanmoins, toutes les données ne se prêtent pas à l’exercice. Le respect de la vie privée, les contraintes juridiques, la propriété intellectuelle, les obligations commerciales et les considérations éthiques, entre autres, justifient parfois de restreindre l’accès à certains jeux de données, si bien que l’écosystème de recherche du Canada doit se doter de stratégies et de soutien pour gérer les données de recherche dont l’accès mérite d’être contrôlé.</w:t>
      </w:r>
    </w:p>
    <w:p w14:paraId="37649A9C" w14:textId="77777777" w:rsidR="00770F86" w:rsidRPr="00FB60C2" w:rsidRDefault="00770F86" w:rsidP="00B701C8"/>
    <w:p w14:paraId="298C24A5" w14:textId="77777777" w:rsidR="00770F86" w:rsidRPr="00FB60C2" w:rsidRDefault="00770F86" w:rsidP="00B701C8">
      <w:pPr>
        <w:rPr>
          <w:color w:val="000000"/>
        </w:rPr>
      </w:pPr>
      <w:r w:rsidRPr="00FB60C2">
        <w:rPr>
          <w:color w:val="000000"/>
        </w:rPr>
        <w:t>Initiative nationale dirigée par l’Alliance de recherche numérique du Canada (« l’Alliance »), en collaboration avec 29 organisations et établissements appelés « organisations partenaires », l’Initiative de gestion de l’accès contrôlé aux données de recherche (GAC) vise à renforcer la capacité de l’écosystème de recherche du Canada d’encadrer la gestion de l’accès contrôlé aux données de recherche. Pendant un an, les organisations partenaires et leur personnel se sont employés à cartographier la GAC à l’échelle nationale. Ils ont également recensé les besoins et les difficultés des établissements qui y contribuent et élaboré des recommandations afin que le Canada soit mieux outillé pour assumer cette gestion.</w:t>
      </w:r>
    </w:p>
    <w:p w14:paraId="00669CD8" w14:textId="77777777" w:rsidR="00770F86" w:rsidRPr="00FB60C2" w:rsidRDefault="00770F86" w:rsidP="00B701C8"/>
    <w:p w14:paraId="7B9BC835" w14:textId="77777777" w:rsidR="00770F86" w:rsidRPr="00FB60C2" w:rsidRDefault="00770F86" w:rsidP="00B701C8">
      <w:pPr>
        <w:pStyle w:val="Heading2"/>
        <w:numPr>
          <w:ilvl w:val="0"/>
          <w:numId w:val="2"/>
        </w:numPr>
        <w:spacing w:before="0"/>
      </w:pPr>
      <w:bookmarkStart w:id="1" w:name="_Toc207100001"/>
      <w:r w:rsidRPr="00FB60C2">
        <w:rPr>
          <w:color w:val="000000"/>
        </w:rPr>
        <w:t>État des choses</w:t>
      </w:r>
      <w:bookmarkEnd w:id="1"/>
    </w:p>
    <w:p w14:paraId="225C8CDF" w14:textId="77777777" w:rsidR="00770F86" w:rsidRPr="00FB60C2" w:rsidRDefault="00770F86" w:rsidP="00B701C8">
      <w:pPr>
        <w:rPr>
          <w:color w:val="000000"/>
        </w:rPr>
      </w:pPr>
      <w:r w:rsidRPr="00FB60C2">
        <w:rPr>
          <w:color w:val="000000"/>
        </w:rPr>
        <w:t>Les sources de données de recherche à accès contrôlé sont peu nombreuses au Canada; environ 25 % d’entre elles mènent à des données dérivées de la recherche universitaire (voir Read et coll., 2024a, b, c). Borealis, l’un des deux plus grands dépôts de données de recherche généralistes du Canada, est maintenant doté de la capacité technique de gérer l’accès à ses données non sensibles. L’autre – le Dépôt fédéré de données de recherche, qui peut prendre en charge de plus gros jeux de données – ne dispose pas de ce genre de fonctionnalité pour le moment. La majeure partie des ouvrages universitaires sur le contrôle de l’accès aux données porte essentiellement sur les renseignements personnels des consommatrices et consommateurs, les données relatives à la santé et les données exclusives de secteurs déterminés, plutôt que sur les données de recherche. De plus, ils s’intéressent surtout aux solutions technologiques de gestion d’accès (chaîne de blocs, chiffrement, etc.), et non aux dépôts de données ou à la gouvernance et à l’intendance des données. Pourtant, plusieurs systèmes de dépôt étrangers pourraient servir de modèles de gestion des accès.</w:t>
      </w:r>
    </w:p>
    <w:p w14:paraId="5395135D" w14:textId="77777777" w:rsidR="00770F86" w:rsidRPr="00FB60C2" w:rsidRDefault="00770F86" w:rsidP="00B701C8"/>
    <w:p w14:paraId="1914B426" w14:textId="77777777" w:rsidR="00770F86" w:rsidRPr="00FB60C2" w:rsidRDefault="00770F86" w:rsidP="00B701C8">
      <w:pPr>
        <w:pStyle w:val="Heading2"/>
        <w:numPr>
          <w:ilvl w:val="0"/>
          <w:numId w:val="2"/>
        </w:numPr>
        <w:spacing w:before="0"/>
      </w:pPr>
      <w:bookmarkStart w:id="2" w:name="_Toc207100002"/>
      <w:r w:rsidRPr="00FB60C2">
        <w:rPr>
          <w:color w:val="000000"/>
        </w:rPr>
        <w:t>Besoins et défis</w:t>
      </w:r>
      <w:bookmarkEnd w:id="2"/>
    </w:p>
    <w:p w14:paraId="4A4FD5B8" w14:textId="77777777" w:rsidR="00770F86" w:rsidRPr="00FB60C2" w:rsidRDefault="00770F86" w:rsidP="00B701C8">
      <w:r w:rsidRPr="00FB60C2">
        <w:rPr>
          <w:color w:val="000000"/>
        </w:rPr>
        <w:t xml:space="preserve">Pour les organisations partenaires, les besoins les plus fondamentaux en matière de gestion des accès sont la création d’une infrastructure à grande échelle et le financement. Ladite infrastructure doit être accompagnée d’une stratégie nationale claire et de normes cohérentes pour les dépôts et établissements offrant des services relatifs aux données à accès contrôlé. Les organisations ont aussi exprimé le besoin de stratégies et d’assistance pour surmonter les défis liés à la conformité, notamment en ce qui a trait à la cybersécurité, à la gouvernance des données et aux aspects juridique et éthique. En outre, le caractère </w:t>
      </w:r>
      <w:r w:rsidRPr="00FB60C2">
        <w:rPr>
          <w:color w:val="000000"/>
        </w:rPr>
        <w:lastRenderedPageBreak/>
        <w:t>hautement prioritaire de la souveraineté et de la gouvernance des données autochtones a été mis en exergue à ce chapitre.</w:t>
      </w:r>
    </w:p>
    <w:p w14:paraId="73C6CB5B" w14:textId="77777777" w:rsidR="00770F86" w:rsidRPr="00FB60C2" w:rsidRDefault="00770F86" w:rsidP="00B701C8"/>
    <w:p w14:paraId="2C746842" w14:textId="77777777" w:rsidR="00770F86" w:rsidRPr="00FB60C2" w:rsidRDefault="00770F86" w:rsidP="00B701C8">
      <w:r w:rsidRPr="00FB60C2">
        <w:rPr>
          <w:color w:val="000000"/>
        </w:rPr>
        <w:t>Les chercheuses et chercheurs ont également besoin d’aide pour assumer leurs responsabilités en matière de gestion de l’accès contrôlé. Il n’y a pas assez de supports de formation et de ressources pédagogiques sur la gestion des données de recherche, surtout les plus sensibles, d’un bout à l’autre de leur cycle de vie. Il est nécessaire de mettre en place des outils et services – de dépersonnalisation et d’anonymisation, de préparation des métadonnées et de tri en vue du dépôt – pour gérer les jeux de données et les préparer à la consignation.</w:t>
      </w:r>
    </w:p>
    <w:p w14:paraId="08D06BBF" w14:textId="77777777" w:rsidR="00770F86" w:rsidRPr="00FB60C2" w:rsidRDefault="00770F86" w:rsidP="00B701C8"/>
    <w:p w14:paraId="3EC2219A" w14:textId="77777777" w:rsidR="00770F86" w:rsidRPr="00FB60C2" w:rsidRDefault="00770F86" w:rsidP="00B701C8">
      <w:pPr>
        <w:pStyle w:val="Heading2"/>
        <w:numPr>
          <w:ilvl w:val="0"/>
          <w:numId w:val="2"/>
        </w:numPr>
        <w:spacing w:before="0"/>
      </w:pPr>
      <w:bookmarkStart w:id="3" w:name="_Toc207100003"/>
      <w:r w:rsidRPr="00FB60C2">
        <w:rPr>
          <w:color w:val="000000"/>
        </w:rPr>
        <w:t>Recommandations</w:t>
      </w:r>
      <w:bookmarkEnd w:id="3"/>
    </w:p>
    <w:p w14:paraId="388FF906" w14:textId="77777777" w:rsidR="00770F86" w:rsidRPr="00FB60C2" w:rsidRDefault="00770F86" w:rsidP="00B701C8"/>
    <w:p w14:paraId="06511A20" w14:textId="77777777" w:rsidR="00770F86" w:rsidRPr="00FB60C2" w:rsidRDefault="00770F86" w:rsidP="00B701C8">
      <w:r w:rsidRPr="00FB60C2">
        <w:rPr>
          <w:color w:val="000000"/>
        </w:rPr>
        <w:t>La recommandation la plus importante préconise un investissement à grande échelle dans la gestion de l’accès aux données de recherche, et ce, à deux titres : l’infrastructure et la gouvernance (activités d’intendance des données, éducation et formation, etc.). Dans les deux cas, un soutien adéquat doit être fourni en temps réel. L’infrastructure ne peut être exploitée efficacement sans gouvernance appropriée, car il y va de la conformité et du respect des principes FAIR (données faciles à trouver, accessibles, interopérables et réutilisables – Wilkinson et coll., 2016), mais aussi de l’utilisation et de la réutilisation responsables des données de recherche. D’ailleurs, notre progression en matière de gouvernance ne peut se concrétiser que dans la mesure où les chercheuses et chercheurs et les établissements de recherche disposent d’options d’infrastructure adéquates.</w:t>
      </w:r>
    </w:p>
    <w:p w14:paraId="7063E0EA" w14:textId="77777777" w:rsidR="00770F86" w:rsidRPr="00FB60C2" w:rsidRDefault="00770F86" w:rsidP="00B701C8"/>
    <w:p w14:paraId="42B8600D" w14:textId="77777777" w:rsidR="00770F86" w:rsidRPr="00FB60C2" w:rsidRDefault="00770F86" w:rsidP="00B701C8">
      <w:r w:rsidRPr="00FB60C2">
        <w:rPr>
          <w:color w:val="000000"/>
        </w:rPr>
        <w:t xml:space="preserve">Les autres recommandations émises par les organisations partenaires de l’Initiative de GAC portent sur toutes sortes de sujets propres aux données de recherche à accès contrôlé, comme les réflexions du comité d’éthique de la recherche concernant les dépôts de données, les pratiques exemplaires relatives aux métadonnées pour l’accès contrôlé aux jeux de données et les particularités techniques liées à l’infrastructure. En tout et pour tout, on compte cinq grandes catégories de recommandations : investissement à grande échelle pour le développement de l’infrastructure, définition et consolidation des rôles, </w:t>
      </w:r>
      <w:bookmarkStart w:id="4" w:name="_Hlk206078962"/>
      <w:r w:rsidRPr="00FB60C2">
        <w:rPr>
          <w:color w:val="000000"/>
        </w:rPr>
        <w:t>coordination et collaboration</w:t>
      </w:r>
      <w:bookmarkEnd w:id="4"/>
      <w:r w:rsidRPr="00FB60C2">
        <w:rPr>
          <w:color w:val="000000"/>
        </w:rPr>
        <w:t>, initiation des bonnes pratiques et des pratiques exemplaires, et protection des participantes et participants à la recherche.</w:t>
      </w:r>
    </w:p>
    <w:p w14:paraId="3649B40E" w14:textId="77777777" w:rsidR="00770F86" w:rsidRPr="00FB60C2" w:rsidRDefault="00770F86" w:rsidP="00B701C8"/>
    <w:p w14:paraId="448D550D" w14:textId="77777777" w:rsidR="00770F86" w:rsidRPr="00FB60C2" w:rsidRDefault="00770F86" w:rsidP="00B701C8">
      <w:r w:rsidRPr="00FB60C2">
        <w:rPr>
          <w:color w:val="000000"/>
        </w:rPr>
        <w:t>Voici donc la synthèse des grandes recommandations du rapport.</w:t>
      </w:r>
    </w:p>
    <w:p w14:paraId="7D04B700" w14:textId="77777777" w:rsidR="00770F86" w:rsidRPr="00FB60C2" w:rsidRDefault="00770F86" w:rsidP="00B701C8"/>
    <w:p w14:paraId="38ED6EB1" w14:textId="77777777" w:rsidR="00770F86" w:rsidRPr="00FB60C2" w:rsidRDefault="00770F86" w:rsidP="00B701C8">
      <w:r w:rsidRPr="00FB60C2">
        <w:rPr>
          <w:b/>
          <w:color w:val="000000"/>
        </w:rPr>
        <w:t>1</w:t>
      </w:r>
      <w:r w:rsidRPr="00FB60C2">
        <w:rPr>
          <w:color w:val="000000"/>
        </w:rPr>
        <w:t>.</w:t>
      </w:r>
      <w:r w:rsidRPr="00FB60C2">
        <w:rPr>
          <w:b/>
          <w:color w:val="000000"/>
        </w:rPr>
        <w:t>Investir à grande échelle pour le développement de l’infrastructure de GAC</w:t>
      </w:r>
      <w:r w:rsidRPr="00FB60C2">
        <w:rPr>
          <w:color w:val="000000"/>
        </w:rPr>
        <w:br/>
      </w:r>
    </w:p>
    <w:p w14:paraId="07BC412A" w14:textId="77777777" w:rsidR="00770F86" w:rsidRPr="00FB60C2" w:rsidRDefault="00770F86" w:rsidP="00B701C8">
      <w:r w:rsidRPr="00FB60C2">
        <w:rPr>
          <w:color w:val="000000"/>
        </w:rPr>
        <w:t>Il est urgent que l’on investisse dans une infrastructure propice à la gestion de l’accès contrôlé aux données de recherche dans l’écosystème de recherche canadien. En outre, il faut des fonds pour financer des activités de gouvernance et d’intendance qui assureront la conformité et l’efficacité des pratiques de gestion des données au sein de l’infrastructure en question.</w:t>
      </w:r>
    </w:p>
    <w:p w14:paraId="5C1C98F6" w14:textId="77777777" w:rsidR="00770F86" w:rsidRPr="00FB60C2" w:rsidRDefault="00770F86" w:rsidP="00B701C8"/>
    <w:p w14:paraId="5024F1C1" w14:textId="77777777" w:rsidR="00770F86" w:rsidRPr="00FB60C2" w:rsidRDefault="00770F86" w:rsidP="00B701C8">
      <w:pPr>
        <w:keepNext/>
      </w:pPr>
      <w:r w:rsidRPr="00FB60C2">
        <w:rPr>
          <w:b/>
          <w:color w:val="000000"/>
        </w:rPr>
        <w:t>2. Définir les rôles et outiller les parties prenantes qui doivent les endosser</w:t>
      </w:r>
    </w:p>
    <w:p w14:paraId="345B5188" w14:textId="77777777" w:rsidR="00770F86" w:rsidRPr="00FB60C2" w:rsidRDefault="00770F86" w:rsidP="00B701C8">
      <w:pPr>
        <w:keepNext/>
      </w:pPr>
      <w:r w:rsidRPr="00FB60C2">
        <w:rPr>
          <w:color w:val="000000"/>
        </w:rPr>
        <w:t xml:space="preserve">La gestion de l’accès contrôlé aux données de recherche concerne de nombreuses parties prenantes. De ce fait, il convient de clarifier la division des responsabilités, lorsque cela </w:t>
      </w:r>
      <w:r w:rsidRPr="00FB60C2">
        <w:rPr>
          <w:color w:val="000000"/>
        </w:rPr>
        <w:lastRenderedPageBreak/>
        <w:t>s’avère nécessaire, et de mieux soutenir les personnes concernées dans l’accomplissement de leurs tâches (notamment par le financement et d’autres types de ressources).</w:t>
      </w:r>
    </w:p>
    <w:p w14:paraId="2E538EC5" w14:textId="77777777" w:rsidR="00770F86" w:rsidRPr="00FB60C2" w:rsidRDefault="00770F86" w:rsidP="00B701C8"/>
    <w:p w14:paraId="5698F687" w14:textId="77777777" w:rsidR="00770F86" w:rsidRPr="00FB60C2" w:rsidRDefault="00770F86" w:rsidP="00B701C8">
      <w:pPr>
        <w:rPr>
          <w:b/>
        </w:rPr>
      </w:pPr>
      <w:r w:rsidRPr="00FB60C2">
        <w:rPr>
          <w:b/>
          <w:color w:val="000000"/>
        </w:rPr>
        <w:t>3. Favoriser la coordination et la collaboration entre les parties prenantes</w:t>
      </w:r>
    </w:p>
    <w:p w14:paraId="45368683" w14:textId="77777777" w:rsidR="00770F86" w:rsidRPr="00FB60C2" w:rsidRDefault="00770F86" w:rsidP="00B701C8">
      <w:pPr>
        <w:rPr>
          <w:b/>
        </w:rPr>
      </w:pPr>
    </w:p>
    <w:p w14:paraId="57D337E4" w14:textId="77777777" w:rsidR="00770F86" w:rsidRPr="00FB60C2" w:rsidRDefault="00770F86" w:rsidP="00B701C8">
      <w:r w:rsidRPr="00FB60C2">
        <w:rPr>
          <w:color w:val="000000"/>
        </w:rPr>
        <w:t>Pour une coordination et une collaboration adéquates dans le cadre de la gestion de l’accès contrôlé aux données de recherche, il faut que toutes les parties prenantes partagent la même compréhension des termes et des concepts du domaine, ce qui passe notamment par l’uniformisation du langage employé dans les formulaires de consentement, le cas échéant. De même, en mettant en place une ressource normalisée commune qui ferait état de l’envergure des dépôts de données de recherche canadiens – et de leurs mesures de gouvernance et de sécurité –, on ne ferait que faciliter la prise de décisions collaboratives entre chercheuses et chercheurs et établissements.</w:t>
      </w:r>
    </w:p>
    <w:p w14:paraId="5D13F9AC" w14:textId="77777777" w:rsidR="00770F86" w:rsidRPr="00FB60C2" w:rsidRDefault="00770F86" w:rsidP="00B701C8"/>
    <w:p w14:paraId="625E1F23" w14:textId="77777777" w:rsidR="00770F86" w:rsidRPr="00FB60C2" w:rsidRDefault="00770F86" w:rsidP="00B701C8">
      <w:pPr>
        <w:rPr>
          <w:b/>
        </w:rPr>
      </w:pPr>
      <w:r w:rsidRPr="00FB60C2">
        <w:rPr>
          <w:b/>
          <w:color w:val="000000"/>
        </w:rPr>
        <w:t>4. Initier les bonnes pratiques et les pratiques exemplaires</w:t>
      </w:r>
    </w:p>
    <w:p w14:paraId="4FDD71E2" w14:textId="77777777" w:rsidR="00770F86" w:rsidRPr="00FB60C2" w:rsidRDefault="00770F86" w:rsidP="00B701C8">
      <w:pPr>
        <w:rPr>
          <w:b/>
        </w:rPr>
      </w:pPr>
    </w:p>
    <w:p w14:paraId="7D66C1B7" w14:textId="77777777" w:rsidR="00770F86" w:rsidRPr="00FB60C2" w:rsidRDefault="00770F86" w:rsidP="00B701C8">
      <w:r w:rsidRPr="00FB60C2">
        <w:rPr>
          <w:color w:val="000000"/>
        </w:rPr>
        <w:t>Les établissements, les dépôts et les chercheuses et chercheurs ont besoin d’aide (financière, entre autres) pour mettre en œuvre les bonnes pratiques – et les pratiques exemplaires – de gestion d’accès contrôlé. Ces pratiques concernent toutes les strates de gestion du contrôle des accès, tout au long du cycle de vie des données de recherche, de l’intendance et la gouvernance des données à tout ce qui touche les métadonnées, la sécurité, la conformité et l’aspect technologique.</w:t>
      </w:r>
    </w:p>
    <w:p w14:paraId="6A2288C8" w14:textId="77777777" w:rsidR="00770F86" w:rsidRPr="00FB60C2" w:rsidRDefault="00770F86" w:rsidP="00B701C8">
      <w:r w:rsidRPr="00FB60C2">
        <w:rPr>
          <w:color w:val="000000"/>
        </w:rPr>
        <w:t xml:space="preserve">  </w:t>
      </w:r>
    </w:p>
    <w:p w14:paraId="49E651DF" w14:textId="77777777" w:rsidR="00770F86" w:rsidRPr="00FB60C2" w:rsidRDefault="00770F86" w:rsidP="00B701C8">
      <w:pPr>
        <w:rPr>
          <w:b/>
        </w:rPr>
      </w:pPr>
      <w:r w:rsidRPr="00FB60C2">
        <w:rPr>
          <w:b/>
          <w:color w:val="000000"/>
        </w:rPr>
        <w:t>5. Protéger la vie privée des participantes et participants à la recherche</w:t>
      </w:r>
    </w:p>
    <w:p w14:paraId="23DFC376" w14:textId="77777777" w:rsidR="00770F86" w:rsidRPr="00FB60C2" w:rsidRDefault="00770F86" w:rsidP="00B701C8">
      <w:pPr>
        <w:shd w:val="clear" w:color="auto" w:fill="FFFFFF"/>
        <w:spacing w:before="220" w:after="220"/>
      </w:pPr>
      <w:r w:rsidRPr="00FB60C2">
        <w:rPr>
          <w:color w:val="000000"/>
        </w:rPr>
        <w:t>Toutes les parties prenantes chargées de la collecte et de la gestion des identifiants – activités de dépersonnalisation et d’anonymisation comprises – devraient bénéficier d’un soutien, notamment financier, pour limiter les risques de réidentification des participantes et participants.</w:t>
      </w:r>
    </w:p>
    <w:p w14:paraId="5A5A4B79" w14:textId="77777777" w:rsidR="00770F86" w:rsidRPr="00FB60C2" w:rsidRDefault="00770F86" w:rsidP="00B701C8"/>
    <w:p w14:paraId="550E5758" w14:textId="77777777" w:rsidR="00770F86" w:rsidRPr="00FB60C2" w:rsidRDefault="00770F86" w:rsidP="00B701C8">
      <w:pPr>
        <w:rPr>
          <w:b/>
        </w:rPr>
      </w:pPr>
      <w:r w:rsidRPr="00FB60C2">
        <w:rPr>
          <w:b/>
          <w:color w:val="000000"/>
        </w:rPr>
        <w:t>Conclusion</w:t>
      </w:r>
    </w:p>
    <w:p w14:paraId="2239A483" w14:textId="77777777" w:rsidR="00770F86" w:rsidRPr="00FB60C2" w:rsidRDefault="00770F86" w:rsidP="00B701C8"/>
    <w:p w14:paraId="1868EB64" w14:textId="77777777" w:rsidR="00770F86" w:rsidRPr="00FB60C2" w:rsidRDefault="00770F86" w:rsidP="00B701C8">
      <w:r w:rsidRPr="00FB60C2">
        <w:rPr>
          <w:color w:val="000000"/>
        </w:rPr>
        <w:t xml:space="preserve">Si de gros investissements s’avèrent nécessaires pour le développement d’une infrastructure et d’une gouvernance des données, il est tout aussi indispensable pour l’écosystème de recherche canadien de poursuivre sans relâche les efforts de collaboration afin de renforcer les capacités de gestion du contrôle d’accès aux données de recherche. Il est essentiel de fixer des objectifs d’investissement clairs, ce qui nécessitera une collaboration entre l’Alliance, les organisations partenaires, les groupes de travail </w:t>
      </w:r>
      <w:bookmarkStart w:id="5" w:name="_Hlk206088091"/>
      <w:r w:rsidRPr="00FB60C2">
        <w:rPr>
          <w:color w:val="000000"/>
        </w:rPr>
        <w:t xml:space="preserve">de GAC </w:t>
      </w:r>
      <w:bookmarkEnd w:id="5"/>
      <w:r w:rsidRPr="00FB60C2">
        <w:rPr>
          <w:color w:val="000000"/>
        </w:rPr>
        <w:t>et d’autres parties prenantes. Les prochaines phases de l’Initiative reposeront sur le travail déjà réalisé; elles consisteront en effet à élaborer des plans d’action pour l’intégration des recommandations et, par la suite, leur mise en œuvre opérationnelle. D’autres projets et occasions de collaboration dans des domaines connexes à la gestion de l’accès contrôlé seront également chapeautés par l’Initiative de GAC.</w:t>
      </w:r>
    </w:p>
    <w:p w14:paraId="0C1B1ED8" w14:textId="77777777" w:rsidR="00770F86" w:rsidRPr="00FB60C2" w:rsidRDefault="00770F86" w:rsidP="00B701C8">
      <w:pPr>
        <w:pStyle w:val="Heading1"/>
        <w:numPr>
          <w:ilvl w:val="0"/>
          <w:numId w:val="7"/>
        </w:numPr>
      </w:pPr>
      <w:bookmarkStart w:id="6" w:name="_Toc207100004"/>
      <w:r w:rsidRPr="00FB60C2">
        <w:rPr>
          <w:color w:val="000000"/>
        </w:rPr>
        <w:lastRenderedPageBreak/>
        <w:t>Remerciements</w:t>
      </w:r>
      <w:bookmarkEnd w:id="6"/>
    </w:p>
    <w:p w14:paraId="077AEAD6" w14:textId="77777777" w:rsidR="00770F86" w:rsidRPr="00FB60C2" w:rsidRDefault="00770F86" w:rsidP="00B701C8">
      <w:pPr>
        <w:spacing w:before="240" w:after="240"/>
      </w:pPr>
      <w:r w:rsidRPr="00FB60C2">
        <w:rPr>
          <w:color w:val="000000"/>
        </w:rPr>
        <w:t>L’Initiative de gestion de l’accès contrôlé (GAC) et le présent document n’auraient pas vu le jour sans le temps, le savoir-faire et l’énergie des nombreuses et généreuses personnes et organisations de l’écosystème canadien de données de recherche.</w:t>
      </w:r>
    </w:p>
    <w:p w14:paraId="118FC739" w14:textId="77777777" w:rsidR="00770F86" w:rsidRPr="00FB60C2" w:rsidRDefault="00770F86" w:rsidP="00B701C8">
      <w:pPr>
        <w:spacing w:before="240" w:after="240"/>
      </w:pPr>
      <w:r w:rsidRPr="00FB60C2">
        <w:rPr>
          <w:color w:val="000000"/>
        </w:rPr>
        <w:t xml:space="preserve">Nous exprimons toute notre gratitude aux </w:t>
      </w:r>
      <w:r w:rsidRPr="00FB60C2">
        <w:rPr>
          <w:b/>
          <w:color w:val="000000"/>
        </w:rPr>
        <w:t>membres des groupes de travail de GAC</w:t>
      </w:r>
      <w:r w:rsidRPr="00FB60C2">
        <w:rPr>
          <w:color w:val="000000"/>
        </w:rPr>
        <w:t xml:space="preserve"> pour leurs précieux avis et leur esprit de collaboration. Leur mobilisation bienveillante a façonné notre travail et eu un apport considérable dans l’élaboration des recommandations énoncées dans les pages qui suivent. Nous remercions également les organisations qui ont soutenu ces membres et reconnu l’importance d’un grand effort national pour mener à bien notre labeur.</w:t>
      </w:r>
    </w:p>
    <w:p w14:paraId="53DA8104" w14:textId="77777777" w:rsidR="00770F86" w:rsidRPr="00FB60C2" w:rsidRDefault="00770F86" w:rsidP="00B701C8">
      <w:pPr>
        <w:spacing w:before="240" w:after="240"/>
      </w:pPr>
      <w:r w:rsidRPr="00FB60C2">
        <w:rPr>
          <w:color w:val="000000"/>
        </w:rPr>
        <w:t xml:space="preserve">Nous tenons à témoigner une reconnaissance toute particulière aux </w:t>
      </w:r>
      <w:r w:rsidRPr="00FB60C2">
        <w:rPr>
          <w:b/>
          <w:color w:val="000000"/>
        </w:rPr>
        <w:t>présidentes et présidents des</w:t>
      </w:r>
      <w:r w:rsidRPr="00FB60C2">
        <w:rPr>
          <w:color w:val="000000"/>
        </w:rPr>
        <w:t xml:space="preserve"> </w:t>
      </w:r>
      <w:r w:rsidRPr="00FB60C2">
        <w:rPr>
          <w:b/>
          <w:color w:val="000000"/>
        </w:rPr>
        <w:t>groupes de travail</w:t>
      </w:r>
      <w:r w:rsidRPr="00FB60C2">
        <w:rPr>
          <w:bCs/>
          <w:color w:val="000000"/>
        </w:rPr>
        <w:t xml:space="preserve"> : </w:t>
      </w:r>
      <w:r w:rsidRPr="00FB60C2">
        <w:rPr>
          <w:color w:val="000000"/>
        </w:rPr>
        <w:t>Jennifer Abel (Université de Calgary), Becky Pero (Université Queen’s), Ian Percel (Université de Calgary) et Victoria Smith (Alliance de recherche numérique du Canada). Grâce à leurs qualités de leadership, ils ont su diriger le processus collaboratif, amorcer les discussions et créer consensus dans un domaine complexe et en mutation. Notre initiative n’aurait pas réussi sans leur travail acharné et leur dévouement.</w:t>
      </w:r>
    </w:p>
    <w:p w14:paraId="00944FD9" w14:textId="77777777" w:rsidR="00770F86" w:rsidRPr="00FB60C2" w:rsidRDefault="00770F86" w:rsidP="00B701C8">
      <w:pPr>
        <w:spacing w:before="240" w:after="240"/>
      </w:pPr>
      <w:r w:rsidRPr="00FB60C2">
        <w:rPr>
          <w:color w:val="000000"/>
        </w:rPr>
        <w:t xml:space="preserve">Par ailleurs, nous remercions sincèrement les </w:t>
      </w:r>
      <w:r w:rsidRPr="00FB60C2">
        <w:rPr>
          <w:b/>
          <w:color w:val="000000"/>
        </w:rPr>
        <w:t>organisations partenaires</w:t>
      </w:r>
      <w:r w:rsidRPr="00FB60C2">
        <w:rPr>
          <w:color w:val="000000"/>
        </w:rPr>
        <w:t xml:space="preserve"> dont la collaboration a été fondamentale pour l’Initiative de GAC. La détermination dont elles ont fait preuve au moment d’explorer les défis communs et les solutions possibles en matière de gestion du contrôle d’accès aux données de recherche, ainsi que leurs autres contributions, sont venues confirmer la pertinence, l’applicabilité et l’ampleur des recommandations formulées dans le rapport.</w:t>
      </w:r>
    </w:p>
    <w:p w14:paraId="54C7DFB1" w14:textId="77777777" w:rsidR="00770F86" w:rsidRPr="00FB60C2" w:rsidRDefault="00770F86" w:rsidP="00B701C8">
      <w:pPr>
        <w:spacing w:before="240" w:after="240"/>
      </w:pPr>
      <w:r w:rsidRPr="00FB60C2">
        <w:rPr>
          <w:color w:val="000000"/>
        </w:rPr>
        <w:t>Nous ne passerons pas sous silence le leadership de l’</w:t>
      </w:r>
      <w:r w:rsidRPr="00FB60C2">
        <w:rPr>
          <w:b/>
          <w:color w:val="000000"/>
        </w:rPr>
        <w:t>Université de Montréal (UdeM)</w:t>
      </w:r>
      <w:r w:rsidRPr="00FB60C2">
        <w:rPr>
          <w:color w:val="000000"/>
        </w:rPr>
        <w:t xml:space="preserve"> et du </w:t>
      </w:r>
      <w:r w:rsidRPr="00FB60C2">
        <w:rPr>
          <w:b/>
          <w:color w:val="000000"/>
        </w:rPr>
        <w:t>Dépôt fédéré de données de recherche (DFDR)</w:t>
      </w:r>
      <w:r w:rsidRPr="00FB60C2">
        <w:rPr>
          <w:color w:val="000000"/>
        </w:rPr>
        <w:t xml:space="preserve"> dans le cadre d’un projet pilote innovant et important. Celui-ci a renforcé la capacité du DFDR d’encadrer le contrôle de l’accès aux données de recherche ainsi que la faculté de l’UdeM d’assister ses chercheuses et ses chercheurs dans la consignation, la transmission et la réutilisation contrôlées des données. Un rapport sur le processus et les conclusions de ce projet pilote sera publié séparément. Nous remercions sincèrement l’UdeM et le DFDR d’avoir pris part à ce travail décisif.</w:t>
      </w:r>
    </w:p>
    <w:p w14:paraId="12DD7B6C" w14:textId="77777777" w:rsidR="00770F86" w:rsidRPr="00FB60C2" w:rsidRDefault="00770F86" w:rsidP="00B701C8">
      <w:pPr>
        <w:spacing w:before="240" w:after="240"/>
      </w:pPr>
      <w:r w:rsidRPr="00FB60C2">
        <w:rPr>
          <w:color w:val="000000"/>
        </w:rPr>
        <w:t xml:space="preserve">Pour finir, nous adressons nos plus vifs remerciements aux </w:t>
      </w:r>
      <w:r w:rsidRPr="00FB60C2">
        <w:rPr>
          <w:b/>
          <w:bCs/>
          <w:color w:val="000000"/>
        </w:rPr>
        <w:t>membres du personnel de l’Initiative de GAC</w:t>
      </w:r>
      <w:r w:rsidRPr="00FB60C2">
        <w:rPr>
          <w:color w:val="000000"/>
        </w:rPr>
        <w:t>, Haolin Ye (Unity Health Toronto), Jonathan Reeves-Latour (Université de Montréal) et Nicole Schoer (Centre de toxicomanie et de san</w:t>
      </w:r>
      <w:r w:rsidRPr="00FB60C2">
        <w:rPr>
          <w:b/>
          <w:bCs/>
          <w:color w:val="000000"/>
        </w:rPr>
        <w:t>t</w:t>
      </w:r>
      <w:r w:rsidRPr="00FB60C2">
        <w:rPr>
          <w:color w:val="000000"/>
        </w:rPr>
        <w:t>é mentale), pour leur dur labeur, leurs efforts de coordination et d’animation et leur savoir-faire de spécialistes. Leur travail a été fondamental pour l’initiative et pour la rédaction de ce rapport.</w:t>
      </w:r>
    </w:p>
    <w:p w14:paraId="55D48F50" w14:textId="77777777" w:rsidR="00770F86" w:rsidRPr="00FB60C2" w:rsidRDefault="00770F86" w:rsidP="00B701C8">
      <w:pPr>
        <w:spacing w:before="240" w:after="240"/>
      </w:pPr>
      <w:r w:rsidRPr="00FB60C2">
        <w:rPr>
          <w:color w:val="000000"/>
        </w:rPr>
        <w:t>À toutes les personnes qui ont apporté leur pierre à l’édifice : merci infiniment pour votre temps, vos idées et votre bienveillance.</w:t>
      </w:r>
    </w:p>
    <w:p w14:paraId="568AC8ED" w14:textId="77777777" w:rsidR="00770F86" w:rsidRPr="00FB60C2" w:rsidRDefault="00770F86" w:rsidP="00B701C8">
      <w:pPr>
        <w:pStyle w:val="Heading1"/>
        <w:numPr>
          <w:ilvl w:val="0"/>
          <w:numId w:val="7"/>
        </w:numPr>
      </w:pPr>
      <w:bookmarkStart w:id="7" w:name="_Toc207100005"/>
      <w:r w:rsidRPr="00FB60C2">
        <w:rPr>
          <w:color w:val="000000"/>
        </w:rPr>
        <w:lastRenderedPageBreak/>
        <w:t>Présentation de l’Initiative de gestion de l’accès contrôlé</w:t>
      </w:r>
      <w:bookmarkEnd w:id="7"/>
    </w:p>
    <w:p w14:paraId="254B1646" w14:textId="77777777" w:rsidR="00770F86" w:rsidRPr="00FB60C2" w:rsidRDefault="00770F86" w:rsidP="00B701C8">
      <w:r w:rsidRPr="00FB60C2">
        <w:rPr>
          <w:color w:val="000000"/>
        </w:rPr>
        <w:t>L’Initiative de gestion de l’accès contrôlé (« l’Initiative de GAC ») est née de la collaboration entre 29 organisations partenaires et l’Alliance de recherche numérique du Canada (« l’Alliance »). Elle offre un forum de coopération et de co-élaboration de recommandations entre les organisations partenaires en vue de renforcer les capacités de l’écosystème de recherche canadien en matière de gestion de l’accès contrôlé aux données de recherche, qu’il s’agisse de l’accès aux données, de leur réutilisation ou de leur intendance sur le long terme, notamment dans le cadre de la consignation dans des dépôts de données.</w:t>
      </w:r>
    </w:p>
    <w:p w14:paraId="4CA23DAA" w14:textId="77777777" w:rsidR="00770F86" w:rsidRPr="00FB60C2" w:rsidRDefault="00770F86" w:rsidP="00B701C8"/>
    <w:p w14:paraId="0724927B" w14:textId="77777777" w:rsidR="00770F86" w:rsidRPr="00FB60C2" w:rsidRDefault="00770F86" w:rsidP="00B701C8">
      <w:r w:rsidRPr="00FB60C2">
        <w:rPr>
          <w:color w:val="000000"/>
        </w:rPr>
        <w:t>L’Initiative de GAC reconnaît que la gestion de l’accès contrôlé aux données requiert une infrastructure, des moyens technologiques, des activités de gouvernance et d’intendance des données ainsi que des ressources sur les données de recherche (formation, éducation, etc.). On sait que l’efficacité technologique peut engendrer des risques de non-conformité juridique si elle ne s’accompagne pas d’une gouvernance et d’une intendance efficaces des données. Or, un solide cadre de gouvernance peut s’avérer inefficace si les chercheuses et chercheurs et les autres parties prenantes n’ont pas accès à une infrastructure adéquate, ou à la formation et à l’éducation nécessaires; de même, la formation et l’éducation sont inutiles si les chercheuses et chercheurs ne disposent pas d’une infrastructure digne de ce nom, ou de cadres de gouvernance ou d’intendance des données pour l’exploiter et adopter des pratiques exemplaires.</w:t>
      </w:r>
    </w:p>
    <w:p w14:paraId="2114257E" w14:textId="77777777" w:rsidR="00770F86" w:rsidRPr="00FB60C2" w:rsidRDefault="00770F86" w:rsidP="00B701C8"/>
    <w:p w14:paraId="1CEF1E14" w14:textId="77777777" w:rsidR="00770F86" w:rsidRPr="00FB60C2" w:rsidRDefault="00770F86" w:rsidP="00B701C8">
      <w:r w:rsidRPr="00FB60C2">
        <w:rPr>
          <w:color w:val="000000"/>
        </w:rPr>
        <w:t>Forte des observations des organisations partenaires, l’Initiative de GAC a formé trois groupes de travail pour examiner les principaux enjeux et élaborer des recommandations d’amélioration de la gestion de l’accès contrôlé : un groupe de travail sur l’état des choses, un autre sur la technologie et les services, et un troisième sur l’intendance des données. La composition de chaque groupe de travail était diversifiée; on y comptait toutes sortes de professionnels du domaine, comme des bibliothécaires spécialistes de la gestion des données de recherche (GDR), des spécialistes des technologies de l’information (TI), des conseillères et conseillers en éthique de la recherche, et plus encore. Étant donné la diversité de points de vue professionnels et des organisations participantes, les recommandations ainsi élaborées puisent dans des compétences croisées pour répondre aux besoins, aux priorités, aux défis et aux objectifs de toutes sortes d’organisations au Canada. Bien qu’il soit de fait impossible de consulter tout le monde, les établissements et les personnes qui ont participé à cette initiative représentent une vaste proportion des protagonistes de la gestion de l’accès contrôlé, toutes et tous aussi importants les uns que les autres.</w:t>
      </w:r>
    </w:p>
    <w:p w14:paraId="1C61ADCC" w14:textId="77777777" w:rsidR="00770F86" w:rsidRPr="00FB60C2" w:rsidRDefault="00770F86" w:rsidP="00B701C8"/>
    <w:p w14:paraId="6A553E5A" w14:textId="77777777" w:rsidR="00770F86" w:rsidRPr="00FB60C2" w:rsidRDefault="00770F86" w:rsidP="00B701C8">
      <w:r w:rsidRPr="00FB60C2">
        <w:rPr>
          <w:color w:val="000000"/>
        </w:rPr>
        <w:t>Le présent document présente une synthèse de l’état des choses en matière de gestion de l’accès contrôlé des données de recherche au Canada, mais aussi des besoins et défis connexes recensés par les organisations partenaires. De même, on y trouve les recommandations élaborées, révisées et peaufinées par les organisations partenaires participantes.</w:t>
      </w:r>
    </w:p>
    <w:p w14:paraId="6345FB54" w14:textId="77777777" w:rsidR="00770F86" w:rsidRPr="003F51C9" w:rsidRDefault="00770F86" w:rsidP="00B701C8"/>
    <w:p w14:paraId="0EC7B04B" w14:textId="77777777" w:rsidR="00770F86" w:rsidRPr="00FB60C2" w:rsidRDefault="00770F86" w:rsidP="00B701C8">
      <w:pPr>
        <w:pStyle w:val="Heading1"/>
        <w:numPr>
          <w:ilvl w:val="0"/>
          <w:numId w:val="7"/>
        </w:numPr>
      </w:pPr>
      <w:bookmarkStart w:id="8" w:name="_Toc206069533"/>
      <w:bookmarkStart w:id="9" w:name="_Toc207100006"/>
      <w:r w:rsidRPr="00FB60C2">
        <w:rPr>
          <w:color w:val="000000"/>
        </w:rPr>
        <w:lastRenderedPageBreak/>
        <w:t>Paysage de l’écosystème canadien de gestion de l’accès contrôlé, besoins et enjeux</w:t>
      </w:r>
      <w:bookmarkEnd w:id="8"/>
      <w:bookmarkEnd w:id="9"/>
      <w:r w:rsidRPr="00FB60C2">
        <w:rPr>
          <w:color w:val="000000"/>
        </w:rPr>
        <w:t xml:space="preserve"> </w:t>
      </w:r>
    </w:p>
    <w:p w14:paraId="1DC2DA81" w14:textId="77777777" w:rsidR="00770F86" w:rsidRPr="00FB60C2" w:rsidRDefault="00770F86" w:rsidP="00B701C8">
      <w:pPr>
        <w:ind w:left="720"/>
      </w:pPr>
    </w:p>
    <w:p w14:paraId="5745559D" w14:textId="77777777" w:rsidR="00770F86" w:rsidRPr="00FB60C2" w:rsidRDefault="00770F86" w:rsidP="00B701C8">
      <w:pPr>
        <w:pStyle w:val="Heading2"/>
        <w:numPr>
          <w:ilvl w:val="0"/>
          <w:numId w:val="20"/>
        </w:numPr>
        <w:spacing w:before="0"/>
      </w:pPr>
      <w:bookmarkStart w:id="10" w:name="_Toc206069534"/>
      <w:bookmarkStart w:id="11" w:name="_Toc207100007"/>
      <w:r w:rsidRPr="00FB60C2">
        <w:rPr>
          <w:color w:val="000000"/>
        </w:rPr>
        <w:t>Paysage de la gestion de l’accès contrôlé au Canada</w:t>
      </w:r>
      <w:bookmarkEnd w:id="10"/>
      <w:bookmarkEnd w:id="11"/>
    </w:p>
    <w:p w14:paraId="19F23E35" w14:textId="77777777" w:rsidR="00770F86" w:rsidRPr="00FB60C2" w:rsidRDefault="00770F86" w:rsidP="00B701C8"/>
    <w:p w14:paraId="7D492661" w14:textId="77777777" w:rsidR="00770F86" w:rsidRPr="00FB60C2" w:rsidRDefault="00770F86" w:rsidP="00B701C8">
      <w:pPr>
        <w:rPr>
          <w:color w:val="000000"/>
        </w:rPr>
      </w:pPr>
      <w:r w:rsidRPr="00FB60C2">
        <w:rPr>
          <w:color w:val="000000"/>
        </w:rPr>
        <w:t xml:space="preserve">Pour la phase 1 de l’Initiative de gestion de l’accès contrôlé (GAC), l’un des principaux objectifs du groupe de travail sur l’état des choses était de comprendre et de décrire l’état actuel de l’écosystème canadien de GAC. Le groupe de travail a donc entrepris, de septembre 2024 à mars 2025, de rassembler des ressources pertinentes par deux moyens  : d’abord en diffusant dans ses réseaux un appel au contenu et aux ressources traitant de la question, puis, dans une visée complémentaire, en menant sa propre recherche structurée de littérature sur le sujet. Si l’objectif était de rassembler des ressources propres au Canada, le groupe de travail a aussi retenu des ressources de l’étranger pouvant orienter les façons de faire au Canada. Le fruit de ce travail est consigné dans une bibliothèque Zotero accessible en ligne : </w:t>
      </w:r>
      <w:hyperlink r:id="rId7" w:history="1">
        <w:r w:rsidRPr="00FB60C2">
          <w:rPr>
            <w:color w:val="1155CC"/>
            <w:u w:val="single"/>
          </w:rPr>
          <w:t>https://www.zotero.org/groups/5616282/camrdi</w:t>
        </w:r>
      </w:hyperlink>
      <w:r w:rsidRPr="00FB60C2">
        <w:rPr>
          <w:color w:val="000000"/>
        </w:rPr>
        <w:t xml:space="preserve"> (en anglais seulement). </w:t>
      </w:r>
    </w:p>
    <w:p w14:paraId="7A52611A" w14:textId="77777777" w:rsidR="00770F86" w:rsidRPr="00FB60C2" w:rsidRDefault="00770F86" w:rsidP="00B701C8"/>
    <w:p w14:paraId="45642B0A" w14:textId="77777777" w:rsidR="00770F86" w:rsidRPr="00FB60C2" w:rsidRDefault="00770F86" w:rsidP="00B701C8">
      <w:r w:rsidRPr="00FB60C2">
        <w:rPr>
          <w:color w:val="000000"/>
        </w:rPr>
        <w:t>La présente section résume les ressources recensées en date de mars 2025. Après un premier survol des ressources compilées et de la recherche documentaire, le groupe de travail a dégagé divers thèmes, tendances et lacunes. Une analyse approfondie de ces documents pourrait se faire dans une prochaine phase de l’Initiative de GAC. L’annexe 3 détaille les processus de sollicitation, de recherche et d’organisation de la bibliothèque Zotero.</w:t>
      </w:r>
    </w:p>
    <w:p w14:paraId="2ED3FD91" w14:textId="77777777" w:rsidR="00770F86" w:rsidRPr="00FB60C2" w:rsidRDefault="00770F86" w:rsidP="00B701C8"/>
    <w:p w14:paraId="15B382D6" w14:textId="77777777" w:rsidR="00770F86" w:rsidRPr="00FB60C2" w:rsidRDefault="00770F86" w:rsidP="00B701C8">
      <w:r w:rsidRPr="00FB60C2">
        <w:rPr>
          <w:color w:val="000000"/>
        </w:rPr>
        <w:t xml:space="preserve">Selon le groupe de travail sur la découverte des données à accès limité du réseau d’experts de la GDR, il ressort certains constats fondamentaux sur l’état actuel de la GAC au Canada, tirés de trois articles reçus lors de la démarche de sollicitation. En 2022, ce groupe a mené une analyse du contexte relative aux données à accès limité dans des sources canadiennes de diverses provenances (gouvernement, universités, organismes à but non lucratif, secteur privé, etc.) (Reed </w:t>
      </w:r>
      <w:r w:rsidRPr="00FB60C2">
        <w:rPr>
          <w:iCs/>
          <w:color w:val="000000"/>
        </w:rPr>
        <w:t>et coll.</w:t>
      </w:r>
      <w:r w:rsidRPr="00FB60C2">
        <w:rPr>
          <w:color w:val="000000"/>
        </w:rPr>
        <w:t>, 2024a, b, c). Sur les 137 sources examinées, 20 émanaient du milieu universitaire, mais sans pour autant puiser dans les données de recherche – plusieurs mettaient plutôt en exergue des données administratives ou colligées par les établissements. Encore 15 autres sources provenaient d’un établissement universitaire ou avaient été produites en partenariat avec un projet universitaire. Ainsi, les sources de données de recherche à accès limité produites par un établissement universitaire ou en partenariat avec un projet universitaire ne représentaient qu’environ 25 % des sources colligées, tandis que 63 des 137 documents recensés (46 %) provenaient d’une source gouvernementale. Compte tenu de la quantité d’universités au Canada, cette proportion est plutôt faible. Le groupe de travail a en outre relevé des obstacles notables à l’accès aux données, notamment l’absence de normes encadrant les métadonnées, l’impossibilité de trouver des jeux de données par une recherche ou une navigation, un manque de documents favorisant la réutilisation des données, l’absence de renseignements tarifaires et l’opacité des restrictions appliquées aux jeux de données.</w:t>
      </w:r>
    </w:p>
    <w:p w14:paraId="22AF1972" w14:textId="77777777" w:rsidR="00770F86" w:rsidRPr="00FB60C2" w:rsidRDefault="00770F86" w:rsidP="00B701C8"/>
    <w:p w14:paraId="326FEBC1" w14:textId="77777777" w:rsidR="00770F86" w:rsidRPr="00FB60C2" w:rsidRDefault="00770F86" w:rsidP="00B701C8">
      <w:r w:rsidRPr="00FB60C2">
        <w:t>L</w:t>
      </w:r>
      <w:r w:rsidRPr="00FB60C2">
        <w:rPr>
          <w:color w:val="000000"/>
        </w:rPr>
        <w:t xml:space="preserve">e groupe de travail a constaté que, outre leur rareté, les données de recherche provenant de sources à accès limité émanant d’universités ou produites en partenariat avec des </w:t>
      </w:r>
      <w:r w:rsidRPr="00FB60C2">
        <w:rPr>
          <w:color w:val="000000"/>
        </w:rPr>
        <w:lastRenderedPageBreak/>
        <w:t>universités avaient une portée restreinte. La plupart des jeux de données portaient sur la santé ou les sciences naturelles, et seulement quelques-unes traitaient de sciences sociales. Ce constat n’est guère surprenant, sachant que c’est dans ces disciplines que le partage des données est le plus fréquent et que certaines sources portaient sur des projets particuliers, mais il indique tout de même l’existence de champs de recherche où il n’y a actuellement aucune option de GAC.</w:t>
      </w:r>
    </w:p>
    <w:p w14:paraId="0AB40D94" w14:textId="77777777" w:rsidR="00770F86" w:rsidRPr="00FB60C2" w:rsidRDefault="00770F86" w:rsidP="00B701C8"/>
    <w:p w14:paraId="38799EAA" w14:textId="77777777" w:rsidR="00770F86" w:rsidRPr="00FB60C2" w:rsidRDefault="00770F86" w:rsidP="00B701C8">
      <w:pPr>
        <w:rPr>
          <w:color w:val="000000"/>
        </w:rPr>
      </w:pPr>
      <w:r w:rsidRPr="00FB60C2">
        <w:rPr>
          <w:color w:val="000000"/>
        </w:rPr>
        <w:t>Au Canada, il y a essentiellement deux dépôts généraux : Borealis et le DFDR. Borealis et le réseau d’établissements qui y sont affiliés offrent la possibilité de limiter l’accès aux données. Les établissements qui l’utilisent peuvent définir des restrictions d’accès selon leurs propres exigences et politiques. Dans ses conditions d’utilisation, Borealis propose des moyens techniques de restreindre l’accès aux données non sensibles, mais la caractérisation et la gestion des données sensibles reviennent tout de même aux établissements. En outre, Borealis n’effectue aucune vérification ou validation des données sensibles; c’est plutôt aux établissements qu’incombent ces responsabilités. Le DFDR n’accepte quant à lui aucune donnée à accès restreint, mais teste actuellement une nouvelle fonctionnalité de restriction d’accès. En réponse au resserrement des exigences, notamment celles de la Politique des trois organismes sur la gestion des données de recherche, le travail d’amélioration des fonctionnalités et de l’hébergement des jeux de données à accès restreint se poursuit pour des dépôts comme Borealis et le DFDR.</w:t>
      </w:r>
    </w:p>
    <w:p w14:paraId="2CC8A691" w14:textId="77777777" w:rsidR="00770F86" w:rsidRPr="00FB60C2" w:rsidRDefault="00770F86" w:rsidP="00B701C8">
      <w:pPr>
        <w:rPr>
          <w:color w:val="000000"/>
        </w:rPr>
      </w:pPr>
    </w:p>
    <w:p w14:paraId="28AAD51B" w14:textId="77777777" w:rsidR="00770F86" w:rsidRPr="00FB60C2" w:rsidRDefault="00770F86" w:rsidP="00B701C8">
      <w:r w:rsidRPr="00FB60C2">
        <w:rPr>
          <w:color w:val="000000"/>
        </w:rPr>
        <w:t>Une bonne partie des documents que le groupe de travail a reçus après la démarche de sollicitation traitaient de la capacité à contrôler l’accès aux données de recherches universitaires hors du Canada. Plusieurs dépôts réputés, qui pourraient inspirer le travail réalisé au Canada, revenaient fréquemment.</w:t>
      </w:r>
    </w:p>
    <w:p w14:paraId="3CBE2AC6" w14:textId="77777777" w:rsidR="00770F86" w:rsidRPr="00FB60C2" w:rsidRDefault="00770F86" w:rsidP="00B701C8">
      <w:pPr>
        <w:numPr>
          <w:ilvl w:val="0"/>
          <w:numId w:val="11"/>
        </w:numPr>
      </w:pPr>
      <w:r w:rsidRPr="00FB60C2">
        <w:rPr>
          <w:color w:val="000000"/>
        </w:rPr>
        <w:t>L’</w:t>
      </w:r>
      <w:hyperlink r:id="rId8" w:history="1">
        <w:r w:rsidRPr="00FB60C2">
          <w:rPr>
            <w:color w:val="1155CC"/>
            <w:u w:val="single"/>
          </w:rPr>
          <w:t>Inter-University Consortium for Political and Social Research</w:t>
        </w:r>
      </w:hyperlink>
      <w:r w:rsidRPr="00FB60C2">
        <w:rPr>
          <w:color w:val="000000"/>
        </w:rPr>
        <w:t xml:space="preserve"> (ICPSR) </w:t>
      </w:r>
      <w:bookmarkStart w:id="12" w:name="_Hlk205474116"/>
      <w:r w:rsidRPr="00FB60C2">
        <w:rPr>
          <w:color w:val="000000"/>
        </w:rPr>
        <w:t>(en anglais seulement) est un dépôt affilié à l’Université du Michigan. Bien que la majorité du contenu qui</w:t>
      </w:r>
      <w:bookmarkEnd w:id="12"/>
      <w:r w:rsidRPr="00FB60C2">
        <w:rPr>
          <w:color w:val="000000"/>
        </w:rPr>
        <w:t xml:space="preserve"> y est hébergé soit accessible au public, la plateforme contient aussi des jeux de données dont l’accès est soumis à des conditions particulières (ICPSR, s.d.). </w:t>
      </w:r>
    </w:p>
    <w:p w14:paraId="667BD015" w14:textId="77777777" w:rsidR="00770F86" w:rsidRPr="00FB60C2" w:rsidRDefault="00770F86" w:rsidP="00B701C8">
      <w:pPr>
        <w:ind w:left="720"/>
        <w:rPr>
          <w:color w:val="000000"/>
        </w:rPr>
      </w:pPr>
      <w:r w:rsidRPr="00FB60C2">
        <w:rPr>
          <w:color w:val="000000"/>
        </w:rPr>
        <w:t xml:space="preserve">Selon le niveau de risque et de confidentialité, il est possible d’accéder aux données à accès restreint par quatre méthodes : un téléchargement sécurisé; une enclave de données basée sur la virtualisation (consultation des données sur les serveurs d’accès à distance de l’ICPSR); une enclave de données basée sur le matériel; et l’accès en ligne au système Survey Documentation and Analysis. Les étapes des processus de demande, d’examen et d’approbation dépendent du niveau de risque et de confidentialité des données. </w:t>
      </w:r>
    </w:p>
    <w:p w14:paraId="36EAB3E2" w14:textId="77777777" w:rsidR="00770F86" w:rsidRPr="00FB60C2" w:rsidRDefault="00770F86" w:rsidP="00B701C8">
      <w:pPr>
        <w:pStyle w:val="ListParagraph"/>
        <w:numPr>
          <w:ilvl w:val="0"/>
          <w:numId w:val="23"/>
        </w:numPr>
        <w:ind w:left="709"/>
        <w:rPr>
          <w:color w:val="000000"/>
        </w:rPr>
      </w:pPr>
      <w:r w:rsidRPr="00FB60C2">
        <w:rPr>
          <w:color w:val="000000"/>
        </w:rPr>
        <w:t xml:space="preserve">Le </w:t>
      </w:r>
      <w:hyperlink r:id="rId9" w:history="1">
        <w:r w:rsidRPr="00FB60C2">
          <w:rPr>
            <w:color w:val="1155CC"/>
            <w:u w:val="single"/>
          </w:rPr>
          <w:t>Qualitative Data Repository</w:t>
        </w:r>
      </w:hyperlink>
      <w:r w:rsidRPr="00FB60C2">
        <w:rPr>
          <w:color w:val="000000"/>
        </w:rPr>
        <w:t xml:space="preserve"> (QDR) (en anglais seulement) est un dépôt affilié à l’Université de Syracuse qui renferme des données qualitatives issues de recherches multiméthodes menées en sciences sociales et dans des disciplines connexes. Cette plateforme financée par la National Science Foundation (NSF) et par plusieurs philanthropes vise à combler une lacune infrastructurelle, soit « l’absence d’emplacements appropriés pour stocker et diffuser des données qualitatives » (</w:t>
      </w:r>
      <w:r w:rsidRPr="00FB60C2">
        <w:rPr>
          <w:i/>
          <w:iCs/>
          <w:color w:val="000000"/>
        </w:rPr>
        <w:t>Qualitative Data Repository</w:t>
      </w:r>
      <w:r w:rsidRPr="00FB60C2">
        <w:rPr>
          <w:color w:val="000000"/>
        </w:rPr>
        <w:t xml:space="preserve">, s.d.-a). Plutôt que de proposer des données intégralement ouvertes, comme le font de nombreux dépôts, QDR requiert une inscription, limite la réutilisation des données et, pour certaines données restreintes, exige que les utilisatrices et utilisateurs aient un certain profil universitaire. </w:t>
      </w:r>
    </w:p>
    <w:p w14:paraId="6503C169" w14:textId="77777777" w:rsidR="00770F86" w:rsidRPr="00FB60C2" w:rsidRDefault="00770F86" w:rsidP="00B701C8">
      <w:pPr>
        <w:numPr>
          <w:ilvl w:val="0"/>
          <w:numId w:val="11"/>
        </w:numPr>
      </w:pPr>
      <w:r w:rsidRPr="00FB60C2">
        <w:t xml:space="preserve">Le </w:t>
      </w:r>
      <w:hyperlink r:id="rId10" w:history="1">
        <w:r w:rsidRPr="00FB60C2">
          <w:rPr>
            <w:color w:val="1155CC"/>
            <w:u w:val="single"/>
          </w:rPr>
          <w:t>data.bris repository</w:t>
        </w:r>
      </w:hyperlink>
      <w:r w:rsidRPr="00FB60C2">
        <w:t xml:space="preserve"> (en anglais seulement)</w:t>
      </w:r>
      <w:r w:rsidRPr="00FB60C2">
        <w:rPr>
          <w:color w:val="000000"/>
        </w:rPr>
        <w:t xml:space="preserve">, un dépôt de l’Université de Bristol, est né en 2017 du besoin d’une plateforme pour contrôler la diffusion de jeux de </w:t>
      </w:r>
      <w:r w:rsidRPr="00FB60C2">
        <w:rPr>
          <w:color w:val="000000"/>
        </w:rPr>
        <w:lastRenderedPageBreak/>
        <w:t xml:space="preserve">données renfermant des renseignements sensibles sur le plan éthique ou commercial. Le personnel de l’université s’assure que les formulaires de consentement et les renseignements relatifs à la patientèle font partie de ces jeux de données, le cas échéant, et que les accès sont accordés en fonction du contenu et des modalités de consentement (Université de Bristol, s.d.). En parallèle, la gestion des risques inhérents à la diffusion des données (réidentification des participantes et participants aux recherches, accès à du contenu commercial sensible protégé par un droit de propriété intellectuelle, etc.) incombe aux chercheuses et chercheurs. </w:t>
      </w:r>
    </w:p>
    <w:p w14:paraId="5C1FD0F4" w14:textId="77777777" w:rsidR="00770F86" w:rsidRPr="00FB60C2" w:rsidRDefault="00770F86" w:rsidP="00B701C8">
      <w:pPr>
        <w:numPr>
          <w:ilvl w:val="0"/>
          <w:numId w:val="11"/>
        </w:numPr>
      </w:pPr>
      <w:r w:rsidRPr="00FB60C2">
        <w:t xml:space="preserve">Le projet </w:t>
      </w:r>
      <w:hyperlink r:id="rId11">
        <w:r w:rsidRPr="00FB60C2">
          <w:rPr>
            <w:color w:val="1155CC"/>
            <w:u w:val="single"/>
          </w:rPr>
          <w:t>Coordinated Access for Data, Researchers and Environments</w:t>
        </w:r>
      </w:hyperlink>
      <w:r w:rsidRPr="00FB60C2">
        <w:t xml:space="preserve"> (CADRE) (en anglais seulement), qui est commandité par l’Australian Research Data Commons (ARDC), est un nouvel ajout au paysage de la </w:t>
      </w:r>
      <w:r w:rsidRPr="00FB60C2">
        <w:rPr>
          <w:color w:val="000000"/>
        </w:rPr>
        <w:t xml:space="preserve">gestion de l’accès contrôlé aux données. Lancée en janvier 2025 après plusieurs années de préparation, cette plateforme est principalement conçue non pas pour stocker des données, mais plutôt pour gérer l’accès à des données provenant d’études universitaires par la diffusion de métadonnées de base sur les jeux de données disponibles et l’encadrement du processus de demande (communication personnelle, Ryan Perry, Ph. D., chef du projet CADRE, 4 mars 2025). </w:t>
      </w:r>
    </w:p>
    <w:p w14:paraId="4BA00B7D" w14:textId="77777777" w:rsidR="00770F86" w:rsidRPr="00FB60C2" w:rsidRDefault="00770F86" w:rsidP="00B701C8">
      <w:pPr>
        <w:numPr>
          <w:ilvl w:val="0"/>
          <w:numId w:val="11"/>
        </w:numPr>
      </w:pPr>
      <w:r w:rsidRPr="00FB60C2">
        <w:rPr>
          <w:color w:val="000000"/>
        </w:rPr>
        <w:t xml:space="preserve">La </w:t>
      </w:r>
      <w:hyperlink r:id="rId12">
        <w:r w:rsidRPr="00FB60C2">
          <w:rPr>
            <w:color w:val="1155CC"/>
            <w:u w:val="single"/>
          </w:rPr>
          <w:t>National Institutes of Health (NIH) database of Genotypes and Phenotypes</w:t>
        </w:r>
      </w:hyperlink>
      <w:r w:rsidRPr="00FB60C2">
        <w:t xml:space="preserve"> (dbGaP) (en anglais seulement) est un dépôt de données provenant d’études universitaires en biomédecine et portant sur le rapport entre génotype et phénotype. Créé en 2006 après l’adoption de la politique du NIH sur l’étude d’association à l’échelle du génome, il offre aux </w:t>
      </w:r>
      <w:r w:rsidRPr="00FB60C2">
        <w:rPr>
          <w:color w:val="000000"/>
        </w:rPr>
        <w:t xml:space="preserve">chercheuses et chercheurs du monde entier un accès à des jeux de données d’études financées par le NIH et d’autres organismes internationaux. L’accès aux données individuelles nécessite une demande d’accès où sont indiqués les objectifs de la recherche et les mesures de protection des données prévues (Tryka </w:t>
      </w:r>
      <w:r w:rsidRPr="00FB60C2">
        <w:rPr>
          <w:iCs/>
          <w:color w:val="000000"/>
        </w:rPr>
        <w:t>et coll.</w:t>
      </w:r>
      <w:r w:rsidRPr="00FB60C2">
        <w:rPr>
          <w:color w:val="000000"/>
        </w:rPr>
        <w:t>, 2014).</w:t>
      </w:r>
    </w:p>
    <w:p w14:paraId="55E594FF" w14:textId="77777777" w:rsidR="00770F86" w:rsidRPr="00FB60C2" w:rsidRDefault="00770F86" w:rsidP="00B701C8"/>
    <w:p w14:paraId="6391EBA0" w14:textId="77777777" w:rsidR="00770F86" w:rsidRPr="00FB60C2" w:rsidRDefault="00770F86" w:rsidP="00B701C8">
      <w:r w:rsidRPr="00FB60C2">
        <w:rPr>
          <w:color w:val="000000"/>
        </w:rPr>
        <w:t>Voici les thèmes généraux et les lacunes relevés lors du premier survol des ressources issues du repérage structuré.</w:t>
      </w:r>
    </w:p>
    <w:p w14:paraId="70095607" w14:textId="77777777" w:rsidR="00770F86" w:rsidRPr="00FB60C2" w:rsidRDefault="00770F86" w:rsidP="00B701C8">
      <w:pPr>
        <w:rPr>
          <w:i/>
        </w:rPr>
      </w:pPr>
    </w:p>
    <w:p w14:paraId="313642E1" w14:textId="77777777" w:rsidR="00770F86" w:rsidRPr="00FB60C2" w:rsidRDefault="00770F86" w:rsidP="00B701C8">
      <w:pPr>
        <w:keepNext/>
        <w:rPr>
          <w:b/>
        </w:rPr>
      </w:pPr>
      <w:r w:rsidRPr="00FB60C2">
        <w:rPr>
          <w:b/>
          <w:color w:val="000000"/>
        </w:rPr>
        <w:t>Données de recherche, dépôts de stockage et possibilités de réutilisation : des thèmes quasi absents</w:t>
      </w:r>
    </w:p>
    <w:p w14:paraId="09B080CB" w14:textId="77777777" w:rsidR="00770F86" w:rsidRPr="00FB60C2" w:rsidRDefault="00770F86" w:rsidP="00B701C8">
      <w:pPr>
        <w:keepNext/>
      </w:pPr>
    </w:p>
    <w:p w14:paraId="5349910F" w14:textId="77777777" w:rsidR="00770F86" w:rsidRPr="00FB60C2" w:rsidRDefault="00770F86" w:rsidP="00B701C8">
      <w:pPr>
        <w:keepNext/>
      </w:pPr>
      <w:r w:rsidRPr="00FB60C2">
        <w:rPr>
          <w:color w:val="000000"/>
        </w:rPr>
        <w:t xml:space="preserve">Lors de notre analyse de la littérature, nous avons constaté que l’accès aux renseignements sensibles et la sécurité et le stockage de ces derniers occupaient une grande place (alors que ces termes ne faisaient pas partie de notre stratégie de repérage). Ces termes étaient respectivement mentionnés dans 1 136 (68 %), 400 (24 %) et 689 (41 %) des 1 677 documents issus du repérage et analysés à l’aide de Covidence. Si les renseignements personnels (dossiers médicaux, empreintes numériques, identité, etc.) et des renseignements exclusifs (information protégée pour des raisons contractuelles, financières ou de propriété intellectuelle, etc.) occupaient aussi une grande place, il s’avère que relativement peu de ressources traitaient des données de recherche sensibles. En effet, seulement 28 % (472/1 677) des sources compilées parlaient des données de recherche, une proportion qui chute encore davantage si l’on utilise les termes « données de recherche sensibles » (64/1 677, ou 4 %) ou « gestion de l’accès contrôlé aux données de recherche » (76/1 677, ou 5 %). La discussion autour des données de recherche qualitative est aussi lacunaire, puisque seulement 2 % (32/1 677) des sources recensées y faisaient référence. </w:t>
      </w:r>
    </w:p>
    <w:p w14:paraId="484ED7D2" w14:textId="77777777" w:rsidR="00770F86" w:rsidRPr="00FB60C2" w:rsidRDefault="00770F86" w:rsidP="00B701C8"/>
    <w:p w14:paraId="13BA784C" w14:textId="77777777" w:rsidR="00770F86" w:rsidRPr="00FB60C2" w:rsidRDefault="00770F86" w:rsidP="00B701C8">
      <w:r w:rsidRPr="00FB60C2">
        <w:rPr>
          <w:color w:val="000000"/>
        </w:rPr>
        <w:lastRenderedPageBreak/>
        <w:t>Les dépôts de données de recherche ont en outre essentiellement été laissés en plan dans la littérature à la faveur d’une discussion et de propositions de systèmes technologiques traitant de l’intendance et de la gestion des données sensibles. Parmi les ressources colligées, 30 % (497/1 677) parlaient de l’infonuagique, 23 % (388/1 677), de la technologie de chaîne de blocs, et 12 % (205/1 677), de diverses formes de l’Internet des objets (secteur de la santé, médical, industriel, etc.). En comparaison, seulement 5 % (82/1 677) des ressources faisaient mention des dépôts.</w:t>
      </w:r>
    </w:p>
    <w:p w14:paraId="73A5A963" w14:textId="77777777" w:rsidR="00770F86" w:rsidRPr="00FB60C2" w:rsidRDefault="00770F86" w:rsidP="00B701C8"/>
    <w:p w14:paraId="35603A7E" w14:textId="77777777" w:rsidR="00770F86" w:rsidRPr="00FB60C2" w:rsidRDefault="00770F86" w:rsidP="00B701C8">
      <w:pPr>
        <w:rPr>
          <w:color w:val="000000"/>
        </w:rPr>
      </w:pPr>
      <w:r w:rsidRPr="00FB60C2">
        <w:rPr>
          <w:color w:val="000000"/>
        </w:rPr>
        <w:t xml:space="preserve">Non seulement les données de recherche et les dépôts de stockage de ces données étaient rarement mentionnés, mais nous avons constaté qu’il y avait assez peu de discussion sur la réutilisation des données. Si l’on compare avec les chiffres mentionnés ci-dessus, les termes « réutilisation des données » et « usage ultérieur » ne figuraient respectivement que dans 158 et 91 des ressources. </w:t>
      </w:r>
    </w:p>
    <w:p w14:paraId="47B0D39B" w14:textId="77777777" w:rsidR="00770F86" w:rsidRPr="00FB60C2" w:rsidRDefault="00770F86" w:rsidP="00B701C8">
      <w:pPr>
        <w:rPr>
          <w:color w:val="000000"/>
        </w:rPr>
      </w:pPr>
    </w:p>
    <w:p w14:paraId="65B2C75C" w14:textId="77777777" w:rsidR="00770F86" w:rsidRPr="00FB60C2" w:rsidRDefault="00770F86" w:rsidP="00B701C8">
      <w:r w:rsidRPr="00FB60C2">
        <w:rPr>
          <w:color w:val="000000"/>
        </w:rPr>
        <w:t>Globalement, notre recherche documentaire indique qu’il faudrait davantage de discussions et de ressources à propos de l’intendance de tous les types de données de recherche d’accès contrôlé, en particulier lorsqu’il est question de réutilisation.</w:t>
      </w:r>
    </w:p>
    <w:p w14:paraId="1696FD66" w14:textId="77777777" w:rsidR="00770F86" w:rsidRPr="00FB60C2" w:rsidRDefault="00770F86" w:rsidP="00B701C8"/>
    <w:p w14:paraId="3983F7E3" w14:textId="77777777" w:rsidR="00770F86" w:rsidRPr="00FB60C2" w:rsidRDefault="00770F86" w:rsidP="00B701C8">
      <w:pPr>
        <w:rPr>
          <w:b/>
        </w:rPr>
      </w:pPr>
      <w:r w:rsidRPr="00FB60C2">
        <w:rPr>
          <w:b/>
          <w:color w:val="000000"/>
        </w:rPr>
        <w:t>Accent sur l’aspect technique</w:t>
      </w:r>
    </w:p>
    <w:p w14:paraId="16C9A465" w14:textId="77777777" w:rsidR="00770F86" w:rsidRPr="00FB60C2" w:rsidRDefault="00770F86" w:rsidP="00B701C8"/>
    <w:p w14:paraId="50B483DE" w14:textId="77777777" w:rsidR="00770F86" w:rsidRPr="00FB60C2" w:rsidRDefault="00770F86" w:rsidP="00B701C8">
      <w:r w:rsidRPr="00FB60C2">
        <w:rPr>
          <w:color w:val="000000"/>
        </w:rPr>
        <w:t>Beaucoup de ressources proposaient ou décrivaient des solutions techniques de diffusion et de stockage sécurisés de l’information, dont la plupart appartiennent à l’une des trois grandes catégories suivantes.</w:t>
      </w:r>
    </w:p>
    <w:p w14:paraId="3833B8EF" w14:textId="77777777" w:rsidR="00770F86" w:rsidRPr="00FB60C2" w:rsidRDefault="00770F86" w:rsidP="00B701C8"/>
    <w:p w14:paraId="334A8822" w14:textId="77777777" w:rsidR="00770F86" w:rsidRPr="00FB60C2" w:rsidRDefault="00770F86" w:rsidP="00B701C8">
      <w:pPr>
        <w:numPr>
          <w:ilvl w:val="0"/>
          <w:numId w:val="17"/>
        </w:numPr>
        <w:rPr>
          <w:b/>
        </w:rPr>
      </w:pPr>
      <w:r w:rsidRPr="00FB60C2">
        <w:rPr>
          <w:b/>
          <w:color w:val="000000"/>
        </w:rPr>
        <w:t>Recours aux nouvelles technologies pour assurer le stockage et le transfert sécurisés des données.</w:t>
      </w:r>
      <w:r w:rsidRPr="00FB60C2">
        <w:rPr>
          <w:color w:val="000000"/>
        </w:rPr>
        <w:t xml:space="preserve"> La littérature consultée était fortement axée sur la manière d’utiliser les technologies émergentes pour sécuriser le stockage et le transfert de données. La solution des systèmes de chaînes de blocs, en particulier, est de plus en plus souvent proposée comme plateforme « de nouvelle génération » pour la gestion des données. Si cette solution est surtout préconisée pour l’échange de renseignements médicaux entre personnel et patientèle (notamment Akbar </w:t>
      </w:r>
      <w:r w:rsidRPr="00FB60C2">
        <w:rPr>
          <w:iCs/>
          <w:color w:val="000000"/>
        </w:rPr>
        <w:t>et coll.</w:t>
      </w:r>
      <w:r w:rsidRPr="00FB60C2">
        <w:rPr>
          <w:color w:val="000000"/>
        </w:rPr>
        <w:t xml:space="preserve">, 2021, Liu </w:t>
      </w:r>
      <w:r w:rsidRPr="00FB60C2">
        <w:rPr>
          <w:iCs/>
          <w:color w:val="000000"/>
        </w:rPr>
        <w:t>et coll.</w:t>
      </w:r>
      <w:r w:rsidRPr="00FB60C2">
        <w:rPr>
          <w:color w:val="000000"/>
        </w:rPr>
        <w:t xml:space="preserve">, 2018 et Siyal </w:t>
      </w:r>
      <w:r w:rsidRPr="00FB60C2">
        <w:rPr>
          <w:iCs/>
          <w:color w:val="000000"/>
        </w:rPr>
        <w:t>et coll.</w:t>
      </w:r>
      <w:r w:rsidRPr="00FB60C2">
        <w:rPr>
          <w:color w:val="000000"/>
        </w:rPr>
        <w:t xml:space="preserve">, 2019), nous avons constaté qu’elle était aussi envisagée dans toutes sortes de contextes nécessitant un partage des données sécurisé, comme dans l’aviation ou les mines (notamment Oren, 2023 et Tuladhar </w:t>
      </w:r>
      <w:r w:rsidRPr="00FB60C2">
        <w:rPr>
          <w:iCs/>
          <w:color w:val="000000"/>
        </w:rPr>
        <w:t>et coll.</w:t>
      </w:r>
      <w:r w:rsidRPr="00FB60C2">
        <w:rPr>
          <w:color w:val="000000"/>
        </w:rPr>
        <w:t>, 2024).</w:t>
      </w:r>
    </w:p>
    <w:p w14:paraId="4D555BFD" w14:textId="77777777" w:rsidR="00770F86" w:rsidRPr="00FB60C2" w:rsidRDefault="00770F86" w:rsidP="00B701C8">
      <w:pPr>
        <w:ind w:left="720" w:firstLine="720"/>
      </w:pPr>
    </w:p>
    <w:p w14:paraId="5EB6D85E" w14:textId="77777777" w:rsidR="00770F86" w:rsidRPr="00FB60C2" w:rsidRDefault="00770F86" w:rsidP="00B701C8">
      <w:pPr>
        <w:ind w:left="720"/>
        <w:rPr>
          <w:color w:val="000000"/>
        </w:rPr>
      </w:pPr>
      <w:r w:rsidRPr="00FB60C2">
        <w:rPr>
          <w:color w:val="000000"/>
        </w:rPr>
        <w:t xml:space="preserve">Il est indéniable que les solutions fondées sur des chaînes de blocs, par leur nature et leurs propriétés, offrent des fonctionnalités pertinentes pour un écosystème qui cherche à gérer des données de recherche d’accès contrôlé et à en assurer l’intendance. Ces solutions pourraient certainement être explorées à mesure que l’écosystème canadien évolue. Sur ces plateformes, le stockage des jeux de données est souvent décentralisé. À l’inverse, sur les plateformes traditionnelles, il est centralisé, ce qui crée un point de défaillance unique et pose des risques. Comme ces outils permettent d’enregistrer toutes les « transactions » (téléversement, partage, modification d’un jeu de données, etc.) dans des « blocs » immuables ou un registre distribué, ils sont souvent présentés comme des avenues plus transparentes et sûres que les solutions de gestion de données existantes. Il est aussi possible d’utiliser des « contrats intelligents » pour donner des accès contrôlés </w:t>
      </w:r>
      <w:r w:rsidRPr="00FB60C2">
        <w:rPr>
          <w:color w:val="000000"/>
        </w:rPr>
        <w:lastRenderedPageBreak/>
        <w:t xml:space="preserve">et temporaires à des jeux de données dont le partage doit être sécurisé. Nous avons cependant constaté un manque de discussion sur la manière dont ces solutions peuvent être implantées dans l’écosystème de recherche global, notamment en ce qui concerne la réglementation, l’éthique et la gouvernance. Ces systèmes ne peuvent être pleinement exploités sans l’adoption d’un cadre de référence traitant des modèles de gouvernance et des meilleures pratiques. </w:t>
      </w:r>
    </w:p>
    <w:p w14:paraId="279777B9" w14:textId="77777777" w:rsidR="00770F86" w:rsidRPr="00FB60C2" w:rsidRDefault="00770F86" w:rsidP="00B701C8">
      <w:pPr>
        <w:ind w:left="720"/>
      </w:pPr>
    </w:p>
    <w:p w14:paraId="78D8CB6C" w14:textId="77777777" w:rsidR="00770F86" w:rsidRPr="00FB60C2" w:rsidRDefault="00770F86" w:rsidP="00B701C8">
      <w:pPr>
        <w:numPr>
          <w:ilvl w:val="0"/>
          <w:numId w:val="17"/>
        </w:numPr>
        <w:rPr>
          <w:color w:val="000000"/>
        </w:rPr>
      </w:pPr>
      <w:r w:rsidRPr="00FB60C2">
        <w:rPr>
          <w:b/>
          <w:color w:val="000000"/>
        </w:rPr>
        <w:t xml:space="preserve">Schémas de cybersécurité pour le stockage et le partage privés des données. </w:t>
      </w:r>
      <w:r w:rsidRPr="00FB60C2">
        <w:rPr>
          <w:color w:val="000000"/>
        </w:rPr>
        <w:t xml:space="preserve">Plusieurs ressources issues de notre repérage traitaient de l’élaboration, de la mise à l’essai et de la comparaison de divers schémas de cybersécurité dans une optique de protection des données, qu’elles soient au repos ou en mouvement. Il existe une multitude de systèmes de contrôle de l’accès (contrôle basé sur les rôles ou contrôle en fonction d’attributs, contrôle de l’accès à gros grain ou à grain fin, etc.) et de techniques de chiffrement (chiffrement en fonction d’attributs [dont la politique d’accès sur le message chiffré et la politique d’accès sur la clé], rechiffrement par proxy, cryptographie à courbe elliptique, chiffrement homomorphique, etc.). Le terme « [chiffrement / contrôle de l’accès] en fonction d’attributs », la préoccupation principale dans ce domaine, figurait dans 14 % (243/1 677) des ressources colligées. </w:t>
      </w:r>
    </w:p>
    <w:p w14:paraId="3000D88F" w14:textId="77777777" w:rsidR="00770F86" w:rsidRPr="00FB60C2" w:rsidRDefault="00770F86" w:rsidP="00B701C8">
      <w:pPr>
        <w:ind w:left="720"/>
        <w:rPr>
          <w:color w:val="000000"/>
        </w:rPr>
      </w:pPr>
    </w:p>
    <w:p w14:paraId="2B80B633" w14:textId="77777777" w:rsidR="00770F86" w:rsidRPr="00FB60C2" w:rsidRDefault="00770F86" w:rsidP="00B701C8">
      <w:pPr>
        <w:ind w:left="720"/>
        <w:rPr>
          <w:color w:val="000000"/>
        </w:rPr>
      </w:pPr>
      <w:r w:rsidRPr="00FB60C2">
        <w:rPr>
          <w:color w:val="000000"/>
        </w:rPr>
        <w:t>Bien que plusieurs ressources portaient sur l’aspect technique du contrôle de l’accès aux données (manière dont les systèmes technologiques d’information déterminent si l’utilisatrice ou l’utilisateur est autorisé ou non), nous avons constaté un manque de ressources traitant de la prise de décisions sur les accès par des analystes humains (nature des renseignements étayant les demandes d’accès aux données et octroi des accès). Par ailleurs, peu de ressources abordaient la prévention et les interventions en cas de brèche de sécurité (autre que les cyberattaques et le piratage). Par exemple, peu d’articles traitaient d’utilisations abusives des données et d’atteintes à la vie privée résultant d’une réidentification.</w:t>
      </w:r>
    </w:p>
    <w:p w14:paraId="03DA8A9D" w14:textId="77777777" w:rsidR="00770F86" w:rsidRPr="00FB60C2" w:rsidRDefault="00770F86" w:rsidP="00B701C8">
      <w:pPr>
        <w:ind w:left="720"/>
      </w:pPr>
    </w:p>
    <w:p w14:paraId="72045278" w14:textId="77777777" w:rsidR="00770F86" w:rsidRPr="00FB60C2" w:rsidRDefault="00770F86" w:rsidP="00B701C8">
      <w:pPr>
        <w:numPr>
          <w:ilvl w:val="0"/>
          <w:numId w:val="17"/>
        </w:numPr>
        <w:rPr>
          <w:b/>
        </w:rPr>
      </w:pPr>
      <w:r w:rsidRPr="00FB60C2">
        <w:rPr>
          <w:b/>
          <w:color w:val="000000"/>
        </w:rPr>
        <w:t>Collecte active et stockage de données.</w:t>
      </w:r>
      <w:r w:rsidRPr="00FB60C2">
        <w:rPr>
          <w:color w:val="000000"/>
        </w:rPr>
        <w:t xml:space="preserve"> La littérature propose diverses solutions pour la collecte active et le stockage de données, surtout dans les contextes de la santé et de l’entreprise privée (notamment Jin </w:t>
      </w:r>
      <w:r w:rsidRPr="00FB60C2">
        <w:rPr>
          <w:iCs/>
          <w:color w:val="000000"/>
        </w:rPr>
        <w:t>et coll.</w:t>
      </w:r>
      <w:r w:rsidRPr="00FB60C2">
        <w:rPr>
          <w:color w:val="000000"/>
        </w:rPr>
        <w:t xml:space="preserve">, 2019, Kazantsev </w:t>
      </w:r>
      <w:r w:rsidRPr="00FB60C2">
        <w:rPr>
          <w:iCs/>
          <w:color w:val="000000"/>
        </w:rPr>
        <w:t>et coll.</w:t>
      </w:r>
      <w:r w:rsidRPr="00FB60C2">
        <w:rPr>
          <w:color w:val="000000"/>
        </w:rPr>
        <w:t>, 2023 et Wu</w:t>
      </w:r>
      <w:r w:rsidRPr="00FB60C2">
        <w:rPr>
          <w:i/>
          <w:iCs/>
          <w:color w:val="000000"/>
        </w:rPr>
        <w:t xml:space="preserve"> </w:t>
      </w:r>
      <w:r w:rsidRPr="00FB60C2">
        <w:rPr>
          <w:iCs/>
          <w:color w:val="000000"/>
        </w:rPr>
        <w:t>et coll.</w:t>
      </w:r>
      <w:r w:rsidRPr="00FB60C2">
        <w:rPr>
          <w:color w:val="000000"/>
        </w:rPr>
        <w:t>, 2024). En comparaison, relativement peu de ressources traitent du stockage à long terme, de l’intendance et de l’usage ultérieur des données, en particulier pour les données de recherche.</w:t>
      </w:r>
    </w:p>
    <w:p w14:paraId="2ADCB098" w14:textId="77777777" w:rsidR="00770F86" w:rsidRPr="00FB60C2" w:rsidRDefault="00770F86" w:rsidP="00B701C8"/>
    <w:p w14:paraId="6F6F7961" w14:textId="77777777" w:rsidR="00770F86" w:rsidRPr="00FB60C2" w:rsidRDefault="00770F86" w:rsidP="00B701C8">
      <w:r w:rsidRPr="00FB60C2">
        <w:rPr>
          <w:color w:val="000000"/>
        </w:rPr>
        <w:t>Il ne fait aucun doute que la technologie profitera à la GAC au Canada, mais contrairement à ce que suggère la littérature, la discussion doit porter sur d’autres sujets que les solutions technologiques. Pour soutenir la GAC au Canada en tirant le meilleur parti possible de l’infrastructure technique, l’écosystème de la recherche doit se doter d’un cadre de référence où seront définis les usages recommandés de ces technologies. Un tel cadre pourrait être élaboré parallèlement à des modèles de gouvernance, des meilleures pratiques et des politiques adaptées aux technologies en question, et s’accompagner d’un changement de culture autour de l’intendance de la gestion de l’accès contrôlé aux données de recherche.</w:t>
      </w:r>
      <w:r w:rsidRPr="00FB60C2">
        <w:rPr>
          <w:color w:val="000000"/>
        </w:rPr>
        <w:br/>
      </w:r>
    </w:p>
    <w:p w14:paraId="229066FD" w14:textId="77777777" w:rsidR="00770F86" w:rsidRPr="00FB60C2" w:rsidRDefault="00770F86" w:rsidP="00B701C8">
      <w:pPr>
        <w:pStyle w:val="Heading2"/>
        <w:numPr>
          <w:ilvl w:val="0"/>
          <w:numId w:val="20"/>
        </w:numPr>
      </w:pPr>
      <w:bookmarkStart w:id="13" w:name="_Toc206069535"/>
      <w:bookmarkStart w:id="14" w:name="_Toc207100008"/>
      <w:r w:rsidRPr="00FB60C2">
        <w:rPr>
          <w:color w:val="000000"/>
        </w:rPr>
        <w:lastRenderedPageBreak/>
        <w:t>Besoins et difficultés en matière de gestion de l’accès contrôlé dans l’écosystème de recherche au Canada</w:t>
      </w:r>
      <w:bookmarkEnd w:id="13"/>
      <w:bookmarkEnd w:id="14"/>
    </w:p>
    <w:p w14:paraId="18CBCF5B" w14:textId="77777777" w:rsidR="00770F86" w:rsidRPr="00FB60C2" w:rsidRDefault="00770F86" w:rsidP="00B701C8">
      <w:pPr>
        <w:ind w:left="720"/>
      </w:pPr>
    </w:p>
    <w:p w14:paraId="5DDE888F" w14:textId="77777777" w:rsidR="00770F86" w:rsidRPr="00FB60C2" w:rsidRDefault="00770F86" w:rsidP="00B701C8">
      <w:pPr>
        <w:spacing w:before="240" w:after="240"/>
      </w:pPr>
      <w:r w:rsidRPr="00FB60C2">
        <w:rPr>
          <w:color w:val="000000"/>
        </w:rPr>
        <w:t xml:space="preserve">Aux fins d’analyse des besoins canadiens en matière de gestion de l’accès contrôlé (GAC), les organismes partenaires de l’Initiative de GAC ont été invités à mentionner les besoins et difficultés critiques existant dans leurs contextes respectifs. Les réponses s’arrimaient aux huit thèmes résumés ci-dessous. </w:t>
      </w:r>
    </w:p>
    <w:p w14:paraId="3D29C020" w14:textId="77777777" w:rsidR="00770F86" w:rsidRPr="00FB60C2" w:rsidRDefault="00770F86" w:rsidP="00B701C8">
      <w:pPr>
        <w:pStyle w:val="Heading3"/>
        <w:keepNext w:val="0"/>
        <w:keepLines w:val="0"/>
        <w:spacing w:before="280"/>
        <w:rPr>
          <w:b/>
          <w:color w:val="000000"/>
          <w:sz w:val="26"/>
          <w:szCs w:val="26"/>
        </w:rPr>
      </w:pPr>
      <w:bookmarkStart w:id="15" w:name="_Toc206069536"/>
      <w:bookmarkStart w:id="16" w:name="_Toc207100009"/>
      <w:r w:rsidRPr="00FB60C2">
        <w:rPr>
          <w:b/>
          <w:color w:val="000000"/>
          <w:sz w:val="26"/>
          <w:szCs w:val="26"/>
        </w:rPr>
        <w:t>1. Difficultés liées aux infrastructures et au stockage</w:t>
      </w:r>
      <w:bookmarkEnd w:id="15"/>
      <w:bookmarkEnd w:id="16"/>
    </w:p>
    <w:p w14:paraId="05BC4DDE" w14:textId="77777777" w:rsidR="00770F86" w:rsidRPr="00FB60C2" w:rsidRDefault="00770F86" w:rsidP="00B701C8">
      <w:pPr>
        <w:spacing w:before="240" w:after="240"/>
      </w:pPr>
      <w:r w:rsidRPr="00FB60C2">
        <w:rPr>
          <w:color w:val="000000"/>
        </w:rPr>
        <w:t>Il est absolument prioritaire d’investir massivement et à grande échelle dans les infrastructures nécessaires à la GAC. Plus particulièrement, on constate un manque criant de solutions de stockage à long terme (25 ans et plus) pour les jeux de données volumineux à accès restreint, tout comme un manque d’options de stockage de données actives sensibles, si bien que les chercheuses et chercheurs doivent utiliser, à leurs frais, des solutions infonuagiques commerciales comme Google Disque.</w:t>
      </w:r>
    </w:p>
    <w:p w14:paraId="2403E0A4" w14:textId="77777777" w:rsidR="00770F86" w:rsidRPr="00FB60C2" w:rsidRDefault="00770F86" w:rsidP="00B701C8">
      <w:pPr>
        <w:pStyle w:val="Heading3"/>
        <w:keepNext w:val="0"/>
        <w:keepLines w:val="0"/>
        <w:spacing w:before="280"/>
        <w:rPr>
          <w:b/>
          <w:color w:val="000000"/>
          <w:sz w:val="26"/>
          <w:szCs w:val="26"/>
        </w:rPr>
      </w:pPr>
      <w:bookmarkStart w:id="17" w:name="_Toc206069537"/>
      <w:bookmarkStart w:id="18" w:name="_Toc207100010"/>
      <w:r w:rsidRPr="00FB60C2">
        <w:rPr>
          <w:b/>
          <w:color w:val="000000"/>
          <w:sz w:val="26"/>
          <w:szCs w:val="26"/>
        </w:rPr>
        <w:t>2. Manque de stratégies et de normes régissant le contrôle de l’accès</w:t>
      </w:r>
      <w:bookmarkEnd w:id="17"/>
      <w:bookmarkEnd w:id="18"/>
    </w:p>
    <w:p w14:paraId="43CDC6C0" w14:textId="77777777" w:rsidR="00770F86" w:rsidRPr="00FB60C2" w:rsidRDefault="00770F86" w:rsidP="00B701C8">
      <w:pPr>
        <w:spacing w:before="240" w:after="240"/>
      </w:pPr>
      <w:r w:rsidRPr="00FB60C2">
        <w:rPr>
          <w:color w:val="000000"/>
        </w:rPr>
        <w:t>Aucune stratégie nationale claire ne s’applique aux dépôts à accès contrôlé, ce qui crée des incohérences dans les politiques et les flux de travail. Les options sont limitées par un manque de dépôts de portée générale hébergeant des données à accès contrôlé et répondant à certaines exigences de conformité réglementaire. On constate en outre dans les contextes d’accès contrôlé une absence de flux de travail normalisés qui pourraient être appliqués à plusieurs établissements et projets de recherche. À l’échelle locale, les établissements peinent à équilibrer les aspects de la sécurité et de l’utilisabilité pour les données sensibles classés dans différents niveaux.</w:t>
      </w:r>
    </w:p>
    <w:p w14:paraId="484E7F0E" w14:textId="77777777" w:rsidR="00770F86" w:rsidRPr="00FB60C2" w:rsidRDefault="00770F86" w:rsidP="00B701C8">
      <w:pPr>
        <w:pStyle w:val="Heading3"/>
        <w:keepNext w:val="0"/>
        <w:keepLines w:val="0"/>
        <w:spacing w:before="280"/>
        <w:rPr>
          <w:b/>
          <w:color w:val="000000"/>
          <w:sz w:val="26"/>
          <w:szCs w:val="26"/>
        </w:rPr>
      </w:pPr>
      <w:bookmarkStart w:id="19" w:name="_Toc206069538"/>
      <w:bookmarkStart w:id="20" w:name="_Toc207100011"/>
      <w:r w:rsidRPr="00FB60C2">
        <w:rPr>
          <w:b/>
          <w:color w:val="000000"/>
          <w:sz w:val="26"/>
          <w:szCs w:val="26"/>
        </w:rPr>
        <w:t>3. Questions de conformité, de sécurité et de gouvernance des données</w:t>
      </w:r>
      <w:bookmarkEnd w:id="19"/>
      <w:bookmarkEnd w:id="20"/>
    </w:p>
    <w:p w14:paraId="066D049F" w14:textId="77777777" w:rsidR="00770F86" w:rsidRPr="00FB60C2" w:rsidRDefault="00770F86" w:rsidP="00B701C8">
      <w:pPr>
        <w:spacing w:before="240" w:after="240"/>
        <w:rPr>
          <w:color w:val="000000"/>
        </w:rPr>
      </w:pPr>
      <w:r w:rsidRPr="00FB60C2">
        <w:rPr>
          <w:color w:val="000000"/>
        </w:rPr>
        <w:t>Bien souvent, les dépôts existants ne répondent pas aux normes de cybersécurité reconnues (NIST</w:t>
      </w:r>
      <w:r w:rsidRPr="00FB60C2">
        <w:rPr>
          <w:color w:val="000000"/>
        </w:rPr>
        <w:noBreakHyphen/>
        <w:t>53, NIST</w:t>
      </w:r>
      <w:r w:rsidRPr="00FB60C2">
        <w:rPr>
          <w:color w:val="000000"/>
        </w:rPr>
        <w:noBreakHyphen/>
        <w:t xml:space="preserve">171 et ISO 27001), un aspect qui est de plus en plus fréquemment exigé dans les ententes de financement et de partage de données. Un manque de cohérence dans la classification des données crée par ailleurs des incohérences en matière de sécurité et de protocoles d’accès. Les chercheuses et chercheurs ont besoin d’un vocabulaire plus clair qui est indépendant de la technologie pour définir les autorisations d’accès aux données et les usages autorisés. </w:t>
      </w:r>
    </w:p>
    <w:p w14:paraId="1F56F4A5" w14:textId="77777777" w:rsidR="00770F86" w:rsidRPr="00FB60C2" w:rsidRDefault="00770F86" w:rsidP="00B701C8">
      <w:pPr>
        <w:pStyle w:val="Heading3"/>
        <w:keepNext w:val="0"/>
        <w:keepLines w:val="0"/>
        <w:spacing w:before="280"/>
        <w:rPr>
          <w:b/>
          <w:color w:val="000000"/>
          <w:sz w:val="26"/>
          <w:szCs w:val="26"/>
        </w:rPr>
      </w:pPr>
      <w:bookmarkStart w:id="21" w:name="_Toc206069539"/>
      <w:bookmarkStart w:id="22" w:name="_Toc207100012"/>
      <w:r w:rsidRPr="00FB60C2">
        <w:rPr>
          <w:b/>
          <w:color w:val="000000"/>
          <w:sz w:val="26"/>
          <w:szCs w:val="26"/>
        </w:rPr>
        <w:t>4. Questions juridiques et éthiques</w:t>
      </w:r>
      <w:bookmarkEnd w:id="21"/>
      <w:bookmarkEnd w:id="22"/>
    </w:p>
    <w:p w14:paraId="65F43036" w14:textId="77777777" w:rsidR="00770F86" w:rsidRPr="00FB60C2" w:rsidRDefault="00770F86" w:rsidP="00B701C8">
      <w:pPr>
        <w:spacing w:before="240" w:after="240"/>
      </w:pPr>
      <w:r w:rsidRPr="00FB60C2">
        <w:rPr>
          <w:color w:val="000000"/>
        </w:rPr>
        <w:t xml:space="preserve">À ce chapitre, la collecte de données de recherche avec des partenaires non universitaires constitue l’une des principales difficultés. L’accès aux données, de même que leur utilisation et les ententes de partage avec les organisations, peut imposer aux chercheuses et chercheurs des obligations de conformité complexes qui nuisent à la consignation, au partage et à la réutilisation des données. La collaboration avec le secteur privé pose aussi des difficultés supplémentaires quant à la propriété intellectuelle, aux données exclusives et </w:t>
      </w:r>
      <w:r w:rsidRPr="00FB60C2">
        <w:rPr>
          <w:color w:val="000000"/>
        </w:rPr>
        <w:lastRenderedPageBreak/>
        <w:t>à l’adoption de l’outil qu’est le dépôt de données. La recherche associée à des données communautaires nécessite des solutions d’accès inclusives qui permettent aux membres de ces communautés d’accéder à leurs données et de les gérer.</w:t>
      </w:r>
    </w:p>
    <w:p w14:paraId="63EA7263" w14:textId="77777777" w:rsidR="00770F86" w:rsidRPr="00FB60C2" w:rsidRDefault="00770F86" w:rsidP="00B701C8">
      <w:pPr>
        <w:spacing w:before="240" w:after="240"/>
      </w:pPr>
      <w:r w:rsidRPr="00FB60C2">
        <w:rPr>
          <w:color w:val="000000"/>
        </w:rPr>
        <w:t xml:space="preserve">La consignation de jeux de données existants pose des difficultés supplémentaires, puisque beaucoup de ces données ont été recueillies sans que l’énoncé de consentement ne parle de consignation dans des dépôts d’accès contrôlé, ce qui complique le partage et la réutilisation de ces données. </w:t>
      </w:r>
    </w:p>
    <w:p w14:paraId="343339F3" w14:textId="77777777" w:rsidR="00770F86" w:rsidRPr="00FB60C2" w:rsidRDefault="00770F86" w:rsidP="00B701C8">
      <w:pPr>
        <w:pStyle w:val="Heading3"/>
        <w:spacing w:before="240" w:after="240"/>
        <w:rPr>
          <w:b/>
          <w:color w:val="000000"/>
          <w:sz w:val="26"/>
          <w:szCs w:val="26"/>
        </w:rPr>
      </w:pPr>
      <w:bookmarkStart w:id="23" w:name="_Toc206069540"/>
      <w:bookmarkStart w:id="24" w:name="_Toc207100013"/>
      <w:r w:rsidRPr="00FB60C2">
        <w:rPr>
          <w:b/>
          <w:color w:val="000000"/>
          <w:sz w:val="26"/>
          <w:szCs w:val="26"/>
        </w:rPr>
        <w:t>5. Souveraineté et gouvernance des données autochtones</w:t>
      </w:r>
      <w:bookmarkEnd w:id="23"/>
      <w:bookmarkEnd w:id="24"/>
      <w:r w:rsidRPr="00FB60C2">
        <w:rPr>
          <w:b/>
          <w:color w:val="000000"/>
          <w:sz w:val="26"/>
          <w:szCs w:val="26"/>
        </w:rPr>
        <w:t xml:space="preserve"> </w:t>
      </w:r>
    </w:p>
    <w:p w14:paraId="2C42EE07" w14:textId="77777777" w:rsidR="00770F86" w:rsidRPr="00FB60C2" w:rsidRDefault="00770F86" w:rsidP="00B701C8">
      <w:pPr>
        <w:spacing w:before="240" w:after="240"/>
      </w:pPr>
      <w:r w:rsidRPr="00FB60C2">
        <w:rPr>
          <w:color w:val="000000"/>
        </w:rPr>
        <w:t>Pour les établissements, la création de lignes directrices et d’infrastructures favorables à la souveraineté et à la gouvernance des données autochtones constitue une grande priorité, tout comme le contrôle de l’accès à ces données par ces communautés.</w:t>
      </w:r>
    </w:p>
    <w:p w14:paraId="1EB258B6" w14:textId="77777777" w:rsidR="00770F86" w:rsidRPr="00FB60C2" w:rsidRDefault="00770F86" w:rsidP="00B701C8">
      <w:pPr>
        <w:spacing w:before="240" w:after="240"/>
        <w:rPr>
          <w:color w:val="000000"/>
        </w:rPr>
      </w:pPr>
      <w:r w:rsidRPr="00FB60C2">
        <w:rPr>
          <w:color w:val="000000"/>
        </w:rPr>
        <w:t>En ce qui concerne la souveraineté des données autochtones, on a appliqué pour l’Initiative de GAC le principe « Rien sur nous sans nous ». Tout travail associé à l’Initiative doit être mené par des Autochtones et fondé sur leurs caractéristiques distinctives.</w:t>
      </w:r>
    </w:p>
    <w:p w14:paraId="3B02139C" w14:textId="77777777" w:rsidR="00770F86" w:rsidRPr="00FB60C2" w:rsidRDefault="00770F86" w:rsidP="00B701C8">
      <w:pPr>
        <w:spacing w:before="240" w:after="240"/>
      </w:pPr>
      <w:r w:rsidRPr="00FB60C2">
        <w:rPr>
          <w:color w:val="000000"/>
        </w:rPr>
        <w:t xml:space="preserve">Pour les prochaines phases de l’Initiative, en ce qui concerne la gestion de l’accès contrôlé aux données de recherche, nous espérons collaborer avec des spécialistes de la souveraineté des données autochtones ainsi qu’avec les Premières Nations, les Inuits et les Métis. </w:t>
      </w:r>
    </w:p>
    <w:p w14:paraId="59B72B2D" w14:textId="77777777" w:rsidR="00770F86" w:rsidRPr="00FB60C2" w:rsidRDefault="00770F86" w:rsidP="00B701C8">
      <w:pPr>
        <w:pStyle w:val="Heading3"/>
        <w:keepNext w:val="0"/>
        <w:keepLines w:val="0"/>
        <w:spacing w:before="280"/>
        <w:rPr>
          <w:b/>
          <w:color w:val="000000"/>
          <w:sz w:val="26"/>
          <w:szCs w:val="26"/>
        </w:rPr>
      </w:pPr>
      <w:bookmarkStart w:id="25" w:name="_Toc206069541"/>
      <w:bookmarkStart w:id="26" w:name="_Toc207100014"/>
      <w:r w:rsidRPr="00FB60C2">
        <w:rPr>
          <w:b/>
          <w:color w:val="000000"/>
          <w:sz w:val="26"/>
          <w:szCs w:val="26"/>
        </w:rPr>
        <w:t>6. Besoin de formation, de soutien et de sensibilisation</w:t>
      </w:r>
      <w:bookmarkEnd w:id="25"/>
      <w:bookmarkEnd w:id="26"/>
    </w:p>
    <w:p w14:paraId="63003F94" w14:textId="77777777" w:rsidR="00770F86" w:rsidRPr="00FB60C2" w:rsidRDefault="00770F86" w:rsidP="00B701C8">
      <w:pPr>
        <w:spacing w:before="240" w:after="240"/>
        <w:rPr>
          <w:color w:val="000000"/>
        </w:rPr>
      </w:pPr>
      <w:r w:rsidRPr="00FB60C2">
        <w:rPr>
          <w:color w:val="000000"/>
        </w:rPr>
        <w:t>Il existe des lacunes notables par rapport aux documents et aux occasions de formation sur la GAC. Les établissements ont besoin de plus de ressources pour soutenir les chercheuses et chercheurs dans la gestion des données tout au long du cycle de vie, y compris en ce qui concerne l’aspect juridique, les TI, la cybersécurité, l’éthique et la sélection de dépôts. Souvent, les chercheuses, chercheurs et étudiantes et étudiants des cycles supérieurs ne sont pas bien formés à la gestion des données sensibles (anonymisation et dépersonnalisation adéquates, risques de réidentification et de divulgation, etc.). Puisqu’il faut clarifier les attentes et les exigences relatives aux dépôts de données, il y a lieu de consulter et de soutenir les chercheuses et chercheurs.</w:t>
      </w:r>
    </w:p>
    <w:p w14:paraId="1B93EFA1" w14:textId="77777777" w:rsidR="00770F86" w:rsidRPr="00FB60C2" w:rsidRDefault="00770F86" w:rsidP="00B701C8">
      <w:pPr>
        <w:pStyle w:val="Heading3"/>
        <w:keepLines w:val="0"/>
        <w:spacing w:before="280"/>
        <w:rPr>
          <w:b/>
          <w:color w:val="000000"/>
          <w:sz w:val="26"/>
          <w:szCs w:val="26"/>
        </w:rPr>
      </w:pPr>
      <w:bookmarkStart w:id="27" w:name="_Toc206069542"/>
      <w:bookmarkStart w:id="28" w:name="_Toc207100015"/>
      <w:r w:rsidRPr="00FB60C2">
        <w:rPr>
          <w:b/>
          <w:color w:val="000000"/>
          <w:sz w:val="26"/>
          <w:szCs w:val="26"/>
        </w:rPr>
        <w:t>7. Outils et stratégies de réponse aux besoins techniques et fonctionnels</w:t>
      </w:r>
      <w:bookmarkEnd w:id="27"/>
      <w:bookmarkEnd w:id="28"/>
    </w:p>
    <w:p w14:paraId="155CA552" w14:textId="77777777" w:rsidR="00770F86" w:rsidRPr="00FB60C2" w:rsidRDefault="00770F86" w:rsidP="00B701C8">
      <w:pPr>
        <w:keepNext/>
        <w:spacing w:before="240" w:after="240"/>
        <w:rPr>
          <w:color w:val="000000"/>
        </w:rPr>
      </w:pPr>
      <w:r w:rsidRPr="00FB60C2">
        <w:rPr>
          <w:color w:val="000000"/>
        </w:rPr>
        <w:t xml:space="preserve">Il faut des outils et des ressources pour répondre aux divers besoins techniques ou fonctionnels, dont la dépersonnalisation et l’anonymisation de jeux de données; la réalisation d’examens de la sécurité pour trouver des solutions fiables de transfert des données sensibles; et l’amélioration de l’intégration des dépôts et des flux de travail des recherches afin d’accroître la découvrabilité sans exposition directe. </w:t>
      </w:r>
    </w:p>
    <w:p w14:paraId="1E3EE640" w14:textId="77777777" w:rsidR="00770F86" w:rsidRPr="00FB60C2" w:rsidRDefault="00770F86" w:rsidP="00B701C8">
      <w:pPr>
        <w:pStyle w:val="Heading3"/>
        <w:keepNext w:val="0"/>
        <w:keepLines w:val="0"/>
        <w:spacing w:before="280"/>
        <w:rPr>
          <w:b/>
          <w:color w:val="000000"/>
          <w:sz w:val="26"/>
          <w:szCs w:val="26"/>
        </w:rPr>
      </w:pPr>
      <w:bookmarkStart w:id="29" w:name="_Toc206069543"/>
      <w:bookmarkStart w:id="30" w:name="_Toc207100016"/>
      <w:r w:rsidRPr="00FB60C2">
        <w:rPr>
          <w:b/>
          <w:color w:val="000000"/>
          <w:sz w:val="26"/>
          <w:szCs w:val="26"/>
        </w:rPr>
        <w:t>8. Besoin de services et de systèmes relatifs aux dépôts</w:t>
      </w:r>
      <w:bookmarkEnd w:id="29"/>
      <w:bookmarkEnd w:id="30"/>
    </w:p>
    <w:p w14:paraId="6E13E636" w14:textId="77777777" w:rsidR="00770F86" w:rsidRPr="00FB60C2" w:rsidRDefault="00770F86" w:rsidP="00B701C8">
      <w:pPr>
        <w:spacing w:before="240" w:after="240"/>
      </w:pPr>
      <w:r w:rsidRPr="00FB60C2">
        <w:rPr>
          <w:color w:val="000000"/>
        </w:rPr>
        <w:lastRenderedPageBreak/>
        <w:t xml:space="preserve">Par leur nature, les dépôts institutionnels nécessitent davantage de financement et de ressources vu le besoin d’une gestion à long terme de l’accès contrôlé aux données. Pour guider la sélection de dépôts en particulier, il faut créer une ressource qui recense toutes les options existantes et présente la gouvernance et les mesures de sécurité connexes. Il faut également améliorer les pratiques de métadonnées visant à accroître la découvrabilité et l’utilisabilité des jeux de données d’accès contrôlé. </w:t>
      </w:r>
    </w:p>
    <w:p w14:paraId="0C7391F8" w14:textId="77777777" w:rsidR="00770F86" w:rsidRPr="00FB60C2" w:rsidRDefault="00770F86" w:rsidP="00B701C8"/>
    <w:p w14:paraId="48B37D62" w14:textId="77777777" w:rsidR="00770F86" w:rsidRPr="00FB60C2" w:rsidRDefault="00770F86" w:rsidP="00B701C8"/>
    <w:p w14:paraId="28DDEB79" w14:textId="77777777" w:rsidR="00770F86" w:rsidRPr="00FB60C2" w:rsidRDefault="00770F86" w:rsidP="00B701C8"/>
    <w:p w14:paraId="649F56BF" w14:textId="77777777" w:rsidR="00770F86" w:rsidRPr="00FB60C2" w:rsidRDefault="00770F86" w:rsidP="00B701C8">
      <w:pPr>
        <w:pStyle w:val="Heading1"/>
        <w:numPr>
          <w:ilvl w:val="0"/>
          <w:numId w:val="7"/>
        </w:numPr>
      </w:pPr>
      <w:bookmarkStart w:id="31" w:name="_Toc206069544"/>
      <w:bookmarkStart w:id="32" w:name="_Toc207100017"/>
      <w:r w:rsidRPr="00FB60C2">
        <w:rPr>
          <w:color w:val="000000"/>
        </w:rPr>
        <w:t>Recommandations</w:t>
      </w:r>
      <w:bookmarkEnd w:id="31"/>
      <w:bookmarkEnd w:id="32"/>
    </w:p>
    <w:p w14:paraId="4FCFDCC4" w14:textId="77777777" w:rsidR="00770F86" w:rsidRPr="00FB60C2" w:rsidRDefault="00770F86" w:rsidP="00B701C8">
      <w:pPr>
        <w:keepNext/>
        <w:ind w:left="720"/>
      </w:pPr>
    </w:p>
    <w:p w14:paraId="74551CF2" w14:textId="77777777" w:rsidR="00770F86" w:rsidRPr="00FB60C2" w:rsidRDefault="00770F86" w:rsidP="00B701C8">
      <w:pPr>
        <w:pStyle w:val="Heading2"/>
        <w:numPr>
          <w:ilvl w:val="0"/>
          <w:numId w:val="16"/>
        </w:numPr>
        <w:spacing w:before="0"/>
      </w:pPr>
      <w:bookmarkStart w:id="33" w:name="_Toc206069545"/>
      <w:bookmarkStart w:id="34" w:name="_Toc207100018"/>
      <w:r w:rsidRPr="00FB60C2">
        <w:rPr>
          <w:color w:val="000000"/>
        </w:rPr>
        <w:t>Préface aux recommandations</w:t>
      </w:r>
      <w:bookmarkEnd w:id="33"/>
      <w:bookmarkEnd w:id="34"/>
    </w:p>
    <w:p w14:paraId="004476A4" w14:textId="77777777" w:rsidR="00770F86" w:rsidRPr="00FB60C2" w:rsidRDefault="00770F86" w:rsidP="00B701C8">
      <w:pPr>
        <w:keepNext/>
      </w:pPr>
    </w:p>
    <w:p w14:paraId="5D881578" w14:textId="77777777" w:rsidR="00770F86" w:rsidRPr="00FB60C2" w:rsidRDefault="00770F86" w:rsidP="00B701C8">
      <w:pPr>
        <w:keepNext/>
        <w:rPr>
          <w:color w:val="000000"/>
        </w:rPr>
      </w:pPr>
      <w:r w:rsidRPr="00FB60C2">
        <w:rPr>
          <w:color w:val="000000"/>
        </w:rPr>
        <w:t xml:space="preserve">Les recommandations suivantes sont fondées sur certains principes de base qu’il est important de comprendre et de prendre en charge pour assurer le succès de toute démarche d’amélioration de la gestion de l’accès contrôlé (GAC) aux données de recherche. </w:t>
      </w:r>
    </w:p>
    <w:p w14:paraId="48AC76A9" w14:textId="77777777" w:rsidR="00770F86" w:rsidRPr="00FB60C2" w:rsidRDefault="00770F86" w:rsidP="00B701C8"/>
    <w:p w14:paraId="1B50FFFF" w14:textId="77777777" w:rsidR="00770F86" w:rsidRPr="00FB60C2" w:rsidRDefault="00770F86" w:rsidP="00B701C8">
      <w:pPr>
        <w:numPr>
          <w:ilvl w:val="0"/>
          <w:numId w:val="18"/>
        </w:numPr>
      </w:pPr>
      <w:r w:rsidRPr="00FB60C2">
        <w:rPr>
          <w:color w:val="000000"/>
        </w:rPr>
        <w:t xml:space="preserve">Pour créer un écosystème durable de GAC, il faut un financement et une infrastructure qui vont au-delà de ce qui existe déjà. Les ressources doivent répondre aux besoins des chercheuses et chercheurs et du personnel hautement qualifié, ce qui n’est pas encore le cas pour la plupart des établissements de recherche et des fournisseurs d’infrastructures. </w:t>
      </w:r>
    </w:p>
    <w:p w14:paraId="0D79A1DF" w14:textId="77777777" w:rsidR="00770F86" w:rsidRPr="00FB60C2" w:rsidRDefault="00770F86" w:rsidP="00B701C8">
      <w:pPr>
        <w:numPr>
          <w:ilvl w:val="0"/>
          <w:numId w:val="18"/>
        </w:numPr>
      </w:pPr>
      <w:r w:rsidRPr="00FB60C2">
        <w:rPr>
          <w:color w:val="000000"/>
        </w:rPr>
        <w:t>Même s’il est essentiel d’instaurer des solutions techniques et de développer les infrastructures, ces avenues ne suffiront pas à améliorer l’écosystème de GAC au Canada. Pour arriver à un cadre de référence qui permettra de tirer le meilleur parti de ces technologies, il faut, d’une part, élaborer des politiques, des modèles de gouvernance et une liste de meilleures pratiques, et d’autre part, fournir le soutien nécessaire.</w:t>
      </w:r>
    </w:p>
    <w:p w14:paraId="0E439F63" w14:textId="77777777" w:rsidR="00770F86" w:rsidRPr="00FB60C2" w:rsidRDefault="00770F86" w:rsidP="00B701C8">
      <w:pPr>
        <w:numPr>
          <w:ilvl w:val="0"/>
          <w:numId w:val="18"/>
        </w:numPr>
      </w:pPr>
      <w:r w:rsidRPr="00FB60C2">
        <w:t xml:space="preserve">Pour améliorer la </w:t>
      </w:r>
      <w:r w:rsidRPr="00FB60C2">
        <w:rPr>
          <w:color w:val="000000"/>
        </w:rPr>
        <w:t>GAC, il est essentiel de</w:t>
      </w:r>
      <w:r w:rsidRPr="00FB60C2">
        <w:t xml:space="preserve"> soutenir et de former les </w:t>
      </w:r>
      <w:r w:rsidRPr="00FB60C2">
        <w:rPr>
          <w:color w:val="000000"/>
        </w:rPr>
        <w:t xml:space="preserve">utilisatrices et utilisateurs, mais aussi d’outiller les personnes assurant ce soutien et ces formations. </w:t>
      </w:r>
    </w:p>
    <w:p w14:paraId="5346555B" w14:textId="77777777" w:rsidR="00770F86" w:rsidRPr="00FB60C2" w:rsidRDefault="00770F86" w:rsidP="00B701C8">
      <w:pPr>
        <w:numPr>
          <w:ilvl w:val="0"/>
          <w:numId w:val="18"/>
        </w:numPr>
      </w:pPr>
      <w:r w:rsidRPr="00FB60C2">
        <w:t xml:space="preserve">La </w:t>
      </w:r>
      <w:r w:rsidRPr="00FB60C2">
        <w:rPr>
          <w:color w:val="000000"/>
        </w:rPr>
        <w:t>GAC n’existe pas en vase clos. Elle s’inscrit dans les législations internationale, fédérales, provinciales et régionales, dans les politiques régissant les bailleurs de fonds et les établissements et dans les cadres de référence éthiques. Elle est aussi influencée par la culture – tant globale que disciplinaire – de la recherche.</w:t>
      </w:r>
    </w:p>
    <w:p w14:paraId="4C456D55" w14:textId="77777777" w:rsidR="00770F86" w:rsidRPr="00FB60C2" w:rsidRDefault="00770F86" w:rsidP="00B701C8">
      <w:pPr>
        <w:ind w:left="720"/>
      </w:pPr>
    </w:p>
    <w:p w14:paraId="1E803796" w14:textId="77777777" w:rsidR="00770F86" w:rsidRPr="00FB60C2" w:rsidRDefault="00770F86" w:rsidP="00B701C8">
      <w:pPr>
        <w:rPr>
          <w:color w:val="000000"/>
        </w:rPr>
      </w:pPr>
      <w:r w:rsidRPr="00FB60C2">
        <w:rPr>
          <w:color w:val="000000"/>
        </w:rPr>
        <w:t xml:space="preserve">Le rapport et des recommandations sur la GAC visent à proposer des principes qui aideront les acteurs de l’écosystème de la recherche canadien à concerter et à orienter leur action afin de consolider les pratiques en la matière. </w:t>
      </w:r>
    </w:p>
    <w:p w14:paraId="37E149F0" w14:textId="77777777" w:rsidR="00770F86" w:rsidRPr="00FB60C2" w:rsidRDefault="00770F86" w:rsidP="00B701C8"/>
    <w:p w14:paraId="58DE4ADC" w14:textId="77777777" w:rsidR="00770F86" w:rsidRPr="00FB60C2" w:rsidRDefault="00770F86" w:rsidP="00B701C8">
      <w:pPr>
        <w:rPr>
          <w:b/>
          <w:color w:val="000000"/>
        </w:rPr>
      </w:pPr>
      <w:r w:rsidRPr="00FB60C2">
        <w:rPr>
          <w:b/>
          <w:color w:val="000000"/>
        </w:rPr>
        <w:t xml:space="preserve">Les recommandations ne se veulent pas prescriptives. Celles s’adressant aux établissements de recherche, en particulier, visent plutôt à souligner les aspects où il faudrait ajouter du financement, des ressources et du soutien pour faciliter le contrôle de l’accès aux données de recherche. Il ne s’agit pas de directives adressées aux </w:t>
      </w:r>
      <w:r w:rsidRPr="00FB60C2">
        <w:rPr>
          <w:b/>
          <w:color w:val="000000"/>
        </w:rPr>
        <w:lastRenderedPageBreak/>
        <w:t xml:space="preserve">établissements de recherche; les parties prenantes sont plutôt invitées à les interpréter et à les appliquer selon leurs besoins, priorités et capacités. </w:t>
      </w:r>
    </w:p>
    <w:p w14:paraId="62EACF7C" w14:textId="77777777" w:rsidR="00770F86" w:rsidRPr="00FB60C2" w:rsidRDefault="00770F86" w:rsidP="00B701C8">
      <w:pPr>
        <w:rPr>
          <w:color w:val="000000"/>
        </w:rPr>
      </w:pPr>
    </w:p>
    <w:p w14:paraId="6526A1A9" w14:textId="77777777" w:rsidR="00770F86" w:rsidRPr="00FB60C2" w:rsidRDefault="00770F86" w:rsidP="00B701C8">
      <w:pPr>
        <w:rPr>
          <w:color w:val="000000"/>
        </w:rPr>
      </w:pPr>
      <w:r w:rsidRPr="00FB60C2">
        <w:rPr>
          <w:color w:val="000000"/>
        </w:rPr>
        <w:t>Par nature, les recommandations ont une vaste portée. Les organismes partenaires ont été invités à se prononcer sur tous les aspects, en particulier concernant les dépôts où des données à accès contrôlé étaient consignées. Dès le début de l’initiative, l’objectif était d’entendre des idées aussi diversifiées que possible et d’honorer l’expertise et les intérêts des parties prenantes participantes. C’est pourquoi les recommandations ratissent large.</w:t>
      </w:r>
    </w:p>
    <w:p w14:paraId="1614B387" w14:textId="77777777" w:rsidR="00770F86" w:rsidRPr="00FB60C2" w:rsidRDefault="00770F86" w:rsidP="00B701C8"/>
    <w:p w14:paraId="3338016F" w14:textId="77777777" w:rsidR="00770F86" w:rsidRPr="00FB60C2" w:rsidRDefault="00770F86" w:rsidP="00B701C8">
      <w:r w:rsidRPr="00FB60C2">
        <w:rPr>
          <w:color w:val="000000"/>
        </w:rPr>
        <w:t xml:space="preserve">Elles s’adressent à l’ensemble de l’écosystème de la recherche. Certaines visent des publics particuliers, d’autres concernent seulement certains groupes de parties prenantes, par exemple les trois organismes. Essentiellement, le rapport et les recommandations s’adressent à Innovation, Sciences et Développement économique Canada (ISDE) et autres organismes de financement, à l’Alliance ainsi qu’aux établissements et organismes de recherche canadiens. </w:t>
      </w:r>
    </w:p>
    <w:p w14:paraId="069BCC6E" w14:textId="77777777" w:rsidR="00770F86" w:rsidRPr="00FB60C2" w:rsidRDefault="00770F86" w:rsidP="00B701C8">
      <w:pPr>
        <w:rPr>
          <w:color w:val="000000"/>
        </w:rPr>
      </w:pPr>
    </w:p>
    <w:p w14:paraId="21FE47EB" w14:textId="77777777" w:rsidR="00770F86" w:rsidRPr="00FB60C2" w:rsidRDefault="00770F86" w:rsidP="00B701C8">
      <w:r w:rsidRPr="00FB60C2">
        <w:rPr>
          <w:color w:val="000000"/>
        </w:rPr>
        <w:t>Les recommandations ont été classées sous cinq thèmes. Certains ne comportent qu’une seule recommandation, tandis que d’autres en regroupent plusieurs, qui représentent différentes approches. Dans ces cas, les recommandations sont précédées d’une courte préface en résumant les principales idées.</w:t>
      </w:r>
    </w:p>
    <w:p w14:paraId="3319BF70" w14:textId="77777777" w:rsidR="00770F86" w:rsidRPr="00FB60C2" w:rsidRDefault="00770F86" w:rsidP="00B701C8">
      <w:pPr>
        <w:pStyle w:val="Heading2"/>
        <w:numPr>
          <w:ilvl w:val="0"/>
          <w:numId w:val="21"/>
        </w:numPr>
      </w:pPr>
      <w:bookmarkStart w:id="35" w:name="_Toc206069546"/>
      <w:bookmarkStart w:id="36" w:name="_Toc207100019"/>
      <w:r w:rsidRPr="00FB60C2">
        <w:rPr>
          <w:color w:val="000000"/>
        </w:rPr>
        <w:t>Investir à grande échelle dans des infrastructures de gestion de l’accès contrôlé aux données de recherche</w:t>
      </w:r>
      <w:bookmarkEnd w:id="35"/>
      <w:bookmarkEnd w:id="36"/>
      <w:r w:rsidRPr="00FB60C2">
        <w:rPr>
          <w:color w:val="000000"/>
        </w:rPr>
        <w:t xml:space="preserve"> </w:t>
      </w:r>
    </w:p>
    <w:p w14:paraId="7DD206F2" w14:textId="77777777" w:rsidR="00770F86" w:rsidRPr="00FB60C2" w:rsidRDefault="00770F86" w:rsidP="00B701C8">
      <w:pPr>
        <w:keepNext/>
      </w:pPr>
    </w:p>
    <w:p w14:paraId="7D617B41" w14:textId="77777777" w:rsidR="00770F86" w:rsidRPr="00FB60C2" w:rsidRDefault="00770F86" w:rsidP="00B701C8">
      <w:pPr>
        <w:pStyle w:val="Heading3"/>
      </w:pPr>
      <w:bookmarkStart w:id="37" w:name="_Toc206069547"/>
      <w:bookmarkStart w:id="38" w:name="_Toc207100020"/>
      <w:r w:rsidRPr="00FB60C2">
        <w:t>Recommandation 1</w:t>
      </w:r>
      <w:bookmarkEnd w:id="37"/>
      <w:bookmarkEnd w:id="38"/>
    </w:p>
    <w:p w14:paraId="1FC26ADF" w14:textId="77777777" w:rsidR="00770F86" w:rsidRPr="00FB60C2" w:rsidRDefault="00770F86" w:rsidP="00B701C8">
      <w:pPr>
        <w:keepNext/>
      </w:pPr>
    </w:p>
    <w:p w14:paraId="008AA30A" w14:textId="77777777" w:rsidR="00770F86" w:rsidRPr="00FB60C2" w:rsidRDefault="00770F86" w:rsidP="00B701C8">
      <w:pPr>
        <w:keepNext/>
      </w:pPr>
      <w:r w:rsidRPr="00FB60C2">
        <w:rPr>
          <w:color w:val="000000"/>
        </w:rPr>
        <w:t xml:space="preserve">Pour améliorer la gestion de l’accès contrôlé aux données de recherche (GAC) au Canada, il faut prioriser les investissements infrastructurels d’envergure. Et pour que ces investissements soient efficaces, ils doivent s’accompagner d’un financement complémentaire axé sur la gouvernance et l’intendance des données, la formation et la sensibilisation. </w:t>
      </w:r>
    </w:p>
    <w:p w14:paraId="619D68AF" w14:textId="77777777" w:rsidR="00770F86" w:rsidRPr="00FB60C2" w:rsidRDefault="00770F86" w:rsidP="00B701C8"/>
    <w:p w14:paraId="6EC5E84D" w14:textId="77777777" w:rsidR="00770F86" w:rsidRPr="00FB60C2" w:rsidRDefault="00770F86" w:rsidP="00B701C8">
      <w:pPr>
        <w:pStyle w:val="Subtitle"/>
        <w:rPr>
          <w:sz w:val="28"/>
          <w:szCs w:val="28"/>
        </w:rPr>
      </w:pPr>
      <w:r w:rsidRPr="00FB60C2">
        <w:rPr>
          <w:sz w:val="28"/>
          <w:szCs w:val="28"/>
        </w:rPr>
        <w:t>Contexte</w:t>
      </w:r>
    </w:p>
    <w:p w14:paraId="396DB866" w14:textId="77777777" w:rsidR="00770F86" w:rsidRPr="00FB60C2" w:rsidRDefault="00770F86" w:rsidP="00B701C8">
      <w:r w:rsidRPr="00FB60C2">
        <w:rPr>
          <w:color w:val="000000"/>
        </w:rPr>
        <w:t>En ce moment, le Canada manque d’infrastructures de GAC suffisamment adéquates. À l’heure où l’on exige de plus en plus que les chercheuses et chercheurs consignent les données de recherche, on constate un besoin criant de financement consacré au développement d’infrastructures adaptées à la consignation de données de recherche sensibles à accès restreint, à des systèmes de gestion efficace et conforme des données et des accès, et à du personnel soutenant les chercheuses et chercheurs, les infrastructures et les systèmes.</w:t>
      </w:r>
    </w:p>
    <w:p w14:paraId="41480695" w14:textId="77777777" w:rsidR="00770F86" w:rsidRPr="00FB60C2" w:rsidRDefault="00770F86" w:rsidP="00B701C8">
      <w:pPr>
        <w:rPr>
          <w:color w:val="000000"/>
        </w:rPr>
      </w:pPr>
      <w:r w:rsidRPr="00FB60C2">
        <w:rPr>
          <w:color w:val="000000"/>
        </w:rPr>
        <w:br/>
        <w:t xml:space="preserve">Bien qu’il faille élargir l’infrastructure nationale, il faut comprendre que les infrastructures institutionnelles et régionales jouent aussi un rôle capital lorsqu’il s’agit de donner aux </w:t>
      </w:r>
      <w:r w:rsidRPr="00FB60C2">
        <w:rPr>
          <w:color w:val="000000"/>
        </w:rPr>
        <w:lastRenderedPageBreak/>
        <w:t xml:space="preserve">chercheuses et chercheurs les moyens de sécuriser et de consigner des données de recherche à accès restreint. Les deux systèmes sont en réalité complémentaires : les infrastructures fédérées, distribuées et localisées participent à la sécurité et à l’intégrité des données, tandis que l’infrastructure centralisée rend possibles des services et des systèmes évolutifs à grande échelle. Pour faire en sorte que l’écosystème de recherche du Canada ait l’infrastructure et les systèmes nécessaires pour répondre aux besoins grandissants en matière de sécurité et de souveraineté des données de recherche, il est nécessaire d’instaurer une stratégie d’investissement à la hauteur des besoins et de la valeur des infrastructures nationales et institutionnelles. </w:t>
      </w:r>
    </w:p>
    <w:p w14:paraId="033160B1" w14:textId="77777777" w:rsidR="00770F86" w:rsidRPr="00FB60C2" w:rsidRDefault="00770F86" w:rsidP="00B701C8">
      <w:pPr>
        <w:rPr>
          <w:color w:val="000000"/>
        </w:rPr>
      </w:pPr>
    </w:p>
    <w:p w14:paraId="1857229F" w14:textId="77777777" w:rsidR="00770F86" w:rsidRPr="00FB60C2" w:rsidRDefault="00770F86" w:rsidP="00B701C8"/>
    <w:p w14:paraId="61D7E9B4" w14:textId="77777777" w:rsidR="00770F86" w:rsidRPr="00FB60C2" w:rsidRDefault="00770F86" w:rsidP="00B701C8">
      <w:pPr>
        <w:pStyle w:val="Heading2"/>
        <w:numPr>
          <w:ilvl w:val="0"/>
          <w:numId w:val="21"/>
        </w:numPr>
      </w:pPr>
      <w:bookmarkStart w:id="39" w:name="_Toc206069548"/>
      <w:bookmarkStart w:id="40" w:name="_Toc207100021"/>
      <w:r w:rsidRPr="00FB60C2">
        <w:rPr>
          <w:color w:val="000000"/>
        </w:rPr>
        <w:t>Définir les rôles et donner aux parties prenantes les moyens de les assumer</w:t>
      </w:r>
      <w:bookmarkEnd w:id="39"/>
      <w:bookmarkEnd w:id="40"/>
    </w:p>
    <w:p w14:paraId="332D9B39" w14:textId="77777777" w:rsidR="00770F86" w:rsidRPr="00FB60C2" w:rsidRDefault="00770F86" w:rsidP="00B701C8"/>
    <w:p w14:paraId="77A8A4B5" w14:textId="77777777" w:rsidR="00770F86" w:rsidRPr="00FB60C2" w:rsidRDefault="00770F86" w:rsidP="00B701C8">
      <w:pPr>
        <w:rPr>
          <w:color w:val="000000"/>
        </w:rPr>
      </w:pPr>
      <w:r w:rsidRPr="00FB60C2">
        <w:rPr>
          <w:color w:val="000000"/>
        </w:rPr>
        <w:t xml:space="preserve">La gestion de l’accès contrôlé (GAC) nécessite la participation de plusieurs membres de l’écosystème de la recherche (liste non exhaustive à l’annexe 2). Les échanges à ce propos entre les organisations partenaires et les groupes de travail confirment que les responsabilités des différentes parties prenantes sont à clarifier. Ces dernières peuvent dépendre de divers facteurs, comme la structure de gouvernance de l’établissement, l’existence de mandats réglementaires ou stratégiques et la prise en compte d’un aspect particulier de la gestion de l’accès contrôlé (détermination de l’accès aux données, préparation à la consignation, etc.). </w:t>
      </w:r>
    </w:p>
    <w:p w14:paraId="1BC3AD24" w14:textId="77777777" w:rsidR="00770F86" w:rsidRPr="00FB60C2" w:rsidRDefault="00770F86" w:rsidP="00B701C8">
      <w:pPr>
        <w:rPr>
          <w:color w:val="000000"/>
        </w:rPr>
      </w:pPr>
    </w:p>
    <w:p w14:paraId="3CD5FB72" w14:textId="77777777" w:rsidR="00770F86" w:rsidRPr="00FB60C2" w:rsidRDefault="00770F86" w:rsidP="00B701C8">
      <w:pPr>
        <w:rPr>
          <w:color w:val="000000"/>
        </w:rPr>
      </w:pPr>
      <w:r w:rsidRPr="00FB60C2">
        <w:rPr>
          <w:color w:val="000000"/>
        </w:rPr>
        <w:t xml:space="preserve">Il arrive que les responsabilités d’une partie prenante soient clairement définies par la législation ou par l’établissement d’affiliation. À l’inverse, il arrive qu’elles ne soient ni bien définies ni bien comprises, ou encore que leur mise en pratique ne soit pas possible dans les faits. C’est en clarifiant ce concept, en améliorant la compréhension et en outillant mieux les parties prenantes concernées que l’on pourra bâtir un écosystème de GAC plus durable. </w:t>
      </w:r>
    </w:p>
    <w:p w14:paraId="781C152F" w14:textId="77777777" w:rsidR="00770F86" w:rsidRPr="00FB60C2" w:rsidRDefault="00770F86" w:rsidP="00B701C8">
      <w:pPr>
        <w:rPr>
          <w:color w:val="000000"/>
        </w:rPr>
      </w:pPr>
    </w:p>
    <w:p w14:paraId="6865A4EE" w14:textId="77777777" w:rsidR="00770F86" w:rsidRPr="00FB60C2" w:rsidRDefault="00770F86" w:rsidP="00B701C8">
      <w:pPr>
        <w:pStyle w:val="Heading3"/>
      </w:pPr>
      <w:bookmarkStart w:id="41" w:name="_Toc206069549"/>
      <w:bookmarkStart w:id="42" w:name="_Toc207100022"/>
      <w:r w:rsidRPr="00FB60C2">
        <w:t>Recommandation 2</w:t>
      </w:r>
      <w:bookmarkEnd w:id="41"/>
      <w:bookmarkEnd w:id="42"/>
    </w:p>
    <w:p w14:paraId="1E753E37" w14:textId="77777777" w:rsidR="00770F86" w:rsidRPr="00FB60C2" w:rsidRDefault="00770F86" w:rsidP="00B701C8">
      <w:pPr>
        <w:keepNext/>
        <w:shd w:val="clear" w:color="auto" w:fill="FFFFFF"/>
        <w:spacing w:before="220" w:after="220"/>
      </w:pPr>
      <w:r w:rsidRPr="00FB60C2">
        <w:rPr>
          <w:color w:val="000000"/>
        </w:rPr>
        <w:t>Nous encourageons les établissements, les chercheuses et chercheurs et les responsables des dépôts à harmoniser les responsabilités relatives à la consignation et au stockage à long terme de données de recherche d’accès contrôlé. Il y a lieu de coordonner et de financer adéquatement une démarche collaborative visant à élaborer et à soutenir une infrastructure, des flux de travail et des pratiques durables pour bien représenter les visées et les responsabilités communes des différents groupes de parties prenantes.</w:t>
      </w:r>
      <w:r w:rsidRPr="00FB60C2">
        <w:rPr>
          <w:color w:val="000000"/>
        </w:rPr>
        <w:br/>
      </w:r>
      <w:r w:rsidRPr="00FB60C2">
        <w:rPr>
          <w:color w:val="000000"/>
        </w:rPr>
        <w:br/>
      </w:r>
      <w:r w:rsidRPr="00FB60C2">
        <w:rPr>
          <w:rStyle w:val="SubtitleChar"/>
        </w:rPr>
        <w:t>Contexte</w:t>
      </w:r>
    </w:p>
    <w:p w14:paraId="12E09235" w14:textId="77777777" w:rsidR="00770F86" w:rsidRPr="00FB60C2" w:rsidRDefault="00770F86" w:rsidP="00B701C8">
      <w:pPr>
        <w:keepNext/>
        <w:shd w:val="clear" w:color="auto" w:fill="FFFFFF"/>
        <w:spacing w:before="220" w:after="220"/>
        <w:rPr>
          <w:color w:val="000000"/>
        </w:rPr>
      </w:pPr>
      <w:r w:rsidRPr="00FB60C2">
        <w:rPr>
          <w:color w:val="000000"/>
        </w:rPr>
        <w:t xml:space="preserve">Avec une bonne collaboration et coordination entre les établissements, les chercheuses et chercheurs et les responsables des dépôts, toutes les parties pourront assumer les responsabilités qui leur incombent par rapport à la consignation, au stockage à long terme </w:t>
      </w:r>
      <w:r w:rsidRPr="00FB60C2">
        <w:rPr>
          <w:color w:val="000000"/>
        </w:rPr>
        <w:lastRenderedPageBreak/>
        <w:t>et, globalement, à la gestion de l’accès contrôlé (GAC) en ce qui concerne les données de recherche.</w:t>
      </w:r>
    </w:p>
    <w:p w14:paraId="4C55C702" w14:textId="77777777" w:rsidR="00770F86" w:rsidRPr="00FB60C2" w:rsidRDefault="00770F86" w:rsidP="00B701C8">
      <w:pPr>
        <w:keepNext/>
        <w:shd w:val="clear" w:color="auto" w:fill="FFFFFF"/>
        <w:spacing w:before="220" w:after="220"/>
        <w:rPr>
          <w:color w:val="000000"/>
        </w:rPr>
      </w:pPr>
      <w:r w:rsidRPr="00FB60C2">
        <w:rPr>
          <w:color w:val="000000"/>
        </w:rPr>
        <w:t>Pour soutenir les chercheuses et chercheurs, les établissements peuvent notamment solliciter et faire valoir l’expertise des bibliothèques d’institutions et de leur personnel hautement qualifié (c.-à-d. les équipes de GDR). Les bibliothécaires spécialisés en GDR peuvent par exemple participer à l’élaboration de lignes directrices énonçant les exigences de l’établissement ou aider les chercheuses et chercheurs à évaluer les options de dépôts.</w:t>
      </w:r>
    </w:p>
    <w:p w14:paraId="11C063B5" w14:textId="77777777" w:rsidR="00770F86" w:rsidRPr="00FB60C2" w:rsidRDefault="00770F86" w:rsidP="00B701C8">
      <w:pPr>
        <w:shd w:val="clear" w:color="auto" w:fill="FFFFFF"/>
        <w:spacing w:before="240"/>
      </w:pPr>
      <w:r w:rsidRPr="00FB60C2">
        <w:rPr>
          <w:color w:val="000000"/>
        </w:rPr>
        <w:t>Les chercheuses et chercheurs</w:t>
      </w:r>
      <w:r w:rsidRPr="00FB60C2">
        <w:rPr>
          <w:b/>
          <w:color w:val="000000"/>
        </w:rPr>
        <w:t xml:space="preserve"> </w:t>
      </w:r>
      <w:r w:rsidRPr="00FB60C2">
        <w:rPr>
          <w:bCs/>
          <w:color w:val="000000"/>
        </w:rPr>
        <w:t xml:space="preserve">comptent sur leur </w:t>
      </w:r>
      <w:r w:rsidRPr="00FB60C2">
        <w:rPr>
          <w:color w:val="000000"/>
        </w:rPr>
        <w:t>établissement pour les aider à comprendre les exigences et les politiques qui régissent leurs données (conditions des bailleurs de fonds, considérations d’éthique et de respect de la vie privée, exigences de cybersécurité, obligations commerciales, etc.). Pour choisir un dépôt et s’assurer qu’il est conforme aux politiques applicables et aux exigences techniques, elles et ils pourraient devoir faire appel à plusieurs spécialistes de leur établissement.</w:t>
      </w:r>
    </w:p>
    <w:p w14:paraId="1CBDD146" w14:textId="77777777" w:rsidR="00770F86" w:rsidRPr="00FB60C2" w:rsidRDefault="00770F86" w:rsidP="00B701C8">
      <w:pPr>
        <w:shd w:val="clear" w:color="auto" w:fill="FFFFFF"/>
        <w:spacing w:before="240"/>
        <w:rPr>
          <w:color w:val="000000"/>
        </w:rPr>
      </w:pPr>
      <w:r w:rsidRPr="00FB60C2">
        <w:rPr>
          <w:color w:val="000000"/>
        </w:rPr>
        <w:t xml:space="preserve">Les dépôts ont pour but de fournir des services de consignation et de stockage à long terme qui répondent aux exigences et aux politiques pertinentes. En rendant accessibles aux chercheuses, aux chercheurs et aux établissements les modalités de contrôle des accès des dépôts et les politiques et cadres de référence sur la sécurité, on arrivera à des décisions éclairées. </w:t>
      </w:r>
    </w:p>
    <w:p w14:paraId="39123EF3" w14:textId="77777777" w:rsidR="00770F86" w:rsidRPr="00FB60C2" w:rsidRDefault="00770F86" w:rsidP="00B701C8"/>
    <w:p w14:paraId="0C05C5ED" w14:textId="77777777" w:rsidR="00770F86" w:rsidRPr="00FB60C2" w:rsidRDefault="00770F86" w:rsidP="00B701C8"/>
    <w:p w14:paraId="5486B9D0" w14:textId="77777777" w:rsidR="00770F86" w:rsidRPr="00FB60C2" w:rsidRDefault="00770F86" w:rsidP="00B701C8"/>
    <w:p w14:paraId="4F933A8D" w14:textId="77777777" w:rsidR="00770F86" w:rsidRPr="00FB60C2" w:rsidRDefault="00770F86" w:rsidP="00B701C8">
      <w:pPr>
        <w:pStyle w:val="Heading3"/>
        <w:shd w:val="clear" w:color="auto" w:fill="FFFFFF"/>
        <w:spacing w:before="220" w:after="220"/>
      </w:pPr>
      <w:bookmarkStart w:id="43" w:name="_Toc206069550"/>
      <w:bookmarkStart w:id="44" w:name="_Toc207100023"/>
      <w:r w:rsidRPr="00FB60C2">
        <w:t>Recommandation 3</w:t>
      </w:r>
      <w:bookmarkEnd w:id="43"/>
      <w:bookmarkEnd w:id="44"/>
    </w:p>
    <w:p w14:paraId="5E3A12D4" w14:textId="77777777" w:rsidR="00770F86" w:rsidRPr="00FB60C2" w:rsidRDefault="00770F86" w:rsidP="00B701C8">
      <w:pPr>
        <w:shd w:val="clear" w:color="auto" w:fill="FFFFFF"/>
        <w:spacing w:before="220" w:after="220"/>
        <w:rPr>
          <w:color w:val="000000"/>
        </w:rPr>
      </w:pPr>
      <w:r w:rsidRPr="00FB60C2">
        <w:rPr>
          <w:color w:val="000000"/>
        </w:rPr>
        <w:t>Au fil de l’émergence ou de la transformation des diverses exigences, le Groupe consultatif interorganisme en éthique de la recherche est fortement encouragé à clarifier, dans le contexte de l’</w:t>
      </w:r>
      <w:r w:rsidRPr="00FB60C2">
        <w:rPr>
          <w:i/>
          <w:color w:val="000000"/>
        </w:rPr>
        <w:t xml:space="preserve">Énoncé de politique des trois conseils : éthique de la recherche avec des êtres humains </w:t>
      </w:r>
      <w:r w:rsidRPr="00FB60C2">
        <w:rPr>
          <w:color w:val="000000"/>
        </w:rPr>
        <w:t xml:space="preserve">(EPTC2, 2022), le rôle des comités d’éthique de la recherche dans l’évaluation du choix de dépôt et des possibilités de réutilisation. </w:t>
      </w:r>
    </w:p>
    <w:p w14:paraId="74F14686" w14:textId="77777777" w:rsidR="00770F86" w:rsidRPr="00FB60C2" w:rsidRDefault="00770F86" w:rsidP="00B701C8">
      <w:pPr>
        <w:shd w:val="clear" w:color="auto" w:fill="FFFFFF"/>
        <w:spacing w:before="220" w:after="220"/>
      </w:pPr>
    </w:p>
    <w:p w14:paraId="672B7804" w14:textId="77777777" w:rsidR="00770F86" w:rsidRPr="00FB60C2" w:rsidRDefault="00770F86" w:rsidP="00B701C8">
      <w:pPr>
        <w:pStyle w:val="Subtitle"/>
        <w:shd w:val="clear" w:color="auto" w:fill="FFFFFF"/>
        <w:spacing w:before="220" w:after="220"/>
      </w:pPr>
      <w:r w:rsidRPr="00FB60C2">
        <w:t>Contexte</w:t>
      </w:r>
    </w:p>
    <w:p w14:paraId="09A81CAE" w14:textId="77777777" w:rsidR="00770F86" w:rsidRPr="00FB60C2" w:rsidRDefault="00770F86" w:rsidP="00B701C8">
      <w:pPr>
        <w:shd w:val="clear" w:color="auto" w:fill="FFFFFF"/>
        <w:spacing w:before="220" w:after="220"/>
        <w:rPr>
          <w:color w:val="000000"/>
        </w:rPr>
      </w:pPr>
      <w:r w:rsidRPr="00FB60C2">
        <w:rPr>
          <w:color w:val="000000"/>
        </w:rPr>
        <w:t xml:space="preserve">En 2021, le Groupe en éthique de la recherche a publié le document </w:t>
      </w:r>
      <w:r w:rsidRPr="00FB60C2">
        <w:rPr>
          <w:i/>
          <w:iCs/>
          <w:color w:val="000000"/>
        </w:rPr>
        <w:t>Versement des données existantes dans des dépôts publics </w:t>
      </w:r>
      <w:r w:rsidRPr="00FB60C2">
        <w:rPr>
          <w:color w:val="000000"/>
        </w:rPr>
        <w:t>(Groupe en éthique de la recherche, 2021). On y précise le rôle des comités d’éthique de la recherche dans l’examen des demandes de certification éthique lorsqu’il est question de consigner des données sans que les participantes et participants aient consenti à un quelconque partage. Or, il y a lieu de préciser ces questions encore davantage.</w:t>
      </w:r>
    </w:p>
    <w:p w14:paraId="1160EFEB" w14:textId="77777777" w:rsidR="00770F86" w:rsidRPr="00FB60C2" w:rsidRDefault="00770F86" w:rsidP="00B701C8">
      <w:pPr>
        <w:shd w:val="clear" w:color="auto" w:fill="FFFFFF"/>
        <w:spacing w:before="220" w:after="220"/>
        <w:rPr>
          <w:color w:val="000000"/>
        </w:rPr>
      </w:pPr>
      <w:r w:rsidRPr="00FB60C2">
        <w:rPr>
          <w:color w:val="000000"/>
        </w:rPr>
        <w:t xml:space="preserve">Les lignes directrices actuelles du Groupe en éthique de la recherche indiquent que les comités d’éthique de la recherche doivent tenir compte du « caractère approprié du dépôt où les [chercheuses et] chercheurs proposent de déposer les données » lorsqu’ils examinent les demandes, de même que « [de la] gouvernance et [des] politiques concernant </w:t>
      </w:r>
      <w:r w:rsidRPr="00FB60C2">
        <w:rPr>
          <w:color w:val="000000"/>
        </w:rPr>
        <w:lastRenderedPageBreak/>
        <w:t xml:space="preserve">l’accessibilité et la réutilisation des données [et des] mesures de sûreté, de sécurité et de protection en vigueur » (Groupe en éthique de la recherche, 2021). </w:t>
      </w:r>
    </w:p>
    <w:p w14:paraId="4EE0C065" w14:textId="77777777" w:rsidR="00770F86" w:rsidRPr="00FB60C2" w:rsidRDefault="00770F86" w:rsidP="00B701C8">
      <w:pPr>
        <w:shd w:val="clear" w:color="auto" w:fill="FFFFFF"/>
        <w:spacing w:before="220" w:after="220"/>
        <w:rPr>
          <w:color w:val="000000"/>
        </w:rPr>
      </w:pPr>
      <w:r w:rsidRPr="00FB60C2">
        <w:rPr>
          <w:color w:val="000000"/>
        </w:rPr>
        <w:t xml:space="preserve">Pour savoir si un dépôt convient ou non – notamment en examinant tout ce qui touche la gouvernance, les politiques, la sûreté et les mesures de sécurité et de protection appliquées –, il pourrait s’avérer nécessaire de faire appel à une expertise en matière de respect de la vie privée et de sécurité de la recherche, à des conseils juridiques et à des services de bibliothèques. Les établissements adopteront différentes approches pour évaluer les dépôts et répartir les responsabilités selon les bureaux et expertises; or, les spécialistes en éthique de la recherche consultés ont souligné que les comités d’éthique de la recherche pourraient ne pas réunir l’expertise nécessaire. Il serait donc utile pour les établissements que le Groupe en éthique de la recherche fournisse des lignes directrices quant au rôle des comités d’éthique de la recherche dans l’évaluation d’un dépôt et à la manière dont les rôles seront répartis et gérés. </w:t>
      </w:r>
    </w:p>
    <w:p w14:paraId="1F41BB1C" w14:textId="77777777" w:rsidR="00770F86" w:rsidRPr="00FB60C2" w:rsidRDefault="00770F86" w:rsidP="00B701C8">
      <w:pPr>
        <w:shd w:val="clear" w:color="auto" w:fill="FFFFFF"/>
        <w:spacing w:before="220" w:after="220"/>
      </w:pPr>
      <w:r w:rsidRPr="00FB60C2">
        <w:rPr>
          <w:color w:val="000000"/>
        </w:rPr>
        <w:t>Il est donc recommandé que les trois organismes revoient leurs lignes directrices (Groupe en éthique de la recherche, 2021) ou l’EPTC2 (Groupe en éthique de la recherche, 2022) en clarifiant la portée du rôle des comités d’éthique de la recherche dans l’évaluation des dépôts.</w:t>
      </w:r>
    </w:p>
    <w:p w14:paraId="37B3E189" w14:textId="77777777" w:rsidR="00770F86" w:rsidRPr="00FB60C2" w:rsidRDefault="00770F86" w:rsidP="00B701C8">
      <w:pPr>
        <w:shd w:val="clear" w:color="auto" w:fill="FFFFFF"/>
        <w:spacing w:before="220" w:after="220"/>
      </w:pPr>
      <w:r w:rsidRPr="00FB60C2">
        <w:rPr>
          <w:color w:val="000000"/>
        </w:rPr>
        <w:t xml:space="preserve">Cette recommandation a été formulée par des professionnelles et professionnels en éthique de la recherche d’établissements du Canada (conseillères et conseillers en matière d’éthique, directions et membres de comités d’éthique de la recherche), en collaboration avec diverses parties prenantes (bibliothécaires travaillant en GDR, spécialistes de la sécurité en recherche, etc.). </w:t>
      </w:r>
    </w:p>
    <w:p w14:paraId="0AE01FBC" w14:textId="77777777" w:rsidR="00770F86" w:rsidRPr="00FB60C2" w:rsidRDefault="00770F86" w:rsidP="00B701C8">
      <w:pPr>
        <w:shd w:val="clear" w:color="auto" w:fill="FFFFFF"/>
        <w:spacing w:before="220" w:after="220"/>
      </w:pPr>
      <w:r w:rsidRPr="00FB60C2">
        <w:rPr>
          <w:color w:val="000000"/>
        </w:rPr>
        <w:t xml:space="preserve"> </w:t>
      </w:r>
    </w:p>
    <w:p w14:paraId="532E3667" w14:textId="77777777" w:rsidR="00770F86" w:rsidRPr="00FB60C2" w:rsidRDefault="00770F86" w:rsidP="00B701C8">
      <w:pPr>
        <w:pStyle w:val="Heading2"/>
        <w:numPr>
          <w:ilvl w:val="0"/>
          <w:numId w:val="21"/>
        </w:numPr>
      </w:pPr>
      <w:bookmarkStart w:id="45" w:name="_Toc206069551"/>
      <w:bookmarkStart w:id="46" w:name="_Toc207100024"/>
      <w:r w:rsidRPr="00FB60C2">
        <w:rPr>
          <w:color w:val="000000"/>
        </w:rPr>
        <w:t>Favoriser la coordination et la collaboration entre les parties prenantes</w:t>
      </w:r>
      <w:bookmarkEnd w:id="45"/>
      <w:bookmarkEnd w:id="46"/>
    </w:p>
    <w:p w14:paraId="2EE9F5B8" w14:textId="77777777" w:rsidR="00770F86" w:rsidRPr="00FB60C2" w:rsidRDefault="00770F86" w:rsidP="00B701C8">
      <w:r w:rsidRPr="00FB60C2">
        <w:rPr>
          <w:color w:val="000000"/>
        </w:rPr>
        <w:t xml:space="preserve">L’écosystème de gestion de l’accès contrôlé aux données de recherche (GAC) est complexe et touche un vaste éventail de parties prenantes issues de l’ensemble du milieu de la recherche (liste non exhaustive à l’annexe 2). La collaboration entre celles-ci a été relevée comme un aspect incontournable des futures activités liées à la GAC. Les groupes de travail sur la GAC ont cerné différentes avenues pour favoriser et soutenir la collaboration entre les parties prenantes. Une compréhension commune des termes, par exemple, amènerait des échanges plus productifs entre les spécialistes de différents domaines. Dans la même veine, si on élabore des ressources normalisées, leur diffusion et leur utilisation seront plus efficaces à l’échelle nationale, soit dans une multitude d’établissements de recherche du pays. </w:t>
      </w:r>
    </w:p>
    <w:p w14:paraId="608467B0" w14:textId="77777777" w:rsidR="00770F86" w:rsidRPr="00FB60C2" w:rsidRDefault="00770F86" w:rsidP="00B701C8"/>
    <w:p w14:paraId="528AAE97" w14:textId="77777777" w:rsidR="00770F86" w:rsidRPr="00FB60C2" w:rsidRDefault="00770F86" w:rsidP="006B0AD6">
      <w:pPr>
        <w:pStyle w:val="Heading3"/>
      </w:pPr>
      <w:bookmarkStart w:id="47" w:name="_Toc206069552"/>
      <w:bookmarkStart w:id="48" w:name="_Toc207100025"/>
      <w:r w:rsidRPr="00FB60C2">
        <w:lastRenderedPageBreak/>
        <w:t>Recommandation 4</w:t>
      </w:r>
      <w:bookmarkEnd w:id="47"/>
      <w:bookmarkEnd w:id="48"/>
    </w:p>
    <w:p w14:paraId="2D58C706" w14:textId="77777777" w:rsidR="00770F86" w:rsidRPr="00FB60C2" w:rsidRDefault="00770F86" w:rsidP="006B0AD6">
      <w:pPr>
        <w:keepNext/>
      </w:pPr>
    </w:p>
    <w:p w14:paraId="41D807CC" w14:textId="77777777" w:rsidR="00770F86" w:rsidRPr="00FB60C2" w:rsidRDefault="00770F86" w:rsidP="006B0AD6">
      <w:pPr>
        <w:keepNext/>
      </w:pPr>
      <w:r w:rsidRPr="00FB60C2">
        <w:rPr>
          <w:color w:val="000000"/>
        </w:rPr>
        <w:t>Lorsque c’est possible et pertinent de le faire, les parties prenantes doivent adopter ou cautionner un ou plusieurs glossaires existants pour favoriser une interprétation commune des termes relatifs à la gestion de l’accès contrôlé aux données de recherche (GAC).</w:t>
      </w:r>
    </w:p>
    <w:p w14:paraId="17AFF60D" w14:textId="77777777" w:rsidR="00770F86" w:rsidRPr="00FB60C2" w:rsidRDefault="00770F86" w:rsidP="00B701C8"/>
    <w:p w14:paraId="547F1B80" w14:textId="77777777" w:rsidR="00770F86" w:rsidRPr="00FB60C2" w:rsidRDefault="00770F86" w:rsidP="00B701C8">
      <w:pPr>
        <w:pStyle w:val="Subtitle"/>
      </w:pPr>
      <w:r w:rsidRPr="00FB60C2">
        <w:t>Contexte</w:t>
      </w:r>
    </w:p>
    <w:p w14:paraId="2B4EE1FB" w14:textId="77777777" w:rsidR="00770F86" w:rsidRPr="00FB60C2" w:rsidRDefault="00770F86" w:rsidP="00B701C8">
      <w:r w:rsidRPr="00FB60C2">
        <w:rPr>
          <w:color w:val="000000"/>
        </w:rPr>
        <w:t>Il existe différents glossaires des termes associés à la GAC qui reflètent des points de vue différents et visent des publics différents (organismes de financement de la recherche, gestionnaires de dépôts de données, bibliothèques, bureaux d’analyses de données des établissements, etc.). Si ces ressources visent à définir les termes relatifs à la GDR, leur prolifération cause des difficultés aux parties prenantes.</w:t>
      </w:r>
    </w:p>
    <w:p w14:paraId="0C4023EB" w14:textId="77777777" w:rsidR="00770F86" w:rsidRPr="00FB60C2" w:rsidRDefault="00770F86" w:rsidP="00B701C8"/>
    <w:p w14:paraId="13AE97A9" w14:textId="77777777" w:rsidR="00770F86" w:rsidRPr="00FB60C2" w:rsidRDefault="00770F86" w:rsidP="00B701C8">
      <w:r w:rsidRPr="00FB60C2">
        <w:rPr>
          <w:color w:val="000000"/>
        </w:rPr>
        <w:t>Une interprétation commune des termes favorise l’efficacité des services et des systèmes de données. Les chercheuses et chercheurs, de même que les professionnelles et professionnels qui soutiennent leurs travaux, peuvent avoir différentes interprétations des termes employés dans le domaine (consignation, partage, disponibilité, publication, réutilisation, préservation et stockage des données, etc.). Il arrive que le sens de ces termes varie selon le secteur.</w:t>
      </w:r>
    </w:p>
    <w:p w14:paraId="2BFCE518" w14:textId="77777777" w:rsidR="00770F86" w:rsidRPr="00FB60C2" w:rsidRDefault="00770F86" w:rsidP="00B701C8"/>
    <w:p w14:paraId="1FED9420" w14:textId="77777777" w:rsidR="00770F86" w:rsidRPr="00FB60C2" w:rsidRDefault="00770F86" w:rsidP="00B701C8">
      <w:r w:rsidRPr="00FB60C2">
        <w:rPr>
          <w:color w:val="000000"/>
        </w:rPr>
        <w:t>Prenons par exemple le terme « partage des données ». Une revue spécialisée pourrait avoir une exigence à cet égard, laquelle pourrait amener une chercheuse à croire qu’il faut inclure un énoncé de disponibilité des données dans son article; le comité d’éthique de la recherche qui évalue ses travaux pourrait quant à lui penser que l’exigence requiert l’obtention d’un consentement à la réutilisation des données; et un bibliothécaire spécialiste de la GDR de l’établissement de la chercheuse pourrait interpréter l’exigence comme faisant référence aux activités de découverte et de réutilisation des données, comme la consignation dans un dépôt reconnu et le recours à un schéma de métadonnées établi. Ces différentes interprétations peuvent être complémentaires, mais elles peuvent aussi créer de la confusion.</w:t>
      </w:r>
    </w:p>
    <w:p w14:paraId="78585142" w14:textId="77777777" w:rsidR="00770F86" w:rsidRPr="00FB60C2" w:rsidRDefault="00770F86" w:rsidP="00B701C8"/>
    <w:p w14:paraId="6F3255AC" w14:textId="77777777" w:rsidR="00770F86" w:rsidRPr="00FB60C2" w:rsidRDefault="00770F86" w:rsidP="00B701C8">
      <w:pPr>
        <w:rPr>
          <w:b/>
        </w:rPr>
      </w:pPr>
      <w:r w:rsidRPr="00FB60C2">
        <w:rPr>
          <w:color w:val="000000"/>
        </w:rPr>
        <w:t>Or, lorsqu’on précise d’emblée quel glossaire employer, on clarifie le sens de termes importants, ce qui favorise la compréhension des rôles. De même, si des parties prenantes choisissent d’adopter plus d’un glossaire pour instaurer une compréhension commune, elles gagnent à rapprocher les définitions qui se contredisent.</w:t>
      </w:r>
    </w:p>
    <w:p w14:paraId="790D9BB2" w14:textId="77777777" w:rsidR="00770F86" w:rsidRPr="00FB60C2" w:rsidRDefault="00770F86" w:rsidP="00B701C8">
      <w:pPr>
        <w:rPr>
          <w:b/>
        </w:rPr>
      </w:pPr>
    </w:p>
    <w:p w14:paraId="1A1AF161" w14:textId="77777777" w:rsidR="00770F86" w:rsidRPr="00FB60C2" w:rsidRDefault="00770F86" w:rsidP="00B701C8">
      <w:pPr>
        <w:pStyle w:val="Heading3"/>
      </w:pPr>
      <w:bookmarkStart w:id="49" w:name="_Toc206069553"/>
      <w:bookmarkStart w:id="50" w:name="_Toc207100026"/>
      <w:r w:rsidRPr="00FB60C2">
        <w:lastRenderedPageBreak/>
        <w:t>Recommandation 5</w:t>
      </w:r>
      <w:bookmarkEnd w:id="49"/>
      <w:bookmarkEnd w:id="50"/>
    </w:p>
    <w:p w14:paraId="16AAD781" w14:textId="77777777" w:rsidR="00770F86" w:rsidRPr="00FB60C2" w:rsidRDefault="00770F86" w:rsidP="00B701C8">
      <w:pPr>
        <w:keepNext/>
        <w:rPr>
          <w:b/>
        </w:rPr>
      </w:pPr>
    </w:p>
    <w:p w14:paraId="331A2B5C" w14:textId="77777777" w:rsidR="00770F86" w:rsidRPr="00FB60C2" w:rsidRDefault="00770F86" w:rsidP="00B701C8">
      <w:pPr>
        <w:keepNext/>
      </w:pPr>
      <w:r w:rsidRPr="00FB60C2">
        <w:rPr>
          <w:color w:val="000000"/>
        </w:rPr>
        <w:t>En ce qui a trait au consentement, les comités d’éthique de la recherche sont invités à adopter un langage normalisé et adaptable pour décrire les protocoles de consignation et de partage de données dans des dépôts.</w:t>
      </w:r>
    </w:p>
    <w:p w14:paraId="0DFE2471" w14:textId="77777777" w:rsidR="00770F86" w:rsidRPr="00FB60C2" w:rsidRDefault="00770F86" w:rsidP="00B701C8">
      <w:pPr>
        <w:pStyle w:val="Subtitle"/>
        <w:shd w:val="clear" w:color="auto" w:fill="FFFFFF"/>
        <w:spacing w:before="220" w:after="220"/>
      </w:pPr>
      <w:r w:rsidRPr="00FB60C2">
        <w:t>Contexte</w:t>
      </w:r>
    </w:p>
    <w:p w14:paraId="69C8C97B" w14:textId="77777777" w:rsidR="00770F86" w:rsidRPr="00FB60C2" w:rsidRDefault="00770F86" w:rsidP="00B701C8">
      <w:pPr>
        <w:shd w:val="clear" w:color="auto" w:fill="FFFFFF"/>
        <w:spacing w:before="220" w:after="220"/>
        <w:rPr>
          <w:color w:val="000000"/>
        </w:rPr>
      </w:pPr>
      <w:r w:rsidRPr="00FB60C2">
        <w:rPr>
          <w:color w:val="000000"/>
        </w:rPr>
        <w:t xml:space="preserve">Le langage employé pour parler du consentement a évolué avec les exigences de consignation et de partage de données. Dans les modèles de formulaires de consentement éclairé (FCE), de nombreux comités d’éthique de la recherche ont déjà mis à jour le libellé – ou sont en voie de le faire – pour rendre compte de l’évolution des pratiques en matière de consignation, de partage et de réutilisation des données. </w:t>
      </w:r>
    </w:p>
    <w:p w14:paraId="56E669FF" w14:textId="77777777" w:rsidR="00770F86" w:rsidRPr="00FB60C2" w:rsidRDefault="00770F86" w:rsidP="00B701C8">
      <w:pPr>
        <w:shd w:val="clear" w:color="auto" w:fill="FFFFFF"/>
        <w:spacing w:before="220" w:after="220"/>
        <w:rPr>
          <w:color w:val="000000"/>
        </w:rPr>
      </w:pPr>
      <w:r w:rsidRPr="00FB60C2">
        <w:rPr>
          <w:color w:val="000000"/>
        </w:rPr>
        <w:t xml:space="preserve">Cette recommandation vise à favoriser, d’une part, la collaboration entre les professionnelles et professionnels de l’éthique de la recherche et les autres parties prenantes quant au langage employé pour parler du consentement à la consignation et au partage de données, et d’autre part, l’élaboration de ressources pertinentes. Il est entendu que chaque comité d’éthique de la recherche doit fonctionner dans son propre contexte et que les différences de pratiques entre les comités sont un reflet de la diversité existant au Canada entre les régions, les territoires de compétences, les établissements et les disciplines de recherche, entre autres. Cependant, en améliorant la collaboration et la coordination entre les comités d’éthique de la recherche à l’échelle nationale et en élaborant et en diffusant des ressources, on aidera les comités à soupeser différentes considérations, à prendre des décisions et à s’orienter quant au langage à employer et aux exigences en matière de consentement. </w:t>
      </w:r>
    </w:p>
    <w:p w14:paraId="607D2E35" w14:textId="77777777" w:rsidR="00770F86" w:rsidRPr="00FB60C2" w:rsidRDefault="00770F86" w:rsidP="00B701C8">
      <w:pPr>
        <w:shd w:val="clear" w:color="auto" w:fill="FFFFFF"/>
        <w:spacing w:before="220" w:after="220"/>
        <w:rPr>
          <w:color w:val="000000"/>
        </w:rPr>
      </w:pPr>
      <w:r w:rsidRPr="00FB60C2">
        <w:rPr>
          <w:color w:val="000000"/>
        </w:rPr>
        <w:t xml:space="preserve">Le langage utilisé dans les formulaires de consentement doit être formulé de manière telle que les participantes et les participants comprennent, sans détails techniques superflus, comment leurs données seront consignées, protégées et potentiellement réutilisées et quels seront les risques. L’idée est de susciter un consentement éclairé à la consignation ou à la réutilisation des données. L’adoption d’une approche « fondée sur les principes » est une avenue possible pour établir un langage normalisé et adaptable. Il pourrait être judicieux d’élaborer des énoncés présentant les « principes » d’un </w:t>
      </w:r>
      <w:r w:rsidRPr="00FB60C2">
        <w:rPr>
          <w:i/>
          <w:iCs/>
          <w:color w:val="000000"/>
        </w:rPr>
        <w:t>éventuel</w:t>
      </w:r>
      <w:r w:rsidRPr="00FB60C2">
        <w:rPr>
          <w:color w:val="000000"/>
        </w:rPr>
        <w:t xml:space="preserve"> dépôt pour clarifier les notions de gouvernance, de confidentialité, de sécurité et de respect de la vie privée ainsi que les mesures de restriction d’accès à une plateforme.</w:t>
      </w:r>
    </w:p>
    <w:p w14:paraId="3D62878A" w14:textId="77777777" w:rsidR="00770F86" w:rsidRPr="00FB60C2" w:rsidRDefault="00770F86" w:rsidP="00B701C8">
      <w:pPr>
        <w:shd w:val="clear" w:color="auto" w:fill="FFFFFF"/>
        <w:spacing w:before="220" w:after="220"/>
      </w:pPr>
      <w:r w:rsidRPr="00FB60C2">
        <w:rPr>
          <w:color w:val="000000"/>
        </w:rPr>
        <w:t xml:space="preserve">Cette recommandation vise à réconcilier le consentement éclairé et les principes de la science ouverte. Par exemple, dans la dernière version de l’EPTC2, les concepts de consentement élargi et de consentement général sont définis, et les exigences connexes sont énoncées (Groupe en éthique de la recherche, 2022). Une approche fondée sur les principes pour les énoncés de consentement clarifierait la distinction entre consentement général et consentement élargi dans une optique d’examen du dépôt de données prévu (libre accès ou accès contrôlé) par les comités d’éthique de la recherche. </w:t>
      </w:r>
    </w:p>
    <w:p w14:paraId="07F67C46" w14:textId="77777777" w:rsidR="00770F86" w:rsidRPr="00FB60C2" w:rsidRDefault="00770F86" w:rsidP="00B701C8">
      <w:pPr>
        <w:shd w:val="clear" w:color="auto" w:fill="FFFFFF"/>
        <w:spacing w:before="220" w:after="220"/>
      </w:pPr>
      <w:r w:rsidRPr="00FB60C2">
        <w:rPr>
          <w:color w:val="000000"/>
        </w:rPr>
        <w:t xml:space="preserve">Cette recommandation ne vise pas à prescrire une approche en particulier quant au langage à employer pour parler de consentement, mais plutôt à suggérer du soutien supplémentaire pour aider les comités d’éthique de la recherche à surmonter les difficultés se présentant </w:t>
      </w:r>
      <w:r w:rsidRPr="00FB60C2">
        <w:rPr>
          <w:color w:val="000000"/>
        </w:rPr>
        <w:lastRenderedPageBreak/>
        <w:t>lorsqu’il est question de partage des données dans ces énoncés. Elle a été formulée par des professionnelles et professionnels en éthique de la recherche, dont des conseillers et conseillères en matière d’éthique, des membres de comités d’éthique de la recherche et des directions des services d’éthique des établissements canadiens, en collaboration avec des bibliothécaires œuvrant en GDR, des spécialistes de la sécurité de la recherche et d’autres parties prenantes pertinentes.</w:t>
      </w:r>
    </w:p>
    <w:p w14:paraId="160A3351" w14:textId="77777777" w:rsidR="00770F86" w:rsidRPr="00FB60C2" w:rsidRDefault="00770F86" w:rsidP="00B701C8">
      <w:pPr>
        <w:shd w:val="clear" w:color="auto" w:fill="FFFFFF"/>
        <w:spacing w:before="220" w:after="220"/>
      </w:pPr>
    </w:p>
    <w:p w14:paraId="205F7282" w14:textId="77777777" w:rsidR="00770F86" w:rsidRPr="00FB60C2" w:rsidRDefault="00770F86" w:rsidP="00B701C8">
      <w:pPr>
        <w:pStyle w:val="Heading3"/>
      </w:pPr>
      <w:bookmarkStart w:id="51" w:name="_Toc206069554"/>
      <w:bookmarkStart w:id="52" w:name="_Toc207100027"/>
      <w:r w:rsidRPr="00FB60C2">
        <w:t>Recommandation 6</w:t>
      </w:r>
      <w:bookmarkEnd w:id="51"/>
      <w:bookmarkEnd w:id="52"/>
    </w:p>
    <w:p w14:paraId="08B8B507" w14:textId="77777777" w:rsidR="00770F86" w:rsidRPr="00FB60C2" w:rsidRDefault="00770F86" w:rsidP="00B701C8">
      <w:pPr>
        <w:keepNext/>
        <w:shd w:val="clear" w:color="auto" w:fill="FFFFFF"/>
        <w:spacing w:before="220" w:after="220"/>
      </w:pPr>
      <w:r w:rsidRPr="00FB60C2">
        <w:rPr>
          <w:color w:val="000000"/>
        </w:rPr>
        <w:t>Il faut créer et tenir à jour une ressource normalisée recensant la multitude d’options de dépôts de données de recherche et comprenant des données sur la gouvernance et les mesures de sécurité. Un tel outil facilitera la sélection de dépôts par les établissements et les chercheuses et chercheurs.</w:t>
      </w:r>
    </w:p>
    <w:p w14:paraId="3105922E" w14:textId="77777777" w:rsidR="00770F86" w:rsidRPr="00FB60C2" w:rsidRDefault="00770F86" w:rsidP="00B701C8">
      <w:pPr>
        <w:pStyle w:val="Subtitle"/>
        <w:shd w:val="clear" w:color="auto" w:fill="FFFFFF"/>
        <w:spacing w:before="220" w:after="220"/>
      </w:pPr>
      <w:r w:rsidRPr="00FB60C2">
        <w:t>Contexte</w:t>
      </w:r>
    </w:p>
    <w:p w14:paraId="3DC5B0E0" w14:textId="77777777" w:rsidR="00770F86" w:rsidRPr="00FB60C2" w:rsidRDefault="00770F86" w:rsidP="00B701C8">
      <w:pPr>
        <w:shd w:val="clear" w:color="auto" w:fill="FFFFFF"/>
        <w:spacing w:before="220" w:after="220"/>
      </w:pPr>
      <w:r w:rsidRPr="00FB60C2">
        <w:rPr>
          <w:color w:val="000000"/>
        </w:rPr>
        <w:t>Le paysage de la consignation de données évolue constamment, de sorte qu’il est extrêmement difficile pour les chercheuses et chercheurs et les établissements de se tenir au courant des options disponibles. En compilant en temps réel une liste des dépôts de données de recherche et de leurs caractéristiques (gouvernance, sécurité, respect de la vie privée, contrôle des accès, etc.), on viendrait éclairer les décisions prises dans l’écosystème de la recherche pour ce qui est d’évaluer les options et de sélectionner le bon dépôt pour un jeu de données. Par exemple, en s’appuyant sur des renseignements concrets à propos des dispositions de respect de la vie privée et de sécurité des données sensibles d’un dépôt en particulier, les parties prenantes d’un établissement (comité d’éthique de la recherche, bureaux de respect de la vie privée, spécialistes de la cybersécurité, etc.) seraient en mesure de mieux évaluer les modalités de gestion et de protection des données d’une étude.</w:t>
      </w:r>
    </w:p>
    <w:p w14:paraId="641F43C2" w14:textId="77777777" w:rsidR="00770F86" w:rsidRPr="00FB60C2" w:rsidRDefault="00770F86" w:rsidP="00B701C8">
      <w:pPr>
        <w:shd w:val="clear" w:color="auto" w:fill="FFFFFF"/>
        <w:spacing w:before="220" w:after="220"/>
        <w:rPr>
          <w:color w:val="000000"/>
        </w:rPr>
      </w:pPr>
      <w:r w:rsidRPr="00FB60C2">
        <w:rPr>
          <w:color w:val="000000"/>
        </w:rPr>
        <w:t xml:space="preserve">Pour ajouter à cette recommandation, l’élaboration pour les dépôts d’un système de catégorisation fondé sur certains critères prédéfinis (ex. : durée et espace de stockage alloués, possibilité de configurer un libre accès ou un accès contrôlé, niveau de confidentialité des données hébergées, offre de service de préservation et de curation des données) viendrait appuyer encore davantage la prise de décisions. En effet, ce système aiderait les chercheuses et chercheurs et les établissements à déterminer si un dépôt répond à leurs besoins. </w:t>
      </w:r>
    </w:p>
    <w:p w14:paraId="1E776722" w14:textId="77777777" w:rsidR="00770F86" w:rsidRPr="00FB60C2" w:rsidRDefault="00770F86" w:rsidP="00B701C8"/>
    <w:p w14:paraId="65BC4E47" w14:textId="77777777" w:rsidR="00770F86" w:rsidRPr="00FB60C2" w:rsidRDefault="00770F86" w:rsidP="00B701C8">
      <w:pPr>
        <w:pStyle w:val="Heading2"/>
        <w:numPr>
          <w:ilvl w:val="0"/>
          <w:numId w:val="21"/>
        </w:numPr>
        <w:ind w:hanging="720"/>
      </w:pPr>
      <w:bookmarkStart w:id="53" w:name="_Toc206069555"/>
      <w:bookmarkStart w:id="54" w:name="_Toc207100028"/>
      <w:r w:rsidRPr="00FB60C2">
        <w:rPr>
          <w:color w:val="000000"/>
        </w:rPr>
        <w:t>Prioriser les bonnes et meilleures pratiques</w:t>
      </w:r>
      <w:bookmarkEnd w:id="53"/>
      <w:bookmarkEnd w:id="54"/>
    </w:p>
    <w:p w14:paraId="0413EC36" w14:textId="77777777" w:rsidR="00770F86" w:rsidRPr="00FB60C2" w:rsidRDefault="00770F86" w:rsidP="00B701C8">
      <w:pPr>
        <w:rPr>
          <w:color w:val="000000"/>
        </w:rPr>
      </w:pPr>
      <w:r w:rsidRPr="00FB60C2">
        <w:rPr>
          <w:color w:val="000000"/>
        </w:rPr>
        <w:t xml:space="preserve">Parmi les principaux objectifs de la gestion des données de recherche, beaucoup prennent un visage dans un contexte d’accès contrôlé aux données. Les objectifs de traçabilité et de reproductibilité, par exemple, sont beaucoup plus difficiles à atteindre lorsqu’il est impossible de diffuser librement certaines données et métadonnées d’une recherche, voire la totalité d’entre elles. Même si les principes de base régissant l’atteinte des objectifs demeurent </w:t>
      </w:r>
      <w:r w:rsidRPr="00FB60C2">
        <w:rPr>
          <w:color w:val="000000"/>
        </w:rPr>
        <w:lastRenderedPageBreak/>
        <w:t xml:space="preserve">pertinents (par exemple les principes FAIR, Wilkinson </w:t>
      </w:r>
      <w:r w:rsidRPr="00FB60C2">
        <w:rPr>
          <w:iCs/>
          <w:color w:val="000000"/>
        </w:rPr>
        <w:t>et coll.</w:t>
      </w:r>
      <w:r w:rsidRPr="00FB60C2">
        <w:rPr>
          <w:color w:val="000000"/>
        </w:rPr>
        <w:t xml:space="preserve">, 2016), ils ont surtout été appliqués dans un contexte de science ouverte. </w:t>
      </w:r>
    </w:p>
    <w:p w14:paraId="0B59951C" w14:textId="77777777" w:rsidR="00770F86" w:rsidRPr="00FB60C2" w:rsidRDefault="00770F86" w:rsidP="00B701C8">
      <w:pPr>
        <w:rPr>
          <w:color w:val="000000"/>
        </w:rPr>
      </w:pPr>
    </w:p>
    <w:p w14:paraId="06B9FD36" w14:textId="77777777" w:rsidR="00770F86" w:rsidRPr="00FB60C2" w:rsidRDefault="00770F86" w:rsidP="00B701C8">
      <w:pPr>
        <w:rPr>
          <w:color w:val="000000"/>
        </w:rPr>
      </w:pPr>
      <w:r w:rsidRPr="00FB60C2">
        <w:t xml:space="preserve">Par exemple, dans ce type d’initiatives, </w:t>
      </w:r>
      <w:r w:rsidRPr="00FB60C2">
        <w:rPr>
          <w:color w:val="000000"/>
        </w:rPr>
        <w:t>toutes les fiches de métadonnées sont accessibles librement. Pour accroître la découvrabilité d’un jeu de données, il suffit généralement qu’il soit associé à des métadonnées étoffées, mais ce n’est pas le cas pour les jeux de données à accès contrôlé, puisque les métadonnées descriptives peuvent être soumises à des restrictions. Le cas échéant, il est donc possible que, pour un même jeu de données, la présentation des métadonnées varie selon le droit d’accès de l’utilisatrice ou de l’utilisateur.</w:t>
      </w:r>
    </w:p>
    <w:p w14:paraId="2833B046" w14:textId="77777777" w:rsidR="00770F86" w:rsidRPr="00FB60C2" w:rsidRDefault="00770F86" w:rsidP="00B701C8">
      <w:pPr>
        <w:rPr>
          <w:color w:val="000000"/>
        </w:rPr>
      </w:pPr>
    </w:p>
    <w:p w14:paraId="61FE34FC" w14:textId="77777777" w:rsidR="00770F86" w:rsidRPr="00FB60C2" w:rsidRDefault="00770F86" w:rsidP="00B701C8">
      <w:r w:rsidRPr="00FB60C2">
        <w:rPr>
          <w:color w:val="000000"/>
        </w:rPr>
        <w:t>Les jeux de données à accès restreint sont par ailleurs souvent soumis à des exigences de gouvernance plus strictes que ceux en publication libre. Un jeu de données peut, par exemple, nécessiter des restrictions d’accès particulières au gré des modalités de consentement, des obligations juridiques ou des exigences de propriété intellectuelle.</w:t>
      </w:r>
    </w:p>
    <w:p w14:paraId="7043934B" w14:textId="77777777" w:rsidR="00770F86" w:rsidRPr="00FB60C2" w:rsidRDefault="00770F86" w:rsidP="00B701C8"/>
    <w:p w14:paraId="6B7685BA" w14:textId="77777777" w:rsidR="00770F86" w:rsidRPr="00FB60C2" w:rsidRDefault="00770F86" w:rsidP="00B701C8">
      <w:r w:rsidRPr="00FB60C2">
        <w:rPr>
          <w:color w:val="000000"/>
        </w:rPr>
        <w:t xml:space="preserve">Pour répondre aux besoins que pose le contrôle de l’accès, on mettra donc en œuvre des pratiques techniques et des pratiques d’intendance autres que pour les jeux de données en publication libre. On pourrait alors établir les bonnes et les meilleures pratiques dans ces situations, ou encore adapter les pratiques déjà en vigueur pour la gestion des données de recherche en libre accès. </w:t>
      </w:r>
    </w:p>
    <w:p w14:paraId="3CF5168C" w14:textId="77777777" w:rsidR="00770F86" w:rsidRPr="00FB60C2" w:rsidRDefault="00770F86" w:rsidP="00B701C8"/>
    <w:p w14:paraId="216EDAF1" w14:textId="77777777" w:rsidR="00770F86" w:rsidRPr="00FB60C2" w:rsidRDefault="00770F86" w:rsidP="00B701C8"/>
    <w:p w14:paraId="34D22079" w14:textId="77777777" w:rsidR="00770F86" w:rsidRPr="00FB60C2" w:rsidRDefault="00770F86" w:rsidP="00B701C8"/>
    <w:p w14:paraId="7C34A263" w14:textId="77777777" w:rsidR="00770F86" w:rsidRPr="00FB60C2" w:rsidRDefault="00770F86" w:rsidP="00B701C8">
      <w:pPr>
        <w:pStyle w:val="Heading3"/>
      </w:pPr>
      <w:bookmarkStart w:id="55" w:name="_Toc206069556"/>
      <w:bookmarkStart w:id="56" w:name="_Toc207100029"/>
      <w:r w:rsidRPr="00FB60C2">
        <w:t>Recommandation 7</w:t>
      </w:r>
      <w:bookmarkEnd w:id="55"/>
      <w:bookmarkEnd w:id="56"/>
    </w:p>
    <w:p w14:paraId="0A46A767" w14:textId="77777777" w:rsidR="00770F86" w:rsidRPr="00FB60C2" w:rsidRDefault="00770F86" w:rsidP="00B701C8">
      <w:pPr>
        <w:shd w:val="clear" w:color="auto" w:fill="FFFFFF"/>
        <w:spacing w:before="220" w:after="220"/>
      </w:pPr>
      <w:r w:rsidRPr="00FB60C2">
        <w:rPr>
          <w:color w:val="000000"/>
        </w:rPr>
        <w:t>Les établissements doivent avoir les ressources nécessaires pour assurer une gestion « du berceau au tombeau » des données de recherche dont l’accès est contrôlé.</w:t>
      </w:r>
    </w:p>
    <w:p w14:paraId="5390E293" w14:textId="77777777" w:rsidR="00770F86" w:rsidRPr="00FB60C2" w:rsidRDefault="00770F86" w:rsidP="00B701C8">
      <w:pPr>
        <w:pStyle w:val="Subtitle"/>
        <w:shd w:val="clear" w:color="auto" w:fill="FFFFFF"/>
        <w:spacing w:before="220" w:after="220"/>
      </w:pPr>
      <w:r w:rsidRPr="00FB60C2">
        <w:rPr>
          <w:sz w:val="28"/>
          <w:szCs w:val="28"/>
        </w:rPr>
        <w:t>Contexte</w:t>
      </w:r>
    </w:p>
    <w:p w14:paraId="7850F82B" w14:textId="77777777" w:rsidR="00770F86" w:rsidRPr="00FB60C2" w:rsidRDefault="00770F86" w:rsidP="00B701C8">
      <w:pPr>
        <w:shd w:val="clear" w:color="auto" w:fill="FFFFFF"/>
        <w:spacing w:before="220" w:after="220"/>
      </w:pPr>
      <w:r w:rsidRPr="00FB60C2">
        <w:rPr>
          <w:color w:val="000000"/>
        </w:rPr>
        <w:t>Cette recommandation vise à faire valoir l’importance d’un soutien à la gestion de l’accès contrôlé (GAC) tout au long du cycle de vie des données concernées. Ce type de gestion fait souvent appel à différents services d’un établissement. Il est essentiel qu’une bonne coordination ait lieu entre ces services – et entre ceux-ci et les fournisseurs de services de recherche – pour que les chercheuses et chercheurs travaillant avec des données nécessitant un accès contrôlé aient un soutien complet en matière de GDR.</w:t>
      </w:r>
    </w:p>
    <w:p w14:paraId="554D707F" w14:textId="77777777" w:rsidR="00770F86" w:rsidRPr="00FB60C2" w:rsidRDefault="00770F86" w:rsidP="00B701C8">
      <w:pPr>
        <w:shd w:val="clear" w:color="auto" w:fill="FFFFFF"/>
        <w:spacing w:before="220" w:after="220"/>
        <w:rPr>
          <w:color w:val="000000"/>
        </w:rPr>
      </w:pPr>
      <w:r w:rsidRPr="00FB60C2">
        <w:rPr>
          <w:color w:val="000000"/>
        </w:rPr>
        <w:t xml:space="preserve">Même si l’idée de « berceau au tombeau » fait généralement référence au soutien à la GDR tout au long du cycle de vie d’un jeu de données, l’interprétation peut différer selon les contextes. Lorsqu’il est question d’études où l’on collecte des données primaires, ce principe peut faire référence à un l’examen et à l’approbation de l’aspect éthique, à l’évaluation du respect de la vie privée et à la collecte, l’analyse, le stockage, la gestion et la maintenance des données. En parallèle, pour les études dont l’analyse porte exclusivement sur des données secondaires, le concept peut s’appliquer seulement à l’analyse de données et au partage de code. </w:t>
      </w:r>
    </w:p>
    <w:p w14:paraId="16E1A11D" w14:textId="77777777" w:rsidR="00770F86" w:rsidRPr="00FB60C2" w:rsidRDefault="00770F86" w:rsidP="00B701C8">
      <w:pPr>
        <w:pStyle w:val="Heading3"/>
      </w:pPr>
      <w:bookmarkStart w:id="57" w:name="_Toc206069557"/>
      <w:bookmarkStart w:id="58" w:name="_Toc207100030"/>
      <w:r w:rsidRPr="00FB60C2">
        <w:lastRenderedPageBreak/>
        <w:t>Recommandation 8</w:t>
      </w:r>
      <w:bookmarkEnd w:id="57"/>
      <w:bookmarkEnd w:id="58"/>
    </w:p>
    <w:p w14:paraId="68EE9B5E" w14:textId="77777777" w:rsidR="00770F86" w:rsidRPr="00FB60C2" w:rsidRDefault="00770F86" w:rsidP="00B701C8">
      <w:r w:rsidRPr="00FB60C2">
        <w:rPr>
          <w:color w:val="000000"/>
        </w:rPr>
        <w:br/>
        <w:t xml:space="preserve">Les établissements doivent être soutenus dans la diffusion auprès des chercheuses et chercheurs d’informations sur les meilleures pratiques quant à l’application des principes directeurs pour la gestion de données scientifiques. Ce soutien doit se traduire par du financement et la mise à disposition de diverses ressources (orientation et formation, outils et services axés sur les meilleures pratiques). </w:t>
      </w:r>
    </w:p>
    <w:p w14:paraId="24CB4A14" w14:textId="77777777" w:rsidR="00770F86" w:rsidRPr="00FB60C2" w:rsidRDefault="00770F86" w:rsidP="00B701C8">
      <w:pPr>
        <w:pStyle w:val="Subtitle"/>
        <w:shd w:val="clear" w:color="auto" w:fill="FFFFFF"/>
        <w:spacing w:before="220" w:after="220"/>
      </w:pPr>
      <w:r w:rsidRPr="00FB60C2">
        <w:t>Contexte</w:t>
      </w:r>
    </w:p>
    <w:p w14:paraId="25E5AE72" w14:textId="77777777" w:rsidR="00770F86" w:rsidRPr="00FB60C2" w:rsidRDefault="00770F86" w:rsidP="00B701C8">
      <w:pPr>
        <w:shd w:val="clear" w:color="auto" w:fill="FFFFFF"/>
        <w:spacing w:before="220" w:after="220"/>
      </w:pPr>
      <w:r w:rsidRPr="00FB60C2">
        <w:rPr>
          <w:color w:val="000000"/>
        </w:rPr>
        <w:t xml:space="preserve">Cette recommandation a pour but d’encourager les établissements à diffuser et à réutiliser leurs meilleures pratiques et leurs outils de formation pour aider les chercheuses et chercheurs à intégrer à leurs pratiques de gestion des données des concepts, comme les principes FAIR (Wilkinson </w:t>
      </w:r>
      <w:r w:rsidRPr="00FB60C2">
        <w:rPr>
          <w:iCs/>
          <w:color w:val="000000"/>
        </w:rPr>
        <w:t>et coll.</w:t>
      </w:r>
      <w:r w:rsidRPr="00FB60C2">
        <w:rPr>
          <w:color w:val="000000"/>
        </w:rPr>
        <w:t>, 2016), PCAP</w:t>
      </w:r>
      <w:r w:rsidRPr="00FB60C2">
        <w:rPr>
          <w:color w:val="000000"/>
          <w:vertAlign w:val="superscript"/>
        </w:rPr>
        <w:t>MD</w:t>
      </w:r>
      <w:r w:rsidRPr="00FB60C2">
        <w:rPr>
          <w:color w:val="000000"/>
        </w:rPr>
        <w:t xml:space="preserve"> (propriété, contrôle, accès, possession; Centre de gouvernance de l’information des Premières Nations, 2021) ou CARE (avantage collectif, pouvoir de contrôle, responsabilité et éthique; Carroll </w:t>
      </w:r>
      <w:r w:rsidRPr="00FB60C2">
        <w:rPr>
          <w:iCs/>
          <w:color w:val="000000"/>
        </w:rPr>
        <w:t>et coll.</w:t>
      </w:r>
      <w:r w:rsidRPr="00FB60C2">
        <w:rPr>
          <w:color w:val="000000"/>
        </w:rPr>
        <w:t>, 2020). Les meilleures pratiques et les ressources de formation peuvent être proposées par un tiers, comme l’Alliance de recherche numérique du Canada, le réseau d’experts de la GDR, les trois organismes et le Centre de gouvernance de l’information des Premières Nations (CGIPN).</w:t>
      </w:r>
    </w:p>
    <w:p w14:paraId="77620255" w14:textId="77777777" w:rsidR="00770F86" w:rsidRPr="00FB60C2" w:rsidRDefault="00770F86" w:rsidP="00B701C8">
      <w:pPr>
        <w:shd w:val="clear" w:color="auto" w:fill="FFFFFF"/>
        <w:spacing w:before="220" w:after="220"/>
        <w:rPr>
          <w:b/>
        </w:rPr>
      </w:pPr>
    </w:p>
    <w:p w14:paraId="06007C8E" w14:textId="77777777" w:rsidR="00770F86" w:rsidRPr="00FB60C2" w:rsidRDefault="00770F86" w:rsidP="00B701C8">
      <w:pPr>
        <w:pStyle w:val="Heading3"/>
      </w:pPr>
      <w:bookmarkStart w:id="59" w:name="_Toc206069558"/>
      <w:bookmarkStart w:id="60" w:name="_Toc207100031"/>
      <w:r w:rsidRPr="00FB60C2">
        <w:t>Recommandation 9</w:t>
      </w:r>
      <w:bookmarkEnd w:id="59"/>
      <w:bookmarkEnd w:id="60"/>
    </w:p>
    <w:p w14:paraId="5BB708DC" w14:textId="77777777" w:rsidR="00770F86" w:rsidRPr="00FB60C2" w:rsidRDefault="00770F86" w:rsidP="00B701C8">
      <w:pPr>
        <w:shd w:val="clear" w:color="auto" w:fill="FFFFFF"/>
        <w:spacing w:before="220" w:after="220"/>
      </w:pPr>
      <w:r w:rsidRPr="00FB60C2">
        <w:rPr>
          <w:color w:val="000000"/>
        </w:rPr>
        <w:t>Les établissements cherchant à créer des équipes multidisciplinaires pour chapeauter les considérations de gestion de l’accès contrôlé aux données de recherche (GAC) – que celles-ci soient conservées dans un dépôt institutionnel ou externe – doivent disposer du financement et des ressources nécessaires. Ces équipes pourraient, par exemple, compter des spécialistes de diverses questions (respect de la vie privée, sécurité des TI, GDR, etc.) ainsi que des membres de comités d’éthique de la recherche et des gardiennes et gardiens des connaissances autochtones.</w:t>
      </w:r>
    </w:p>
    <w:p w14:paraId="17DBBF62" w14:textId="77777777" w:rsidR="00770F86" w:rsidRPr="00FB60C2" w:rsidRDefault="00770F86" w:rsidP="00B701C8">
      <w:pPr>
        <w:pStyle w:val="Subtitle"/>
      </w:pPr>
      <w:r w:rsidRPr="00FB60C2">
        <w:t>Contexte</w:t>
      </w:r>
    </w:p>
    <w:p w14:paraId="6449D5CF" w14:textId="77777777" w:rsidR="00770F86" w:rsidRPr="00FB60C2" w:rsidRDefault="00770F86" w:rsidP="00B701C8">
      <w:r w:rsidRPr="00FB60C2">
        <w:rPr>
          <w:color w:val="000000"/>
        </w:rPr>
        <w:t>Cette recommandation a pour but d’aider les établissements à adopter une approche globale de la gouvernance et de l’intendance en matière de GAC. La création d’équipes multidisciplinaires facilitera la collaboration entre les parties prenantes institutionnelles participant à la gouvernance des données, par exemple les comités d’éthique de la recherche, les bureaux du respect de la vie privée, les équipes de cybersécurité et les services de bibliothèques et de soutien à la recherche.</w:t>
      </w:r>
    </w:p>
    <w:p w14:paraId="7F9C63C7" w14:textId="77777777" w:rsidR="00770F86" w:rsidRPr="00FB60C2" w:rsidRDefault="00770F86" w:rsidP="00B701C8"/>
    <w:p w14:paraId="2DACB39E" w14:textId="77777777" w:rsidR="00770F86" w:rsidRPr="00FB60C2" w:rsidRDefault="00770F86" w:rsidP="00B701C8">
      <w:r w:rsidRPr="00FB60C2">
        <w:rPr>
          <w:color w:val="000000"/>
        </w:rPr>
        <w:t xml:space="preserve">La création d’un comité sur l’accès aux données serait une manière d’appliquer cette recommandation. Un tel comité peut jouer divers rôles liés à la gouvernance de la GAC, par exemple l’éclaircissement des besoins quant à la consignation de données des chercheuses et chercheurs, la mise en relation de ceux-ci avec les parties prenantes institutionnelles appropriées, l’évaluation et l’approbation des demandes d’accès aux données, et la collaboration avec les chercheuses et chercheurs pour l’obtention des autorisations d’accès </w:t>
      </w:r>
      <w:r w:rsidRPr="00FB60C2">
        <w:rPr>
          <w:color w:val="000000"/>
        </w:rPr>
        <w:lastRenderedPageBreak/>
        <w:t>aux jeux de données (ex. : approbation de l’éthique de la recherche, évaluation des facteurs relatifs à la vie privée et ententes d’accès aux données). Un comité multidisciplinaire de l’accès aux données peut aussi contribuer à une gestion efficace de l’accès contrôlé aux données de recherche et à la clarification des rôles quant à l’intendance des données.</w:t>
      </w:r>
    </w:p>
    <w:p w14:paraId="557384A5" w14:textId="77777777" w:rsidR="00770F86" w:rsidRPr="00FB60C2" w:rsidRDefault="00770F86" w:rsidP="00B701C8"/>
    <w:p w14:paraId="4BB49C63" w14:textId="77777777" w:rsidR="00770F86" w:rsidRPr="00FB60C2" w:rsidRDefault="00770F86" w:rsidP="00B701C8">
      <w:r w:rsidRPr="00FB60C2">
        <w:rPr>
          <w:color w:val="000000"/>
        </w:rPr>
        <w:t xml:space="preserve">En ce qui concerne l’intégration d’Autochtones à ces équipes, nous avons conscience qu’un poids considérable pèse déjà sur les épaules des gardiennes et gardiens des connaissances autochtones, des spécialistes, promotrices et promoteurs de la souveraineté des données autochtones ainsi que des peuples, communautés et nations autochtones. En effet, les principales organisations colonisatrices leur demandent fréquemment de la rétroaction dans des contextes qui ne sont pas sûrs sur le plan culturel et qui ne profitent pas aux personnes et groupes sollicités. Nous pressons donc ces organisations de mobiliser réellement les expertes, experts, promotrices et promoteurs de la souveraineté des données autochtones et d’investir l’attention et le travail nécessaires pour entretenir avec les peuples et communautés autochtones des relations qui leur profiteront. Nous reconnaissons aussi que les organisations pourraient avoir besoin de financement et de soutien supplémentaires pour mener à bien de telles démarches. </w:t>
      </w:r>
    </w:p>
    <w:p w14:paraId="6AE051C3" w14:textId="77777777" w:rsidR="00770F86" w:rsidRPr="00FB60C2" w:rsidRDefault="00770F86" w:rsidP="00B701C8"/>
    <w:p w14:paraId="3AAD90D7" w14:textId="77777777" w:rsidR="00770F86" w:rsidRPr="00FB60C2" w:rsidRDefault="00770F86" w:rsidP="00B701C8"/>
    <w:p w14:paraId="2F9A4A45" w14:textId="77777777" w:rsidR="00770F86" w:rsidRPr="00FB60C2" w:rsidRDefault="00770F86" w:rsidP="00B701C8">
      <w:pPr>
        <w:pStyle w:val="Heading3"/>
        <w:shd w:val="clear" w:color="auto" w:fill="FFFFFF"/>
        <w:spacing w:before="220" w:after="220"/>
      </w:pPr>
      <w:bookmarkStart w:id="61" w:name="_Toc206069559"/>
      <w:bookmarkStart w:id="62" w:name="_Toc207100032"/>
      <w:r w:rsidRPr="00FB60C2">
        <w:t>Recommandation 10</w:t>
      </w:r>
      <w:bookmarkEnd w:id="61"/>
      <w:bookmarkEnd w:id="62"/>
    </w:p>
    <w:p w14:paraId="4D1FFB74" w14:textId="77777777" w:rsidR="00770F86" w:rsidRPr="00FB60C2" w:rsidRDefault="00770F86" w:rsidP="00B701C8">
      <w:pPr>
        <w:shd w:val="clear" w:color="auto" w:fill="FFFFFF"/>
        <w:spacing w:before="220" w:after="220"/>
      </w:pPr>
      <w:r w:rsidRPr="00FB60C2">
        <w:rPr>
          <w:color w:val="000000"/>
        </w:rPr>
        <w:t>Les parties prenantes de la gestion de l’accès contrôlé aux données de recherche (GAC) sont encouragées à promouvoir, à tous les niveaux des organisations, des pratiques cohérentes et efficaces entourant les métadonnées.</w:t>
      </w:r>
    </w:p>
    <w:p w14:paraId="5EFE686E" w14:textId="77777777" w:rsidR="00770F86" w:rsidRPr="00FB60C2" w:rsidRDefault="00770F86" w:rsidP="00B701C8">
      <w:pPr>
        <w:pStyle w:val="Subtitle"/>
        <w:shd w:val="clear" w:color="auto" w:fill="FFFFFF"/>
        <w:spacing w:before="220" w:after="220"/>
        <w:rPr>
          <w:sz w:val="28"/>
          <w:szCs w:val="28"/>
        </w:rPr>
      </w:pPr>
      <w:r w:rsidRPr="00FB60C2">
        <w:rPr>
          <w:sz w:val="28"/>
          <w:szCs w:val="28"/>
        </w:rPr>
        <w:t>Contexte</w:t>
      </w:r>
    </w:p>
    <w:p w14:paraId="60F93540" w14:textId="1741E08F" w:rsidR="00770F86" w:rsidRPr="00FB60C2" w:rsidRDefault="00770F86" w:rsidP="00B701C8">
      <w:pPr>
        <w:rPr>
          <w:color w:val="000000"/>
        </w:rPr>
      </w:pPr>
      <w:r w:rsidRPr="00FB60C2">
        <w:rPr>
          <w:color w:val="000000"/>
        </w:rPr>
        <w:t xml:space="preserve">Cette recommandation est complémentaire à la recommandation 8 sur l’intégration de principes et de normes. Pour promouvoir l’application de pratiques de métadonnées efficaces, les établissements de recherche sont encouragés à fournir un soutien à la conception de métadonnées et à la production de documents sur le sujet. Les établissements peuvent jouer un rôle essentiel dans le soutien lié aux métadonnées en créant et en diffusant des ressources de formation qui répondent aux besoins des chercheuses et chercheurs travaillant avec des données ouvertes et des données </w:t>
      </w:r>
      <w:r w:rsidR="00932426" w:rsidRPr="00FB60C2">
        <w:rPr>
          <w:color w:val="000000"/>
        </w:rPr>
        <w:t xml:space="preserve">à </w:t>
      </w:r>
      <w:r w:rsidRPr="00FB60C2">
        <w:rPr>
          <w:color w:val="000000"/>
        </w:rPr>
        <w:t xml:space="preserve">accès contrôlé. Cette démarche doit correspondre aux lignes directrices et normes nationales, lorsqu’il y en a, de sorte qu’il y ait une unité entre les contextes institutionnels, régionaux et national. Il peut aussi être utile, le cas échéant, que les établissements collaborent avec des partenaires nationaux ou régionaux pour améliorer la cohérence des lignes directrices et la création de ressources. </w:t>
      </w:r>
    </w:p>
    <w:p w14:paraId="537CCAAA" w14:textId="77777777" w:rsidR="00770F86" w:rsidRPr="00FB60C2" w:rsidRDefault="00770F86" w:rsidP="00B701C8">
      <w:pPr>
        <w:rPr>
          <w:color w:val="000000"/>
        </w:rPr>
      </w:pPr>
    </w:p>
    <w:p w14:paraId="7577C39B" w14:textId="77777777" w:rsidR="00770F86" w:rsidRPr="00FB60C2" w:rsidRDefault="00770F86" w:rsidP="00B701C8">
      <w:r w:rsidRPr="00FB60C2">
        <w:rPr>
          <w:color w:val="000000"/>
        </w:rPr>
        <w:t xml:space="preserve">Les fournisseurs de dépôts sont encouragés à rendre possible l’utilisation de normes des métadonnées propres aux domaines et à proposer des outils de collecte, de contrôle de la qualité et de curation à long terme des métadonnées. Pour les jeux de données à accès contrôlé, les métadonnées doivent souvent répondre à des exigences plus complexes en matière de découvrabilité, de gouvernance, de réutilisation et autres, si bien que les métadonnées peuvent être différentes de celles des jeux de données en libre accès. Les </w:t>
      </w:r>
      <w:r w:rsidRPr="00FB60C2">
        <w:rPr>
          <w:color w:val="000000"/>
        </w:rPr>
        <w:lastRenderedPageBreak/>
        <w:t>fournisseurs de dépôts sont donc encouragés à créer des services et des flux de travail adaptés à la complexité et aux besoins supplémentaires caractérisant ces situations.</w:t>
      </w:r>
    </w:p>
    <w:p w14:paraId="0E980813" w14:textId="77777777" w:rsidR="00770F86" w:rsidRPr="00FB60C2" w:rsidRDefault="00770F86" w:rsidP="00B701C8"/>
    <w:p w14:paraId="797A70A1" w14:textId="77777777" w:rsidR="00770F86" w:rsidRPr="00FB60C2" w:rsidRDefault="00770F86" w:rsidP="00B701C8">
      <w:pPr>
        <w:rPr>
          <w:color w:val="000000"/>
        </w:rPr>
      </w:pPr>
      <w:r w:rsidRPr="00FB60C2">
        <w:rPr>
          <w:color w:val="000000"/>
        </w:rPr>
        <w:t xml:space="preserve">Lorsqu’il est question de concevoir et de préparer des métadonnées, les chercheuses et chercheurs sont encouragés à tenir compte à la fois des normes associées à leur discipline et des exigences de respect de la vie privée. Une planification réalisée bien en amont, qui intègre notamment un plan de gestion des données, peut les aider à produire des métadonnées pertinentes et utiles pour les utilisatrices et utilisateurs finaux de jeux de données à accès contrôlé. </w:t>
      </w:r>
    </w:p>
    <w:p w14:paraId="3A5E48BA" w14:textId="77777777" w:rsidR="007516F7" w:rsidRPr="00FB60C2" w:rsidRDefault="007516F7" w:rsidP="00B701C8"/>
    <w:p w14:paraId="74D2A8E9" w14:textId="23B980DB" w:rsidR="00A9061F" w:rsidRPr="00FB60C2" w:rsidRDefault="00A9061F" w:rsidP="00B701C8">
      <w:pPr>
        <w:pStyle w:val="Heading3"/>
        <w:shd w:val="clear" w:color="auto" w:fill="FFFFFF"/>
        <w:spacing w:before="220" w:after="220"/>
      </w:pPr>
      <w:bookmarkStart w:id="63" w:name="_Toc207100033"/>
      <w:r w:rsidRPr="00FB60C2">
        <w:t>Recommandation 1</w:t>
      </w:r>
      <w:r w:rsidR="00303029" w:rsidRPr="00FB60C2">
        <w:t>1</w:t>
      </w:r>
      <w:bookmarkEnd w:id="63"/>
    </w:p>
    <w:p w14:paraId="50A6E057" w14:textId="5E8532D1" w:rsidR="00A9061F" w:rsidRPr="00FB60C2" w:rsidRDefault="00303029" w:rsidP="00B701C8">
      <w:pPr>
        <w:shd w:val="clear" w:color="auto" w:fill="FFFFFF"/>
        <w:spacing w:before="220" w:after="220"/>
      </w:pPr>
      <w:r w:rsidRPr="00FB60C2">
        <w:rPr>
          <w:color w:val="000000"/>
        </w:rPr>
        <w:t xml:space="preserve">Les </w:t>
      </w:r>
      <w:r w:rsidR="00A9061F" w:rsidRPr="00FB60C2">
        <w:rPr>
          <w:color w:val="000000"/>
        </w:rPr>
        <w:t>partie</w:t>
      </w:r>
      <w:r w:rsidRPr="00FB60C2">
        <w:rPr>
          <w:color w:val="000000"/>
        </w:rPr>
        <w:t>s</w:t>
      </w:r>
      <w:r w:rsidR="00A9061F" w:rsidRPr="00FB60C2">
        <w:rPr>
          <w:color w:val="000000"/>
        </w:rPr>
        <w:t xml:space="preserve"> prenante</w:t>
      </w:r>
      <w:r w:rsidRPr="00FB60C2">
        <w:rPr>
          <w:color w:val="000000"/>
        </w:rPr>
        <w:t>s</w:t>
      </w:r>
      <w:r w:rsidR="00A9061F" w:rsidRPr="00FB60C2">
        <w:rPr>
          <w:color w:val="000000"/>
        </w:rPr>
        <w:t xml:space="preserve"> </w:t>
      </w:r>
      <w:r w:rsidR="004A7A58" w:rsidRPr="00FB60C2">
        <w:rPr>
          <w:color w:val="000000"/>
        </w:rPr>
        <w:t xml:space="preserve">participant à la gestion </w:t>
      </w:r>
      <w:r w:rsidRPr="00FB60C2">
        <w:rPr>
          <w:color w:val="000000"/>
        </w:rPr>
        <w:t>de l’accès contrôlé aux données de recherche</w:t>
      </w:r>
      <w:r w:rsidR="00A9061F" w:rsidRPr="00FB60C2">
        <w:rPr>
          <w:color w:val="000000"/>
        </w:rPr>
        <w:t xml:space="preserve"> </w:t>
      </w:r>
      <w:r w:rsidRPr="00FB60C2">
        <w:rPr>
          <w:color w:val="000000"/>
        </w:rPr>
        <w:t xml:space="preserve">sont encouragées à </w:t>
      </w:r>
      <w:r w:rsidR="004A7A58" w:rsidRPr="00FB60C2">
        <w:rPr>
          <w:color w:val="000000"/>
        </w:rPr>
        <w:t>consigner et à gérer</w:t>
      </w:r>
      <w:r w:rsidRPr="00FB60C2">
        <w:rPr>
          <w:color w:val="000000"/>
        </w:rPr>
        <w:t xml:space="preserve"> la provenance </w:t>
      </w:r>
      <w:r w:rsidR="00117C4C" w:rsidRPr="00FB60C2">
        <w:rPr>
          <w:color w:val="000000"/>
        </w:rPr>
        <w:t>d</w:t>
      </w:r>
      <w:r w:rsidR="004A7A58" w:rsidRPr="00FB60C2">
        <w:rPr>
          <w:color w:val="000000"/>
        </w:rPr>
        <w:t>es données de recherche sous forme de</w:t>
      </w:r>
      <w:r w:rsidRPr="00FB60C2">
        <w:rPr>
          <w:color w:val="000000"/>
        </w:rPr>
        <w:t xml:space="preserve"> métadonnées</w:t>
      </w:r>
      <w:r w:rsidR="00AC54C6" w:rsidRPr="00FB60C2">
        <w:rPr>
          <w:color w:val="000000"/>
        </w:rPr>
        <w:t xml:space="preserve"> </w:t>
      </w:r>
      <w:r w:rsidR="004A7A58" w:rsidRPr="00FB60C2">
        <w:rPr>
          <w:color w:val="000000"/>
        </w:rPr>
        <w:t>clés à des fins de gestion de l’accès</w:t>
      </w:r>
      <w:r w:rsidRPr="00FB60C2">
        <w:rPr>
          <w:color w:val="000000"/>
        </w:rPr>
        <w:t xml:space="preserve"> </w:t>
      </w:r>
      <w:r w:rsidR="00117C4C" w:rsidRPr="00FB60C2">
        <w:rPr>
          <w:color w:val="000000"/>
        </w:rPr>
        <w:t>contrôl</w:t>
      </w:r>
      <w:r w:rsidR="004A7A58" w:rsidRPr="00FB60C2">
        <w:rPr>
          <w:color w:val="000000"/>
        </w:rPr>
        <w:t>é</w:t>
      </w:r>
      <w:r w:rsidRPr="00FB60C2">
        <w:rPr>
          <w:color w:val="000000"/>
        </w:rPr>
        <w:t xml:space="preserve"> et </w:t>
      </w:r>
      <w:r w:rsidR="004A7A58" w:rsidRPr="00FB60C2">
        <w:rPr>
          <w:color w:val="000000"/>
        </w:rPr>
        <w:t xml:space="preserve">pour les </w:t>
      </w:r>
      <w:r w:rsidRPr="00FB60C2">
        <w:rPr>
          <w:color w:val="000000"/>
        </w:rPr>
        <w:t>systèmes</w:t>
      </w:r>
      <w:r w:rsidR="004A7A58" w:rsidRPr="00FB60C2">
        <w:rPr>
          <w:color w:val="000000"/>
        </w:rPr>
        <w:t xml:space="preserve"> de données</w:t>
      </w:r>
      <w:r w:rsidR="00117C4C" w:rsidRPr="00FB60C2">
        <w:rPr>
          <w:color w:val="000000"/>
        </w:rPr>
        <w:t>.</w:t>
      </w:r>
    </w:p>
    <w:p w14:paraId="2CF94073" w14:textId="77777777" w:rsidR="00A9061F" w:rsidRPr="00FB60C2" w:rsidRDefault="00A9061F" w:rsidP="00B701C8">
      <w:pPr>
        <w:pStyle w:val="Subtitle"/>
        <w:shd w:val="clear" w:color="auto" w:fill="FFFFFF"/>
        <w:spacing w:before="220" w:after="220"/>
      </w:pPr>
      <w:r w:rsidRPr="00FB60C2">
        <w:rPr>
          <w:sz w:val="28"/>
          <w:szCs w:val="28"/>
        </w:rPr>
        <w:t>Contexte</w:t>
      </w:r>
    </w:p>
    <w:p w14:paraId="0CCCA80D" w14:textId="415DE68B" w:rsidR="00303029" w:rsidRPr="00FB60C2" w:rsidRDefault="00303029" w:rsidP="00B701C8">
      <w:pPr>
        <w:shd w:val="clear" w:color="auto" w:fill="FFFFFF"/>
        <w:spacing w:before="220" w:after="220"/>
      </w:pPr>
      <w:r w:rsidRPr="00FB60C2">
        <w:rPr>
          <w:color w:val="000000"/>
        </w:rPr>
        <w:t xml:space="preserve">On entend par </w:t>
      </w:r>
      <w:r w:rsidR="006C5498" w:rsidRPr="00FB60C2">
        <w:rPr>
          <w:color w:val="000000"/>
        </w:rPr>
        <w:t>« </w:t>
      </w:r>
      <w:r w:rsidRPr="00FB60C2">
        <w:rPr>
          <w:color w:val="000000"/>
        </w:rPr>
        <w:t>provenance des données de recherche</w:t>
      </w:r>
      <w:r w:rsidR="006C5498" w:rsidRPr="00FB60C2">
        <w:rPr>
          <w:color w:val="000000"/>
        </w:rPr>
        <w:t> »</w:t>
      </w:r>
      <w:r w:rsidR="00A9061F" w:rsidRPr="00FB60C2">
        <w:rPr>
          <w:color w:val="000000"/>
        </w:rPr>
        <w:t xml:space="preserve"> </w:t>
      </w:r>
      <w:r w:rsidRPr="00FB60C2">
        <w:rPr>
          <w:color w:val="000000"/>
        </w:rPr>
        <w:t>l’historique d’un</w:t>
      </w:r>
      <w:r w:rsidR="00A9061F" w:rsidRPr="00FB60C2">
        <w:rPr>
          <w:color w:val="000000"/>
        </w:rPr>
        <w:t xml:space="preserve"> jeu de données</w:t>
      </w:r>
      <w:r w:rsidR="00B27D8D" w:rsidRPr="00FB60C2">
        <w:rPr>
          <w:color w:val="000000"/>
        </w:rPr>
        <w:t>, ce qui peut généralement</w:t>
      </w:r>
      <w:r w:rsidR="00A9061F" w:rsidRPr="00FB60C2">
        <w:rPr>
          <w:color w:val="000000"/>
        </w:rPr>
        <w:t xml:space="preserve"> </w:t>
      </w:r>
      <w:r w:rsidR="001B5B83" w:rsidRPr="00FB60C2">
        <w:rPr>
          <w:color w:val="000000"/>
        </w:rPr>
        <w:t xml:space="preserve">comprendre </w:t>
      </w:r>
      <w:r w:rsidRPr="00FB60C2">
        <w:rPr>
          <w:color w:val="000000"/>
        </w:rPr>
        <w:t>des références aux documents de recherche</w:t>
      </w:r>
      <w:r w:rsidR="00A9061F" w:rsidRPr="00FB60C2">
        <w:rPr>
          <w:color w:val="000000"/>
        </w:rPr>
        <w:t xml:space="preserve"> </w:t>
      </w:r>
      <w:r w:rsidR="00AC54C6" w:rsidRPr="00FB60C2">
        <w:rPr>
          <w:color w:val="000000"/>
        </w:rPr>
        <w:t>aya</w:t>
      </w:r>
      <w:r w:rsidRPr="00FB60C2">
        <w:rPr>
          <w:color w:val="000000"/>
        </w:rPr>
        <w:t>nt</w:t>
      </w:r>
      <w:r w:rsidR="00AC54C6" w:rsidRPr="00FB60C2">
        <w:rPr>
          <w:color w:val="000000"/>
        </w:rPr>
        <w:t xml:space="preserve"> directement</w:t>
      </w:r>
      <w:r w:rsidRPr="00FB60C2">
        <w:rPr>
          <w:color w:val="000000"/>
        </w:rPr>
        <w:t xml:space="preserve"> </w:t>
      </w:r>
      <w:r w:rsidR="001B5B83" w:rsidRPr="00FB60C2">
        <w:rPr>
          <w:color w:val="000000"/>
        </w:rPr>
        <w:t xml:space="preserve">servi </w:t>
      </w:r>
      <w:r w:rsidRPr="00FB60C2">
        <w:rPr>
          <w:color w:val="000000"/>
        </w:rPr>
        <w:t xml:space="preserve">à la </w:t>
      </w:r>
      <w:r w:rsidR="00A9061F" w:rsidRPr="00FB60C2">
        <w:rPr>
          <w:color w:val="000000"/>
        </w:rPr>
        <w:t xml:space="preserve">production </w:t>
      </w:r>
      <w:r w:rsidRPr="00FB60C2">
        <w:rPr>
          <w:color w:val="000000"/>
        </w:rPr>
        <w:t>des</w:t>
      </w:r>
      <w:r w:rsidR="00A9061F" w:rsidRPr="00FB60C2">
        <w:rPr>
          <w:color w:val="000000"/>
        </w:rPr>
        <w:t xml:space="preserve"> </w:t>
      </w:r>
      <w:r w:rsidRPr="00FB60C2">
        <w:rPr>
          <w:color w:val="000000"/>
        </w:rPr>
        <w:t>données</w:t>
      </w:r>
      <w:r w:rsidR="00A9061F" w:rsidRPr="00FB60C2">
        <w:rPr>
          <w:color w:val="000000"/>
        </w:rPr>
        <w:t xml:space="preserve"> (e</w:t>
      </w:r>
      <w:r w:rsidRPr="00FB60C2">
        <w:rPr>
          <w:color w:val="000000"/>
        </w:rPr>
        <w:t xml:space="preserve">x. : origine </w:t>
      </w:r>
      <w:r w:rsidR="001B5B83" w:rsidRPr="00FB60C2">
        <w:rPr>
          <w:color w:val="000000"/>
        </w:rPr>
        <w:t xml:space="preserve">pertinente </w:t>
      </w:r>
      <w:r w:rsidRPr="00FB60C2">
        <w:rPr>
          <w:color w:val="000000"/>
        </w:rPr>
        <w:t xml:space="preserve">des échantillons ou flux de travail computationnels employés pour </w:t>
      </w:r>
      <w:r w:rsidR="001B5B83" w:rsidRPr="00FB60C2">
        <w:rPr>
          <w:color w:val="000000"/>
        </w:rPr>
        <w:t xml:space="preserve">tirer </w:t>
      </w:r>
      <w:r w:rsidRPr="00FB60C2">
        <w:rPr>
          <w:color w:val="000000"/>
        </w:rPr>
        <w:t xml:space="preserve">des données secondaires) ainsi qu’aux politiques, protocoles et procédures de fonctionnement normalisées de l’étude </w:t>
      </w:r>
      <w:r w:rsidR="0078317A" w:rsidRPr="00FB60C2">
        <w:rPr>
          <w:color w:val="000000"/>
        </w:rPr>
        <w:t>ayant</w:t>
      </w:r>
      <w:r w:rsidRPr="00FB60C2">
        <w:rPr>
          <w:color w:val="000000"/>
        </w:rPr>
        <w:t xml:space="preserve"> orienté les activités de production de données.</w:t>
      </w:r>
    </w:p>
    <w:p w14:paraId="7D631FC0" w14:textId="43ABA32D" w:rsidR="00A9061F" w:rsidRPr="00FB60C2" w:rsidRDefault="00303029" w:rsidP="00B701C8">
      <w:pPr>
        <w:shd w:val="clear" w:color="auto" w:fill="FFFFFF"/>
        <w:spacing w:before="220" w:after="220"/>
      </w:pPr>
      <w:r w:rsidRPr="00FB60C2">
        <w:t xml:space="preserve">Une consignation efficace de </w:t>
      </w:r>
      <w:r w:rsidR="00FA5DD5" w:rsidRPr="00FB60C2">
        <w:t xml:space="preserve">cette </w:t>
      </w:r>
      <w:r w:rsidRPr="00FB60C2">
        <w:rPr>
          <w:color w:val="000000"/>
        </w:rPr>
        <w:t>provenance est essentielle à la gestion de l’accès contrôlé</w:t>
      </w:r>
      <w:r w:rsidR="00CF5FCE" w:rsidRPr="00FB60C2">
        <w:rPr>
          <w:color w:val="000000"/>
        </w:rPr>
        <w:t xml:space="preserve"> (GAC)</w:t>
      </w:r>
      <w:r w:rsidR="00A9061F" w:rsidRPr="00FB60C2">
        <w:rPr>
          <w:color w:val="000000"/>
        </w:rPr>
        <w:t>.</w:t>
      </w:r>
      <w:r w:rsidR="00B27D8D" w:rsidRPr="00FB60C2">
        <w:rPr>
          <w:color w:val="000000"/>
        </w:rPr>
        <w:t xml:space="preserve"> En effet, m</w:t>
      </w:r>
      <w:r w:rsidRPr="00FB60C2">
        <w:rPr>
          <w:color w:val="000000"/>
        </w:rPr>
        <w:t xml:space="preserve">ême si </w:t>
      </w:r>
      <w:r w:rsidR="00B27D8D" w:rsidRPr="00FB60C2">
        <w:rPr>
          <w:color w:val="000000"/>
        </w:rPr>
        <w:t xml:space="preserve">l’accès à </w:t>
      </w:r>
      <w:r w:rsidRPr="00FB60C2">
        <w:rPr>
          <w:color w:val="000000"/>
        </w:rPr>
        <w:t xml:space="preserve">un </w:t>
      </w:r>
      <w:r w:rsidR="00A9061F" w:rsidRPr="00FB60C2">
        <w:rPr>
          <w:color w:val="000000"/>
        </w:rPr>
        <w:t xml:space="preserve">jeu de données </w:t>
      </w:r>
      <w:r w:rsidRPr="00FB60C2">
        <w:rPr>
          <w:color w:val="000000"/>
        </w:rPr>
        <w:t xml:space="preserve">particulier et </w:t>
      </w:r>
      <w:r w:rsidR="00B27D8D" w:rsidRPr="00FB60C2">
        <w:rPr>
          <w:color w:val="000000"/>
        </w:rPr>
        <w:t xml:space="preserve">à </w:t>
      </w:r>
      <w:r w:rsidRPr="00FB60C2">
        <w:rPr>
          <w:color w:val="000000"/>
        </w:rPr>
        <w:t xml:space="preserve">ses </w:t>
      </w:r>
      <w:r w:rsidR="00A9061F" w:rsidRPr="00FB60C2">
        <w:rPr>
          <w:color w:val="000000"/>
        </w:rPr>
        <w:t xml:space="preserve">métadonnées </w:t>
      </w:r>
      <w:r w:rsidR="00B27D8D" w:rsidRPr="00FB60C2">
        <w:rPr>
          <w:color w:val="000000"/>
        </w:rPr>
        <w:t xml:space="preserve">peut être </w:t>
      </w:r>
      <w:r w:rsidRPr="00FB60C2">
        <w:rPr>
          <w:color w:val="000000"/>
        </w:rPr>
        <w:t xml:space="preserve">strictement contrôlé, il est </w:t>
      </w:r>
      <w:r w:rsidR="00AC54C6" w:rsidRPr="00FB60C2">
        <w:rPr>
          <w:color w:val="000000"/>
        </w:rPr>
        <w:t xml:space="preserve">parfois </w:t>
      </w:r>
      <w:r w:rsidRPr="00FB60C2">
        <w:rPr>
          <w:color w:val="000000"/>
        </w:rPr>
        <w:t xml:space="preserve">possible de diffuser les </w:t>
      </w:r>
      <w:r w:rsidRPr="00FB60C2">
        <w:rPr>
          <w:i/>
          <w:iCs/>
          <w:color w:val="000000"/>
        </w:rPr>
        <w:t>méthodes</w:t>
      </w:r>
      <w:r w:rsidRPr="00FB60C2">
        <w:rPr>
          <w:color w:val="000000"/>
        </w:rPr>
        <w:t xml:space="preserve"> employées pour produ</w:t>
      </w:r>
      <w:r w:rsidR="00B27D8D" w:rsidRPr="00FB60C2">
        <w:rPr>
          <w:color w:val="000000"/>
        </w:rPr>
        <w:t xml:space="preserve">ire </w:t>
      </w:r>
      <w:r w:rsidRPr="00FB60C2">
        <w:rPr>
          <w:color w:val="000000"/>
        </w:rPr>
        <w:t>et dériv</w:t>
      </w:r>
      <w:r w:rsidR="00B27D8D" w:rsidRPr="00FB60C2">
        <w:rPr>
          <w:color w:val="000000"/>
        </w:rPr>
        <w:t>er</w:t>
      </w:r>
      <w:r w:rsidRPr="00FB60C2">
        <w:rPr>
          <w:color w:val="000000"/>
        </w:rPr>
        <w:t xml:space="preserve"> </w:t>
      </w:r>
      <w:r w:rsidR="00B27D8D" w:rsidRPr="00FB60C2">
        <w:rPr>
          <w:color w:val="000000"/>
        </w:rPr>
        <w:t xml:space="preserve">les </w:t>
      </w:r>
      <w:r w:rsidR="00E231D1" w:rsidRPr="00FB60C2">
        <w:rPr>
          <w:color w:val="000000"/>
        </w:rPr>
        <w:t>d</w:t>
      </w:r>
      <w:r w:rsidRPr="00FB60C2">
        <w:rPr>
          <w:color w:val="000000"/>
        </w:rPr>
        <w:t xml:space="preserve">onnées sans </w:t>
      </w:r>
      <w:r w:rsidR="00A9061F" w:rsidRPr="00FB60C2">
        <w:rPr>
          <w:color w:val="000000"/>
        </w:rPr>
        <w:t xml:space="preserve">risque </w:t>
      </w:r>
      <w:r w:rsidR="00B27D8D" w:rsidRPr="00FB60C2">
        <w:rPr>
          <w:color w:val="000000"/>
        </w:rPr>
        <w:t xml:space="preserve">majeur </w:t>
      </w:r>
      <w:r w:rsidRPr="00FB60C2">
        <w:rPr>
          <w:color w:val="000000"/>
        </w:rPr>
        <w:t>de</w:t>
      </w:r>
      <w:r w:rsidR="00A9061F" w:rsidRPr="00FB60C2">
        <w:rPr>
          <w:color w:val="000000"/>
        </w:rPr>
        <w:t xml:space="preserve"> préjudice.</w:t>
      </w:r>
    </w:p>
    <w:p w14:paraId="5EC614CA" w14:textId="508658EB" w:rsidR="00A9061F" w:rsidRPr="00FB60C2" w:rsidRDefault="00303029" w:rsidP="00B701C8">
      <w:pPr>
        <w:shd w:val="clear" w:color="auto" w:fill="FFFFFF"/>
        <w:spacing w:before="220" w:after="220"/>
      </w:pPr>
      <w:r w:rsidRPr="00FB60C2">
        <w:rPr>
          <w:color w:val="000000"/>
        </w:rPr>
        <w:t>La</w:t>
      </w:r>
      <w:r w:rsidR="00A9061F" w:rsidRPr="00FB60C2">
        <w:rPr>
          <w:color w:val="000000"/>
        </w:rPr>
        <w:t xml:space="preserve"> </w:t>
      </w:r>
      <w:r w:rsidR="00B27D8D" w:rsidRPr="00FB60C2">
        <w:rPr>
          <w:color w:val="000000"/>
        </w:rPr>
        <w:t xml:space="preserve">consignation de la </w:t>
      </w:r>
      <w:r w:rsidR="005968C6" w:rsidRPr="00FB60C2">
        <w:rPr>
          <w:color w:val="000000"/>
        </w:rPr>
        <w:t>provenance</w:t>
      </w:r>
      <w:r w:rsidR="00AC54C6" w:rsidRPr="00FB60C2">
        <w:rPr>
          <w:color w:val="000000"/>
        </w:rPr>
        <w:t xml:space="preserve"> </w:t>
      </w:r>
      <w:r w:rsidR="005968C6" w:rsidRPr="00FB60C2">
        <w:rPr>
          <w:color w:val="000000"/>
        </w:rPr>
        <w:t xml:space="preserve">doit </w:t>
      </w:r>
      <w:r w:rsidR="00F555C3" w:rsidRPr="00FB60C2">
        <w:rPr>
          <w:color w:val="000000"/>
        </w:rPr>
        <w:t>faire partie d</w:t>
      </w:r>
      <w:r w:rsidR="005968C6" w:rsidRPr="00FB60C2">
        <w:rPr>
          <w:color w:val="000000"/>
        </w:rPr>
        <w:t xml:space="preserve">es </w:t>
      </w:r>
      <w:r w:rsidR="00A9061F" w:rsidRPr="00FB60C2">
        <w:rPr>
          <w:color w:val="000000"/>
        </w:rPr>
        <w:t xml:space="preserve">métadonnées. </w:t>
      </w:r>
      <w:r w:rsidR="005968C6" w:rsidRPr="00FB60C2">
        <w:rPr>
          <w:color w:val="000000"/>
        </w:rPr>
        <w:t xml:space="preserve">Les organisations et les établissements de recherche </w:t>
      </w:r>
      <w:r w:rsidR="00B27D8D" w:rsidRPr="00FB60C2">
        <w:rPr>
          <w:color w:val="000000"/>
        </w:rPr>
        <w:t xml:space="preserve">du pays </w:t>
      </w:r>
      <w:r w:rsidR="005968C6" w:rsidRPr="00FB60C2">
        <w:rPr>
          <w:color w:val="000000"/>
        </w:rPr>
        <w:t xml:space="preserve">sont donc </w:t>
      </w:r>
      <w:r w:rsidR="00AC54C6" w:rsidRPr="00FB60C2">
        <w:rPr>
          <w:color w:val="000000"/>
        </w:rPr>
        <w:t>invités</w:t>
      </w:r>
      <w:r w:rsidR="005968C6" w:rsidRPr="00FB60C2">
        <w:rPr>
          <w:color w:val="000000"/>
        </w:rPr>
        <w:t xml:space="preserve"> à offrir de la formation, du soutien à la conception de métadonnées précisant la provenance et des systèmes permet</w:t>
      </w:r>
      <w:r w:rsidR="00F555C3" w:rsidRPr="00FB60C2">
        <w:rPr>
          <w:color w:val="000000"/>
        </w:rPr>
        <w:t>tant</w:t>
      </w:r>
      <w:r w:rsidR="005968C6" w:rsidRPr="00FB60C2">
        <w:rPr>
          <w:color w:val="000000"/>
        </w:rPr>
        <w:t xml:space="preserve"> de </w:t>
      </w:r>
      <w:r w:rsidR="00F555C3" w:rsidRPr="00FB60C2">
        <w:rPr>
          <w:color w:val="000000"/>
        </w:rPr>
        <w:t xml:space="preserve">garder </w:t>
      </w:r>
      <w:r w:rsidR="00E231D1" w:rsidRPr="00FB60C2">
        <w:rPr>
          <w:color w:val="000000"/>
        </w:rPr>
        <w:t>efficacement</w:t>
      </w:r>
      <w:r w:rsidR="005968C6" w:rsidRPr="00FB60C2">
        <w:rPr>
          <w:color w:val="000000"/>
        </w:rPr>
        <w:t xml:space="preserve"> </w:t>
      </w:r>
      <w:r w:rsidR="00F555C3" w:rsidRPr="00FB60C2">
        <w:rPr>
          <w:color w:val="000000"/>
        </w:rPr>
        <w:t>une trace de cette information</w:t>
      </w:r>
      <w:r w:rsidR="005968C6" w:rsidRPr="00FB60C2">
        <w:rPr>
          <w:color w:val="000000"/>
        </w:rPr>
        <w:t xml:space="preserve">, tout en </w:t>
      </w:r>
      <w:r w:rsidR="00F555C3" w:rsidRPr="00FB60C2">
        <w:rPr>
          <w:color w:val="000000"/>
        </w:rPr>
        <w:t xml:space="preserve">limitant </w:t>
      </w:r>
      <w:r w:rsidR="005968C6" w:rsidRPr="00FB60C2">
        <w:rPr>
          <w:color w:val="000000"/>
        </w:rPr>
        <w:t xml:space="preserve">le fardeau que pourrait </w:t>
      </w:r>
      <w:r w:rsidR="00F555C3" w:rsidRPr="00FB60C2">
        <w:rPr>
          <w:color w:val="000000"/>
        </w:rPr>
        <w:t xml:space="preserve">représenter </w:t>
      </w:r>
      <w:r w:rsidR="005968C6" w:rsidRPr="00FB60C2">
        <w:rPr>
          <w:color w:val="000000"/>
        </w:rPr>
        <w:t xml:space="preserve">pour les chercheuses et chercheurs la consignation d’un historique détaillé et </w:t>
      </w:r>
      <w:r w:rsidR="00F555C3" w:rsidRPr="00FB60C2">
        <w:rPr>
          <w:color w:val="000000"/>
        </w:rPr>
        <w:t xml:space="preserve">la conservation </w:t>
      </w:r>
      <w:r w:rsidR="005968C6" w:rsidRPr="00FB60C2">
        <w:rPr>
          <w:color w:val="000000"/>
        </w:rPr>
        <w:t xml:space="preserve">de références complexes pour </w:t>
      </w:r>
      <w:r w:rsidR="00F555C3" w:rsidRPr="00FB60C2">
        <w:rPr>
          <w:color w:val="000000"/>
        </w:rPr>
        <w:t xml:space="preserve">les </w:t>
      </w:r>
      <w:r w:rsidR="005968C6" w:rsidRPr="00FB60C2">
        <w:rPr>
          <w:color w:val="000000"/>
        </w:rPr>
        <w:t xml:space="preserve">documents de recherche. Voici </w:t>
      </w:r>
      <w:r w:rsidR="00DB1886" w:rsidRPr="00FB60C2">
        <w:rPr>
          <w:color w:val="000000"/>
        </w:rPr>
        <w:t>quelques formes de provenance</w:t>
      </w:r>
      <w:r w:rsidR="003B5CE0" w:rsidRPr="00FB60C2">
        <w:rPr>
          <w:color w:val="000000"/>
        </w:rPr>
        <w:t xml:space="preserve"> </w:t>
      </w:r>
      <w:r w:rsidR="005968C6" w:rsidRPr="00FB60C2">
        <w:rPr>
          <w:color w:val="000000"/>
        </w:rPr>
        <w:t xml:space="preserve">en contexte de </w:t>
      </w:r>
      <w:r w:rsidR="00A9061F" w:rsidRPr="00FB60C2">
        <w:rPr>
          <w:color w:val="000000"/>
        </w:rPr>
        <w:t>gestion des données de recherche</w:t>
      </w:r>
      <w:r w:rsidR="005968C6" w:rsidRPr="00FB60C2">
        <w:rPr>
          <w:color w:val="000000"/>
        </w:rPr>
        <w:t xml:space="preserve"> </w:t>
      </w:r>
      <w:r w:rsidR="003B5CE0" w:rsidRPr="00FB60C2">
        <w:rPr>
          <w:color w:val="000000"/>
        </w:rPr>
        <w:t>ainsi que</w:t>
      </w:r>
      <w:r w:rsidR="005968C6" w:rsidRPr="00FB60C2">
        <w:rPr>
          <w:color w:val="000000"/>
        </w:rPr>
        <w:t xml:space="preserve"> des exemples de</w:t>
      </w:r>
      <w:r w:rsidR="00A9061F" w:rsidRPr="00FB60C2">
        <w:rPr>
          <w:color w:val="000000"/>
        </w:rPr>
        <w:t xml:space="preserve"> syst</w:t>
      </w:r>
      <w:r w:rsidR="005968C6" w:rsidRPr="00FB60C2">
        <w:rPr>
          <w:color w:val="000000"/>
        </w:rPr>
        <w:t>èmes qui facilite</w:t>
      </w:r>
      <w:r w:rsidR="00DC08C9" w:rsidRPr="00FB60C2">
        <w:rPr>
          <w:color w:val="000000"/>
        </w:rPr>
        <w:t>nt</w:t>
      </w:r>
      <w:r w:rsidR="005968C6" w:rsidRPr="00FB60C2">
        <w:rPr>
          <w:color w:val="000000"/>
        </w:rPr>
        <w:t xml:space="preserve"> le suivi d</w:t>
      </w:r>
      <w:r w:rsidR="003B5CE0" w:rsidRPr="00FB60C2">
        <w:rPr>
          <w:color w:val="000000"/>
        </w:rPr>
        <w:t>e ce</w:t>
      </w:r>
      <w:r w:rsidR="00DB1886" w:rsidRPr="00FB60C2">
        <w:rPr>
          <w:color w:val="000000"/>
        </w:rPr>
        <w:t>tte</w:t>
      </w:r>
      <w:r w:rsidR="003B5CE0" w:rsidRPr="00FB60C2">
        <w:rPr>
          <w:color w:val="000000"/>
        </w:rPr>
        <w:t xml:space="preserve"> </w:t>
      </w:r>
      <w:r w:rsidR="005968C6" w:rsidRPr="00FB60C2">
        <w:rPr>
          <w:color w:val="000000"/>
        </w:rPr>
        <w:t>information</w:t>
      </w:r>
      <w:r w:rsidR="00DB1886" w:rsidRPr="00FB60C2">
        <w:rPr>
          <w:color w:val="000000"/>
        </w:rPr>
        <w:t> :</w:t>
      </w:r>
    </w:p>
    <w:p w14:paraId="701875F4" w14:textId="2A01C9E2" w:rsidR="00A9061F" w:rsidRPr="00FB60C2" w:rsidRDefault="003B5CE0" w:rsidP="00B701C8">
      <w:pPr>
        <w:numPr>
          <w:ilvl w:val="0"/>
          <w:numId w:val="1"/>
        </w:numPr>
        <w:spacing w:before="220"/>
      </w:pPr>
      <w:r w:rsidRPr="00FB60C2">
        <w:rPr>
          <w:color w:val="000000"/>
        </w:rPr>
        <w:t>On peut faire le suivi de la</w:t>
      </w:r>
      <w:r w:rsidR="00A9061F" w:rsidRPr="00FB60C2">
        <w:rPr>
          <w:color w:val="000000"/>
        </w:rPr>
        <w:t xml:space="preserve"> </w:t>
      </w:r>
      <w:r w:rsidR="00303029" w:rsidRPr="00FB60C2">
        <w:rPr>
          <w:color w:val="000000"/>
        </w:rPr>
        <w:t>provenance</w:t>
      </w:r>
      <w:r w:rsidR="00A9061F" w:rsidRPr="00FB60C2">
        <w:rPr>
          <w:color w:val="000000"/>
        </w:rPr>
        <w:t xml:space="preserve"> </w:t>
      </w:r>
      <w:r w:rsidRPr="00FB60C2">
        <w:rPr>
          <w:color w:val="000000"/>
        </w:rPr>
        <w:t>de</w:t>
      </w:r>
      <w:r w:rsidR="00DB1886" w:rsidRPr="00FB60C2">
        <w:rPr>
          <w:color w:val="000000"/>
        </w:rPr>
        <w:t>s</w:t>
      </w:r>
      <w:r w:rsidRPr="00FB60C2">
        <w:rPr>
          <w:color w:val="000000"/>
        </w:rPr>
        <w:t xml:space="preserve"> données numériques</w:t>
      </w:r>
      <w:r w:rsidR="00A9061F" w:rsidRPr="00FB60C2">
        <w:rPr>
          <w:color w:val="000000"/>
        </w:rPr>
        <w:t xml:space="preserve"> (</w:t>
      </w:r>
      <w:r w:rsidRPr="00FB60C2">
        <w:rPr>
          <w:color w:val="000000"/>
        </w:rPr>
        <w:t>c.-à-d. le processus de dérivation d’un artefact numérique) avec des systèmes de gestion des flux de travail ou des outils de flux de travail ne promouvant aucun langage particulier, comme DataLad (</w:t>
      </w:r>
      <w:r w:rsidRPr="00FB60C2">
        <w:t xml:space="preserve">The Galaxy Community, 2024; </w:t>
      </w:r>
      <w:r w:rsidR="00A9061F" w:rsidRPr="00FB60C2">
        <w:rPr>
          <w:color w:val="000000"/>
        </w:rPr>
        <w:t xml:space="preserve">Wagner </w:t>
      </w:r>
      <w:r w:rsidRPr="00FB60C2">
        <w:rPr>
          <w:color w:val="000000"/>
        </w:rPr>
        <w:t>et coll.</w:t>
      </w:r>
      <w:r w:rsidR="00A9061F" w:rsidRPr="00FB60C2">
        <w:rPr>
          <w:color w:val="000000"/>
        </w:rPr>
        <w:t>, 2022).</w:t>
      </w:r>
    </w:p>
    <w:p w14:paraId="7571F30B" w14:textId="3C8FFCEE" w:rsidR="00A9061F" w:rsidRPr="00FB60C2" w:rsidRDefault="003B5CE0" w:rsidP="00B701C8">
      <w:pPr>
        <w:numPr>
          <w:ilvl w:val="0"/>
          <w:numId w:val="1"/>
        </w:numPr>
        <w:shd w:val="clear" w:color="auto" w:fill="FFFFFF"/>
      </w:pPr>
      <w:r w:rsidRPr="00FB60C2">
        <w:t>Pour la conception d</w:t>
      </w:r>
      <w:r w:rsidR="007A1B61" w:rsidRPr="00FB60C2">
        <w:t>’un</w:t>
      </w:r>
      <w:r w:rsidRPr="00FB60C2">
        <w:t xml:space="preserve"> logiciel</w:t>
      </w:r>
      <w:r w:rsidR="00DC08C9" w:rsidRPr="00FB60C2">
        <w:t xml:space="preserve"> </w:t>
      </w:r>
      <w:r w:rsidR="007A1B61" w:rsidRPr="00FB60C2">
        <w:t>précis</w:t>
      </w:r>
      <w:r w:rsidRPr="00FB60C2">
        <w:t xml:space="preserve">, on peut </w:t>
      </w:r>
      <w:r w:rsidR="007A1B61" w:rsidRPr="00FB60C2">
        <w:t>suivre</w:t>
      </w:r>
      <w:r w:rsidRPr="00FB60C2">
        <w:t xml:space="preserve"> et consign</w:t>
      </w:r>
      <w:r w:rsidR="007A1B61" w:rsidRPr="00FB60C2">
        <w:t xml:space="preserve">er </w:t>
      </w:r>
      <w:r w:rsidRPr="00FB60C2">
        <w:t>efficace</w:t>
      </w:r>
      <w:r w:rsidR="007A1B61" w:rsidRPr="00FB60C2">
        <w:t>ment</w:t>
      </w:r>
      <w:r w:rsidRPr="00FB60C2">
        <w:t xml:space="preserve"> la provenance des données </w:t>
      </w:r>
      <w:r w:rsidR="00AE248F" w:rsidRPr="00FB60C2">
        <w:t xml:space="preserve">par </w:t>
      </w:r>
      <w:r w:rsidR="007A1B61" w:rsidRPr="00FB60C2">
        <w:t xml:space="preserve">la </w:t>
      </w:r>
      <w:r w:rsidRPr="00FB60C2">
        <w:t>gestion de</w:t>
      </w:r>
      <w:r w:rsidR="007A1B61" w:rsidRPr="00FB60C2">
        <w:t>s</w:t>
      </w:r>
      <w:r w:rsidRPr="00FB60C2">
        <w:t xml:space="preserve"> versions. Git</w:t>
      </w:r>
      <w:r w:rsidR="00DC08C9" w:rsidRPr="00FB60C2">
        <w:t xml:space="preserve"> </w:t>
      </w:r>
      <w:r w:rsidRPr="00FB60C2">
        <w:t xml:space="preserve">est un outil de suivi de la provenance bien connu </w:t>
      </w:r>
      <w:r w:rsidR="00DC08C9" w:rsidRPr="00FB60C2">
        <w:t>et</w:t>
      </w:r>
      <w:r w:rsidRPr="00FB60C2">
        <w:t xml:space="preserve"> très utilisé</w:t>
      </w:r>
      <w:r w:rsidR="00AE248F" w:rsidRPr="00FB60C2">
        <w:t xml:space="preserve"> en codage</w:t>
      </w:r>
      <w:r w:rsidRPr="00FB60C2">
        <w:t xml:space="preserve">, mais on peut </w:t>
      </w:r>
      <w:r w:rsidR="007A1B61" w:rsidRPr="00FB60C2">
        <w:t xml:space="preserve">gérer </w:t>
      </w:r>
      <w:r w:rsidR="00163941" w:rsidRPr="00FB60C2">
        <w:t>manuell</w:t>
      </w:r>
      <w:r w:rsidR="00DC08C9" w:rsidRPr="00FB60C2">
        <w:t>ement</w:t>
      </w:r>
      <w:r w:rsidR="007A1B61" w:rsidRPr="00FB60C2">
        <w:t xml:space="preserve"> les versions</w:t>
      </w:r>
      <w:r w:rsidR="00163941" w:rsidRPr="00FB60C2">
        <w:t xml:space="preserve"> avec un simple logiciel </w:t>
      </w:r>
      <w:r w:rsidR="00DC08C9" w:rsidRPr="00FB60C2">
        <w:t xml:space="preserve">de </w:t>
      </w:r>
      <w:r w:rsidR="00163941" w:rsidRPr="00FB60C2">
        <w:t>collaborati</w:t>
      </w:r>
      <w:r w:rsidR="00DC08C9" w:rsidRPr="00FB60C2">
        <w:t>on</w:t>
      </w:r>
      <w:r w:rsidR="00163941" w:rsidRPr="00FB60C2">
        <w:t xml:space="preserve"> </w:t>
      </w:r>
      <w:r w:rsidR="00A9061F" w:rsidRPr="00FB60C2">
        <w:rPr>
          <w:color w:val="000000"/>
        </w:rPr>
        <w:t xml:space="preserve">(Chacon </w:t>
      </w:r>
      <w:r w:rsidR="00163941" w:rsidRPr="00FB60C2">
        <w:rPr>
          <w:color w:val="000000"/>
        </w:rPr>
        <w:t xml:space="preserve">et </w:t>
      </w:r>
      <w:r w:rsidR="00A9061F" w:rsidRPr="00FB60C2">
        <w:rPr>
          <w:color w:val="000000"/>
        </w:rPr>
        <w:t>Straub, 2014).</w:t>
      </w:r>
    </w:p>
    <w:p w14:paraId="5C49AC62" w14:textId="163EEE9B" w:rsidR="00163941" w:rsidRPr="00FB60C2" w:rsidRDefault="00163941" w:rsidP="00B701C8">
      <w:pPr>
        <w:numPr>
          <w:ilvl w:val="0"/>
          <w:numId w:val="1"/>
        </w:numPr>
        <w:shd w:val="clear" w:color="auto" w:fill="FFFFFF"/>
      </w:pPr>
      <w:r w:rsidRPr="00FB60C2">
        <w:lastRenderedPageBreak/>
        <w:t xml:space="preserve">On peut </w:t>
      </w:r>
      <w:r w:rsidR="00DC08C9" w:rsidRPr="00FB60C2">
        <w:t>garder la trace de</w:t>
      </w:r>
      <w:r w:rsidRPr="00FB60C2">
        <w:t xml:space="preserve"> la </w:t>
      </w:r>
      <w:r w:rsidRPr="00FB60C2">
        <w:rPr>
          <w:color w:val="000000"/>
        </w:rPr>
        <w:t>provenance d’un échantillon avec des outils de gestion spécialisés, des biobanques et des système</w:t>
      </w:r>
      <w:r w:rsidR="00E822EE" w:rsidRPr="00FB60C2">
        <w:rPr>
          <w:color w:val="000000"/>
        </w:rPr>
        <w:t>s</w:t>
      </w:r>
      <w:r w:rsidRPr="00FB60C2">
        <w:rPr>
          <w:color w:val="000000"/>
        </w:rPr>
        <w:t xml:space="preserve"> de gestion de l</w:t>
      </w:r>
      <w:r w:rsidR="009C2704" w:rsidRPr="00FB60C2">
        <w:rPr>
          <w:color w:val="000000"/>
        </w:rPr>
        <w:t>’</w:t>
      </w:r>
      <w:r w:rsidRPr="00FB60C2">
        <w:rPr>
          <w:color w:val="000000"/>
        </w:rPr>
        <w:t xml:space="preserve">information des laboratoires (SGIL) </w:t>
      </w:r>
      <w:r w:rsidR="00A9061F" w:rsidRPr="00FB60C2">
        <w:rPr>
          <w:color w:val="000000"/>
        </w:rPr>
        <w:t>(Garrity, Lyons</w:t>
      </w:r>
      <w:r w:rsidRPr="00FB60C2">
        <w:rPr>
          <w:color w:val="000000"/>
        </w:rPr>
        <w:t xml:space="preserve"> et</w:t>
      </w:r>
      <w:r w:rsidR="00A9061F" w:rsidRPr="00FB60C2">
        <w:rPr>
          <w:color w:val="000000"/>
        </w:rPr>
        <w:t xml:space="preserve"> Tiedje, 2011; International Society for Biological and Environmental </w:t>
      </w:r>
      <w:r w:rsidR="00DC08C9" w:rsidRPr="00FB60C2">
        <w:rPr>
          <w:color w:val="000000"/>
        </w:rPr>
        <w:t>Repositories</w:t>
      </w:r>
      <w:r w:rsidR="00A9061F" w:rsidRPr="00FB60C2">
        <w:rPr>
          <w:color w:val="000000"/>
        </w:rPr>
        <w:t xml:space="preserve"> [ISBER], </w:t>
      </w:r>
      <w:r w:rsidRPr="00FB60C2">
        <w:rPr>
          <w:color w:val="000000"/>
        </w:rPr>
        <w:t>s</w:t>
      </w:r>
      <w:r w:rsidR="00A9061F" w:rsidRPr="00FB60C2">
        <w:rPr>
          <w:color w:val="000000"/>
        </w:rPr>
        <w:t>.d.)</w:t>
      </w:r>
    </w:p>
    <w:p w14:paraId="40AD067B" w14:textId="5569FA0F" w:rsidR="00A9061F" w:rsidRPr="00FB60C2" w:rsidRDefault="00CC6E85" w:rsidP="00B701C8">
      <w:pPr>
        <w:numPr>
          <w:ilvl w:val="0"/>
          <w:numId w:val="1"/>
        </w:numPr>
        <w:shd w:val="clear" w:color="auto" w:fill="FFFFFF"/>
      </w:pPr>
      <w:r w:rsidRPr="00FB60C2">
        <w:t>À des fins</w:t>
      </w:r>
      <w:r w:rsidR="00AE248F" w:rsidRPr="00FB60C2">
        <w:t xml:space="preserve"> de</w:t>
      </w:r>
      <w:r w:rsidR="00163941" w:rsidRPr="00FB60C2">
        <w:t xml:space="preserve"> </w:t>
      </w:r>
      <w:r w:rsidR="00163941" w:rsidRPr="00FB60C2">
        <w:rPr>
          <w:color w:val="000000"/>
        </w:rPr>
        <w:t xml:space="preserve">partage et </w:t>
      </w:r>
      <w:r w:rsidR="00AE248F" w:rsidRPr="00FB60C2">
        <w:rPr>
          <w:color w:val="000000"/>
        </w:rPr>
        <w:t>de</w:t>
      </w:r>
      <w:r w:rsidR="00163941" w:rsidRPr="00FB60C2">
        <w:rPr>
          <w:color w:val="000000"/>
        </w:rPr>
        <w:t xml:space="preserve"> réutilisation, on peut faire le suivi de la provenance d’un </w:t>
      </w:r>
      <w:r w:rsidR="00A9061F" w:rsidRPr="00FB60C2">
        <w:rPr>
          <w:color w:val="000000"/>
        </w:rPr>
        <w:t>jeu de données</w:t>
      </w:r>
      <w:r w:rsidR="00163941" w:rsidRPr="00FB60C2">
        <w:rPr>
          <w:color w:val="000000"/>
        </w:rPr>
        <w:t xml:space="preserve"> </w:t>
      </w:r>
      <w:r w:rsidRPr="00FB60C2">
        <w:rPr>
          <w:color w:val="000000"/>
        </w:rPr>
        <w:t xml:space="preserve">au moyen </w:t>
      </w:r>
      <w:r w:rsidR="00163941" w:rsidRPr="00FB60C2">
        <w:rPr>
          <w:color w:val="000000"/>
        </w:rPr>
        <w:t>de</w:t>
      </w:r>
      <w:r w:rsidRPr="00FB60C2">
        <w:rPr>
          <w:color w:val="000000"/>
        </w:rPr>
        <w:t xml:space="preserve"> ses</w:t>
      </w:r>
      <w:r w:rsidR="00163941" w:rsidRPr="00FB60C2">
        <w:rPr>
          <w:color w:val="000000"/>
        </w:rPr>
        <w:t xml:space="preserve"> documents</w:t>
      </w:r>
      <w:r w:rsidR="00AE248F" w:rsidRPr="00FB60C2">
        <w:rPr>
          <w:color w:val="000000"/>
        </w:rPr>
        <w:t xml:space="preserve"> et</w:t>
      </w:r>
      <w:r w:rsidR="00163941" w:rsidRPr="00FB60C2">
        <w:rPr>
          <w:color w:val="000000"/>
        </w:rPr>
        <w:t xml:space="preserve"> </w:t>
      </w:r>
      <w:r w:rsidR="00AE248F" w:rsidRPr="00FB60C2">
        <w:rPr>
          <w:color w:val="000000"/>
        </w:rPr>
        <w:t xml:space="preserve">politiques de </w:t>
      </w:r>
      <w:r w:rsidR="00163941" w:rsidRPr="00FB60C2">
        <w:rPr>
          <w:color w:val="000000"/>
        </w:rPr>
        <w:t xml:space="preserve">gouvernance. Il peut s’agir de politiques générales </w:t>
      </w:r>
      <w:r w:rsidR="00A9061F" w:rsidRPr="00FB60C2">
        <w:rPr>
          <w:color w:val="000000"/>
        </w:rPr>
        <w:t>(LPRPS</w:t>
      </w:r>
      <w:r w:rsidR="00163941" w:rsidRPr="00FB60C2">
        <w:rPr>
          <w:color w:val="000000"/>
        </w:rPr>
        <w:t xml:space="preserve">, </w:t>
      </w:r>
      <w:r w:rsidR="00A9061F" w:rsidRPr="00FB60C2">
        <w:rPr>
          <w:color w:val="000000"/>
        </w:rPr>
        <w:t>EPTC2</w:t>
      </w:r>
      <w:r w:rsidR="00163941" w:rsidRPr="00FB60C2">
        <w:rPr>
          <w:color w:val="000000"/>
        </w:rPr>
        <w:t>, etc.</w:t>
      </w:r>
      <w:r w:rsidR="00A9061F" w:rsidRPr="00FB60C2">
        <w:rPr>
          <w:color w:val="000000"/>
        </w:rPr>
        <w:t xml:space="preserve">), </w:t>
      </w:r>
      <w:r w:rsidR="00163941" w:rsidRPr="00FB60C2">
        <w:rPr>
          <w:color w:val="000000"/>
        </w:rPr>
        <w:t xml:space="preserve">de politiques </w:t>
      </w:r>
      <w:r w:rsidR="00604842" w:rsidRPr="00FB60C2">
        <w:rPr>
          <w:color w:val="000000"/>
        </w:rPr>
        <w:t>prop</w:t>
      </w:r>
      <w:r w:rsidR="001836F0" w:rsidRPr="00FB60C2">
        <w:rPr>
          <w:color w:val="000000"/>
        </w:rPr>
        <w:t>r</w:t>
      </w:r>
      <w:r w:rsidR="00604842" w:rsidRPr="00FB60C2">
        <w:rPr>
          <w:color w:val="000000"/>
        </w:rPr>
        <w:t>es à l</w:t>
      </w:r>
      <w:r w:rsidR="00163941" w:rsidRPr="00FB60C2">
        <w:rPr>
          <w:color w:val="000000"/>
        </w:rPr>
        <w:t>’</w:t>
      </w:r>
      <w:r w:rsidR="00A9061F" w:rsidRPr="00FB60C2">
        <w:rPr>
          <w:color w:val="000000"/>
        </w:rPr>
        <w:t>établissement</w:t>
      </w:r>
      <w:r w:rsidR="00163941" w:rsidRPr="00FB60C2">
        <w:rPr>
          <w:color w:val="000000"/>
        </w:rPr>
        <w:t xml:space="preserve"> ou de documents relatifs à l’étude </w:t>
      </w:r>
      <w:r w:rsidR="00A9061F" w:rsidRPr="00FB60C2">
        <w:rPr>
          <w:color w:val="000000"/>
        </w:rPr>
        <w:t>(</w:t>
      </w:r>
      <w:r w:rsidR="00163941" w:rsidRPr="00FB60C2">
        <w:rPr>
          <w:color w:val="000000"/>
        </w:rPr>
        <w:t>entente</w:t>
      </w:r>
      <w:r w:rsidR="00A76584" w:rsidRPr="00FB60C2">
        <w:rPr>
          <w:color w:val="000000"/>
        </w:rPr>
        <w:t>s</w:t>
      </w:r>
      <w:r w:rsidR="00163941" w:rsidRPr="00FB60C2">
        <w:rPr>
          <w:color w:val="000000"/>
        </w:rPr>
        <w:t xml:space="preserve"> de</w:t>
      </w:r>
      <w:r w:rsidR="00A9061F" w:rsidRPr="00FB60C2">
        <w:rPr>
          <w:color w:val="000000"/>
        </w:rPr>
        <w:t xml:space="preserve"> partage des données, </w:t>
      </w:r>
      <w:r w:rsidR="00163941" w:rsidRPr="00FB60C2">
        <w:rPr>
          <w:color w:val="000000"/>
        </w:rPr>
        <w:t>demandes de certification éthique</w:t>
      </w:r>
      <w:r w:rsidR="00A9061F" w:rsidRPr="00FB60C2">
        <w:rPr>
          <w:color w:val="000000"/>
        </w:rPr>
        <w:t xml:space="preserve">, </w:t>
      </w:r>
      <w:r w:rsidR="00163941" w:rsidRPr="00FB60C2">
        <w:rPr>
          <w:color w:val="000000"/>
        </w:rPr>
        <w:t>protocole</w:t>
      </w:r>
      <w:r w:rsidR="00A76584" w:rsidRPr="00FB60C2">
        <w:rPr>
          <w:color w:val="000000"/>
        </w:rPr>
        <w:t>s</w:t>
      </w:r>
      <w:r w:rsidR="00163941" w:rsidRPr="00FB60C2">
        <w:rPr>
          <w:color w:val="000000"/>
        </w:rPr>
        <w:t xml:space="preserve"> de l’étude, formulaires de </w:t>
      </w:r>
      <w:r w:rsidR="00A9061F" w:rsidRPr="00FB60C2">
        <w:rPr>
          <w:color w:val="000000"/>
        </w:rPr>
        <w:t>consentement,</w:t>
      </w:r>
      <w:r w:rsidR="00163941" w:rsidRPr="00FB60C2">
        <w:rPr>
          <w:color w:val="000000"/>
        </w:rPr>
        <w:t> </w:t>
      </w:r>
      <w:r w:rsidR="00A9061F" w:rsidRPr="00FB60C2">
        <w:rPr>
          <w:color w:val="000000"/>
        </w:rPr>
        <w:t xml:space="preserve">etc.). </w:t>
      </w:r>
      <w:r w:rsidR="00163941" w:rsidRPr="00FB60C2">
        <w:rPr>
          <w:color w:val="000000"/>
        </w:rPr>
        <w:t>Ces</w:t>
      </w:r>
      <w:r w:rsidR="00A9061F" w:rsidRPr="00FB60C2">
        <w:rPr>
          <w:color w:val="000000"/>
        </w:rPr>
        <w:t xml:space="preserve"> documents </w:t>
      </w:r>
      <w:r w:rsidR="000B6BF7" w:rsidRPr="00FB60C2">
        <w:rPr>
          <w:color w:val="000000"/>
        </w:rPr>
        <w:t>traitent</w:t>
      </w:r>
      <w:r w:rsidR="0071744E" w:rsidRPr="00FB60C2">
        <w:rPr>
          <w:color w:val="000000"/>
        </w:rPr>
        <w:t xml:space="preserve"> de</w:t>
      </w:r>
      <w:r w:rsidR="00163941" w:rsidRPr="00FB60C2">
        <w:rPr>
          <w:color w:val="000000"/>
        </w:rPr>
        <w:t xml:space="preserve"> </w:t>
      </w:r>
      <w:r w:rsidR="00A76584" w:rsidRPr="00FB60C2">
        <w:rPr>
          <w:color w:val="000000"/>
        </w:rPr>
        <w:t xml:space="preserve">la </w:t>
      </w:r>
      <w:r w:rsidR="0071744E" w:rsidRPr="00FB60C2">
        <w:rPr>
          <w:color w:val="000000"/>
        </w:rPr>
        <w:t>gouvernance</w:t>
      </w:r>
      <w:r w:rsidR="00A76584" w:rsidRPr="00FB60C2">
        <w:rPr>
          <w:color w:val="000000"/>
        </w:rPr>
        <w:t xml:space="preserve"> d’un jeu de données</w:t>
      </w:r>
      <w:r w:rsidR="000B6BF7" w:rsidRPr="00FB60C2">
        <w:rPr>
          <w:color w:val="000000"/>
        </w:rPr>
        <w:t xml:space="preserve"> précis et indiquent clairement </w:t>
      </w:r>
      <w:r w:rsidR="00DC08C9" w:rsidRPr="00FB60C2">
        <w:rPr>
          <w:color w:val="000000"/>
        </w:rPr>
        <w:t xml:space="preserve">sa provenance </w:t>
      </w:r>
      <w:r w:rsidR="00163941" w:rsidRPr="00FB60C2">
        <w:rPr>
          <w:color w:val="000000"/>
        </w:rPr>
        <w:t xml:space="preserve">et </w:t>
      </w:r>
      <w:r w:rsidR="000B6BF7" w:rsidRPr="00FB60C2">
        <w:rPr>
          <w:color w:val="000000"/>
        </w:rPr>
        <w:t xml:space="preserve">ses </w:t>
      </w:r>
      <w:r w:rsidR="00163941" w:rsidRPr="00FB60C2">
        <w:rPr>
          <w:color w:val="000000"/>
        </w:rPr>
        <w:t>modalités d</w:t>
      </w:r>
      <w:r w:rsidR="00286B58" w:rsidRPr="00FB60C2">
        <w:rPr>
          <w:color w:val="000000"/>
        </w:rPr>
        <w:t xml:space="preserve">’utilisation </w:t>
      </w:r>
      <w:r w:rsidR="000B6BF7" w:rsidRPr="00FB60C2">
        <w:rPr>
          <w:color w:val="000000"/>
        </w:rPr>
        <w:t xml:space="preserve">dans une </w:t>
      </w:r>
      <w:r w:rsidR="00163941" w:rsidRPr="00FB60C2">
        <w:rPr>
          <w:color w:val="000000"/>
        </w:rPr>
        <w:t>étude. Le suivi de</w:t>
      </w:r>
      <w:r w:rsidR="00286B58" w:rsidRPr="00FB60C2">
        <w:rPr>
          <w:color w:val="000000"/>
        </w:rPr>
        <w:t xml:space="preserve"> la provenance </w:t>
      </w:r>
      <w:r w:rsidR="000B6BF7" w:rsidRPr="00FB60C2">
        <w:rPr>
          <w:color w:val="000000"/>
        </w:rPr>
        <w:t xml:space="preserve">ici se fait </w:t>
      </w:r>
      <w:r w:rsidR="00163941" w:rsidRPr="00FB60C2">
        <w:rPr>
          <w:color w:val="000000"/>
        </w:rPr>
        <w:t xml:space="preserve">souvent </w:t>
      </w:r>
      <w:r w:rsidR="000B6BF7" w:rsidRPr="00FB60C2">
        <w:rPr>
          <w:color w:val="000000"/>
        </w:rPr>
        <w:t>par le truchement d</w:t>
      </w:r>
      <w:r w:rsidR="00163941" w:rsidRPr="00FB60C2">
        <w:rPr>
          <w:color w:val="000000"/>
        </w:rPr>
        <w:t xml:space="preserve">es systèmes </w:t>
      </w:r>
      <w:r w:rsidR="000B6BF7" w:rsidRPr="00FB60C2">
        <w:rPr>
          <w:color w:val="000000"/>
        </w:rPr>
        <w:t xml:space="preserve">institutionnels </w:t>
      </w:r>
      <w:r w:rsidR="00163941" w:rsidRPr="00FB60C2">
        <w:rPr>
          <w:color w:val="000000"/>
        </w:rPr>
        <w:t xml:space="preserve">de gestion de documents ou </w:t>
      </w:r>
      <w:r w:rsidR="00286B58" w:rsidRPr="00FB60C2">
        <w:rPr>
          <w:color w:val="000000"/>
        </w:rPr>
        <w:t>la</w:t>
      </w:r>
      <w:r w:rsidR="00163941" w:rsidRPr="00FB60C2">
        <w:rPr>
          <w:color w:val="000000"/>
        </w:rPr>
        <w:t xml:space="preserve"> personnalisation de logiciels de gestion des processus opérationnels </w:t>
      </w:r>
      <w:r w:rsidR="00A9061F" w:rsidRPr="00FB60C2">
        <w:rPr>
          <w:color w:val="000000"/>
        </w:rPr>
        <w:t xml:space="preserve">(International Society for Biological and Environmental </w:t>
      </w:r>
      <w:r w:rsidR="00DC08C9" w:rsidRPr="00FB60C2">
        <w:rPr>
          <w:color w:val="000000"/>
        </w:rPr>
        <w:t>Repositories</w:t>
      </w:r>
      <w:r w:rsidR="00A9061F" w:rsidRPr="00FB60C2">
        <w:rPr>
          <w:color w:val="000000"/>
        </w:rPr>
        <w:t xml:space="preserve"> [ISBER], </w:t>
      </w:r>
      <w:r w:rsidR="00163941" w:rsidRPr="00FB60C2">
        <w:rPr>
          <w:color w:val="000000"/>
        </w:rPr>
        <w:t>s</w:t>
      </w:r>
      <w:r w:rsidR="00A9061F" w:rsidRPr="00FB60C2">
        <w:rPr>
          <w:color w:val="000000"/>
        </w:rPr>
        <w:t>.d.).</w:t>
      </w:r>
    </w:p>
    <w:p w14:paraId="18AF6D47" w14:textId="77777777" w:rsidR="00A9061F" w:rsidRPr="00FB60C2" w:rsidRDefault="00A9061F" w:rsidP="00B701C8"/>
    <w:p w14:paraId="1CFFFFA2" w14:textId="4CAFAEAD" w:rsidR="00A9061F" w:rsidRPr="00FB60C2" w:rsidRDefault="00A9061F" w:rsidP="00B701C8">
      <w:pPr>
        <w:pStyle w:val="Heading3"/>
      </w:pPr>
      <w:bookmarkStart w:id="64" w:name="_Toc207100034"/>
      <w:r w:rsidRPr="00FB60C2">
        <w:t>Recommandation 1</w:t>
      </w:r>
      <w:r w:rsidR="00303029" w:rsidRPr="00FB60C2">
        <w:t>2</w:t>
      </w:r>
      <w:bookmarkEnd w:id="64"/>
    </w:p>
    <w:p w14:paraId="23FE9E3A" w14:textId="5D2F7148" w:rsidR="00A9061F" w:rsidRPr="00FB60C2" w:rsidRDefault="00FC36D5" w:rsidP="00B701C8">
      <w:pPr>
        <w:keepNext/>
        <w:shd w:val="clear" w:color="auto" w:fill="FFFFFF"/>
        <w:spacing w:before="220" w:after="220"/>
      </w:pPr>
      <w:r w:rsidRPr="00FB60C2">
        <w:rPr>
          <w:color w:val="000000"/>
        </w:rPr>
        <w:t xml:space="preserve">Les </w:t>
      </w:r>
      <w:r w:rsidR="00A9061F" w:rsidRPr="00FB60C2">
        <w:rPr>
          <w:color w:val="000000"/>
        </w:rPr>
        <w:t>établissement</w:t>
      </w:r>
      <w:r w:rsidRPr="00FB60C2">
        <w:rPr>
          <w:color w:val="000000"/>
        </w:rPr>
        <w:t>s</w:t>
      </w:r>
      <w:r w:rsidR="00A9061F" w:rsidRPr="00FB60C2">
        <w:rPr>
          <w:color w:val="000000"/>
        </w:rPr>
        <w:t xml:space="preserve"> </w:t>
      </w:r>
      <w:r w:rsidRPr="00FB60C2">
        <w:rPr>
          <w:color w:val="000000"/>
        </w:rPr>
        <w:t xml:space="preserve">n’ayant pas de calendrier de conservation pour les documents et les données de </w:t>
      </w:r>
      <w:r w:rsidR="00A9061F" w:rsidRPr="00FB60C2">
        <w:rPr>
          <w:color w:val="000000"/>
        </w:rPr>
        <w:t xml:space="preserve">recherche </w:t>
      </w:r>
      <w:r w:rsidRPr="00FB60C2">
        <w:rPr>
          <w:color w:val="000000"/>
        </w:rPr>
        <w:t>sont encouragés à adopter des règles, politiques et lignes directrices en la matière.</w:t>
      </w:r>
    </w:p>
    <w:p w14:paraId="7A08EFA2" w14:textId="77777777" w:rsidR="00A9061F" w:rsidRPr="00FB60C2" w:rsidRDefault="00A9061F" w:rsidP="00B701C8">
      <w:pPr>
        <w:pStyle w:val="Subtitle"/>
        <w:shd w:val="clear" w:color="auto" w:fill="FFFFFF"/>
        <w:spacing w:before="220" w:after="220"/>
      </w:pPr>
      <w:r w:rsidRPr="00FB60C2">
        <w:rPr>
          <w:sz w:val="28"/>
          <w:szCs w:val="28"/>
        </w:rPr>
        <w:t>Contexte</w:t>
      </w:r>
    </w:p>
    <w:p w14:paraId="43DE0E84" w14:textId="695BD0A3" w:rsidR="00A9061F" w:rsidRPr="00FB60C2" w:rsidRDefault="00FC36D5" w:rsidP="00B701C8">
      <w:pPr>
        <w:keepNext/>
        <w:shd w:val="clear" w:color="auto" w:fill="FFFFFF"/>
        <w:spacing w:before="220" w:after="220"/>
        <w:rPr>
          <w:color w:val="000000"/>
        </w:rPr>
      </w:pPr>
      <w:r w:rsidRPr="00FB60C2">
        <w:rPr>
          <w:color w:val="000000"/>
        </w:rPr>
        <w:t>Les règles de conservation doivent correspond</w:t>
      </w:r>
      <w:r w:rsidR="00E822EE" w:rsidRPr="00FB60C2">
        <w:rPr>
          <w:color w:val="000000"/>
        </w:rPr>
        <w:t>re</w:t>
      </w:r>
      <w:r w:rsidRPr="00FB60C2">
        <w:rPr>
          <w:color w:val="000000"/>
        </w:rPr>
        <w:t xml:space="preserve"> aux exigences des organismes </w:t>
      </w:r>
      <w:r w:rsidR="00D24A96" w:rsidRPr="00FB60C2">
        <w:rPr>
          <w:color w:val="000000"/>
        </w:rPr>
        <w:t xml:space="preserve">ou </w:t>
      </w:r>
      <w:r w:rsidRPr="00FB60C2">
        <w:rPr>
          <w:color w:val="000000"/>
        </w:rPr>
        <w:t>des parties prenantes concernés (</w:t>
      </w:r>
      <w:r w:rsidR="00D24A96" w:rsidRPr="00FB60C2">
        <w:rPr>
          <w:color w:val="000000"/>
        </w:rPr>
        <w:t>organismes de financement</w:t>
      </w:r>
      <w:r w:rsidRPr="00FB60C2">
        <w:rPr>
          <w:color w:val="000000"/>
        </w:rPr>
        <w:t>, organismes de réglementation</w:t>
      </w:r>
      <w:r w:rsidR="00FC5106" w:rsidRPr="00FB60C2">
        <w:rPr>
          <w:color w:val="000000"/>
        </w:rPr>
        <w:t xml:space="preserve">, </w:t>
      </w:r>
      <w:r w:rsidRPr="00FB60C2">
        <w:rPr>
          <w:color w:val="000000"/>
        </w:rPr>
        <w:t>établissements de recherche</w:t>
      </w:r>
      <w:r w:rsidR="00FC5106" w:rsidRPr="00FB60C2">
        <w:rPr>
          <w:color w:val="000000"/>
        </w:rPr>
        <w:t>, etc.</w:t>
      </w:r>
      <w:r w:rsidRPr="00FB60C2">
        <w:rPr>
          <w:color w:val="000000"/>
        </w:rPr>
        <w:t>). Par exemple</w:t>
      </w:r>
      <w:r w:rsidR="00A9061F" w:rsidRPr="00FB60C2">
        <w:rPr>
          <w:color w:val="000000"/>
        </w:rPr>
        <w:t>,</w:t>
      </w:r>
      <w:r w:rsidRPr="00FB60C2">
        <w:rPr>
          <w:color w:val="000000"/>
        </w:rPr>
        <w:t xml:space="preserve"> Santé Canada exige que les documents relatifs aux essais cliniques soient conservés pendant 15 ans</w:t>
      </w:r>
      <w:r w:rsidR="00A9061F" w:rsidRPr="00FB60C2">
        <w:rPr>
          <w:color w:val="000000"/>
        </w:rPr>
        <w:t xml:space="preserve"> (gouvernement du Canada, 2022). </w:t>
      </w:r>
      <w:r w:rsidR="00C11EF7" w:rsidRPr="00FB60C2">
        <w:rPr>
          <w:color w:val="000000"/>
        </w:rPr>
        <w:t xml:space="preserve">Les </w:t>
      </w:r>
      <w:r w:rsidR="00A9061F" w:rsidRPr="00FB60C2">
        <w:rPr>
          <w:color w:val="000000"/>
        </w:rPr>
        <w:t>établissement</w:t>
      </w:r>
      <w:r w:rsidR="00C11EF7" w:rsidRPr="00FB60C2">
        <w:rPr>
          <w:color w:val="000000"/>
        </w:rPr>
        <w:t xml:space="preserve">s pourraient aussi bénéficier de soutien du personnel ou </w:t>
      </w:r>
      <w:r w:rsidR="00D24A96" w:rsidRPr="00FB60C2">
        <w:rPr>
          <w:color w:val="000000"/>
        </w:rPr>
        <w:t>du</w:t>
      </w:r>
      <w:r w:rsidR="00C11EF7" w:rsidRPr="00FB60C2">
        <w:rPr>
          <w:color w:val="000000"/>
        </w:rPr>
        <w:t xml:space="preserve"> bureau de gestion des dossiers pour harmoniser leurs pratiques aux </w:t>
      </w:r>
      <w:r w:rsidR="00FC5106" w:rsidRPr="00FB60C2">
        <w:rPr>
          <w:color w:val="000000"/>
        </w:rPr>
        <w:t xml:space="preserve">autres </w:t>
      </w:r>
      <w:r w:rsidR="00C11EF7" w:rsidRPr="00FB60C2">
        <w:rPr>
          <w:color w:val="000000"/>
        </w:rPr>
        <w:t>règles et processus d</w:t>
      </w:r>
      <w:r w:rsidR="00DC08C9" w:rsidRPr="00FB60C2">
        <w:rPr>
          <w:color w:val="000000"/>
        </w:rPr>
        <w:t xml:space="preserve">e </w:t>
      </w:r>
      <w:r w:rsidR="00CA5042" w:rsidRPr="00FB60C2">
        <w:rPr>
          <w:color w:val="000000"/>
        </w:rPr>
        <w:t>ges</w:t>
      </w:r>
      <w:r w:rsidR="00DC08C9" w:rsidRPr="00FB60C2">
        <w:rPr>
          <w:color w:val="000000"/>
        </w:rPr>
        <w:t>tion</w:t>
      </w:r>
      <w:r w:rsidR="00C11EF7" w:rsidRPr="00FB60C2">
        <w:rPr>
          <w:color w:val="000000"/>
        </w:rPr>
        <w:t xml:space="preserve"> en vigueur, le cas échéant.</w:t>
      </w:r>
    </w:p>
    <w:p w14:paraId="47B422E9" w14:textId="3F68B2A9" w:rsidR="00C11EF7" w:rsidRPr="00FB60C2" w:rsidRDefault="00C11EF7" w:rsidP="00B701C8">
      <w:pPr>
        <w:shd w:val="clear" w:color="auto" w:fill="FFFFFF"/>
        <w:spacing w:before="220" w:after="220"/>
        <w:rPr>
          <w:color w:val="000000"/>
        </w:rPr>
      </w:pPr>
      <w:r w:rsidRPr="00FB60C2">
        <w:rPr>
          <w:color w:val="000000"/>
        </w:rPr>
        <w:t xml:space="preserve">De leur côté, les organisations nationales comme l’Alliance peuvent soutenir les établissements en </w:t>
      </w:r>
      <w:r w:rsidR="00476938" w:rsidRPr="00FB60C2">
        <w:rPr>
          <w:color w:val="000000"/>
        </w:rPr>
        <w:t xml:space="preserve">faisant </w:t>
      </w:r>
      <w:r w:rsidRPr="00FB60C2">
        <w:rPr>
          <w:color w:val="000000"/>
        </w:rPr>
        <w:t>des recommandations, en formulant des exigences</w:t>
      </w:r>
      <w:r w:rsidR="003F1A06" w:rsidRPr="00FB60C2">
        <w:rPr>
          <w:color w:val="000000"/>
        </w:rPr>
        <w:t>,</w:t>
      </w:r>
      <w:r w:rsidRPr="00FB60C2">
        <w:rPr>
          <w:color w:val="000000"/>
        </w:rPr>
        <w:t xml:space="preserve"> en </w:t>
      </w:r>
      <w:r w:rsidR="00FC5106" w:rsidRPr="00FB60C2">
        <w:rPr>
          <w:color w:val="000000"/>
        </w:rPr>
        <w:t>rassemblant</w:t>
      </w:r>
      <w:r w:rsidRPr="00FB60C2">
        <w:rPr>
          <w:color w:val="000000"/>
        </w:rPr>
        <w:t xml:space="preserve"> des renseignements </w:t>
      </w:r>
      <w:r w:rsidR="00476938" w:rsidRPr="00FB60C2">
        <w:rPr>
          <w:color w:val="000000"/>
        </w:rPr>
        <w:t xml:space="preserve">sur </w:t>
      </w:r>
      <w:r w:rsidR="00FC5106" w:rsidRPr="00FB60C2">
        <w:rPr>
          <w:color w:val="000000"/>
        </w:rPr>
        <w:t>les</w:t>
      </w:r>
      <w:r w:rsidRPr="00FB60C2">
        <w:rPr>
          <w:color w:val="000000"/>
        </w:rPr>
        <w:t xml:space="preserve"> calendriers de conservation</w:t>
      </w:r>
      <w:r w:rsidR="00FC5106" w:rsidRPr="00FB60C2">
        <w:rPr>
          <w:color w:val="000000"/>
        </w:rPr>
        <w:t xml:space="preserve"> et en rendant </w:t>
      </w:r>
      <w:r w:rsidR="003F1A06" w:rsidRPr="00FB60C2">
        <w:rPr>
          <w:color w:val="000000"/>
        </w:rPr>
        <w:t xml:space="preserve">cette </w:t>
      </w:r>
      <w:r w:rsidR="00FC5106" w:rsidRPr="00FB60C2">
        <w:rPr>
          <w:color w:val="000000"/>
        </w:rPr>
        <w:t>information accessible à</w:t>
      </w:r>
      <w:r w:rsidRPr="00FB60C2">
        <w:rPr>
          <w:color w:val="000000"/>
        </w:rPr>
        <w:t xml:space="preserve"> la communauté de recherche.</w:t>
      </w:r>
    </w:p>
    <w:p w14:paraId="788C8492" w14:textId="77777777" w:rsidR="00A9061F" w:rsidRPr="00FB60C2" w:rsidRDefault="00A9061F" w:rsidP="00B701C8">
      <w:pPr>
        <w:shd w:val="clear" w:color="auto" w:fill="FFFFFF"/>
        <w:spacing w:before="220" w:after="220"/>
      </w:pPr>
    </w:p>
    <w:p w14:paraId="41C6D88A" w14:textId="014961F3" w:rsidR="00A9061F" w:rsidRPr="00FB60C2" w:rsidRDefault="00A9061F" w:rsidP="00B701C8">
      <w:pPr>
        <w:pStyle w:val="Heading3"/>
        <w:shd w:val="clear" w:color="auto" w:fill="FFFFFF"/>
        <w:spacing w:before="220" w:after="220"/>
      </w:pPr>
      <w:bookmarkStart w:id="65" w:name="_Toc207100035"/>
      <w:r w:rsidRPr="00FB60C2">
        <w:t>Recommandation </w:t>
      </w:r>
      <w:r w:rsidR="00303029" w:rsidRPr="00FB60C2">
        <w:t>1</w:t>
      </w:r>
      <w:r w:rsidRPr="00FB60C2">
        <w:t>3</w:t>
      </w:r>
      <w:bookmarkEnd w:id="65"/>
    </w:p>
    <w:p w14:paraId="046DF795" w14:textId="020F8F34" w:rsidR="00A9061F" w:rsidRPr="00FB60C2" w:rsidRDefault="00FC5106" w:rsidP="00B701C8">
      <w:pPr>
        <w:shd w:val="clear" w:color="auto" w:fill="FFFFFF"/>
        <w:spacing w:before="220" w:after="220"/>
      </w:pPr>
      <w:r w:rsidRPr="00FB60C2">
        <w:rPr>
          <w:color w:val="000000"/>
        </w:rPr>
        <w:t>En matière d’ententes et de contrats, le</w:t>
      </w:r>
      <w:r w:rsidR="00C11EF7" w:rsidRPr="00FB60C2">
        <w:rPr>
          <w:color w:val="000000"/>
        </w:rPr>
        <w:t xml:space="preserve">s </w:t>
      </w:r>
      <w:r w:rsidR="00A9061F" w:rsidRPr="00FB60C2">
        <w:rPr>
          <w:color w:val="000000"/>
        </w:rPr>
        <w:t>partie</w:t>
      </w:r>
      <w:r w:rsidR="00C11EF7" w:rsidRPr="00FB60C2">
        <w:rPr>
          <w:color w:val="000000"/>
        </w:rPr>
        <w:t>s</w:t>
      </w:r>
      <w:r w:rsidR="00A9061F" w:rsidRPr="00FB60C2">
        <w:rPr>
          <w:color w:val="000000"/>
        </w:rPr>
        <w:t xml:space="preserve"> prenante</w:t>
      </w:r>
      <w:r w:rsidR="00C11EF7" w:rsidRPr="00FB60C2">
        <w:rPr>
          <w:color w:val="000000"/>
        </w:rPr>
        <w:t>s</w:t>
      </w:r>
      <w:r w:rsidR="00A9061F" w:rsidRPr="00FB60C2">
        <w:rPr>
          <w:color w:val="000000"/>
        </w:rPr>
        <w:t xml:space="preserve"> </w:t>
      </w:r>
      <w:r w:rsidR="00E9399F" w:rsidRPr="00FB60C2">
        <w:rPr>
          <w:color w:val="000000"/>
        </w:rPr>
        <w:t xml:space="preserve">participant à la gestion de </w:t>
      </w:r>
      <w:r w:rsidR="00C11EF7" w:rsidRPr="00FB60C2">
        <w:rPr>
          <w:color w:val="000000"/>
        </w:rPr>
        <w:t>l’</w:t>
      </w:r>
      <w:r w:rsidR="00303029" w:rsidRPr="00FB60C2">
        <w:rPr>
          <w:color w:val="000000"/>
        </w:rPr>
        <w:t>accès contrôlé aux données de recherche</w:t>
      </w:r>
      <w:r w:rsidR="00755772" w:rsidRPr="00FB60C2">
        <w:rPr>
          <w:color w:val="000000"/>
        </w:rPr>
        <w:t xml:space="preserve"> </w:t>
      </w:r>
      <w:r w:rsidR="00C11EF7" w:rsidRPr="00FB60C2">
        <w:rPr>
          <w:color w:val="000000"/>
        </w:rPr>
        <w:t xml:space="preserve">sont encouragées à promouvoir des pratiques adaptées aux </w:t>
      </w:r>
      <w:r w:rsidR="00B92E4B" w:rsidRPr="00FB60C2">
        <w:rPr>
          <w:color w:val="000000"/>
        </w:rPr>
        <w:t>établissements</w:t>
      </w:r>
      <w:r w:rsidR="00C11EF7" w:rsidRPr="00FB60C2">
        <w:rPr>
          <w:color w:val="000000"/>
        </w:rPr>
        <w:t>.</w:t>
      </w:r>
    </w:p>
    <w:p w14:paraId="09BFD39E" w14:textId="77777777" w:rsidR="00A9061F" w:rsidRPr="00FB60C2" w:rsidRDefault="00A9061F" w:rsidP="00B701C8">
      <w:pPr>
        <w:pStyle w:val="Subtitle"/>
        <w:shd w:val="clear" w:color="auto" w:fill="FFFFFF"/>
        <w:spacing w:before="220" w:after="220"/>
      </w:pPr>
      <w:r w:rsidRPr="00FB60C2">
        <w:rPr>
          <w:sz w:val="28"/>
          <w:szCs w:val="28"/>
        </w:rPr>
        <w:lastRenderedPageBreak/>
        <w:t>Contexte</w:t>
      </w:r>
    </w:p>
    <w:p w14:paraId="1F2608A0" w14:textId="3A7B9799" w:rsidR="00A9061F" w:rsidRPr="00FB60C2" w:rsidRDefault="00C11EF7" w:rsidP="00B701C8">
      <w:pPr>
        <w:shd w:val="clear" w:color="auto" w:fill="FFFFFF"/>
        <w:spacing w:before="220" w:after="220"/>
      </w:pPr>
      <w:r w:rsidRPr="00FB60C2">
        <w:rPr>
          <w:color w:val="000000"/>
        </w:rPr>
        <w:t xml:space="preserve">Les </w:t>
      </w:r>
      <w:r w:rsidR="00A9061F" w:rsidRPr="00FB60C2">
        <w:rPr>
          <w:color w:val="000000"/>
        </w:rPr>
        <w:t>partie</w:t>
      </w:r>
      <w:r w:rsidRPr="00FB60C2">
        <w:rPr>
          <w:color w:val="000000"/>
        </w:rPr>
        <w:t>s</w:t>
      </w:r>
      <w:r w:rsidR="00A9061F" w:rsidRPr="00FB60C2">
        <w:rPr>
          <w:color w:val="000000"/>
        </w:rPr>
        <w:t xml:space="preserve"> prenante</w:t>
      </w:r>
      <w:r w:rsidRPr="00FB60C2">
        <w:rPr>
          <w:color w:val="000000"/>
        </w:rPr>
        <w:t>s</w:t>
      </w:r>
      <w:r w:rsidR="00A9061F" w:rsidRPr="00FB60C2">
        <w:rPr>
          <w:color w:val="000000"/>
        </w:rPr>
        <w:t xml:space="preserve"> </w:t>
      </w:r>
      <w:r w:rsidRPr="00FB60C2">
        <w:rPr>
          <w:color w:val="000000"/>
        </w:rPr>
        <w:t xml:space="preserve">œuvrant </w:t>
      </w:r>
      <w:r w:rsidR="00FC5106" w:rsidRPr="00FB60C2">
        <w:rPr>
          <w:color w:val="000000"/>
        </w:rPr>
        <w:t>à l’</w:t>
      </w:r>
      <w:r w:rsidRPr="00FB60C2">
        <w:rPr>
          <w:color w:val="000000"/>
        </w:rPr>
        <w:t xml:space="preserve">échelle nationale et </w:t>
      </w:r>
      <w:r w:rsidR="00FC5106" w:rsidRPr="00FB60C2">
        <w:rPr>
          <w:color w:val="000000"/>
        </w:rPr>
        <w:t>dans les établissements</w:t>
      </w:r>
      <w:r w:rsidRPr="00FB60C2">
        <w:rPr>
          <w:color w:val="000000"/>
        </w:rPr>
        <w:t xml:space="preserve"> </w:t>
      </w:r>
      <w:r w:rsidR="00AF2D1F" w:rsidRPr="00FB60C2">
        <w:rPr>
          <w:color w:val="000000"/>
        </w:rPr>
        <w:t>peuvent appliquer cette recommandation de différentes manières.</w:t>
      </w:r>
    </w:p>
    <w:p w14:paraId="1125ACC2" w14:textId="5001E320" w:rsidR="00A9061F" w:rsidRPr="00FB60C2" w:rsidRDefault="00AF2D1F" w:rsidP="00B701C8">
      <w:pPr>
        <w:numPr>
          <w:ilvl w:val="0"/>
          <w:numId w:val="6"/>
        </w:numPr>
        <w:shd w:val="clear" w:color="auto" w:fill="FFFFFF"/>
        <w:spacing w:before="220"/>
        <w:ind w:left="720"/>
      </w:pPr>
      <w:r w:rsidRPr="00FB60C2">
        <w:rPr>
          <w:color w:val="000000"/>
        </w:rPr>
        <w:t xml:space="preserve">À l’échelle nationale, </w:t>
      </w:r>
      <w:r w:rsidR="00FC5106" w:rsidRPr="00FB60C2">
        <w:rPr>
          <w:color w:val="000000"/>
        </w:rPr>
        <w:t xml:space="preserve">on peut </w:t>
      </w:r>
      <w:r w:rsidR="00E9399F" w:rsidRPr="00FB60C2">
        <w:rPr>
          <w:color w:val="000000"/>
        </w:rPr>
        <w:t xml:space="preserve">se donner </w:t>
      </w:r>
      <w:r w:rsidR="00FC5106" w:rsidRPr="00FB60C2">
        <w:rPr>
          <w:color w:val="000000"/>
        </w:rPr>
        <w:t>un</w:t>
      </w:r>
      <w:r w:rsidR="00E9399F" w:rsidRPr="00FB60C2">
        <w:rPr>
          <w:color w:val="000000"/>
        </w:rPr>
        <w:t>e terminologie e</w:t>
      </w:r>
      <w:r w:rsidR="00FC5106" w:rsidRPr="00FB60C2">
        <w:rPr>
          <w:color w:val="000000"/>
        </w:rPr>
        <w:t xml:space="preserve">t des </w:t>
      </w:r>
      <w:r w:rsidR="00E9399F" w:rsidRPr="00FB60C2">
        <w:rPr>
          <w:color w:val="000000"/>
        </w:rPr>
        <w:t xml:space="preserve">modèles </w:t>
      </w:r>
      <w:r w:rsidR="00FC5106" w:rsidRPr="00FB60C2">
        <w:rPr>
          <w:color w:val="000000"/>
        </w:rPr>
        <w:t xml:space="preserve">communs </w:t>
      </w:r>
      <w:r w:rsidR="00E26AA0" w:rsidRPr="00FB60C2">
        <w:rPr>
          <w:color w:val="000000"/>
        </w:rPr>
        <w:t>(</w:t>
      </w:r>
      <w:r w:rsidR="00B92E4B" w:rsidRPr="00FB60C2">
        <w:rPr>
          <w:color w:val="000000"/>
        </w:rPr>
        <w:t>modèles</w:t>
      </w:r>
      <w:r w:rsidRPr="00FB60C2">
        <w:rPr>
          <w:color w:val="000000"/>
        </w:rPr>
        <w:t xml:space="preserve"> d’ententes pour l’accès aux données ainsi que leur partage et leur utilisation, conditions générales d’utilisation, licences, etc</w:t>
      </w:r>
      <w:r w:rsidR="00E26AA0" w:rsidRPr="00FB60C2">
        <w:rPr>
          <w:color w:val="000000"/>
        </w:rPr>
        <w:t>.)</w:t>
      </w:r>
      <w:r w:rsidRPr="00FB60C2">
        <w:rPr>
          <w:color w:val="000000"/>
        </w:rPr>
        <w:t xml:space="preserve">. </w:t>
      </w:r>
      <w:r w:rsidR="00E9399F" w:rsidRPr="00FB60C2">
        <w:rPr>
          <w:color w:val="000000"/>
        </w:rPr>
        <w:t xml:space="preserve">La préparation </w:t>
      </w:r>
      <w:r w:rsidRPr="00FB60C2">
        <w:rPr>
          <w:color w:val="000000"/>
        </w:rPr>
        <w:t xml:space="preserve">de lignes directrices, de services et de ressources d’ordre national </w:t>
      </w:r>
      <w:r w:rsidR="00E9399F" w:rsidRPr="00FB60C2">
        <w:rPr>
          <w:color w:val="000000"/>
        </w:rPr>
        <w:t>pour les</w:t>
      </w:r>
      <w:r w:rsidRPr="00FB60C2">
        <w:rPr>
          <w:color w:val="000000"/>
        </w:rPr>
        <w:t xml:space="preserve"> ententes </w:t>
      </w:r>
      <w:r w:rsidR="00E9399F" w:rsidRPr="00FB60C2">
        <w:rPr>
          <w:color w:val="000000"/>
        </w:rPr>
        <w:t>concernant les</w:t>
      </w:r>
      <w:r w:rsidRPr="00FB60C2">
        <w:rPr>
          <w:color w:val="000000"/>
        </w:rPr>
        <w:t xml:space="preserve"> données </w:t>
      </w:r>
      <w:r w:rsidR="00932426" w:rsidRPr="00FB60C2">
        <w:rPr>
          <w:color w:val="000000"/>
        </w:rPr>
        <w:t xml:space="preserve">à </w:t>
      </w:r>
      <w:r w:rsidRPr="00FB60C2">
        <w:rPr>
          <w:color w:val="000000"/>
        </w:rPr>
        <w:t xml:space="preserve">accès restreint peut </w:t>
      </w:r>
      <w:r w:rsidR="00E9399F" w:rsidRPr="00FB60C2">
        <w:rPr>
          <w:color w:val="000000"/>
        </w:rPr>
        <w:t xml:space="preserve">aider à </w:t>
      </w:r>
      <w:r w:rsidRPr="00FB60C2">
        <w:rPr>
          <w:color w:val="000000"/>
        </w:rPr>
        <w:t xml:space="preserve">réduire le fardeau </w:t>
      </w:r>
      <w:r w:rsidR="00E9399F" w:rsidRPr="00FB60C2">
        <w:rPr>
          <w:color w:val="000000"/>
        </w:rPr>
        <w:t>porté par</w:t>
      </w:r>
      <w:r w:rsidRPr="00FB60C2">
        <w:rPr>
          <w:color w:val="000000"/>
        </w:rPr>
        <w:t xml:space="preserve"> les </w:t>
      </w:r>
      <w:r w:rsidR="00A9061F" w:rsidRPr="00FB60C2">
        <w:rPr>
          <w:color w:val="000000"/>
        </w:rPr>
        <w:t>chercheuse</w:t>
      </w:r>
      <w:r w:rsidRPr="00FB60C2">
        <w:rPr>
          <w:color w:val="000000"/>
        </w:rPr>
        <w:t>s</w:t>
      </w:r>
      <w:r w:rsidR="00A9061F" w:rsidRPr="00FB60C2">
        <w:rPr>
          <w:color w:val="000000"/>
        </w:rPr>
        <w:t xml:space="preserve"> et chercheur</w:t>
      </w:r>
      <w:r w:rsidRPr="00FB60C2">
        <w:rPr>
          <w:color w:val="000000"/>
        </w:rPr>
        <w:t>s</w:t>
      </w:r>
      <w:r w:rsidR="00A9061F" w:rsidRPr="00FB60C2">
        <w:rPr>
          <w:color w:val="000000"/>
        </w:rPr>
        <w:t xml:space="preserve"> </w:t>
      </w:r>
      <w:r w:rsidR="00E95B65" w:rsidRPr="00FB60C2">
        <w:rPr>
          <w:color w:val="000000"/>
        </w:rPr>
        <w:t>voulant</w:t>
      </w:r>
      <w:r w:rsidRPr="00FB60C2">
        <w:rPr>
          <w:color w:val="000000"/>
        </w:rPr>
        <w:t xml:space="preserve"> </w:t>
      </w:r>
      <w:r w:rsidR="00E9399F" w:rsidRPr="00FB60C2">
        <w:rPr>
          <w:color w:val="000000"/>
        </w:rPr>
        <w:t xml:space="preserve">consulter </w:t>
      </w:r>
      <w:r w:rsidR="00FC5106" w:rsidRPr="00FB60C2">
        <w:rPr>
          <w:color w:val="000000"/>
        </w:rPr>
        <w:t>des</w:t>
      </w:r>
      <w:r w:rsidRPr="00FB60C2">
        <w:rPr>
          <w:color w:val="000000"/>
        </w:rPr>
        <w:t xml:space="preserve"> </w:t>
      </w:r>
      <w:r w:rsidR="00A9061F" w:rsidRPr="00FB60C2">
        <w:rPr>
          <w:color w:val="000000"/>
        </w:rPr>
        <w:t>jeu</w:t>
      </w:r>
      <w:r w:rsidR="00FC5106" w:rsidRPr="00FB60C2">
        <w:rPr>
          <w:color w:val="000000"/>
        </w:rPr>
        <w:t>x</w:t>
      </w:r>
      <w:r w:rsidR="00A9061F" w:rsidRPr="00FB60C2">
        <w:rPr>
          <w:color w:val="000000"/>
        </w:rPr>
        <w:t xml:space="preserve"> de données </w:t>
      </w:r>
      <w:r w:rsidR="00E9399F" w:rsidRPr="00FB60C2">
        <w:rPr>
          <w:color w:val="000000"/>
        </w:rPr>
        <w:t xml:space="preserve">à accès contrôlé </w:t>
      </w:r>
      <w:r w:rsidR="00FC5106" w:rsidRPr="00FB60C2">
        <w:rPr>
          <w:color w:val="000000"/>
        </w:rPr>
        <w:t>et</w:t>
      </w:r>
      <w:r w:rsidR="00E95B65" w:rsidRPr="00FB60C2">
        <w:rPr>
          <w:color w:val="000000"/>
        </w:rPr>
        <w:t xml:space="preserve"> par</w:t>
      </w:r>
      <w:r w:rsidR="00FC5106" w:rsidRPr="00FB60C2">
        <w:rPr>
          <w:color w:val="000000"/>
        </w:rPr>
        <w:t xml:space="preserve"> </w:t>
      </w:r>
      <w:r w:rsidRPr="00FB60C2">
        <w:rPr>
          <w:color w:val="000000"/>
        </w:rPr>
        <w:t>les personnes assurant l’intendance de ces actifs.</w:t>
      </w:r>
    </w:p>
    <w:p w14:paraId="6D613EA7" w14:textId="788037B6" w:rsidR="00A9061F" w:rsidRPr="00FB60C2" w:rsidRDefault="00FC5106" w:rsidP="00B701C8">
      <w:pPr>
        <w:numPr>
          <w:ilvl w:val="0"/>
          <w:numId w:val="6"/>
        </w:numPr>
        <w:shd w:val="clear" w:color="auto" w:fill="FFFFFF"/>
        <w:spacing w:before="220" w:after="220"/>
        <w:ind w:left="720"/>
      </w:pPr>
      <w:r w:rsidRPr="00FB60C2">
        <w:rPr>
          <w:color w:val="000000"/>
        </w:rPr>
        <w:t>Les établissements, de leur côté, peuvent encourager leurs chercheuses et chercheurs à mobiliser leur comité d’éthique de la recherche et leur bureau de contrats de recherche tôt dans le processus pour que le consentement des participantes et participants et l’approbation d’éthique correspondent aux clauses contractuelles, en particulier les plans pour la découvrabilité, l’accessibilité et la réutilisation des données.</w:t>
      </w:r>
    </w:p>
    <w:p w14:paraId="46AD8501" w14:textId="3D69AE05" w:rsidR="00A9061F" w:rsidRPr="00FB60C2" w:rsidRDefault="00AF2D1F" w:rsidP="00B701C8">
      <w:pPr>
        <w:shd w:val="clear" w:color="auto" w:fill="FFFFFF"/>
        <w:spacing w:before="220" w:after="220"/>
      </w:pPr>
      <w:r w:rsidRPr="00FB60C2">
        <w:rPr>
          <w:color w:val="000000"/>
        </w:rPr>
        <w:t xml:space="preserve">Pour </w:t>
      </w:r>
      <w:r w:rsidR="001F1C92" w:rsidRPr="00FB60C2">
        <w:rPr>
          <w:color w:val="000000"/>
        </w:rPr>
        <w:t>contribuer aux</w:t>
      </w:r>
      <w:r w:rsidRPr="00FB60C2">
        <w:rPr>
          <w:color w:val="000000"/>
        </w:rPr>
        <w:t xml:space="preserve"> </w:t>
      </w:r>
      <w:r w:rsidR="001F1C92" w:rsidRPr="00FB60C2">
        <w:rPr>
          <w:color w:val="000000"/>
        </w:rPr>
        <w:t xml:space="preserve">activités </w:t>
      </w:r>
      <w:r w:rsidR="003A78E3" w:rsidRPr="00FB60C2">
        <w:rPr>
          <w:color w:val="000000"/>
        </w:rPr>
        <w:t>d</w:t>
      </w:r>
      <w:r w:rsidR="00E26AA0" w:rsidRPr="00FB60C2">
        <w:rPr>
          <w:color w:val="000000"/>
        </w:rPr>
        <w:t>’amélioration d</w:t>
      </w:r>
      <w:r w:rsidR="002C070A" w:rsidRPr="00FB60C2">
        <w:rPr>
          <w:color w:val="000000"/>
        </w:rPr>
        <w:t xml:space="preserve">es pratiques relatives aux </w:t>
      </w:r>
      <w:r w:rsidRPr="00FB60C2">
        <w:rPr>
          <w:color w:val="000000"/>
        </w:rPr>
        <w:t>entente</w:t>
      </w:r>
      <w:r w:rsidR="002C070A" w:rsidRPr="00FB60C2">
        <w:rPr>
          <w:color w:val="000000"/>
        </w:rPr>
        <w:t>s</w:t>
      </w:r>
      <w:r w:rsidRPr="00FB60C2">
        <w:rPr>
          <w:color w:val="000000"/>
        </w:rPr>
        <w:t xml:space="preserve"> </w:t>
      </w:r>
      <w:r w:rsidR="002C070A" w:rsidRPr="00FB60C2">
        <w:rPr>
          <w:color w:val="000000"/>
        </w:rPr>
        <w:t>et aux contrats</w:t>
      </w:r>
      <w:r w:rsidRPr="00FB60C2">
        <w:rPr>
          <w:color w:val="000000"/>
        </w:rPr>
        <w:t xml:space="preserve">, il faut du financement, des ressources et du soutien à la coordination. Par exemple, un </w:t>
      </w:r>
      <w:r w:rsidR="00A9061F" w:rsidRPr="00FB60C2">
        <w:rPr>
          <w:color w:val="000000"/>
        </w:rPr>
        <w:t>établissement</w:t>
      </w:r>
      <w:r w:rsidRPr="00FB60C2">
        <w:rPr>
          <w:color w:val="000000"/>
        </w:rPr>
        <w:t xml:space="preserve"> pourrait avoir besoin de financement pour des activités internes </w:t>
      </w:r>
      <w:r w:rsidR="001F1C92" w:rsidRPr="00FB60C2">
        <w:rPr>
          <w:color w:val="000000"/>
        </w:rPr>
        <w:t>d’</w:t>
      </w:r>
      <w:r w:rsidR="00F65537" w:rsidRPr="00FB60C2">
        <w:rPr>
          <w:color w:val="000000"/>
        </w:rPr>
        <w:t>amélior</w:t>
      </w:r>
      <w:r w:rsidR="001F1C92" w:rsidRPr="00FB60C2">
        <w:rPr>
          <w:color w:val="000000"/>
        </w:rPr>
        <w:t>ation de</w:t>
      </w:r>
      <w:r w:rsidR="00F65537" w:rsidRPr="00FB60C2">
        <w:rPr>
          <w:color w:val="000000"/>
        </w:rPr>
        <w:t xml:space="preserve"> </w:t>
      </w:r>
      <w:r w:rsidRPr="00FB60C2">
        <w:rPr>
          <w:color w:val="000000"/>
        </w:rPr>
        <w:t xml:space="preserve">ses pratiques </w:t>
      </w:r>
      <w:r w:rsidR="001F1C92" w:rsidRPr="00FB60C2">
        <w:rPr>
          <w:color w:val="000000"/>
        </w:rPr>
        <w:t>contractuelles et d’entente</w:t>
      </w:r>
      <w:r w:rsidRPr="00FB60C2">
        <w:rPr>
          <w:color w:val="000000"/>
        </w:rPr>
        <w:t>.</w:t>
      </w:r>
      <w:r w:rsidR="00086A16" w:rsidRPr="00FB60C2">
        <w:rPr>
          <w:color w:val="000000"/>
        </w:rPr>
        <w:t xml:space="preserve"> À l’échelle nationale, i</w:t>
      </w:r>
      <w:r w:rsidR="0056741B" w:rsidRPr="00FB60C2">
        <w:rPr>
          <w:color w:val="000000"/>
        </w:rPr>
        <w:t>l pourrait</w:t>
      </w:r>
      <w:r w:rsidR="001F1C92" w:rsidRPr="00FB60C2">
        <w:rPr>
          <w:color w:val="000000"/>
        </w:rPr>
        <w:t xml:space="preserve"> </w:t>
      </w:r>
      <w:r w:rsidR="0056741B" w:rsidRPr="00FB60C2">
        <w:rPr>
          <w:color w:val="000000"/>
        </w:rPr>
        <w:t>aussi être judicieux de propose</w:t>
      </w:r>
      <w:r w:rsidR="003A78E3" w:rsidRPr="00FB60C2">
        <w:rPr>
          <w:color w:val="000000"/>
        </w:rPr>
        <w:t xml:space="preserve">r </w:t>
      </w:r>
      <w:r w:rsidR="001F1C92" w:rsidRPr="00FB60C2">
        <w:rPr>
          <w:color w:val="000000"/>
        </w:rPr>
        <w:t>aux</w:t>
      </w:r>
      <w:r w:rsidR="00086A16" w:rsidRPr="00FB60C2">
        <w:rPr>
          <w:color w:val="000000"/>
        </w:rPr>
        <w:t xml:space="preserve"> dépôts ou </w:t>
      </w:r>
      <w:r w:rsidR="001F1C92" w:rsidRPr="00FB60C2">
        <w:rPr>
          <w:color w:val="000000"/>
        </w:rPr>
        <w:t xml:space="preserve">aux </w:t>
      </w:r>
      <w:r w:rsidR="00086A16" w:rsidRPr="00FB60C2">
        <w:rPr>
          <w:color w:val="000000"/>
        </w:rPr>
        <w:t>établissements</w:t>
      </w:r>
      <w:r w:rsidR="001F1C92" w:rsidRPr="00FB60C2">
        <w:rPr>
          <w:color w:val="000000"/>
        </w:rPr>
        <w:t xml:space="preserve"> des ressources favorisant la normalisation</w:t>
      </w:r>
      <w:r w:rsidR="00A9061F" w:rsidRPr="00FB60C2">
        <w:rPr>
          <w:color w:val="000000"/>
        </w:rPr>
        <w:t>.</w:t>
      </w:r>
    </w:p>
    <w:p w14:paraId="0C97CFFE" w14:textId="5E7C52FE" w:rsidR="00086A16" w:rsidRPr="00FB60C2" w:rsidRDefault="00086A16" w:rsidP="00B701C8">
      <w:pPr>
        <w:shd w:val="clear" w:color="auto" w:fill="FFFFFF"/>
        <w:spacing w:before="220" w:after="220"/>
        <w:rPr>
          <w:color w:val="000000"/>
        </w:rPr>
      </w:pPr>
      <w:r w:rsidRPr="00FB60C2">
        <w:rPr>
          <w:color w:val="000000"/>
        </w:rPr>
        <w:t xml:space="preserve">Il y a aussi lieu de </w:t>
      </w:r>
      <w:r w:rsidR="009322CB" w:rsidRPr="00FB60C2">
        <w:rPr>
          <w:color w:val="000000"/>
        </w:rPr>
        <w:t xml:space="preserve">générer </w:t>
      </w:r>
      <w:r w:rsidRPr="00FB60C2">
        <w:rPr>
          <w:color w:val="000000"/>
        </w:rPr>
        <w:t xml:space="preserve">et de </w:t>
      </w:r>
      <w:r w:rsidR="00F65537" w:rsidRPr="00FB60C2">
        <w:rPr>
          <w:color w:val="000000"/>
        </w:rPr>
        <w:t>soutenir</w:t>
      </w:r>
      <w:r w:rsidRPr="00FB60C2">
        <w:rPr>
          <w:color w:val="000000"/>
        </w:rPr>
        <w:t xml:space="preserve"> des occasions de collaboration </w:t>
      </w:r>
      <w:r w:rsidR="00A76199" w:rsidRPr="00FB60C2">
        <w:rPr>
          <w:color w:val="000000"/>
        </w:rPr>
        <w:t>lorsque</w:t>
      </w:r>
      <w:r w:rsidRPr="00FB60C2">
        <w:rPr>
          <w:color w:val="000000"/>
        </w:rPr>
        <w:t xml:space="preserve"> des </w:t>
      </w:r>
      <w:r w:rsidR="00A9061F" w:rsidRPr="00FB60C2">
        <w:rPr>
          <w:color w:val="000000"/>
        </w:rPr>
        <w:t>établissement</w:t>
      </w:r>
      <w:r w:rsidR="00E822EE" w:rsidRPr="00FB60C2">
        <w:rPr>
          <w:color w:val="000000"/>
        </w:rPr>
        <w:t>s</w:t>
      </w:r>
      <w:r w:rsidR="00A9061F" w:rsidRPr="00FB60C2">
        <w:rPr>
          <w:color w:val="000000"/>
        </w:rPr>
        <w:t xml:space="preserve"> </w:t>
      </w:r>
      <w:r w:rsidR="00A76199" w:rsidRPr="00FB60C2">
        <w:rPr>
          <w:color w:val="000000"/>
        </w:rPr>
        <w:t>veulent travailler</w:t>
      </w:r>
      <w:r w:rsidRPr="00FB60C2">
        <w:rPr>
          <w:color w:val="000000"/>
        </w:rPr>
        <w:t xml:space="preserve"> </w:t>
      </w:r>
      <w:r w:rsidR="00A76199" w:rsidRPr="00FB60C2">
        <w:rPr>
          <w:color w:val="000000"/>
        </w:rPr>
        <w:t xml:space="preserve">ensemble </w:t>
      </w:r>
      <w:r w:rsidRPr="00FB60C2">
        <w:rPr>
          <w:color w:val="000000"/>
        </w:rPr>
        <w:t xml:space="preserve">pour normaliser le </w:t>
      </w:r>
      <w:r w:rsidR="00A76199" w:rsidRPr="00FB60C2">
        <w:rPr>
          <w:color w:val="000000"/>
        </w:rPr>
        <w:t>libellé de</w:t>
      </w:r>
      <w:r w:rsidRPr="00FB60C2">
        <w:rPr>
          <w:color w:val="000000"/>
        </w:rPr>
        <w:t xml:space="preserve"> leurs ententes ou leurs exigences contractuelles. Une telle démarche pourrait, par exemple, faire l’objet d’une prochaine phase de l’Initiative de gestion de l’accès contrôlé.</w:t>
      </w:r>
    </w:p>
    <w:p w14:paraId="2F9E1C30" w14:textId="77777777" w:rsidR="00A9061F" w:rsidRPr="00FB60C2" w:rsidRDefault="00A9061F" w:rsidP="00B701C8">
      <w:pPr>
        <w:shd w:val="clear" w:color="auto" w:fill="FFFFFF"/>
        <w:spacing w:before="220" w:after="220"/>
      </w:pPr>
    </w:p>
    <w:p w14:paraId="5FAC2272" w14:textId="1C2740D5" w:rsidR="00A9061F" w:rsidRPr="00FB60C2" w:rsidRDefault="00A9061F" w:rsidP="00B701C8">
      <w:pPr>
        <w:pStyle w:val="Heading3"/>
      </w:pPr>
      <w:bookmarkStart w:id="66" w:name="_Toc207100036"/>
      <w:r w:rsidRPr="00FB60C2">
        <w:t>Recommandation </w:t>
      </w:r>
      <w:r w:rsidR="00303029" w:rsidRPr="00FB60C2">
        <w:t>1</w:t>
      </w:r>
      <w:r w:rsidRPr="00FB60C2">
        <w:t>4</w:t>
      </w:r>
      <w:bookmarkEnd w:id="66"/>
    </w:p>
    <w:p w14:paraId="69B2546A" w14:textId="168F5F1C" w:rsidR="00A9061F" w:rsidRPr="00FB60C2" w:rsidRDefault="00086A16" w:rsidP="00B701C8">
      <w:pPr>
        <w:jc w:val="both"/>
      </w:pPr>
      <w:r w:rsidRPr="00FB60C2">
        <w:rPr>
          <w:color w:val="000000"/>
        </w:rPr>
        <w:t xml:space="preserve">Lors de la conception d’infrastructures de gestion de l’accès contrôlé, les dépôts et les établissements de </w:t>
      </w:r>
      <w:r w:rsidR="00A9061F" w:rsidRPr="00FB60C2">
        <w:rPr>
          <w:color w:val="000000"/>
        </w:rPr>
        <w:t>recherche</w:t>
      </w:r>
      <w:r w:rsidRPr="00FB60C2">
        <w:rPr>
          <w:color w:val="000000"/>
        </w:rPr>
        <w:t xml:space="preserve"> doivent être financés, dotés des ressources </w:t>
      </w:r>
      <w:r w:rsidR="00DA6AD0" w:rsidRPr="00FB60C2">
        <w:rPr>
          <w:color w:val="000000"/>
        </w:rPr>
        <w:t xml:space="preserve">nécessaires </w:t>
      </w:r>
      <w:r w:rsidRPr="00FB60C2">
        <w:rPr>
          <w:color w:val="000000"/>
        </w:rPr>
        <w:t>et soutenus dans l</w:t>
      </w:r>
      <w:r w:rsidR="003A78E3" w:rsidRPr="00FB60C2">
        <w:rPr>
          <w:color w:val="000000"/>
        </w:rPr>
        <w:t>’application</w:t>
      </w:r>
      <w:r w:rsidRPr="00FB60C2">
        <w:rPr>
          <w:color w:val="000000"/>
        </w:rPr>
        <w:t xml:space="preserve"> des meilleures pratiques de </w:t>
      </w:r>
      <w:r w:rsidR="00A9061F" w:rsidRPr="00FB60C2">
        <w:rPr>
          <w:color w:val="000000"/>
        </w:rPr>
        <w:t xml:space="preserve">sécurité </w:t>
      </w:r>
      <w:r w:rsidRPr="00FB60C2">
        <w:rPr>
          <w:color w:val="000000"/>
        </w:rPr>
        <w:t>et d’évolutivité.</w:t>
      </w:r>
    </w:p>
    <w:p w14:paraId="795D6103" w14:textId="77777777" w:rsidR="00A9061F" w:rsidRPr="00FB60C2" w:rsidRDefault="00A9061F" w:rsidP="00B701C8">
      <w:pPr>
        <w:jc w:val="both"/>
      </w:pPr>
    </w:p>
    <w:p w14:paraId="0E5FAF9F" w14:textId="5439818B" w:rsidR="00A9061F" w:rsidRPr="00FB60C2" w:rsidRDefault="00A9061F" w:rsidP="00B701C8">
      <w:pPr>
        <w:pStyle w:val="Subtitle"/>
        <w:shd w:val="clear" w:color="auto" w:fill="FFFFFF"/>
        <w:spacing w:before="220" w:after="220"/>
        <w:rPr>
          <w:rFonts w:ascii="Aptos" w:eastAsia="Aptos" w:hAnsi="Aptos" w:cs="Aptos"/>
        </w:rPr>
      </w:pPr>
      <w:r w:rsidRPr="00FB60C2">
        <w:rPr>
          <w:sz w:val="28"/>
          <w:szCs w:val="28"/>
        </w:rPr>
        <w:t>Con</w:t>
      </w:r>
      <w:r w:rsidR="00200973" w:rsidRPr="00FB60C2">
        <w:rPr>
          <w:sz w:val="28"/>
          <w:szCs w:val="28"/>
        </w:rPr>
        <w:t>texte</w:t>
      </w:r>
    </w:p>
    <w:p w14:paraId="07E1203C" w14:textId="069C38E4" w:rsidR="00A9061F" w:rsidRPr="00FB60C2" w:rsidRDefault="00086A16" w:rsidP="00B701C8">
      <w:pPr>
        <w:spacing w:after="160"/>
        <w:rPr>
          <w:rFonts w:eastAsia="Aptos"/>
        </w:rPr>
      </w:pPr>
      <w:r w:rsidRPr="00FB60C2">
        <w:rPr>
          <w:rFonts w:eastAsia="Aptos"/>
          <w:color w:val="000000"/>
        </w:rPr>
        <w:t>Les dépôts sont conçus pour évoluer</w:t>
      </w:r>
      <w:r w:rsidR="00E822EE" w:rsidRPr="00FB60C2">
        <w:rPr>
          <w:rFonts w:eastAsia="Aptos"/>
          <w:color w:val="000000"/>
        </w:rPr>
        <w:t xml:space="preserve"> au fil du</w:t>
      </w:r>
      <w:r w:rsidRPr="00FB60C2">
        <w:rPr>
          <w:rFonts w:eastAsia="Aptos"/>
          <w:color w:val="000000"/>
        </w:rPr>
        <w:t xml:space="preserve"> temps. On y </w:t>
      </w:r>
      <w:r w:rsidR="00994E7E" w:rsidRPr="00FB60C2">
        <w:rPr>
          <w:rFonts w:eastAsia="Aptos"/>
          <w:color w:val="000000"/>
        </w:rPr>
        <w:t xml:space="preserve">stocke </w:t>
      </w:r>
      <w:r w:rsidRPr="00FB60C2">
        <w:rPr>
          <w:rFonts w:eastAsia="Aptos"/>
          <w:color w:val="000000"/>
        </w:rPr>
        <w:t>des données à moyen et</w:t>
      </w:r>
      <w:r w:rsidR="00994E7E" w:rsidRPr="00FB60C2">
        <w:rPr>
          <w:rFonts w:eastAsia="Aptos"/>
          <w:color w:val="000000"/>
        </w:rPr>
        <w:t xml:space="preserve"> à</w:t>
      </w:r>
      <w:r w:rsidRPr="00FB60C2">
        <w:rPr>
          <w:rFonts w:eastAsia="Aptos"/>
          <w:color w:val="000000"/>
        </w:rPr>
        <w:t xml:space="preserve"> long termes, ce qui exige des capacités de stockage </w:t>
      </w:r>
      <w:r w:rsidR="00411000" w:rsidRPr="00FB60C2">
        <w:rPr>
          <w:rFonts w:eastAsia="Aptos"/>
          <w:color w:val="000000"/>
        </w:rPr>
        <w:t xml:space="preserve">pouvant accueillir </w:t>
      </w:r>
      <w:r w:rsidR="00994E7E" w:rsidRPr="00FB60C2">
        <w:rPr>
          <w:rFonts w:eastAsia="Aptos"/>
          <w:color w:val="000000"/>
        </w:rPr>
        <w:t>toujours</w:t>
      </w:r>
      <w:r w:rsidR="00411000" w:rsidRPr="00FB60C2">
        <w:rPr>
          <w:rFonts w:eastAsia="Aptos"/>
          <w:color w:val="000000"/>
        </w:rPr>
        <w:t xml:space="preserve"> plus de </w:t>
      </w:r>
      <w:r w:rsidR="00A9061F" w:rsidRPr="00FB60C2">
        <w:rPr>
          <w:rFonts w:eastAsia="Aptos"/>
          <w:color w:val="000000"/>
        </w:rPr>
        <w:t>jeu</w:t>
      </w:r>
      <w:r w:rsidR="00411000" w:rsidRPr="00FB60C2">
        <w:rPr>
          <w:rFonts w:eastAsia="Aptos"/>
          <w:color w:val="000000"/>
        </w:rPr>
        <w:t>x</w:t>
      </w:r>
      <w:r w:rsidR="00A9061F" w:rsidRPr="00FB60C2">
        <w:rPr>
          <w:rFonts w:eastAsia="Aptos"/>
          <w:color w:val="000000"/>
        </w:rPr>
        <w:t xml:space="preserve"> de données. </w:t>
      </w:r>
      <w:r w:rsidR="00F711E1" w:rsidRPr="00FB60C2">
        <w:rPr>
          <w:rFonts w:eastAsia="Aptos"/>
          <w:color w:val="000000"/>
        </w:rPr>
        <w:t>Il faut donc conserver l</w:t>
      </w:r>
      <w:r w:rsidR="00411000" w:rsidRPr="00FB60C2">
        <w:rPr>
          <w:rFonts w:eastAsia="Aptos"/>
          <w:color w:val="000000"/>
        </w:rPr>
        <w:t xml:space="preserve">es normes, pratiques et </w:t>
      </w:r>
      <w:r w:rsidR="00994E7E" w:rsidRPr="00FB60C2">
        <w:rPr>
          <w:rFonts w:eastAsia="Aptos"/>
          <w:color w:val="000000"/>
        </w:rPr>
        <w:t xml:space="preserve">mesures </w:t>
      </w:r>
      <w:r w:rsidR="00411000" w:rsidRPr="00FB60C2">
        <w:rPr>
          <w:rFonts w:eastAsia="Aptos"/>
          <w:color w:val="000000"/>
        </w:rPr>
        <w:t xml:space="preserve">de sécurité du </w:t>
      </w:r>
      <w:r w:rsidR="00A9061F" w:rsidRPr="00FB60C2">
        <w:rPr>
          <w:rFonts w:eastAsia="Aptos"/>
          <w:color w:val="000000"/>
        </w:rPr>
        <w:t>dépôt</w:t>
      </w:r>
      <w:r w:rsidR="00411000" w:rsidRPr="00FB60C2">
        <w:rPr>
          <w:rFonts w:eastAsia="Aptos"/>
          <w:color w:val="000000"/>
        </w:rPr>
        <w:t xml:space="preserve"> </w:t>
      </w:r>
      <w:r w:rsidR="00F711E1" w:rsidRPr="00FB60C2">
        <w:rPr>
          <w:rFonts w:eastAsia="Aptos"/>
          <w:color w:val="000000"/>
        </w:rPr>
        <w:t xml:space="preserve">et les enrichir </w:t>
      </w:r>
      <w:r w:rsidR="00146898" w:rsidRPr="00FB60C2">
        <w:rPr>
          <w:rFonts w:eastAsia="Aptos"/>
          <w:color w:val="000000"/>
        </w:rPr>
        <w:t>au fil de l’évolution de l’outil</w:t>
      </w:r>
      <w:r w:rsidR="00915C0E" w:rsidRPr="00FB60C2">
        <w:rPr>
          <w:rFonts w:eastAsia="Aptos"/>
          <w:color w:val="000000"/>
        </w:rPr>
        <w:t>.</w:t>
      </w:r>
    </w:p>
    <w:p w14:paraId="629E5D7C" w14:textId="7140640F" w:rsidR="00A9061F" w:rsidRPr="00FB60C2" w:rsidRDefault="00411000" w:rsidP="00B701C8">
      <w:r w:rsidRPr="00FB60C2">
        <w:rPr>
          <w:color w:val="000000"/>
        </w:rPr>
        <w:t xml:space="preserve">La décision d’élargir une infrastructure </w:t>
      </w:r>
      <w:r w:rsidR="0043692A" w:rsidRPr="00FB60C2">
        <w:rPr>
          <w:color w:val="000000"/>
        </w:rPr>
        <w:t>influe sur</w:t>
      </w:r>
      <w:r w:rsidRPr="00FB60C2">
        <w:rPr>
          <w:color w:val="000000"/>
        </w:rPr>
        <w:t xml:space="preserve"> la </w:t>
      </w:r>
      <w:r w:rsidR="00A9061F" w:rsidRPr="00FB60C2">
        <w:rPr>
          <w:color w:val="000000"/>
        </w:rPr>
        <w:t>sécurité</w:t>
      </w:r>
      <w:r w:rsidRPr="00FB60C2">
        <w:rPr>
          <w:color w:val="000000"/>
        </w:rPr>
        <w:t xml:space="preserve"> et </w:t>
      </w:r>
      <w:r w:rsidR="0043692A" w:rsidRPr="00FB60C2">
        <w:rPr>
          <w:color w:val="000000"/>
        </w:rPr>
        <w:t>vice-</w:t>
      </w:r>
      <w:r w:rsidRPr="00FB60C2">
        <w:rPr>
          <w:color w:val="000000"/>
        </w:rPr>
        <w:t>versa.</w:t>
      </w:r>
      <w:r w:rsidR="00A9061F" w:rsidRPr="00FB60C2">
        <w:rPr>
          <w:color w:val="000000"/>
        </w:rPr>
        <w:t xml:space="preserve"> </w:t>
      </w:r>
      <w:r w:rsidR="00F65537" w:rsidRPr="00FB60C2">
        <w:rPr>
          <w:color w:val="000000"/>
        </w:rPr>
        <w:t>P</w:t>
      </w:r>
      <w:r w:rsidRPr="00FB60C2">
        <w:rPr>
          <w:color w:val="000000"/>
        </w:rPr>
        <w:t xml:space="preserve">lusieurs normes, lignes directrices et principes régissent la sécurité </w:t>
      </w:r>
      <w:r w:rsidR="00F65537" w:rsidRPr="00FB60C2">
        <w:rPr>
          <w:color w:val="000000"/>
        </w:rPr>
        <w:t xml:space="preserve">et l’évolutivité </w:t>
      </w:r>
      <w:r w:rsidRPr="00FB60C2">
        <w:rPr>
          <w:color w:val="000000"/>
        </w:rPr>
        <w:t xml:space="preserve">des </w:t>
      </w:r>
      <w:r w:rsidR="00A9061F" w:rsidRPr="00FB60C2">
        <w:rPr>
          <w:color w:val="000000"/>
        </w:rPr>
        <w:t>infrastructure</w:t>
      </w:r>
      <w:r w:rsidRPr="00FB60C2">
        <w:rPr>
          <w:color w:val="000000"/>
        </w:rPr>
        <w:t xml:space="preserve">s </w:t>
      </w:r>
      <w:r w:rsidRPr="00FB60C2">
        <w:rPr>
          <w:color w:val="000000"/>
        </w:rPr>
        <w:lastRenderedPageBreak/>
        <w:t xml:space="preserve">hébergeant des données à accès contrôlé, par exemple le document « Protection de l’information contrôlée dans les organisations et les systèmes ne relevant pas du gouvernement du Canada » (ITSP.10.171, </w:t>
      </w:r>
      <w:r w:rsidR="00A9061F" w:rsidRPr="00FB60C2">
        <w:rPr>
          <w:color w:val="000000"/>
        </w:rPr>
        <w:t>gouvernement du Canada, 2025</w:t>
      </w:r>
      <w:r w:rsidR="0043692A" w:rsidRPr="00FB60C2">
        <w:rPr>
          <w:color w:val="000000"/>
        </w:rPr>
        <w:t xml:space="preserve">); </w:t>
      </w:r>
      <w:r w:rsidRPr="00FB60C2">
        <w:rPr>
          <w:color w:val="000000"/>
        </w:rPr>
        <w:t xml:space="preserve">les principes de protection de la vie privée dès la conception (Commissaire à l’information et à la protection de la vie privée de l’Ontario, </w:t>
      </w:r>
      <w:r w:rsidR="00A9061F" w:rsidRPr="00FB60C2">
        <w:rPr>
          <w:color w:val="000000"/>
        </w:rPr>
        <w:t>2018)</w:t>
      </w:r>
      <w:r w:rsidR="0043692A" w:rsidRPr="00FB60C2">
        <w:rPr>
          <w:color w:val="000000"/>
        </w:rPr>
        <w:t>;</w:t>
      </w:r>
      <w:r w:rsidR="00A50C39" w:rsidRPr="00FB60C2">
        <w:rPr>
          <w:color w:val="000000"/>
        </w:rPr>
        <w:t xml:space="preserve"> et l</w:t>
      </w:r>
      <w:r w:rsidRPr="00FB60C2">
        <w:rPr>
          <w:color w:val="000000"/>
        </w:rPr>
        <w:t>es</w:t>
      </w:r>
      <w:r w:rsidR="00A50C39" w:rsidRPr="00FB60C2">
        <w:rPr>
          <w:color w:val="000000"/>
        </w:rPr>
        <w:t xml:space="preserve"> normes de sécurité </w:t>
      </w:r>
      <w:r w:rsidR="0043692A" w:rsidRPr="00FB60C2">
        <w:rPr>
          <w:color w:val="000000"/>
        </w:rPr>
        <w:t xml:space="preserve">de la recherche </w:t>
      </w:r>
      <w:r w:rsidR="00A50C39" w:rsidRPr="00FB60C2">
        <w:rPr>
          <w:color w:val="000000"/>
        </w:rPr>
        <w:t>du Canada, comme les</w:t>
      </w:r>
      <w:r w:rsidRPr="00FB60C2">
        <w:rPr>
          <w:color w:val="000000"/>
        </w:rPr>
        <w:t xml:space="preserve"> Lignes directrices sur la sécurité nationale pour les partenariats de recherche</w:t>
      </w:r>
      <w:r w:rsidR="00A9061F" w:rsidRPr="00FB60C2">
        <w:rPr>
          <w:color w:val="000000"/>
        </w:rPr>
        <w:t xml:space="preserve"> (gouvernement du Canada, 2024a) </w:t>
      </w:r>
      <w:r w:rsidRPr="00FB60C2">
        <w:rPr>
          <w:color w:val="000000"/>
        </w:rPr>
        <w:t>et la Politique sur la recherche en technologies sensibles et sur les affiliations préoccupantes</w:t>
      </w:r>
      <w:r w:rsidR="00A9061F" w:rsidRPr="00FB60C2">
        <w:rPr>
          <w:color w:val="000000"/>
        </w:rPr>
        <w:t xml:space="preserve"> (gouvernement du Canada, 2024b).</w:t>
      </w:r>
      <w:r w:rsidR="00D76445" w:rsidRPr="00FB60C2">
        <w:rPr>
          <w:color w:val="000000"/>
        </w:rPr>
        <w:t xml:space="preserve"> </w:t>
      </w:r>
      <w:r w:rsidRPr="00FB60C2">
        <w:rPr>
          <w:color w:val="000000"/>
        </w:rPr>
        <w:t xml:space="preserve">Les </w:t>
      </w:r>
      <w:r w:rsidR="006C6C66" w:rsidRPr="00FB60C2">
        <w:rPr>
          <w:color w:val="000000"/>
        </w:rPr>
        <w:t>fournisseurs</w:t>
      </w:r>
      <w:r w:rsidR="0043692A" w:rsidRPr="00FB60C2">
        <w:rPr>
          <w:color w:val="000000"/>
        </w:rPr>
        <w:t xml:space="preserve"> de </w:t>
      </w:r>
      <w:r w:rsidRPr="00FB60C2">
        <w:rPr>
          <w:color w:val="000000"/>
        </w:rPr>
        <w:t>d</w:t>
      </w:r>
      <w:r w:rsidR="0056741B" w:rsidRPr="00FB60C2">
        <w:rPr>
          <w:color w:val="000000"/>
        </w:rPr>
        <w:t>épôts</w:t>
      </w:r>
      <w:r w:rsidR="00A9061F" w:rsidRPr="00FB60C2">
        <w:rPr>
          <w:color w:val="000000"/>
        </w:rPr>
        <w:t xml:space="preserve"> </w:t>
      </w:r>
      <w:r w:rsidRPr="00FB60C2">
        <w:rPr>
          <w:color w:val="000000"/>
        </w:rPr>
        <w:t xml:space="preserve">sont invités à </w:t>
      </w:r>
      <w:r w:rsidR="0043692A" w:rsidRPr="00FB60C2">
        <w:rPr>
          <w:color w:val="000000"/>
        </w:rPr>
        <w:t>porter une attention particulière au</w:t>
      </w:r>
      <w:r w:rsidR="000B62E7" w:rsidRPr="00FB60C2">
        <w:rPr>
          <w:color w:val="000000"/>
        </w:rPr>
        <w:t xml:space="preserve"> </w:t>
      </w:r>
      <w:r w:rsidRPr="00FB60C2">
        <w:rPr>
          <w:color w:val="000000"/>
        </w:rPr>
        <w:t xml:space="preserve">contenu à la lumière des normes susmentionnées </w:t>
      </w:r>
      <w:r w:rsidR="00FD5A95" w:rsidRPr="00FB60C2">
        <w:rPr>
          <w:color w:val="000000"/>
        </w:rPr>
        <w:t>pour</w:t>
      </w:r>
      <w:r w:rsidRPr="00FB60C2">
        <w:rPr>
          <w:color w:val="000000"/>
        </w:rPr>
        <w:t xml:space="preserve"> les </w:t>
      </w:r>
      <w:r w:rsidR="00FD5A95" w:rsidRPr="00FB60C2">
        <w:rPr>
          <w:color w:val="000000"/>
        </w:rPr>
        <w:t xml:space="preserve">mesures </w:t>
      </w:r>
      <w:r w:rsidRPr="00FB60C2">
        <w:rPr>
          <w:color w:val="000000"/>
        </w:rPr>
        <w:t xml:space="preserve">de sécurité, les protocoles de connexion, les pratiques de </w:t>
      </w:r>
      <w:r w:rsidR="00E300C0" w:rsidRPr="00FB60C2">
        <w:rPr>
          <w:color w:val="000000"/>
        </w:rPr>
        <w:t>surveillance</w:t>
      </w:r>
      <w:r w:rsidRPr="00FB60C2">
        <w:rPr>
          <w:color w:val="000000"/>
        </w:rPr>
        <w:t xml:space="preserve"> et les normes de transfert de données.</w:t>
      </w:r>
    </w:p>
    <w:p w14:paraId="70754705" w14:textId="77777777" w:rsidR="00A9061F" w:rsidRPr="00FB60C2" w:rsidRDefault="00A9061F" w:rsidP="00B701C8">
      <w:pPr>
        <w:jc w:val="both"/>
      </w:pPr>
    </w:p>
    <w:p w14:paraId="5E327703" w14:textId="5689156D" w:rsidR="00A9061F" w:rsidRPr="00FB60C2" w:rsidRDefault="00A9061F" w:rsidP="00B701C8">
      <w:pPr>
        <w:pStyle w:val="Heading3"/>
        <w:shd w:val="clear" w:color="auto" w:fill="FFFFFF"/>
        <w:spacing w:before="220" w:after="220"/>
      </w:pPr>
      <w:bookmarkStart w:id="67" w:name="_Toc207100037"/>
      <w:r w:rsidRPr="00FB60C2">
        <w:t>Recommandation 1</w:t>
      </w:r>
      <w:r w:rsidR="00303029" w:rsidRPr="00FB60C2">
        <w:t>5</w:t>
      </w:r>
      <w:bookmarkEnd w:id="67"/>
    </w:p>
    <w:p w14:paraId="24619D8A" w14:textId="4BB594F5" w:rsidR="00E300C0" w:rsidRPr="00FB60C2" w:rsidRDefault="00E300C0" w:rsidP="00B701C8">
      <w:pPr>
        <w:rPr>
          <w:color w:val="000000"/>
        </w:rPr>
      </w:pPr>
      <w:r w:rsidRPr="00FB60C2">
        <w:rPr>
          <w:color w:val="000000"/>
        </w:rPr>
        <w:t xml:space="preserve">Les fournisseurs de </w:t>
      </w:r>
      <w:r w:rsidR="00A9061F" w:rsidRPr="00FB60C2">
        <w:rPr>
          <w:color w:val="000000"/>
        </w:rPr>
        <w:t>dépôt</w:t>
      </w:r>
      <w:r w:rsidRPr="00FB60C2">
        <w:rPr>
          <w:color w:val="000000"/>
        </w:rPr>
        <w:t>s</w:t>
      </w:r>
      <w:r w:rsidR="00A9061F" w:rsidRPr="00FB60C2">
        <w:rPr>
          <w:color w:val="000000"/>
        </w:rPr>
        <w:t xml:space="preserve"> </w:t>
      </w:r>
      <w:r w:rsidRPr="00FB60C2">
        <w:rPr>
          <w:color w:val="000000"/>
        </w:rPr>
        <w:t xml:space="preserve">doivent </w:t>
      </w:r>
      <w:r w:rsidR="001F207E" w:rsidRPr="00FB60C2">
        <w:rPr>
          <w:color w:val="000000"/>
        </w:rPr>
        <w:t xml:space="preserve">permettre </w:t>
      </w:r>
      <w:r w:rsidRPr="00FB60C2">
        <w:rPr>
          <w:color w:val="000000"/>
        </w:rPr>
        <w:t>une intégration efficace des métadonnées</w:t>
      </w:r>
      <w:r w:rsidR="00A9061F" w:rsidRPr="00FB60C2">
        <w:rPr>
          <w:color w:val="000000"/>
        </w:rPr>
        <w:t xml:space="preserve"> descriptive</w:t>
      </w:r>
      <w:r w:rsidRPr="00FB60C2">
        <w:rPr>
          <w:color w:val="000000"/>
        </w:rPr>
        <w:t>s</w:t>
      </w:r>
      <w:r w:rsidR="00A9061F" w:rsidRPr="00FB60C2">
        <w:rPr>
          <w:color w:val="000000"/>
        </w:rPr>
        <w:t xml:space="preserve">, </w:t>
      </w:r>
      <w:r w:rsidRPr="00FB60C2">
        <w:rPr>
          <w:color w:val="000000"/>
        </w:rPr>
        <w:t xml:space="preserve">des renseignements sur la </w:t>
      </w:r>
      <w:r w:rsidR="00303029" w:rsidRPr="00FB60C2">
        <w:rPr>
          <w:color w:val="000000"/>
        </w:rPr>
        <w:t>provenance</w:t>
      </w:r>
      <w:r w:rsidR="00A9061F" w:rsidRPr="00FB60C2">
        <w:rPr>
          <w:color w:val="000000"/>
        </w:rPr>
        <w:t xml:space="preserve">, </w:t>
      </w:r>
      <w:r w:rsidRPr="00FB60C2">
        <w:rPr>
          <w:color w:val="000000"/>
        </w:rPr>
        <w:t xml:space="preserve">des politiques </w:t>
      </w:r>
      <w:r w:rsidR="000B62E7" w:rsidRPr="00FB60C2">
        <w:rPr>
          <w:color w:val="000000"/>
        </w:rPr>
        <w:t>contextuelles</w:t>
      </w:r>
      <w:r w:rsidRPr="00FB60C2">
        <w:rPr>
          <w:color w:val="000000"/>
        </w:rPr>
        <w:t xml:space="preserve"> et des systèmes techniques </w:t>
      </w:r>
      <w:r w:rsidR="00060419" w:rsidRPr="00FB60C2">
        <w:rPr>
          <w:color w:val="000000"/>
        </w:rPr>
        <w:t>nécessaires à l’</w:t>
      </w:r>
      <w:r w:rsidRPr="00FB60C2">
        <w:rPr>
          <w:color w:val="000000"/>
        </w:rPr>
        <w:t xml:space="preserve">utilisation et </w:t>
      </w:r>
      <w:r w:rsidR="00060419" w:rsidRPr="00FB60C2">
        <w:rPr>
          <w:color w:val="000000"/>
        </w:rPr>
        <w:t xml:space="preserve">à la </w:t>
      </w:r>
      <w:r w:rsidRPr="00FB60C2">
        <w:rPr>
          <w:color w:val="000000"/>
        </w:rPr>
        <w:t xml:space="preserve">réutilisation responsables des données sensibles et des données de recherche </w:t>
      </w:r>
      <w:r w:rsidR="00E06F10" w:rsidRPr="00FB60C2">
        <w:rPr>
          <w:color w:val="000000"/>
        </w:rPr>
        <w:t xml:space="preserve">à </w:t>
      </w:r>
      <w:r w:rsidRPr="00FB60C2">
        <w:rPr>
          <w:color w:val="000000"/>
        </w:rPr>
        <w:t>accès restreint.</w:t>
      </w:r>
    </w:p>
    <w:p w14:paraId="6A70F3FE" w14:textId="77777777" w:rsidR="00A9061F" w:rsidRPr="00FB60C2" w:rsidRDefault="00A9061F" w:rsidP="00B701C8"/>
    <w:p w14:paraId="0A4D3490" w14:textId="77777777" w:rsidR="00A9061F" w:rsidRPr="00FB60C2" w:rsidRDefault="00A9061F" w:rsidP="00B701C8">
      <w:pPr>
        <w:pStyle w:val="Subtitle"/>
      </w:pPr>
      <w:r w:rsidRPr="00FB60C2">
        <w:t>Contexte</w:t>
      </w:r>
    </w:p>
    <w:p w14:paraId="7EE6F142" w14:textId="4549734B" w:rsidR="00E300C0" w:rsidRPr="00FB60C2" w:rsidRDefault="00E300C0" w:rsidP="00B701C8">
      <w:pPr>
        <w:rPr>
          <w:color w:val="000000"/>
        </w:rPr>
      </w:pPr>
      <w:r w:rsidRPr="00FB60C2">
        <w:rPr>
          <w:color w:val="000000"/>
        </w:rPr>
        <w:t xml:space="preserve">Pour favoriser une utilisation et une réutilisation responsables des données de recherche </w:t>
      </w:r>
      <w:r w:rsidR="00E06F10" w:rsidRPr="00FB60C2">
        <w:rPr>
          <w:color w:val="000000"/>
        </w:rPr>
        <w:t xml:space="preserve">à </w:t>
      </w:r>
      <w:r w:rsidR="001F207E" w:rsidRPr="00FB60C2">
        <w:rPr>
          <w:color w:val="000000"/>
        </w:rPr>
        <w:t xml:space="preserve">accès </w:t>
      </w:r>
      <w:r w:rsidR="00A05F13" w:rsidRPr="00FB60C2">
        <w:rPr>
          <w:color w:val="000000"/>
        </w:rPr>
        <w:t>contrôlé</w:t>
      </w:r>
      <w:r w:rsidRPr="00FB60C2">
        <w:rPr>
          <w:color w:val="000000"/>
        </w:rPr>
        <w:t xml:space="preserve">, il faut un cadre </w:t>
      </w:r>
      <w:r w:rsidR="00A05F13" w:rsidRPr="00FB60C2">
        <w:rPr>
          <w:color w:val="000000"/>
        </w:rPr>
        <w:t>essentiel</w:t>
      </w:r>
      <w:r w:rsidRPr="00FB60C2">
        <w:rPr>
          <w:color w:val="000000"/>
        </w:rPr>
        <w:t xml:space="preserve"> solide </w:t>
      </w:r>
      <w:r w:rsidR="00A05F13" w:rsidRPr="00FB60C2">
        <w:rPr>
          <w:color w:val="000000"/>
        </w:rPr>
        <w:t>comprenant</w:t>
      </w:r>
      <w:r w:rsidRPr="00FB60C2">
        <w:rPr>
          <w:color w:val="000000"/>
        </w:rPr>
        <w:t xml:space="preserve"> quatre axes : </w:t>
      </w:r>
      <w:r w:rsidRPr="00FB60C2">
        <w:rPr>
          <w:i/>
          <w:iCs/>
          <w:color w:val="000000"/>
        </w:rPr>
        <w:t>métadonnées descriptives</w:t>
      </w:r>
      <w:r w:rsidRPr="00FB60C2">
        <w:rPr>
          <w:color w:val="000000"/>
        </w:rPr>
        <w:t xml:space="preserve">, </w:t>
      </w:r>
      <w:r w:rsidRPr="00FB60C2">
        <w:rPr>
          <w:i/>
          <w:iCs/>
          <w:color w:val="000000"/>
        </w:rPr>
        <w:t>provenance</w:t>
      </w:r>
      <w:r w:rsidRPr="00FB60C2">
        <w:rPr>
          <w:color w:val="000000"/>
        </w:rPr>
        <w:t xml:space="preserve">, </w:t>
      </w:r>
      <w:r w:rsidRPr="00FB60C2">
        <w:rPr>
          <w:i/>
          <w:iCs/>
          <w:color w:val="000000"/>
        </w:rPr>
        <w:t>politique</w:t>
      </w:r>
      <w:r w:rsidR="004D0B31" w:rsidRPr="00FB60C2">
        <w:rPr>
          <w:i/>
          <w:iCs/>
          <w:color w:val="000000"/>
        </w:rPr>
        <w:t>s</w:t>
      </w:r>
      <w:r w:rsidRPr="00FB60C2">
        <w:rPr>
          <w:i/>
          <w:iCs/>
          <w:color w:val="000000"/>
        </w:rPr>
        <w:t xml:space="preserve"> </w:t>
      </w:r>
      <w:r w:rsidR="000B62E7" w:rsidRPr="00FB60C2">
        <w:rPr>
          <w:i/>
          <w:iCs/>
          <w:color w:val="000000"/>
        </w:rPr>
        <w:t>contextuelles</w:t>
      </w:r>
      <w:r w:rsidRPr="00FB60C2">
        <w:rPr>
          <w:color w:val="000000"/>
        </w:rPr>
        <w:t xml:space="preserve"> et </w:t>
      </w:r>
      <w:r w:rsidRPr="00FB60C2">
        <w:rPr>
          <w:i/>
          <w:iCs/>
          <w:color w:val="000000"/>
        </w:rPr>
        <w:t>infrastructure technique</w:t>
      </w:r>
      <w:r w:rsidRPr="00FB60C2">
        <w:rPr>
          <w:color w:val="000000"/>
        </w:rPr>
        <w:t xml:space="preserve">. </w:t>
      </w:r>
      <w:r w:rsidR="000B62E7" w:rsidRPr="00FB60C2">
        <w:rPr>
          <w:color w:val="000000"/>
        </w:rPr>
        <w:t xml:space="preserve">Les </w:t>
      </w:r>
      <w:r w:rsidRPr="00FB60C2">
        <w:rPr>
          <w:color w:val="000000"/>
        </w:rPr>
        <w:t xml:space="preserve">trois premiers </w:t>
      </w:r>
      <w:r w:rsidR="00A05F13" w:rsidRPr="00FB60C2">
        <w:rPr>
          <w:color w:val="000000"/>
        </w:rPr>
        <w:t xml:space="preserve">axes permettent de savoir </w:t>
      </w:r>
      <w:r w:rsidRPr="00FB60C2">
        <w:rPr>
          <w:color w:val="000000"/>
        </w:rPr>
        <w:t xml:space="preserve">si un </w:t>
      </w:r>
      <w:r w:rsidR="00A9061F" w:rsidRPr="00FB60C2">
        <w:rPr>
          <w:color w:val="000000"/>
        </w:rPr>
        <w:t xml:space="preserve">jeu de données </w:t>
      </w:r>
      <w:r w:rsidRPr="00FB60C2">
        <w:rPr>
          <w:color w:val="000000"/>
        </w:rPr>
        <w:t xml:space="preserve">est </w:t>
      </w:r>
      <w:r w:rsidR="00A05F13" w:rsidRPr="00FB60C2">
        <w:rPr>
          <w:color w:val="000000"/>
        </w:rPr>
        <w:t>adapté à</w:t>
      </w:r>
      <w:r w:rsidR="000B62E7" w:rsidRPr="00FB60C2">
        <w:rPr>
          <w:color w:val="000000"/>
        </w:rPr>
        <w:t xml:space="preserve"> </w:t>
      </w:r>
      <w:r w:rsidRPr="00FB60C2">
        <w:rPr>
          <w:color w:val="000000"/>
        </w:rPr>
        <w:t xml:space="preserve">une question de </w:t>
      </w:r>
      <w:r w:rsidR="00A9061F" w:rsidRPr="00FB60C2">
        <w:rPr>
          <w:color w:val="000000"/>
        </w:rPr>
        <w:t xml:space="preserve">recherche </w:t>
      </w:r>
      <w:r w:rsidRPr="00FB60C2">
        <w:rPr>
          <w:color w:val="000000"/>
        </w:rPr>
        <w:t>et approprié sur les plans éthique et juridique</w:t>
      </w:r>
      <w:r w:rsidR="00A05F13" w:rsidRPr="00FB60C2">
        <w:rPr>
          <w:color w:val="000000"/>
        </w:rPr>
        <w:t xml:space="preserve">, et le dernier, soit </w:t>
      </w:r>
      <w:r w:rsidR="001F207E" w:rsidRPr="00FB60C2">
        <w:rPr>
          <w:color w:val="000000"/>
        </w:rPr>
        <w:t>l’infrastructure</w:t>
      </w:r>
      <w:r w:rsidRPr="00FB60C2">
        <w:rPr>
          <w:color w:val="000000"/>
        </w:rPr>
        <w:t xml:space="preserve"> technique</w:t>
      </w:r>
      <w:r w:rsidR="00A05F13" w:rsidRPr="00FB60C2">
        <w:rPr>
          <w:color w:val="000000"/>
        </w:rPr>
        <w:t>,</w:t>
      </w:r>
      <w:r w:rsidRPr="00FB60C2">
        <w:rPr>
          <w:color w:val="000000"/>
        </w:rPr>
        <w:t xml:space="preserve"> permet</w:t>
      </w:r>
      <w:r w:rsidR="001F207E" w:rsidRPr="00FB60C2">
        <w:rPr>
          <w:color w:val="000000"/>
        </w:rPr>
        <w:t xml:space="preserve"> </w:t>
      </w:r>
      <w:r w:rsidRPr="00FB60C2">
        <w:rPr>
          <w:color w:val="000000"/>
        </w:rPr>
        <w:t>de contrôler l’accès</w:t>
      </w:r>
      <w:r w:rsidR="001F207E" w:rsidRPr="00FB60C2">
        <w:rPr>
          <w:color w:val="000000"/>
        </w:rPr>
        <w:t xml:space="preserve"> </w:t>
      </w:r>
      <w:r w:rsidR="00A05F13" w:rsidRPr="00FB60C2">
        <w:rPr>
          <w:color w:val="000000"/>
        </w:rPr>
        <w:t xml:space="preserve">audit </w:t>
      </w:r>
      <w:r w:rsidRPr="00FB60C2">
        <w:rPr>
          <w:color w:val="000000"/>
        </w:rPr>
        <w:t>jeu de données.</w:t>
      </w:r>
    </w:p>
    <w:p w14:paraId="6B72C188" w14:textId="77777777" w:rsidR="00E300C0" w:rsidRPr="00FB60C2" w:rsidRDefault="00E300C0" w:rsidP="00B701C8">
      <w:pPr>
        <w:rPr>
          <w:color w:val="000000"/>
        </w:rPr>
      </w:pPr>
    </w:p>
    <w:p w14:paraId="7717A99E" w14:textId="2CCDA384" w:rsidR="00E300C0" w:rsidRPr="00FB60C2" w:rsidRDefault="00E300C0" w:rsidP="00B701C8">
      <w:pPr>
        <w:rPr>
          <w:color w:val="000000"/>
        </w:rPr>
      </w:pPr>
      <w:r w:rsidRPr="00FB60C2">
        <w:rPr>
          <w:color w:val="000000"/>
        </w:rPr>
        <w:t xml:space="preserve">Les </w:t>
      </w:r>
      <w:r w:rsidR="00A9061F" w:rsidRPr="00FB60C2">
        <w:rPr>
          <w:color w:val="000000"/>
        </w:rPr>
        <w:t xml:space="preserve">métadonnées </w:t>
      </w:r>
      <w:r w:rsidRPr="00FB60C2">
        <w:rPr>
          <w:color w:val="000000"/>
        </w:rPr>
        <w:t>descriptives fournissent de</w:t>
      </w:r>
      <w:r w:rsidR="00E93529" w:rsidRPr="00FB60C2">
        <w:rPr>
          <w:color w:val="000000"/>
        </w:rPr>
        <w:t xml:space="preserve"> l’information</w:t>
      </w:r>
      <w:r w:rsidRPr="00FB60C2">
        <w:rPr>
          <w:color w:val="000000"/>
        </w:rPr>
        <w:t xml:space="preserve"> essentiel</w:t>
      </w:r>
      <w:r w:rsidR="00E93529" w:rsidRPr="00FB60C2">
        <w:rPr>
          <w:color w:val="000000"/>
        </w:rPr>
        <w:t>le</w:t>
      </w:r>
      <w:r w:rsidRPr="00FB60C2">
        <w:rPr>
          <w:color w:val="000000"/>
        </w:rPr>
        <w:t xml:space="preserve"> </w:t>
      </w:r>
      <w:r w:rsidR="001F207E" w:rsidRPr="00FB60C2">
        <w:rPr>
          <w:color w:val="000000"/>
        </w:rPr>
        <w:t xml:space="preserve">sur </w:t>
      </w:r>
      <w:r w:rsidR="00E93529" w:rsidRPr="00FB60C2">
        <w:rPr>
          <w:color w:val="000000"/>
        </w:rPr>
        <w:t xml:space="preserve">un </w:t>
      </w:r>
      <w:r w:rsidR="00A9061F" w:rsidRPr="00FB60C2">
        <w:rPr>
          <w:color w:val="000000"/>
        </w:rPr>
        <w:t xml:space="preserve">jeu de données, </w:t>
      </w:r>
      <w:r w:rsidRPr="00FB60C2">
        <w:rPr>
          <w:color w:val="000000"/>
        </w:rPr>
        <w:t xml:space="preserve">par exemple </w:t>
      </w:r>
      <w:r w:rsidR="00E93529" w:rsidRPr="00FB60C2">
        <w:rPr>
          <w:color w:val="000000"/>
        </w:rPr>
        <w:t>le</w:t>
      </w:r>
      <w:r w:rsidRPr="00FB60C2">
        <w:rPr>
          <w:color w:val="000000"/>
        </w:rPr>
        <w:t xml:space="preserve"> contenu et </w:t>
      </w:r>
      <w:r w:rsidR="00E93529" w:rsidRPr="00FB60C2">
        <w:rPr>
          <w:color w:val="000000"/>
        </w:rPr>
        <w:t xml:space="preserve">le </w:t>
      </w:r>
      <w:r w:rsidRPr="00FB60C2">
        <w:rPr>
          <w:color w:val="000000"/>
        </w:rPr>
        <w:t xml:space="preserve">lien avec l’étude originale. </w:t>
      </w:r>
      <w:r w:rsidR="000B62E7" w:rsidRPr="00FB60C2">
        <w:rPr>
          <w:color w:val="000000"/>
        </w:rPr>
        <w:t xml:space="preserve">Elles </w:t>
      </w:r>
      <w:r w:rsidRPr="00FB60C2">
        <w:rPr>
          <w:color w:val="000000"/>
        </w:rPr>
        <w:t>aide</w:t>
      </w:r>
      <w:r w:rsidR="000B62E7" w:rsidRPr="00FB60C2">
        <w:rPr>
          <w:color w:val="000000"/>
        </w:rPr>
        <w:t>nt</w:t>
      </w:r>
      <w:r w:rsidRPr="00FB60C2">
        <w:rPr>
          <w:color w:val="000000"/>
        </w:rPr>
        <w:t xml:space="preserve"> les</w:t>
      </w:r>
      <w:r w:rsidR="00A9061F" w:rsidRPr="00FB60C2">
        <w:rPr>
          <w:color w:val="000000"/>
        </w:rPr>
        <w:t xml:space="preserve"> chercheuse</w:t>
      </w:r>
      <w:r w:rsidRPr="00FB60C2">
        <w:rPr>
          <w:color w:val="000000"/>
        </w:rPr>
        <w:t>s</w:t>
      </w:r>
      <w:r w:rsidR="00A9061F" w:rsidRPr="00FB60C2">
        <w:rPr>
          <w:color w:val="000000"/>
        </w:rPr>
        <w:t xml:space="preserve"> et chercheur</w:t>
      </w:r>
      <w:r w:rsidRPr="00FB60C2">
        <w:rPr>
          <w:color w:val="000000"/>
        </w:rPr>
        <w:t>s à déterminer si les données sont pertinentes à leurs travaux. Sans métadonnées, il peut être difficile de trouver</w:t>
      </w:r>
      <w:r w:rsidR="00E93529" w:rsidRPr="00FB60C2">
        <w:rPr>
          <w:color w:val="000000"/>
        </w:rPr>
        <w:t xml:space="preserve"> et d’interpréter</w:t>
      </w:r>
      <w:r w:rsidRPr="00FB60C2">
        <w:rPr>
          <w:color w:val="000000"/>
        </w:rPr>
        <w:t xml:space="preserve"> les bonnes données.</w:t>
      </w:r>
    </w:p>
    <w:p w14:paraId="50AF7F5B" w14:textId="77777777" w:rsidR="00E300C0" w:rsidRPr="00FB60C2" w:rsidRDefault="00E300C0" w:rsidP="00B701C8">
      <w:pPr>
        <w:rPr>
          <w:color w:val="000000"/>
        </w:rPr>
      </w:pPr>
    </w:p>
    <w:p w14:paraId="4BC5901B" w14:textId="679B4190" w:rsidR="004D0B31" w:rsidRPr="00FB60C2" w:rsidRDefault="004D0B31" w:rsidP="00B701C8">
      <w:pPr>
        <w:rPr>
          <w:color w:val="000000"/>
        </w:rPr>
      </w:pPr>
      <w:r w:rsidRPr="00FB60C2">
        <w:rPr>
          <w:color w:val="000000"/>
        </w:rPr>
        <w:t>La p</w:t>
      </w:r>
      <w:r w:rsidR="00303029" w:rsidRPr="00FB60C2">
        <w:rPr>
          <w:color w:val="000000"/>
        </w:rPr>
        <w:t>rovenance</w:t>
      </w:r>
      <w:r w:rsidR="00A9061F" w:rsidRPr="00FB60C2">
        <w:rPr>
          <w:color w:val="000000"/>
        </w:rPr>
        <w:t xml:space="preserve"> </w:t>
      </w:r>
      <w:r w:rsidR="001F207E" w:rsidRPr="00FB60C2">
        <w:rPr>
          <w:color w:val="000000"/>
        </w:rPr>
        <w:t>recense</w:t>
      </w:r>
      <w:r w:rsidRPr="00FB60C2">
        <w:rPr>
          <w:color w:val="000000"/>
        </w:rPr>
        <w:t xml:space="preserve"> l’historique des données, y compris la manière dont elles ont été recueillies, traitées et préparées. Cette information est nécessaire pour évaluer si les méthodes employées sont compatibles avec une nouvelle étude et </w:t>
      </w:r>
      <w:r w:rsidR="00E93529" w:rsidRPr="00FB60C2">
        <w:rPr>
          <w:color w:val="000000"/>
        </w:rPr>
        <w:t>savoir</w:t>
      </w:r>
      <w:r w:rsidRPr="00FB60C2">
        <w:rPr>
          <w:color w:val="000000"/>
        </w:rPr>
        <w:t xml:space="preserve"> si </w:t>
      </w:r>
      <w:r w:rsidR="00E93529" w:rsidRPr="00FB60C2">
        <w:rPr>
          <w:color w:val="000000"/>
        </w:rPr>
        <w:t xml:space="preserve">des </w:t>
      </w:r>
      <w:r w:rsidR="001F207E" w:rsidRPr="00FB60C2">
        <w:rPr>
          <w:color w:val="000000"/>
        </w:rPr>
        <w:t xml:space="preserve">droits ou obligations sont associés aux </w:t>
      </w:r>
      <w:r w:rsidRPr="00FB60C2">
        <w:rPr>
          <w:color w:val="000000"/>
        </w:rPr>
        <w:t>données.</w:t>
      </w:r>
      <w:r w:rsidRPr="00FB60C2">
        <w:rPr>
          <w:color w:val="000000"/>
        </w:rPr>
        <w:br/>
      </w:r>
    </w:p>
    <w:p w14:paraId="3B56DAA7" w14:textId="1721646D" w:rsidR="00A9061F" w:rsidRPr="00FB60C2" w:rsidRDefault="004D0B31" w:rsidP="00B701C8">
      <w:pPr>
        <w:rPr>
          <w:color w:val="000000"/>
        </w:rPr>
      </w:pPr>
      <w:r w:rsidRPr="00FB60C2">
        <w:rPr>
          <w:color w:val="000000"/>
        </w:rPr>
        <w:t xml:space="preserve">Les politiques </w:t>
      </w:r>
      <w:r w:rsidR="000B62E7" w:rsidRPr="00FB60C2">
        <w:rPr>
          <w:color w:val="000000"/>
        </w:rPr>
        <w:t>contextuelles</w:t>
      </w:r>
      <w:r w:rsidRPr="00FB60C2">
        <w:rPr>
          <w:color w:val="000000"/>
        </w:rPr>
        <w:t xml:space="preserve"> </w:t>
      </w:r>
      <w:r w:rsidR="00B91112" w:rsidRPr="00FB60C2">
        <w:rPr>
          <w:color w:val="000000"/>
        </w:rPr>
        <w:t>défin</w:t>
      </w:r>
      <w:r w:rsidRPr="00FB60C2">
        <w:rPr>
          <w:color w:val="000000"/>
        </w:rPr>
        <w:t xml:space="preserve">issent les limites </w:t>
      </w:r>
      <w:r w:rsidR="00B91112" w:rsidRPr="00FB60C2">
        <w:rPr>
          <w:color w:val="000000"/>
        </w:rPr>
        <w:t>à</w:t>
      </w:r>
      <w:r w:rsidR="000B62E7" w:rsidRPr="00FB60C2">
        <w:rPr>
          <w:color w:val="000000"/>
        </w:rPr>
        <w:t xml:space="preserve"> l’utilisation d’un</w:t>
      </w:r>
      <w:r w:rsidRPr="00FB60C2">
        <w:rPr>
          <w:color w:val="000000"/>
        </w:rPr>
        <w:t xml:space="preserve"> </w:t>
      </w:r>
      <w:r w:rsidR="00A9061F" w:rsidRPr="00FB60C2">
        <w:rPr>
          <w:color w:val="000000"/>
        </w:rPr>
        <w:t xml:space="preserve">jeu de données </w:t>
      </w:r>
      <w:r w:rsidRPr="00FB60C2">
        <w:rPr>
          <w:color w:val="000000"/>
        </w:rPr>
        <w:t xml:space="preserve">et </w:t>
      </w:r>
      <w:r w:rsidR="00B91112" w:rsidRPr="00FB60C2">
        <w:rPr>
          <w:color w:val="000000"/>
        </w:rPr>
        <w:t>les personnes qui peuvent</w:t>
      </w:r>
      <w:r w:rsidRPr="00FB60C2">
        <w:rPr>
          <w:color w:val="000000"/>
        </w:rPr>
        <w:t xml:space="preserve"> le consulter. </w:t>
      </w:r>
      <w:r w:rsidR="00B91112" w:rsidRPr="00FB60C2">
        <w:rPr>
          <w:color w:val="000000"/>
        </w:rPr>
        <w:t>Elle</w:t>
      </w:r>
      <w:r w:rsidRPr="00FB60C2">
        <w:rPr>
          <w:color w:val="000000"/>
        </w:rPr>
        <w:t xml:space="preserve">s peuvent être appliquées efficacement lorsqu’elles sont </w:t>
      </w:r>
      <w:r w:rsidR="00B91112" w:rsidRPr="00FB60C2">
        <w:rPr>
          <w:color w:val="000000"/>
        </w:rPr>
        <w:t>analysées</w:t>
      </w:r>
      <w:r w:rsidRPr="00FB60C2">
        <w:rPr>
          <w:color w:val="000000"/>
        </w:rPr>
        <w:t xml:space="preserve"> et interprétées parallèlement aux renseignements sur la provenance des données. </w:t>
      </w:r>
    </w:p>
    <w:p w14:paraId="0E0F191B" w14:textId="77777777" w:rsidR="00A9061F" w:rsidRPr="00FB60C2" w:rsidRDefault="00A9061F" w:rsidP="00B701C8"/>
    <w:p w14:paraId="7442CB84" w14:textId="24E5F0EA" w:rsidR="00A9061F" w:rsidRPr="00FB60C2" w:rsidRDefault="004D0B31" w:rsidP="00B701C8">
      <w:r w:rsidRPr="00FB60C2">
        <w:rPr>
          <w:color w:val="000000"/>
        </w:rPr>
        <w:t xml:space="preserve">Bien que ce soient les </w:t>
      </w:r>
      <w:r w:rsidR="00A9061F" w:rsidRPr="00FB60C2">
        <w:rPr>
          <w:color w:val="000000"/>
        </w:rPr>
        <w:t>métadonnées,</w:t>
      </w:r>
      <w:r w:rsidRPr="00FB60C2">
        <w:rPr>
          <w:color w:val="000000"/>
        </w:rPr>
        <w:t xml:space="preserve"> la</w:t>
      </w:r>
      <w:r w:rsidR="00A9061F" w:rsidRPr="00FB60C2">
        <w:rPr>
          <w:color w:val="000000"/>
        </w:rPr>
        <w:t xml:space="preserve"> </w:t>
      </w:r>
      <w:r w:rsidR="00303029" w:rsidRPr="00FB60C2">
        <w:rPr>
          <w:color w:val="000000"/>
        </w:rPr>
        <w:t>provenance</w:t>
      </w:r>
      <w:r w:rsidRPr="00FB60C2">
        <w:rPr>
          <w:color w:val="000000"/>
        </w:rPr>
        <w:t xml:space="preserve"> et les politiques qui </w:t>
      </w:r>
      <w:r w:rsidR="001E2F86" w:rsidRPr="00FB60C2">
        <w:rPr>
          <w:color w:val="000000"/>
        </w:rPr>
        <w:t xml:space="preserve">régissent </w:t>
      </w:r>
      <w:r w:rsidRPr="00FB60C2">
        <w:rPr>
          <w:color w:val="000000"/>
        </w:rPr>
        <w:t xml:space="preserve">si un </w:t>
      </w:r>
      <w:r w:rsidR="00A9061F" w:rsidRPr="00FB60C2">
        <w:rPr>
          <w:color w:val="000000"/>
        </w:rPr>
        <w:t xml:space="preserve">jeu de données </w:t>
      </w:r>
      <w:r w:rsidR="001E2F86" w:rsidRPr="00FB60C2">
        <w:rPr>
          <w:color w:val="000000"/>
        </w:rPr>
        <w:t xml:space="preserve">peut </w:t>
      </w:r>
      <w:r w:rsidRPr="00FB60C2">
        <w:rPr>
          <w:color w:val="000000"/>
        </w:rPr>
        <w:t xml:space="preserve">être consulté, c’est par l’infrastructure technique que cette information est </w:t>
      </w:r>
      <w:r w:rsidR="00B91112" w:rsidRPr="00FB60C2">
        <w:rPr>
          <w:color w:val="000000"/>
        </w:rPr>
        <w:lastRenderedPageBreak/>
        <w:t>appliquée</w:t>
      </w:r>
      <w:r w:rsidRPr="00FB60C2">
        <w:rPr>
          <w:color w:val="000000"/>
        </w:rPr>
        <w:t xml:space="preserve"> et que l</w:t>
      </w:r>
      <w:r w:rsidR="0002750E" w:rsidRPr="00FB60C2">
        <w:rPr>
          <w:color w:val="000000"/>
        </w:rPr>
        <w:t>’accès est</w:t>
      </w:r>
      <w:r w:rsidRPr="00FB60C2">
        <w:rPr>
          <w:color w:val="000000"/>
        </w:rPr>
        <w:t xml:space="preserve"> contrôl</w:t>
      </w:r>
      <w:r w:rsidR="0002750E" w:rsidRPr="00FB60C2">
        <w:rPr>
          <w:color w:val="000000"/>
        </w:rPr>
        <w:t>é</w:t>
      </w:r>
      <w:r w:rsidRPr="00FB60C2">
        <w:rPr>
          <w:color w:val="000000"/>
        </w:rPr>
        <w:t xml:space="preserve">. </w:t>
      </w:r>
      <w:r w:rsidR="000B62E7" w:rsidRPr="00FB60C2">
        <w:rPr>
          <w:color w:val="000000"/>
        </w:rPr>
        <w:t xml:space="preserve">En effet, </w:t>
      </w:r>
      <w:r w:rsidR="004445E5" w:rsidRPr="00FB60C2">
        <w:rPr>
          <w:color w:val="000000"/>
        </w:rPr>
        <w:t xml:space="preserve">cette infrastructure </w:t>
      </w:r>
      <w:r w:rsidRPr="00FB60C2">
        <w:rPr>
          <w:color w:val="000000"/>
        </w:rPr>
        <w:t>sert à gérer et à intégrer les données, les métadonnées, la provenance et les renseignements relatifs aux politiques</w:t>
      </w:r>
      <w:r w:rsidR="0002750E" w:rsidRPr="00FB60C2">
        <w:rPr>
          <w:color w:val="000000"/>
        </w:rPr>
        <w:t xml:space="preserve">, et </w:t>
      </w:r>
      <w:r w:rsidR="004445E5" w:rsidRPr="00FB60C2">
        <w:rPr>
          <w:color w:val="000000"/>
        </w:rPr>
        <w:t>fournit</w:t>
      </w:r>
      <w:r w:rsidRPr="00FB60C2">
        <w:rPr>
          <w:color w:val="000000"/>
        </w:rPr>
        <w:t xml:space="preserve"> les mécanismes d</w:t>
      </w:r>
      <w:r w:rsidR="004445E5" w:rsidRPr="00FB60C2">
        <w:rPr>
          <w:color w:val="000000"/>
        </w:rPr>
        <w:t xml:space="preserve">’accès contrôlé </w:t>
      </w:r>
      <w:r w:rsidRPr="00FB60C2">
        <w:rPr>
          <w:color w:val="000000"/>
        </w:rPr>
        <w:t xml:space="preserve">aux jeux de données (ex. : autorisation d’accès à grain fin, systèmes de données, </w:t>
      </w:r>
      <w:r w:rsidR="00A9061F" w:rsidRPr="00FB60C2">
        <w:rPr>
          <w:color w:val="000000"/>
        </w:rPr>
        <w:t xml:space="preserve">API). </w:t>
      </w:r>
      <w:r w:rsidR="007605B8" w:rsidRPr="00FB60C2">
        <w:rPr>
          <w:color w:val="000000"/>
        </w:rPr>
        <w:t xml:space="preserve">Plus le volume et la complexité des </w:t>
      </w:r>
      <w:r w:rsidR="00303029" w:rsidRPr="00FB60C2">
        <w:rPr>
          <w:color w:val="000000"/>
        </w:rPr>
        <w:t>données de recherche</w:t>
      </w:r>
      <w:r w:rsidR="00A9061F" w:rsidRPr="00FB60C2">
        <w:rPr>
          <w:color w:val="000000"/>
        </w:rPr>
        <w:t xml:space="preserve"> </w:t>
      </w:r>
      <w:r w:rsidR="007605B8" w:rsidRPr="00FB60C2">
        <w:rPr>
          <w:color w:val="000000"/>
        </w:rPr>
        <w:t>évoluent</w:t>
      </w:r>
      <w:r w:rsidR="00A9061F" w:rsidRPr="00FB60C2">
        <w:rPr>
          <w:color w:val="000000"/>
        </w:rPr>
        <w:t xml:space="preserve">, </w:t>
      </w:r>
      <w:r w:rsidR="007605B8" w:rsidRPr="00FB60C2">
        <w:rPr>
          <w:color w:val="000000"/>
        </w:rPr>
        <w:t>plus il impor</w:t>
      </w:r>
      <w:r w:rsidR="004445E5" w:rsidRPr="00FB60C2">
        <w:rPr>
          <w:color w:val="000000"/>
        </w:rPr>
        <w:t xml:space="preserve">te </w:t>
      </w:r>
      <w:r w:rsidR="007605B8" w:rsidRPr="00FB60C2">
        <w:rPr>
          <w:color w:val="000000"/>
        </w:rPr>
        <w:t xml:space="preserve">que </w:t>
      </w:r>
      <w:r w:rsidR="004445E5" w:rsidRPr="00FB60C2">
        <w:rPr>
          <w:color w:val="000000"/>
        </w:rPr>
        <w:t>l’infrastructure</w:t>
      </w:r>
      <w:r w:rsidR="007605B8" w:rsidRPr="00FB60C2">
        <w:rPr>
          <w:color w:val="000000"/>
        </w:rPr>
        <w:t xml:space="preserve"> technique puisse assurer une gestion cohérente et efficace des restrictions d’accès aux jeux de données et </w:t>
      </w:r>
      <w:r w:rsidR="004445E5" w:rsidRPr="00FB60C2">
        <w:rPr>
          <w:color w:val="000000"/>
        </w:rPr>
        <w:t xml:space="preserve">à l’information </w:t>
      </w:r>
      <w:r w:rsidR="007605B8" w:rsidRPr="00FB60C2">
        <w:rPr>
          <w:color w:val="000000"/>
        </w:rPr>
        <w:t xml:space="preserve">en régissant l’utilisation. </w:t>
      </w:r>
      <w:r w:rsidR="004445E5" w:rsidRPr="00FB60C2">
        <w:rPr>
          <w:color w:val="000000"/>
        </w:rPr>
        <w:t>Dans le cas des</w:t>
      </w:r>
      <w:r w:rsidR="007605B8" w:rsidRPr="00FB60C2">
        <w:rPr>
          <w:color w:val="000000"/>
        </w:rPr>
        <w:t xml:space="preserve"> dépôts de données à accès contrôlé, </w:t>
      </w:r>
      <w:r w:rsidR="004445E5" w:rsidRPr="00FB60C2">
        <w:rPr>
          <w:color w:val="000000"/>
        </w:rPr>
        <w:t>l’évolution</w:t>
      </w:r>
      <w:r w:rsidR="0002750E" w:rsidRPr="00FB60C2">
        <w:rPr>
          <w:color w:val="000000"/>
        </w:rPr>
        <w:t xml:space="preserve"> </w:t>
      </w:r>
      <w:r w:rsidR="004445E5" w:rsidRPr="00FB60C2">
        <w:rPr>
          <w:color w:val="000000"/>
        </w:rPr>
        <w:t xml:space="preserve">de </w:t>
      </w:r>
      <w:r w:rsidR="007605B8" w:rsidRPr="00FB60C2">
        <w:rPr>
          <w:color w:val="000000"/>
        </w:rPr>
        <w:t xml:space="preserve">ces capacités </w:t>
      </w:r>
      <w:r w:rsidR="0002750E" w:rsidRPr="00FB60C2">
        <w:rPr>
          <w:color w:val="000000"/>
        </w:rPr>
        <w:t>est</w:t>
      </w:r>
      <w:r w:rsidR="007605B8" w:rsidRPr="00FB60C2">
        <w:rPr>
          <w:color w:val="000000"/>
        </w:rPr>
        <w:t xml:space="preserve"> une </w:t>
      </w:r>
      <w:r w:rsidR="004445E5" w:rsidRPr="00FB60C2">
        <w:rPr>
          <w:color w:val="000000"/>
        </w:rPr>
        <w:t>priorité</w:t>
      </w:r>
      <w:r w:rsidR="007605B8" w:rsidRPr="00FB60C2">
        <w:rPr>
          <w:color w:val="000000"/>
        </w:rPr>
        <w:t xml:space="preserve"> pour la communauté de recherche du Canada.</w:t>
      </w:r>
    </w:p>
    <w:p w14:paraId="5AB0F903" w14:textId="77777777" w:rsidR="00A9061F" w:rsidRPr="00FB60C2" w:rsidRDefault="00A9061F" w:rsidP="00B701C8"/>
    <w:p w14:paraId="524DD4BC" w14:textId="637D28F1" w:rsidR="00A9061F" w:rsidRPr="00FB60C2" w:rsidRDefault="00A9061F" w:rsidP="00B701C8">
      <w:pPr>
        <w:pStyle w:val="Heading2"/>
        <w:numPr>
          <w:ilvl w:val="0"/>
          <w:numId w:val="19"/>
        </w:numPr>
        <w:ind w:left="567" w:hanging="567"/>
      </w:pPr>
      <w:bookmarkStart w:id="68" w:name="_Toc207100038"/>
      <w:r w:rsidRPr="00FB60C2">
        <w:rPr>
          <w:color w:val="000000"/>
        </w:rPr>
        <w:t>Protect</w:t>
      </w:r>
      <w:r w:rsidR="007605B8" w:rsidRPr="00FB60C2">
        <w:rPr>
          <w:color w:val="000000"/>
        </w:rPr>
        <w:t xml:space="preserve">ion de la vie privée des </w:t>
      </w:r>
      <w:r w:rsidRPr="00FB60C2">
        <w:rPr>
          <w:color w:val="000000"/>
        </w:rPr>
        <w:t>participante</w:t>
      </w:r>
      <w:r w:rsidR="007605B8" w:rsidRPr="00FB60C2">
        <w:rPr>
          <w:color w:val="000000"/>
        </w:rPr>
        <w:t>s et</w:t>
      </w:r>
      <w:r w:rsidRPr="00FB60C2">
        <w:rPr>
          <w:color w:val="000000"/>
        </w:rPr>
        <w:t xml:space="preserve"> participant</w:t>
      </w:r>
      <w:r w:rsidR="007605B8" w:rsidRPr="00FB60C2">
        <w:rPr>
          <w:color w:val="000000"/>
        </w:rPr>
        <w:t>s aux</w:t>
      </w:r>
      <w:r w:rsidR="0002750E" w:rsidRPr="00FB60C2">
        <w:rPr>
          <w:color w:val="000000"/>
        </w:rPr>
        <w:t xml:space="preserve"> </w:t>
      </w:r>
      <w:r w:rsidR="007605B8" w:rsidRPr="00FB60C2">
        <w:rPr>
          <w:color w:val="000000"/>
        </w:rPr>
        <w:t>recherche</w:t>
      </w:r>
      <w:r w:rsidR="00E822EE" w:rsidRPr="00FB60C2">
        <w:rPr>
          <w:color w:val="000000"/>
        </w:rPr>
        <w:t>s</w:t>
      </w:r>
      <w:bookmarkEnd w:id="68"/>
    </w:p>
    <w:p w14:paraId="52AA594C" w14:textId="6407D887" w:rsidR="00A9061F" w:rsidRPr="00FB60C2" w:rsidRDefault="00A9061F" w:rsidP="00B701C8">
      <w:pPr>
        <w:pStyle w:val="Heading3"/>
      </w:pPr>
      <w:bookmarkStart w:id="69" w:name="_Toc207100039"/>
      <w:r w:rsidRPr="00FB60C2">
        <w:t>Recommandation 1</w:t>
      </w:r>
      <w:r w:rsidR="00303029" w:rsidRPr="00FB60C2">
        <w:t>6</w:t>
      </w:r>
      <w:bookmarkEnd w:id="69"/>
    </w:p>
    <w:p w14:paraId="0FD30FCF" w14:textId="5CB230BB" w:rsidR="007605B8" w:rsidRPr="00FB60C2" w:rsidRDefault="007605B8" w:rsidP="00B701C8">
      <w:pPr>
        <w:shd w:val="clear" w:color="auto" w:fill="FFFFFF"/>
        <w:spacing w:before="220" w:after="220"/>
        <w:rPr>
          <w:color w:val="000000"/>
        </w:rPr>
      </w:pPr>
      <w:r w:rsidRPr="00FB60C2">
        <w:rPr>
          <w:color w:val="000000"/>
        </w:rPr>
        <w:t xml:space="preserve">Il y a lieu de </w:t>
      </w:r>
      <w:r w:rsidR="0002750E" w:rsidRPr="00FB60C2">
        <w:rPr>
          <w:color w:val="000000"/>
        </w:rPr>
        <w:t xml:space="preserve">financer et de soutenir </w:t>
      </w:r>
      <w:r w:rsidR="004445E5" w:rsidRPr="00FB60C2">
        <w:rPr>
          <w:color w:val="000000"/>
        </w:rPr>
        <w:t xml:space="preserve">toutes les </w:t>
      </w:r>
      <w:r w:rsidRPr="00FB60C2">
        <w:rPr>
          <w:color w:val="000000"/>
        </w:rPr>
        <w:t>activité</w:t>
      </w:r>
      <w:r w:rsidR="004445E5" w:rsidRPr="00FB60C2">
        <w:rPr>
          <w:color w:val="000000"/>
        </w:rPr>
        <w:t>s</w:t>
      </w:r>
      <w:r w:rsidRPr="00FB60C2">
        <w:rPr>
          <w:color w:val="000000"/>
        </w:rPr>
        <w:t xml:space="preserve"> </w:t>
      </w:r>
      <w:r w:rsidR="004445E5" w:rsidRPr="00FB60C2">
        <w:rPr>
          <w:color w:val="000000"/>
        </w:rPr>
        <w:t xml:space="preserve">et les </w:t>
      </w:r>
      <w:r w:rsidRPr="00FB60C2">
        <w:rPr>
          <w:color w:val="000000"/>
        </w:rPr>
        <w:t>partie</w:t>
      </w:r>
      <w:r w:rsidR="004445E5" w:rsidRPr="00FB60C2">
        <w:rPr>
          <w:color w:val="000000"/>
        </w:rPr>
        <w:t>s</w:t>
      </w:r>
      <w:r w:rsidRPr="00FB60C2">
        <w:rPr>
          <w:color w:val="000000"/>
        </w:rPr>
        <w:t xml:space="preserve"> prenante</w:t>
      </w:r>
      <w:r w:rsidR="004445E5" w:rsidRPr="00FB60C2">
        <w:rPr>
          <w:color w:val="000000"/>
        </w:rPr>
        <w:t>s</w:t>
      </w:r>
      <w:r w:rsidRPr="00FB60C2">
        <w:rPr>
          <w:color w:val="000000"/>
        </w:rPr>
        <w:t xml:space="preserve"> associée</w:t>
      </w:r>
      <w:r w:rsidR="004445E5" w:rsidRPr="00FB60C2">
        <w:rPr>
          <w:color w:val="000000"/>
        </w:rPr>
        <w:t>s</w:t>
      </w:r>
      <w:r w:rsidRPr="00FB60C2">
        <w:rPr>
          <w:color w:val="000000"/>
        </w:rPr>
        <w:t xml:space="preserve"> à </w:t>
      </w:r>
      <w:r w:rsidR="004445E5" w:rsidRPr="00FB60C2">
        <w:rPr>
          <w:color w:val="000000"/>
        </w:rPr>
        <w:t xml:space="preserve">la </w:t>
      </w:r>
      <w:r w:rsidRPr="00FB60C2">
        <w:rPr>
          <w:color w:val="000000"/>
        </w:rPr>
        <w:t xml:space="preserve">collecte et </w:t>
      </w:r>
      <w:r w:rsidR="009017CA" w:rsidRPr="00FB60C2">
        <w:rPr>
          <w:color w:val="000000"/>
        </w:rPr>
        <w:t xml:space="preserve">à </w:t>
      </w:r>
      <w:r w:rsidR="004445E5" w:rsidRPr="00FB60C2">
        <w:rPr>
          <w:color w:val="000000"/>
        </w:rPr>
        <w:t xml:space="preserve">la </w:t>
      </w:r>
      <w:r w:rsidRPr="00FB60C2">
        <w:rPr>
          <w:color w:val="000000"/>
        </w:rPr>
        <w:t>gestion a</w:t>
      </w:r>
      <w:r w:rsidR="004445E5" w:rsidRPr="00FB60C2">
        <w:rPr>
          <w:color w:val="000000"/>
        </w:rPr>
        <w:t>déquat</w:t>
      </w:r>
      <w:r w:rsidRPr="00FB60C2">
        <w:rPr>
          <w:color w:val="000000"/>
        </w:rPr>
        <w:t>es d</w:t>
      </w:r>
      <w:r w:rsidR="004445E5" w:rsidRPr="00FB60C2">
        <w:rPr>
          <w:color w:val="000000"/>
        </w:rPr>
        <w:t xml:space="preserve">es </w:t>
      </w:r>
      <w:r w:rsidRPr="00FB60C2">
        <w:rPr>
          <w:color w:val="000000"/>
        </w:rPr>
        <w:t>identifiants directs et indirects.</w:t>
      </w:r>
    </w:p>
    <w:p w14:paraId="1F498D9F" w14:textId="77777777" w:rsidR="00A9061F" w:rsidRPr="00FB60C2" w:rsidRDefault="00A9061F" w:rsidP="00B701C8">
      <w:pPr>
        <w:pStyle w:val="Subtitle"/>
      </w:pPr>
      <w:r w:rsidRPr="00FB60C2">
        <w:t>Contexte</w:t>
      </w:r>
    </w:p>
    <w:p w14:paraId="63CAE001" w14:textId="53115662" w:rsidR="00A9061F" w:rsidRPr="00FB60C2" w:rsidRDefault="007605B8" w:rsidP="00B701C8">
      <w:pPr>
        <w:shd w:val="clear" w:color="auto" w:fill="FFFFFF"/>
        <w:spacing w:before="220" w:after="220"/>
        <w:rPr>
          <w:color w:val="000000"/>
        </w:rPr>
      </w:pPr>
      <w:r w:rsidRPr="00FB60C2">
        <w:rPr>
          <w:color w:val="000000"/>
        </w:rPr>
        <w:t xml:space="preserve">La collecte et la gestion </w:t>
      </w:r>
      <w:r w:rsidR="004445E5" w:rsidRPr="00FB60C2">
        <w:rPr>
          <w:color w:val="000000"/>
        </w:rPr>
        <w:t xml:space="preserve">des identifiants </w:t>
      </w:r>
      <w:r w:rsidRPr="00FB60C2">
        <w:rPr>
          <w:color w:val="000000"/>
        </w:rPr>
        <w:t>directs et indirects</w:t>
      </w:r>
      <w:r w:rsidR="000A309D" w:rsidRPr="00FB60C2">
        <w:rPr>
          <w:color w:val="000000"/>
        </w:rPr>
        <w:t xml:space="preserve">, </w:t>
      </w:r>
      <w:r w:rsidR="00463771" w:rsidRPr="00FB60C2">
        <w:rPr>
          <w:color w:val="000000"/>
        </w:rPr>
        <w:t>ainsi que la</w:t>
      </w:r>
      <w:r w:rsidR="0002750E" w:rsidRPr="00FB60C2">
        <w:rPr>
          <w:color w:val="000000"/>
        </w:rPr>
        <w:t xml:space="preserve"> </w:t>
      </w:r>
      <w:r w:rsidR="000A309D" w:rsidRPr="00FB60C2">
        <w:rPr>
          <w:color w:val="000000"/>
        </w:rPr>
        <w:t xml:space="preserve">dépersonnalisation et </w:t>
      </w:r>
      <w:r w:rsidR="00463771" w:rsidRPr="00FB60C2">
        <w:rPr>
          <w:color w:val="000000"/>
        </w:rPr>
        <w:t>l</w:t>
      </w:r>
      <w:r w:rsidR="000A309D" w:rsidRPr="00FB60C2">
        <w:rPr>
          <w:color w:val="000000"/>
        </w:rPr>
        <w:t>’anonymisation de</w:t>
      </w:r>
      <w:r w:rsidR="003A0205" w:rsidRPr="00FB60C2">
        <w:rPr>
          <w:color w:val="000000"/>
        </w:rPr>
        <w:t>s</w:t>
      </w:r>
      <w:r w:rsidR="000A309D" w:rsidRPr="00FB60C2">
        <w:rPr>
          <w:color w:val="000000"/>
        </w:rPr>
        <w:t xml:space="preserve"> données, sont important</w:t>
      </w:r>
      <w:r w:rsidR="004445E5" w:rsidRPr="00FB60C2">
        <w:rPr>
          <w:color w:val="000000"/>
        </w:rPr>
        <w:t>es pour les</w:t>
      </w:r>
      <w:r w:rsidR="003A0205" w:rsidRPr="00FB60C2">
        <w:rPr>
          <w:color w:val="000000"/>
        </w:rPr>
        <w:t xml:space="preserve"> </w:t>
      </w:r>
      <w:r w:rsidR="000A309D" w:rsidRPr="00FB60C2">
        <w:rPr>
          <w:color w:val="000000"/>
        </w:rPr>
        <w:t xml:space="preserve">données de recherche </w:t>
      </w:r>
      <w:r w:rsidR="004445E5" w:rsidRPr="00FB60C2">
        <w:rPr>
          <w:color w:val="000000"/>
        </w:rPr>
        <w:t xml:space="preserve">à accès contrôlé </w:t>
      </w:r>
      <w:r w:rsidR="000A309D" w:rsidRPr="00FB60C2">
        <w:rPr>
          <w:color w:val="000000"/>
        </w:rPr>
        <w:t xml:space="preserve">concernant des </w:t>
      </w:r>
      <w:r w:rsidR="00A9061F" w:rsidRPr="00FB60C2">
        <w:rPr>
          <w:color w:val="000000"/>
        </w:rPr>
        <w:t>participante</w:t>
      </w:r>
      <w:r w:rsidR="000A309D" w:rsidRPr="00FB60C2">
        <w:rPr>
          <w:color w:val="000000"/>
        </w:rPr>
        <w:t>s</w:t>
      </w:r>
      <w:r w:rsidR="00A9061F" w:rsidRPr="00FB60C2">
        <w:rPr>
          <w:color w:val="000000"/>
        </w:rPr>
        <w:t xml:space="preserve"> humaine</w:t>
      </w:r>
      <w:r w:rsidR="000A309D" w:rsidRPr="00FB60C2">
        <w:rPr>
          <w:color w:val="000000"/>
        </w:rPr>
        <w:t>s et des</w:t>
      </w:r>
      <w:r w:rsidR="00A9061F" w:rsidRPr="00FB60C2">
        <w:rPr>
          <w:color w:val="000000"/>
        </w:rPr>
        <w:t xml:space="preserve"> participant</w:t>
      </w:r>
      <w:r w:rsidR="000A309D" w:rsidRPr="00FB60C2">
        <w:rPr>
          <w:color w:val="000000"/>
        </w:rPr>
        <w:t>s</w:t>
      </w:r>
      <w:r w:rsidR="00A9061F" w:rsidRPr="00FB60C2">
        <w:rPr>
          <w:color w:val="000000"/>
        </w:rPr>
        <w:t xml:space="preserve"> humain</w:t>
      </w:r>
      <w:r w:rsidR="000A309D" w:rsidRPr="00FB60C2">
        <w:rPr>
          <w:color w:val="000000"/>
        </w:rPr>
        <w:t>s</w:t>
      </w:r>
      <w:r w:rsidR="00A9061F" w:rsidRPr="00FB60C2">
        <w:rPr>
          <w:color w:val="000000"/>
        </w:rPr>
        <w:t xml:space="preserve">. </w:t>
      </w:r>
      <w:r w:rsidR="000A309D" w:rsidRPr="00FB60C2">
        <w:rPr>
          <w:color w:val="000000"/>
        </w:rPr>
        <w:t>La d</w:t>
      </w:r>
      <w:r w:rsidR="00303029" w:rsidRPr="00FB60C2">
        <w:rPr>
          <w:color w:val="000000"/>
        </w:rPr>
        <w:t>épersonnalisation</w:t>
      </w:r>
      <w:r w:rsidR="00A9061F" w:rsidRPr="00FB60C2">
        <w:rPr>
          <w:color w:val="000000"/>
        </w:rPr>
        <w:t xml:space="preserve"> </w:t>
      </w:r>
      <w:r w:rsidR="000A309D" w:rsidRPr="00FB60C2">
        <w:rPr>
          <w:color w:val="000000"/>
        </w:rPr>
        <w:t>et l’</w:t>
      </w:r>
      <w:r w:rsidR="00303029" w:rsidRPr="00FB60C2">
        <w:rPr>
          <w:color w:val="000000"/>
        </w:rPr>
        <w:t>anonymisation</w:t>
      </w:r>
      <w:r w:rsidR="00A9061F" w:rsidRPr="00FB60C2">
        <w:rPr>
          <w:color w:val="000000"/>
        </w:rPr>
        <w:t xml:space="preserve">, </w:t>
      </w:r>
      <w:r w:rsidR="000A309D" w:rsidRPr="00FB60C2">
        <w:rPr>
          <w:color w:val="000000"/>
        </w:rPr>
        <w:t>par exe</w:t>
      </w:r>
      <w:r w:rsidR="00A9061F" w:rsidRPr="00FB60C2">
        <w:rPr>
          <w:color w:val="000000"/>
        </w:rPr>
        <w:t xml:space="preserve">mple, </w:t>
      </w:r>
      <w:r w:rsidR="000A309D" w:rsidRPr="00FB60C2">
        <w:rPr>
          <w:color w:val="000000"/>
        </w:rPr>
        <w:t xml:space="preserve">sont </w:t>
      </w:r>
      <w:r w:rsidR="004445E5" w:rsidRPr="00FB60C2">
        <w:rPr>
          <w:color w:val="000000"/>
        </w:rPr>
        <w:t xml:space="preserve">des processus </w:t>
      </w:r>
      <w:r w:rsidR="000A309D" w:rsidRPr="00FB60C2">
        <w:rPr>
          <w:color w:val="000000"/>
        </w:rPr>
        <w:t xml:space="preserve">indiqués </w:t>
      </w:r>
      <w:r w:rsidR="003A0205" w:rsidRPr="00FB60C2">
        <w:rPr>
          <w:color w:val="000000"/>
        </w:rPr>
        <w:t>pour</w:t>
      </w:r>
      <w:r w:rsidR="00463771" w:rsidRPr="00FB60C2">
        <w:rPr>
          <w:color w:val="000000"/>
        </w:rPr>
        <w:t xml:space="preserve"> </w:t>
      </w:r>
      <w:r w:rsidR="004445E5" w:rsidRPr="00FB60C2">
        <w:rPr>
          <w:color w:val="000000"/>
        </w:rPr>
        <w:t>déposer</w:t>
      </w:r>
      <w:r w:rsidR="003A0205" w:rsidRPr="00FB60C2">
        <w:rPr>
          <w:color w:val="000000"/>
        </w:rPr>
        <w:t xml:space="preserve"> </w:t>
      </w:r>
      <w:r w:rsidR="00463771" w:rsidRPr="00FB60C2">
        <w:rPr>
          <w:color w:val="000000"/>
        </w:rPr>
        <w:t>et stock</w:t>
      </w:r>
      <w:r w:rsidR="004445E5" w:rsidRPr="00FB60C2">
        <w:rPr>
          <w:color w:val="000000"/>
        </w:rPr>
        <w:t>er</w:t>
      </w:r>
      <w:r w:rsidR="00463771" w:rsidRPr="00FB60C2">
        <w:rPr>
          <w:color w:val="000000"/>
        </w:rPr>
        <w:t xml:space="preserve"> </w:t>
      </w:r>
      <w:r w:rsidR="000A309D" w:rsidRPr="00FB60C2">
        <w:rPr>
          <w:color w:val="000000"/>
        </w:rPr>
        <w:t>à long terme de</w:t>
      </w:r>
      <w:r w:rsidR="004445E5" w:rsidRPr="00FB60C2">
        <w:rPr>
          <w:color w:val="000000"/>
        </w:rPr>
        <w:t>s</w:t>
      </w:r>
      <w:r w:rsidR="000A309D" w:rsidRPr="00FB60C2">
        <w:rPr>
          <w:color w:val="000000"/>
        </w:rPr>
        <w:t xml:space="preserve"> jeux de données de recherche associés à des personnes </w:t>
      </w:r>
      <w:r w:rsidR="00025C4F" w:rsidRPr="00FB60C2">
        <w:rPr>
          <w:color w:val="000000"/>
        </w:rPr>
        <w:t>identifiables</w:t>
      </w:r>
      <w:r w:rsidR="000A309D" w:rsidRPr="00FB60C2">
        <w:rPr>
          <w:color w:val="000000"/>
        </w:rPr>
        <w:t>. Il est essentiel que les</w:t>
      </w:r>
      <w:r w:rsidR="00A9061F" w:rsidRPr="00FB60C2">
        <w:rPr>
          <w:color w:val="000000"/>
        </w:rPr>
        <w:t xml:space="preserve"> établissement</w:t>
      </w:r>
      <w:r w:rsidR="000A309D" w:rsidRPr="00FB60C2">
        <w:rPr>
          <w:color w:val="000000"/>
        </w:rPr>
        <w:t>s</w:t>
      </w:r>
      <w:r w:rsidR="00A9061F" w:rsidRPr="00FB60C2">
        <w:rPr>
          <w:color w:val="000000"/>
        </w:rPr>
        <w:t xml:space="preserve">, </w:t>
      </w:r>
      <w:r w:rsidR="000A309D" w:rsidRPr="00FB60C2">
        <w:rPr>
          <w:color w:val="000000"/>
        </w:rPr>
        <w:t xml:space="preserve">les </w:t>
      </w:r>
      <w:r w:rsidR="00A9061F" w:rsidRPr="00FB60C2">
        <w:rPr>
          <w:color w:val="000000"/>
        </w:rPr>
        <w:t>chercheuse</w:t>
      </w:r>
      <w:r w:rsidR="000A309D" w:rsidRPr="00FB60C2">
        <w:rPr>
          <w:color w:val="000000"/>
        </w:rPr>
        <w:t>s</w:t>
      </w:r>
      <w:r w:rsidR="00A9061F" w:rsidRPr="00FB60C2">
        <w:rPr>
          <w:color w:val="000000"/>
        </w:rPr>
        <w:t xml:space="preserve"> et chercheur</w:t>
      </w:r>
      <w:r w:rsidR="000A309D" w:rsidRPr="00FB60C2">
        <w:rPr>
          <w:color w:val="000000"/>
        </w:rPr>
        <w:t xml:space="preserve">s et les </w:t>
      </w:r>
      <w:r w:rsidR="0056741B" w:rsidRPr="00FB60C2">
        <w:rPr>
          <w:color w:val="000000"/>
        </w:rPr>
        <w:t>dépôts</w:t>
      </w:r>
      <w:r w:rsidR="00A9061F" w:rsidRPr="00FB60C2">
        <w:rPr>
          <w:color w:val="000000"/>
        </w:rPr>
        <w:t xml:space="preserve"> </w:t>
      </w:r>
      <w:r w:rsidR="000A309D" w:rsidRPr="00FB60C2">
        <w:rPr>
          <w:color w:val="000000"/>
        </w:rPr>
        <w:t xml:space="preserve">aient </w:t>
      </w:r>
      <w:r w:rsidR="004445E5" w:rsidRPr="00FB60C2">
        <w:rPr>
          <w:color w:val="000000"/>
        </w:rPr>
        <w:t xml:space="preserve">les bonnes </w:t>
      </w:r>
      <w:r w:rsidR="000A309D" w:rsidRPr="00FB60C2">
        <w:rPr>
          <w:color w:val="000000"/>
        </w:rPr>
        <w:t xml:space="preserve">ressources et un soutien adéquat à ce chapitre. </w:t>
      </w:r>
    </w:p>
    <w:p w14:paraId="79007EFF" w14:textId="38F3D2B5" w:rsidR="00A9061F" w:rsidRPr="00FB60C2" w:rsidRDefault="00FD3161" w:rsidP="00B701C8">
      <w:pPr>
        <w:shd w:val="clear" w:color="auto" w:fill="FFFFFF"/>
        <w:spacing w:before="220" w:after="220"/>
      </w:pPr>
      <w:r w:rsidRPr="00FB60C2">
        <w:rPr>
          <w:color w:val="000000"/>
        </w:rPr>
        <w:t xml:space="preserve">Le </w:t>
      </w:r>
      <w:r w:rsidR="007F7060" w:rsidRPr="00FB60C2">
        <w:rPr>
          <w:color w:val="000000"/>
        </w:rPr>
        <w:t xml:space="preserve">financement et </w:t>
      </w:r>
      <w:r w:rsidRPr="00FB60C2">
        <w:rPr>
          <w:color w:val="000000"/>
        </w:rPr>
        <w:t xml:space="preserve">le </w:t>
      </w:r>
      <w:r w:rsidR="007F7060" w:rsidRPr="00FB60C2">
        <w:rPr>
          <w:color w:val="000000"/>
        </w:rPr>
        <w:t>soutien pourraient prendre les formes suivantes :</w:t>
      </w:r>
      <w:r w:rsidR="00463771" w:rsidRPr="00FB60C2">
        <w:rPr>
          <w:color w:val="000000"/>
        </w:rPr>
        <w:t xml:space="preserve"> </w:t>
      </w:r>
    </w:p>
    <w:p w14:paraId="2314E769" w14:textId="4DE27DDB" w:rsidR="00A9061F" w:rsidRPr="00FB60C2" w:rsidRDefault="007F7060" w:rsidP="00B701C8">
      <w:pPr>
        <w:numPr>
          <w:ilvl w:val="0"/>
          <w:numId w:val="9"/>
        </w:numPr>
        <w:shd w:val="clear" w:color="auto" w:fill="FFFFFF"/>
        <w:spacing w:before="220"/>
      </w:pPr>
      <w:r w:rsidRPr="00FB60C2">
        <w:rPr>
          <w:color w:val="000000"/>
        </w:rPr>
        <w:t xml:space="preserve">Outils, ressources et services de </w:t>
      </w:r>
      <w:r w:rsidR="00303029" w:rsidRPr="00FB60C2">
        <w:rPr>
          <w:color w:val="000000"/>
        </w:rPr>
        <w:t>dépersonnalisation</w:t>
      </w:r>
      <w:r w:rsidR="00A9061F" w:rsidRPr="00FB60C2">
        <w:rPr>
          <w:color w:val="000000"/>
        </w:rPr>
        <w:t xml:space="preserve"> </w:t>
      </w:r>
      <w:r w:rsidRPr="00FB60C2">
        <w:rPr>
          <w:color w:val="000000"/>
        </w:rPr>
        <w:t>et d’</w:t>
      </w:r>
      <w:r w:rsidR="00303029" w:rsidRPr="00FB60C2">
        <w:rPr>
          <w:color w:val="000000"/>
        </w:rPr>
        <w:t>anonymisation</w:t>
      </w:r>
      <w:r w:rsidR="00FD3161" w:rsidRPr="00FB60C2">
        <w:rPr>
          <w:color w:val="000000"/>
        </w:rPr>
        <w:t>;</w:t>
      </w:r>
    </w:p>
    <w:p w14:paraId="73FE7AD6" w14:textId="05032B2E" w:rsidR="00A9061F" w:rsidRPr="00FB60C2" w:rsidRDefault="007F7060" w:rsidP="00B701C8">
      <w:pPr>
        <w:numPr>
          <w:ilvl w:val="0"/>
          <w:numId w:val="9"/>
        </w:numPr>
        <w:shd w:val="clear" w:color="auto" w:fill="FFFFFF"/>
      </w:pPr>
      <w:r w:rsidRPr="00FB60C2">
        <w:rPr>
          <w:color w:val="000000"/>
        </w:rPr>
        <w:t xml:space="preserve">Élaboration ou </w:t>
      </w:r>
      <w:r w:rsidR="00FD3161" w:rsidRPr="00FB60C2">
        <w:rPr>
          <w:color w:val="000000"/>
        </w:rPr>
        <w:t xml:space="preserve">conservation </w:t>
      </w:r>
      <w:r w:rsidRPr="00FB60C2">
        <w:rPr>
          <w:color w:val="000000"/>
        </w:rPr>
        <w:t xml:space="preserve">de lignes directrices claires, de formations ou de matériel didactique sur la </w:t>
      </w:r>
      <w:r w:rsidR="00303029" w:rsidRPr="00FB60C2">
        <w:rPr>
          <w:color w:val="000000"/>
        </w:rPr>
        <w:t>dépersonnalisation</w:t>
      </w:r>
      <w:r w:rsidR="00A9061F" w:rsidRPr="00FB60C2">
        <w:rPr>
          <w:color w:val="000000"/>
        </w:rPr>
        <w:t xml:space="preserve"> </w:t>
      </w:r>
      <w:r w:rsidRPr="00FB60C2">
        <w:rPr>
          <w:color w:val="000000"/>
        </w:rPr>
        <w:t>et l’</w:t>
      </w:r>
      <w:r w:rsidR="00303029" w:rsidRPr="00FB60C2">
        <w:rPr>
          <w:color w:val="000000"/>
        </w:rPr>
        <w:t>anonymisation</w:t>
      </w:r>
      <w:r w:rsidR="00FD3161" w:rsidRPr="00FB60C2">
        <w:rPr>
          <w:color w:val="000000"/>
        </w:rPr>
        <w:t>;</w:t>
      </w:r>
    </w:p>
    <w:p w14:paraId="04BB5FD4" w14:textId="45BB8BBC" w:rsidR="00A9061F" w:rsidRPr="00FB60C2" w:rsidRDefault="007F7060" w:rsidP="00B701C8">
      <w:pPr>
        <w:numPr>
          <w:ilvl w:val="0"/>
          <w:numId w:val="9"/>
        </w:numPr>
        <w:shd w:val="clear" w:color="auto" w:fill="FFFFFF"/>
        <w:spacing w:after="220"/>
      </w:pPr>
      <w:r w:rsidRPr="00FB60C2">
        <w:rPr>
          <w:color w:val="000000"/>
        </w:rPr>
        <w:t xml:space="preserve">Autres outils pertinents </w:t>
      </w:r>
      <w:r w:rsidR="00782A9E" w:rsidRPr="00FB60C2">
        <w:rPr>
          <w:color w:val="000000"/>
        </w:rPr>
        <w:t>définis</w:t>
      </w:r>
      <w:r w:rsidRPr="00FB60C2">
        <w:rPr>
          <w:color w:val="000000"/>
        </w:rPr>
        <w:t xml:space="preserve"> par les </w:t>
      </w:r>
      <w:r w:rsidR="00A9061F" w:rsidRPr="00FB60C2">
        <w:rPr>
          <w:color w:val="000000"/>
        </w:rPr>
        <w:t>chercheuse</w:t>
      </w:r>
      <w:r w:rsidRPr="00FB60C2">
        <w:rPr>
          <w:color w:val="000000"/>
        </w:rPr>
        <w:t>s</w:t>
      </w:r>
      <w:r w:rsidR="00A9061F" w:rsidRPr="00FB60C2">
        <w:rPr>
          <w:color w:val="000000"/>
        </w:rPr>
        <w:t xml:space="preserve"> et chercheur</w:t>
      </w:r>
      <w:r w:rsidRPr="00FB60C2">
        <w:rPr>
          <w:color w:val="000000"/>
        </w:rPr>
        <w:t>s</w:t>
      </w:r>
      <w:r w:rsidR="00A9061F" w:rsidRPr="00FB60C2">
        <w:rPr>
          <w:color w:val="000000"/>
        </w:rPr>
        <w:t xml:space="preserve">, </w:t>
      </w:r>
      <w:r w:rsidRPr="00FB60C2">
        <w:rPr>
          <w:color w:val="000000"/>
        </w:rPr>
        <w:t xml:space="preserve">les </w:t>
      </w:r>
      <w:r w:rsidR="00A9061F" w:rsidRPr="00FB60C2">
        <w:rPr>
          <w:color w:val="000000"/>
        </w:rPr>
        <w:t>établissement</w:t>
      </w:r>
      <w:r w:rsidRPr="00FB60C2">
        <w:rPr>
          <w:color w:val="000000"/>
        </w:rPr>
        <w:t xml:space="preserve">s et les </w:t>
      </w:r>
      <w:r w:rsidR="00463771" w:rsidRPr="00FB60C2">
        <w:rPr>
          <w:color w:val="000000"/>
        </w:rPr>
        <w:t xml:space="preserve">fournisseurs </w:t>
      </w:r>
      <w:r w:rsidRPr="00FB60C2">
        <w:rPr>
          <w:color w:val="000000"/>
        </w:rPr>
        <w:t xml:space="preserve">de dépôts de </w:t>
      </w:r>
      <w:r w:rsidR="00303029" w:rsidRPr="00FB60C2">
        <w:rPr>
          <w:color w:val="000000"/>
        </w:rPr>
        <w:t>données de recherche</w:t>
      </w:r>
      <w:r w:rsidR="00FD3161" w:rsidRPr="00FB60C2">
        <w:rPr>
          <w:color w:val="000000"/>
        </w:rPr>
        <w:t>.</w:t>
      </w:r>
    </w:p>
    <w:p w14:paraId="002CEFE6" w14:textId="6219AC65" w:rsidR="00A9061F" w:rsidRPr="00FB60C2" w:rsidRDefault="00782A9E" w:rsidP="00B701C8">
      <w:pPr>
        <w:shd w:val="clear" w:color="auto" w:fill="FFFFFF"/>
        <w:spacing w:before="220" w:after="220"/>
        <w:rPr>
          <w:color w:val="000000"/>
        </w:rPr>
      </w:pPr>
      <w:r w:rsidRPr="00FB60C2">
        <w:rPr>
          <w:color w:val="000000"/>
        </w:rPr>
        <w:t xml:space="preserve">L’élaboration de ressources à l’échelle nationale est une autre possibilité </w:t>
      </w:r>
      <w:r w:rsidR="00463771" w:rsidRPr="00FB60C2">
        <w:rPr>
          <w:color w:val="000000"/>
        </w:rPr>
        <w:t xml:space="preserve">pour </w:t>
      </w:r>
      <w:r w:rsidR="00FD3161" w:rsidRPr="00FB60C2">
        <w:rPr>
          <w:color w:val="000000"/>
        </w:rPr>
        <w:t>utiliser</w:t>
      </w:r>
      <w:r w:rsidRPr="00FB60C2">
        <w:rPr>
          <w:color w:val="000000"/>
        </w:rPr>
        <w:t xml:space="preserve"> efficace</w:t>
      </w:r>
      <w:r w:rsidR="00FD3161" w:rsidRPr="00FB60C2">
        <w:rPr>
          <w:color w:val="000000"/>
        </w:rPr>
        <w:t>ment l</w:t>
      </w:r>
      <w:r w:rsidRPr="00FB60C2">
        <w:rPr>
          <w:color w:val="000000"/>
        </w:rPr>
        <w:t>es fonds et harmonis</w:t>
      </w:r>
      <w:r w:rsidR="00FD3161" w:rsidRPr="00FB60C2">
        <w:rPr>
          <w:color w:val="000000"/>
        </w:rPr>
        <w:t>er</w:t>
      </w:r>
      <w:r w:rsidRPr="00FB60C2">
        <w:rPr>
          <w:color w:val="000000"/>
        </w:rPr>
        <w:t xml:space="preserve"> </w:t>
      </w:r>
      <w:r w:rsidR="00FD3161" w:rsidRPr="00FB60C2">
        <w:rPr>
          <w:color w:val="000000"/>
        </w:rPr>
        <w:t xml:space="preserve">les </w:t>
      </w:r>
      <w:r w:rsidRPr="00FB60C2">
        <w:rPr>
          <w:color w:val="000000"/>
        </w:rPr>
        <w:t xml:space="preserve">outils au pays. </w:t>
      </w:r>
    </w:p>
    <w:p w14:paraId="2EC0E294" w14:textId="77777777" w:rsidR="00A9061F" w:rsidRPr="00FB60C2" w:rsidRDefault="00A9061F" w:rsidP="00B701C8"/>
    <w:p w14:paraId="38C1098E" w14:textId="3F951B66" w:rsidR="00A9061F" w:rsidRPr="00FB60C2" w:rsidRDefault="00A9061F" w:rsidP="00731D5F">
      <w:pPr>
        <w:pStyle w:val="Heading1"/>
        <w:numPr>
          <w:ilvl w:val="0"/>
          <w:numId w:val="7"/>
        </w:numPr>
      </w:pPr>
      <w:bookmarkStart w:id="70" w:name="_Toc207100040"/>
      <w:r w:rsidRPr="00FB60C2">
        <w:rPr>
          <w:color w:val="000000"/>
        </w:rPr>
        <w:t xml:space="preserve">Conclusion </w:t>
      </w:r>
      <w:r w:rsidR="00782A9E" w:rsidRPr="00FB60C2">
        <w:rPr>
          <w:color w:val="000000"/>
        </w:rPr>
        <w:t xml:space="preserve">et </w:t>
      </w:r>
      <w:r w:rsidR="00FD46C5" w:rsidRPr="00FB60C2">
        <w:rPr>
          <w:color w:val="000000"/>
        </w:rPr>
        <w:t>prochaines étapes</w:t>
      </w:r>
      <w:bookmarkEnd w:id="70"/>
    </w:p>
    <w:p w14:paraId="6098527E" w14:textId="77777777" w:rsidR="00A9061F" w:rsidRPr="00FB60C2" w:rsidRDefault="00A9061F" w:rsidP="00731D5F">
      <w:pPr>
        <w:keepNext/>
      </w:pPr>
    </w:p>
    <w:p w14:paraId="7F4375AE" w14:textId="4D97D4B0" w:rsidR="00782A9E" w:rsidRPr="00FB60C2" w:rsidRDefault="00463771" w:rsidP="00731D5F">
      <w:pPr>
        <w:keepNext/>
      </w:pPr>
      <w:r w:rsidRPr="00FB60C2">
        <w:rPr>
          <w:color w:val="000000"/>
        </w:rPr>
        <w:t>L</w:t>
      </w:r>
      <w:r w:rsidR="00782A9E" w:rsidRPr="00FB60C2">
        <w:rPr>
          <w:color w:val="000000"/>
        </w:rPr>
        <w:t xml:space="preserve">es recommandations </w:t>
      </w:r>
      <w:r w:rsidRPr="00FB60C2">
        <w:rPr>
          <w:color w:val="000000"/>
        </w:rPr>
        <w:t xml:space="preserve">les plus importantes </w:t>
      </w:r>
      <w:r w:rsidR="00782A9E" w:rsidRPr="00FB60C2">
        <w:rPr>
          <w:color w:val="000000"/>
        </w:rPr>
        <w:t xml:space="preserve">exigent des investissements, </w:t>
      </w:r>
      <w:r w:rsidRPr="00FB60C2">
        <w:rPr>
          <w:color w:val="000000"/>
        </w:rPr>
        <w:t xml:space="preserve">et </w:t>
      </w:r>
      <w:r w:rsidR="00782A9E" w:rsidRPr="00FB60C2">
        <w:rPr>
          <w:color w:val="000000"/>
        </w:rPr>
        <w:t xml:space="preserve">le Canada a besoin d’une stratégie claire </w:t>
      </w:r>
      <w:r w:rsidRPr="00FB60C2">
        <w:rPr>
          <w:color w:val="000000"/>
        </w:rPr>
        <w:t>de</w:t>
      </w:r>
      <w:r w:rsidR="00782A9E" w:rsidRPr="00FB60C2">
        <w:rPr>
          <w:color w:val="000000"/>
        </w:rPr>
        <w:t xml:space="preserve"> gestion de l’accès contrôlé aux données de recherche </w:t>
      </w:r>
      <w:r w:rsidR="00731D5F" w:rsidRPr="00FB60C2">
        <w:rPr>
          <w:color w:val="000000"/>
        </w:rPr>
        <w:lastRenderedPageBreak/>
        <w:t xml:space="preserve">(GAC) </w:t>
      </w:r>
      <w:r w:rsidR="00782A9E" w:rsidRPr="00FB60C2">
        <w:rPr>
          <w:color w:val="000000"/>
        </w:rPr>
        <w:t>pour assurer l’efficacité de</w:t>
      </w:r>
      <w:r w:rsidR="00025C4F" w:rsidRPr="00FB60C2">
        <w:rPr>
          <w:color w:val="000000"/>
        </w:rPr>
        <w:t xml:space="preserve"> ce</w:t>
      </w:r>
      <w:r w:rsidR="00782A9E" w:rsidRPr="00FB60C2">
        <w:rPr>
          <w:color w:val="000000"/>
        </w:rPr>
        <w:t>s investissements – et, plus généralement, du travail réalisé dans ce domaine. L</w:t>
      </w:r>
      <w:r w:rsidR="00E822EE" w:rsidRPr="00FB60C2">
        <w:rPr>
          <w:color w:val="000000"/>
        </w:rPr>
        <w:t>a</w:t>
      </w:r>
      <w:r w:rsidR="00782A9E" w:rsidRPr="00FB60C2">
        <w:rPr>
          <w:color w:val="000000"/>
        </w:rPr>
        <w:t xml:space="preserve"> collaboration </w:t>
      </w:r>
      <w:r w:rsidR="00FD3161" w:rsidRPr="00FB60C2">
        <w:rPr>
          <w:color w:val="000000"/>
        </w:rPr>
        <w:t>demeure</w:t>
      </w:r>
      <w:r w:rsidR="00782A9E" w:rsidRPr="00FB60C2">
        <w:rPr>
          <w:color w:val="000000"/>
        </w:rPr>
        <w:t xml:space="preserve"> au cœur d’une telle stratégie, en particulier </w:t>
      </w:r>
      <w:r w:rsidRPr="00FB60C2">
        <w:rPr>
          <w:color w:val="000000"/>
        </w:rPr>
        <w:t xml:space="preserve">si </w:t>
      </w:r>
      <w:r w:rsidR="00782A9E" w:rsidRPr="00FB60C2">
        <w:rPr>
          <w:color w:val="000000"/>
        </w:rPr>
        <w:t>nous cherchons à in</w:t>
      </w:r>
      <w:r w:rsidRPr="00FB60C2">
        <w:rPr>
          <w:color w:val="000000"/>
        </w:rPr>
        <w:t xml:space="preserve">tégrer </w:t>
      </w:r>
      <w:r w:rsidR="00782A9E" w:rsidRPr="00FB60C2">
        <w:rPr>
          <w:color w:val="000000"/>
        </w:rPr>
        <w:t xml:space="preserve">des innovations pertinentes </w:t>
      </w:r>
      <w:r w:rsidRPr="00FB60C2">
        <w:rPr>
          <w:color w:val="000000"/>
        </w:rPr>
        <w:t>qui p</w:t>
      </w:r>
      <w:r w:rsidR="00025C4F" w:rsidRPr="00FB60C2">
        <w:rPr>
          <w:color w:val="000000"/>
        </w:rPr>
        <w:t>rofit</w:t>
      </w:r>
      <w:r w:rsidRPr="00FB60C2">
        <w:rPr>
          <w:color w:val="000000"/>
        </w:rPr>
        <w:t>eront</w:t>
      </w:r>
      <w:r w:rsidR="00782A9E" w:rsidRPr="00FB60C2">
        <w:rPr>
          <w:color w:val="000000"/>
        </w:rPr>
        <w:t xml:space="preserve"> aux chercheuses et chercheurs, aux établissements de recherche, aux fournisseurs de services de recherche et à la population </w:t>
      </w:r>
      <w:r w:rsidR="00D02804" w:rsidRPr="00FB60C2">
        <w:rPr>
          <w:color w:val="000000"/>
        </w:rPr>
        <w:t>du Canada</w:t>
      </w:r>
      <w:r w:rsidR="00782A9E" w:rsidRPr="00FB60C2">
        <w:rPr>
          <w:color w:val="000000"/>
        </w:rPr>
        <w:t>.</w:t>
      </w:r>
    </w:p>
    <w:p w14:paraId="6A2B372E" w14:textId="5A068E1E" w:rsidR="00782A9E" w:rsidRPr="00FB60C2" w:rsidRDefault="00782A9E" w:rsidP="00B701C8">
      <w:pPr>
        <w:rPr>
          <w:color w:val="000000"/>
        </w:rPr>
      </w:pPr>
    </w:p>
    <w:p w14:paraId="6E724EE1" w14:textId="338993F4" w:rsidR="00321108" w:rsidRPr="00FB60C2" w:rsidRDefault="00321108" w:rsidP="00321108">
      <w:pPr>
        <w:rPr>
          <w:color w:val="000000"/>
        </w:rPr>
      </w:pPr>
      <w:r w:rsidRPr="00FB60C2">
        <w:rPr>
          <w:color w:val="000000"/>
        </w:rPr>
        <w:t>Pour les prochaines phases de l’Initiative de gestion de l’accès contrôlé, il est prévu que la collaboration se poursuive. Actuellement, les organisations partenaires sont des universités, des hôpitaux de recherche, des dépôts de données de recherche et des organismes canadiens dont le mandat et les intérêts s’inscrivent dans les recherches universitaires financées par l’État. Aux prochaines étapes, nous comptons inviter de nouveaux établissements et organismes de recherche du Canada à se joindre aux 29 partenaires actuels pour enrichir ce groupe de collaboration et approfondir le travail mené jusqu’ici. Nous comptons aussi financer de nouveaux projets associés à l’Initiative et continuer à soutenir le projet de données sensibles du DFDR, à l’origine d’un service national de dépôt de données sensibles et de données de recherche à accès restreint. Un rapport détaillant le processus et les observations tirées du projet de données sensibles du DFDR sera publié séparément.</w:t>
      </w:r>
    </w:p>
    <w:p w14:paraId="695D74B7" w14:textId="77777777" w:rsidR="00824597" w:rsidRPr="00FB60C2" w:rsidRDefault="00824597" w:rsidP="00B701C8">
      <w:pPr>
        <w:rPr>
          <w:color w:val="000000"/>
        </w:rPr>
      </w:pPr>
    </w:p>
    <w:p w14:paraId="1412D0AF" w14:textId="4336573B" w:rsidR="00214E00" w:rsidRPr="00FB60C2" w:rsidRDefault="00824597" w:rsidP="00B701C8">
      <w:pPr>
        <w:rPr>
          <w:color w:val="000000"/>
        </w:rPr>
      </w:pPr>
      <w:r w:rsidRPr="00FB60C2">
        <w:t xml:space="preserve">Voici des domaines </w:t>
      </w:r>
      <w:r w:rsidR="00463771" w:rsidRPr="00FB60C2">
        <w:t>qui pourraient être explorés dans l’avenir</w:t>
      </w:r>
      <w:r w:rsidRPr="00FB60C2">
        <w:t xml:space="preserve"> : </w:t>
      </w:r>
      <w:r w:rsidR="00214E00" w:rsidRPr="00FB60C2">
        <w:t xml:space="preserve">établissement de relations authentiques avec des partenaires autochtones </w:t>
      </w:r>
      <w:r w:rsidR="00AF5097" w:rsidRPr="00FB60C2">
        <w:t>en vue</w:t>
      </w:r>
      <w:r w:rsidR="00463771" w:rsidRPr="00FB60C2">
        <w:rPr>
          <w:color w:val="000000"/>
        </w:rPr>
        <w:t xml:space="preserve"> de </w:t>
      </w:r>
      <w:r w:rsidR="00214E00" w:rsidRPr="00FB60C2">
        <w:rPr>
          <w:color w:val="000000"/>
        </w:rPr>
        <w:t xml:space="preserve">travaux </w:t>
      </w:r>
      <w:r w:rsidR="00461147" w:rsidRPr="00FB60C2">
        <w:rPr>
          <w:color w:val="000000"/>
        </w:rPr>
        <w:t>menés par des membres de ces groupes</w:t>
      </w:r>
      <w:r w:rsidR="00461147" w:rsidRPr="00106A3F">
        <w:rPr>
          <w:color w:val="000000"/>
        </w:rPr>
        <w:t xml:space="preserve"> </w:t>
      </w:r>
      <w:r w:rsidR="00AF5097" w:rsidRPr="00FB60C2">
        <w:rPr>
          <w:color w:val="000000"/>
        </w:rPr>
        <w:t>pour</w:t>
      </w:r>
      <w:r w:rsidR="00AF5097" w:rsidRPr="00106A3F">
        <w:rPr>
          <w:color w:val="000000"/>
        </w:rPr>
        <w:t xml:space="preserve"> </w:t>
      </w:r>
      <w:r w:rsidR="00B83F5F" w:rsidRPr="00106A3F">
        <w:rPr>
          <w:color w:val="000000"/>
        </w:rPr>
        <w:t>promouv</w:t>
      </w:r>
      <w:r w:rsidR="00AF5097" w:rsidRPr="00FB60C2">
        <w:rPr>
          <w:color w:val="000000"/>
        </w:rPr>
        <w:t>oir</w:t>
      </w:r>
      <w:r w:rsidR="00B83F5F" w:rsidRPr="00106A3F">
        <w:rPr>
          <w:color w:val="000000"/>
        </w:rPr>
        <w:t xml:space="preserve"> la souveraineté des données autochtones</w:t>
      </w:r>
      <w:r w:rsidR="00461147" w:rsidRPr="00106A3F">
        <w:rPr>
          <w:color w:val="000000"/>
        </w:rPr>
        <w:t>;</w:t>
      </w:r>
      <w:r w:rsidR="00B83F5F" w:rsidRPr="00106A3F">
        <w:rPr>
          <w:color w:val="000000"/>
        </w:rPr>
        <w:t xml:space="preserve"> </w:t>
      </w:r>
      <w:r w:rsidR="00214E00" w:rsidRPr="00106A3F">
        <w:rPr>
          <w:color w:val="000000"/>
        </w:rPr>
        <w:t xml:space="preserve">examen des besoins </w:t>
      </w:r>
      <w:r w:rsidR="00B83F5F" w:rsidRPr="00106A3F">
        <w:rPr>
          <w:color w:val="000000"/>
        </w:rPr>
        <w:t>des</w:t>
      </w:r>
      <w:r w:rsidR="00214E00" w:rsidRPr="00106A3F">
        <w:rPr>
          <w:color w:val="000000"/>
        </w:rPr>
        <w:t xml:space="preserve"> hôpitaux de recherche du Canada en matière de </w:t>
      </w:r>
      <w:r w:rsidR="00AF5097" w:rsidRPr="00FB60C2">
        <w:rPr>
          <w:color w:val="000000"/>
        </w:rPr>
        <w:t>dépôt</w:t>
      </w:r>
      <w:r w:rsidR="00214E00" w:rsidRPr="00106A3F">
        <w:rPr>
          <w:color w:val="000000"/>
        </w:rPr>
        <w:t xml:space="preserve">, de </w:t>
      </w:r>
      <w:r w:rsidR="00214E00" w:rsidRPr="00FB60C2">
        <w:rPr>
          <w:color w:val="000000"/>
        </w:rPr>
        <w:t xml:space="preserve">partage </w:t>
      </w:r>
      <w:r w:rsidR="00214E00" w:rsidRPr="00106A3F">
        <w:rPr>
          <w:color w:val="000000"/>
        </w:rPr>
        <w:t xml:space="preserve">et de réutilisation de données à accès contrôlé; publication de contenu sur les programmes, </w:t>
      </w:r>
      <w:r w:rsidR="00A9061F" w:rsidRPr="00106A3F">
        <w:rPr>
          <w:color w:val="000000"/>
        </w:rPr>
        <w:t>initiatives, services, technologies</w:t>
      </w:r>
      <w:r w:rsidR="00214E00" w:rsidRPr="00106A3F">
        <w:rPr>
          <w:color w:val="000000"/>
        </w:rPr>
        <w:t xml:space="preserve"> et autres activités existant au Canada </w:t>
      </w:r>
      <w:r w:rsidR="00B83F5F" w:rsidRPr="00106A3F">
        <w:rPr>
          <w:color w:val="000000"/>
        </w:rPr>
        <w:t>pour promouvoir, appuyer et permettre</w:t>
      </w:r>
      <w:r w:rsidR="00214E00" w:rsidRPr="00106A3F">
        <w:rPr>
          <w:color w:val="000000"/>
        </w:rPr>
        <w:t xml:space="preserve"> la </w:t>
      </w:r>
      <w:r w:rsidR="00731D5F" w:rsidRPr="00106A3F">
        <w:rPr>
          <w:color w:val="000000"/>
        </w:rPr>
        <w:t xml:space="preserve">GAC </w:t>
      </w:r>
      <w:r w:rsidR="00017FAA" w:rsidRPr="00FB60C2">
        <w:rPr>
          <w:color w:val="000000"/>
        </w:rPr>
        <w:t>des</w:t>
      </w:r>
      <w:r w:rsidR="00017FAA" w:rsidRPr="00106A3F">
        <w:rPr>
          <w:color w:val="000000"/>
        </w:rPr>
        <w:t xml:space="preserve"> </w:t>
      </w:r>
      <w:r w:rsidR="00303029" w:rsidRPr="00106A3F">
        <w:rPr>
          <w:color w:val="000000"/>
        </w:rPr>
        <w:t>données de recherche</w:t>
      </w:r>
      <w:r w:rsidR="00A9061F" w:rsidRPr="00106A3F">
        <w:rPr>
          <w:color w:val="000000"/>
        </w:rPr>
        <w:t xml:space="preserve">; </w:t>
      </w:r>
      <w:r w:rsidR="00214E00" w:rsidRPr="00106A3F">
        <w:rPr>
          <w:color w:val="000000"/>
        </w:rPr>
        <w:t>recherche d’occasions de collaboration et d’approche</w:t>
      </w:r>
      <w:r w:rsidR="00017FAA" w:rsidRPr="00FB60C2">
        <w:rPr>
          <w:color w:val="000000"/>
        </w:rPr>
        <w:t xml:space="preserve">s stratégiques en lien avec de potentiels </w:t>
      </w:r>
      <w:r w:rsidR="00214E00" w:rsidRPr="00106A3F">
        <w:rPr>
          <w:color w:val="000000"/>
        </w:rPr>
        <w:t xml:space="preserve">partenaires; </w:t>
      </w:r>
      <w:r w:rsidR="00017FAA" w:rsidRPr="00FB60C2">
        <w:rPr>
          <w:color w:val="000000"/>
        </w:rPr>
        <w:t>poursuite du travail sur le</w:t>
      </w:r>
      <w:r w:rsidR="00461147" w:rsidRPr="00106A3F">
        <w:rPr>
          <w:color w:val="000000"/>
        </w:rPr>
        <w:t xml:space="preserve">s recommandations </w:t>
      </w:r>
      <w:r w:rsidR="00017FAA" w:rsidRPr="00FB60C2">
        <w:rPr>
          <w:color w:val="000000"/>
        </w:rPr>
        <w:t>énoncées dans le</w:t>
      </w:r>
      <w:r w:rsidR="00B83F5F" w:rsidRPr="00106A3F">
        <w:rPr>
          <w:color w:val="000000"/>
        </w:rPr>
        <w:t xml:space="preserve"> présent document</w:t>
      </w:r>
      <w:r w:rsidR="00214E00" w:rsidRPr="00106A3F">
        <w:rPr>
          <w:color w:val="000000"/>
        </w:rPr>
        <w:t xml:space="preserve"> pour</w:t>
      </w:r>
      <w:r w:rsidR="00461147" w:rsidRPr="00106A3F">
        <w:rPr>
          <w:color w:val="000000"/>
        </w:rPr>
        <w:t xml:space="preserve"> </w:t>
      </w:r>
      <w:r w:rsidR="00017FAA" w:rsidRPr="00FB60C2">
        <w:rPr>
          <w:color w:val="000000"/>
        </w:rPr>
        <w:t>mieux expliquer</w:t>
      </w:r>
      <w:r w:rsidR="00461147" w:rsidRPr="00106A3F">
        <w:rPr>
          <w:color w:val="000000"/>
        </w:rPr>
        <w:t xml:space="preserve"> </w:t>
      </w:r>
      <w:r w:rsidR="00017FAA" w:rsidRPr="00FB60C2">
        <w:rPr>
          <w:color w:val="000000"/>
        </w:rPr>
        <w:t>comment</w:t>
      </w:r>
      <w:r w:rsidR="001C5B71" w:rsidRPr="00106A3F">
        <w:rPr>
          <w:color w:val="000000"/>
        </w:rPr>
        <w:t xml:space="preserve"> les appliquer </w:t>
      </w:r>
      <w:r w:rsidR="00776966" w:rsidRPr="00FB60C2">
        <w:rPr>
          <w:color w:val="000000"/>
        </w:rPr>
        <w:t>efficacement</w:t>
      </w:r>
      <w:r w:rsidR="00214E00" w:rsidRPr="00106A3F">
        <w:rPr>
          <w:color w:val="000000"/>
        </w:rPr>
        <w:t xml:space="preserve">; et </w:t>
      </w:r>
      <w:r w:rsidR="00214E00" w:rsidRPr="00FB60C2">
        <w:rPr>
          <w:color w:val="000000"/>
        </w:rPr>
        <w:t xml:space="preserve">réflexion sur </w:t>
      </w:r>
      <w:r w:rsidR="00776966" w:rsidRPr="00FB60C2">
        <w:rPr>
          <w:color w:val="000000"/>
        </w:rPr>
        <w:t>les autr</w:t>
      </w:r>
      <w:r w:rsidR="00214E00" w:rsidRPr="00FB60C2">
        <w:rPr>
          <w:color w:val="000000"/>
        </w:rPr>
        <w:t xml:space="preserve">es recommandations </w:t>
      </w:r>
      <w:r w:rsidR="00776966" w:rsidRPr="00FB60C2">
        <w:rPr>
          <w:color w:val="000000"/>
        </w:rPr>
        <w:t>à formuler</w:t>
      </w:r>
      <w:r w:rsidR="00214E00" w:rsidRPr="00FB60C2">
        <w:rPr>
          <w:color w:val="000000"/>
        </w:rPr>
        <w:t>.</w:t>
      </w:r>
    </w:p>
    <w:p w14:paraId="1CFEEFCF" w14:textId="77777777" w:rsidR="00A9061F" w:rsidRPr="00FB60C2" w:rsidRDefault="00A9061F" w:rsidP="00B701C8"/>
    <w:p w14:paraId="61146F6C" w14:textId="47A913DA" w:rsidR="00EA3E1F" w:rsidRPr="00FB60C2" w:rsidRDefault="00B83F5F" w:rsidP="00B701C8">
      <w:pPr>
        <w:rPr>
          <w:color w:val="000000"/>
        </w:rPr>
      </w:pPr>
      <w:r w:rsidRPr="00FB60C2">
        <w:rPr>
          <w:color w:val="000000"/>
        </w:rPr>
        <w:t>P</w:t>
      </w:r>
      <w:r w:rsidR="00EA3E1F" w:rsidRPr="00FB60C2">
        <w:rPr>
          <w:color w:val="000000"/>
        </w:rPr>
        <w:t>our les prochaines phases de l’Initiative</w:t>
      </w:r>
      <w:r w:rsidRPr="00FB60C2">
        <w:rPr>
          <w:color w:val="000000"/>
        </w:rPr>
        <w:t>, il sera important</w:t>
      </w:r>
      <w:r w:rsidR="00EA3E1F" w:rsidRPr="00FB60C2">
        <w:rPr>
          <w:color w:val="000000"/>
        </w:rPr>
        <w:t xml:space="preserve"> de trouver des sources d’investissement</w:t>
      </w:r>
      <w:r w:rsidR="00B76CDF" w:rsidRPr="00FB60C2">
        <w:rPr>
          <w:color w:val="000000"/>
        </w:rPr>
        <w:t xml:space="preserve"> qui pourraient favoriser</w:t>
      </w:r>
      <w:r w:rsidR="00EA3E1F" w:rsidRPr="00FB60C2">
        <w:rPr>
          <w:color w:val="000000"/>
        </w:rPr>
        <w:t xml:space="preserve"> l’application des recommandations (investissements fédéraux dans l’IRN, petites subventions des trois organismes pour la GDR [Initiative visant le renforcement de la capacité de GDR des Subventions Connexion du CRSH], autres </w:t>
      </w:r>
      <w:r w:rsidRPr="00FB60C2">
        <w:rPr>
          <w:color w:val="000000"/>
        </w:rPr>
        <w:t xml:space="preserve">sources </w:t>
      </w:r>
      <w:r w:rsidR="00EA3E1F" w:rsidRPr="00FB60C2">
        <w:rPr>
          <w:color w:val="000000"/>
        </w:rPr>
        <w:t>pertinent</w:t>
      </w:r>
      <w:r w:rsidRPr="00FB60C2">
        <w:rPr>
          <w:color w:val="000000"/>
        </w:rPr>
        <w:t>e</w:t>
      </w:r>
      <w:r w:rsidR="00EA3E1F" w:rsidRPr="00FB60C2">
        <w:rPr>
          <w:color w:val="000000"/>
        </w:rPr>
        <w:t xml:space="preserve">s [financement existant d’établissements de recherche], etc.). </w:t>
      </w:r>
      <w:r w:rsidR="00E822EE" w:rsidRPr="00FB60C2">
        <w:rPr>
          <w:color w:val="000000"/>
        </w:rPr>
        <w:t xml:space="preserve">Pour </w:t>
      </w:r>
      <w:r w:rsidRPr="00FB60C2">
        <w:rPr>
          <w:color w:val="000000"/>
        </w:rPr>
        <w:t>trouver</w:t>
      </w:r>
      <w:r w:rsidR="00EA3E1F" w:rsidRPr="00FB60C2">
        <w:rPr>
          <w:color w:val="000000"/>
        </w:rPr>
        <w:t xml:space="preserve"> différentes sources de financement</w:t>
      </w:r>
      <w:r w:rsidR="00E822EE" w:rsidRPr="00FB60C2">
        <w:rPr>
          <w:color w:val="000000"/>
        </w:rPr>
        <w:t xml:space="preserve"> et déterminer </w:t>
      </w:r>
      <w:r w:rsidR="00EA3E1F" w:rsidRPr="00FB60C2">
        <w:rPr>
          <w:color w:val="000000"/>
        </w:rPr>
        <w:t>la m</w:t>
      </w:r>
      <w:r w:rsidR="00133709" w:rsidRPr="00FB60C2">
        <w:rPr>
          <w:color w:val="000000"/>
        </w:rPr>
        <w:t xml:space="preserve">eilleure stratégie pour </w:t>
      </w:r>
      <w:r w:rsidR="00EA3E1F" w:rsidRPr="00FB60C2">
        <w:rPr>
          <w:color w:val="000000"/>
        </w:rPr>
        <w:t xml:space="preserve">approcher </w:t>
      </w:r>
      <w:r w:rsidR="00776966" w:rsidRPr="00FB60C2">
        <w:rPr>
          <w:color w:val="000000"/>
        </w:rPr>
        <w:t xml:space="preserve">les </w:t>
      </w:r>
      <w:r w:rsidR="00EA3E1F" w:rsidRPr="00FB60C2">
        <w:rPr>
          <w:color w:val="000000"/>
        </w:rPr>
        <w:t>bailleurs de fonds et</w:t>
      </w:r>
      <w:r w:rsidR="00E822EE" w:rsidRPr="00FB60C2">
        <w:rPr>
          <w:color w:val="000000"/>
        </w:rPr>
        <w:t xml:space="preserve"> </w:t>
      </w:r>
      <w:r w:rsidR="00133709" w:rsidRPr="00FB60C2">
        <w:rPr>
          <w:color w:val="000000"/>
        </w:rPr>
        <w:t>obtenir leur appui</w:t>
      </w:r>
      <w:r w:rsidR="00E822EE" w:rsidRPr="00FB60C2">
        <w:rPr>
          <w:color w:val="000000"/>
        </w:rPr>
        <w:t>, il faudra</w:t>
      </w:r>
      <w:r w:rsidR="00EA3E1F" w:rsidRPr="00FB60C2">
        <w:rPr>
          <w:color w:val="000000"/>
        </w:rPr>
        <w:t xml:space="preserve"> collabor</w:t>
      </w:r>
      <w:r w:rsidR="00776966" w:rsidRPr="00FB60C2">
        <w:rPr>
          <w:color w:val="000000"/>
        </w:rPr>
        <w:t>er</w:t>
      </w:r>
      <w:r w:rsidR="00EA3E1F" w:rsidRPr="00FB60C2">
        <w:rPr>
          <w:color w:val="000000"/>
        </w:rPr>
        <w:t xml:space="preserve"> </w:t>
      </w:r>
      <w:r w:rsidR="00776966" w:rsidRPr="00FB60C2">
        <w:rPr>
          <w:color w:val="000000"/>
        </w:rPr>
        <w:t xml:space="preserve">avec </w:t>
      </w:r>
      <w:r w:rsidR="00EA3E1F" w:rsidRPr="00FB60C2">
        <w:rPr>
          <w:color w:val="000000"/>
        </w:rPr>
        <w:t xml:space="preserve">l’Alliance, </w:t>
      </w:r>
      <w:r w:rsidR="00776966" w:rsidRPr="00FB60C2">
        <w:rPr>
          <w:color w:val="000000"/>
        </w:rPr>
        <w:t xml:space="preserve">les </w:t>
      </w:r>
      <w:r w:rsidR="00EA3E1F" w:rsidRPr="00FB60C2">
        <w:rPr>
          <w:color w:val="000000"/>
        </w:rPr>
        <w:t xml:space="preserve">organisations partenaires, </w:t>
      </w:r>
      <w:r w:rsidR="00776966" w:rsidRPr="00FB60C2">
        <w:rPr>
          <w:color w:val="000000"/>
        </w:rPr>
        <w:t xml:space="preserve">les </w:t>
      </w:r>
      <w:r w:rsidR="00EA3E1F" w:rsidRPr="00FB60C2">
        <w:rPr>
          <w:color w:val="000000"/>
        </w:rPr>
        <w:t xml:space="preserve">groupes de travail sur la gestion de l’accès contrôlé et </w:t>
      </w:r>
      <w:r w:rsidR="00776966" w:rsidRPr="00FB60C2">
        <w:rPr>
          <w:color w:val="000000"/>
        </w:rPr>
        <w:t xml:space="preserve">les autres </w:t>
      </w:r>
      <w:r w:rsidR="00EA3E1F" w:rsidRPr="00FB60C2">
        <w:rPr>
          <w:color w:val="000000"/>
        </w:rPr>
        <w:t>parties prenantes.</w:t>
      </w:r>
    </w:p>
    <w:p w14:paraId="45C19A9A" w14:textId="77777777" w:rsidR="00EA3E1F" w:rsidRPr="00FB60C2" w:rsidRDefault="00EA3E1F" w:rsidP="00B701C8">
      <w:pPr>
        <w:rPr>
          <w:color w:val="000000"/>
        </w:rPr>
      </w:pPr>
    </w:p>
    <w:p w14:paraId="10659984" w14:textId="61B0AC58" w:rsidR="00A9061F" w:rsidRPr="00FB60C2" w:rsidRDefault="00EA3E1F" w:rsidP="00B701C8">
      <w:r w:rsidRPr="00FB60C2">
        <w:t>Dans les prochaines années, à mesure que s</w:t>
      </w:r>
      <w:r w:rsidR="00133709" w:rsidRPr="00FB60C2">
        <w:t>’intensifie</w:t>
      </w:r>
      <w:r w:rsidR="00776966" w:rsidRPr="00FB60C2">
        <w:t>ro</w:t>
      </w:r>
      <w:r w:rsidR="00133709" w:rsidRPr="00FB60C2">
        <w:t>nt</w:t>
      </w:r>
      <w:r w:rsidRPr="00FB60C2">
        <w:t xml:space="preserve"> les exigences </w:t>
      </w:r>
      <w:r w:rsidR="00776966" w:rsidRPr="00FB60C2">
        <w:t>de</w:t>
      </w:r>
      <w:r w:rsidRPr="00FB60C2">
        <w:rPr>
          <w:color w:val="000000"/>
        </w:rPr>
        <w:t xml:space="preserve"> diffusion des données</w:t>
      </w:r>
      <w:r w:rsidRPr="00FB60C2">
        <w:t xml:space="preserve">, il sera essentiel de soutenir </w:t>
      </w:r>
      <w:r w:rsidR="00776966" w:rsidRPr="00FB60C2">
        <w:t xml:space="preserve">les </w:t>
      </w:r>
      <w:r w:rsidR="00776966" w:rsidRPr="00FB60C2">
        <w:rPr>
          <w:color w:val="000000"/>
        </w:rPr>
        <w:t>chercheuses et chercheurs du Canada</w:t>
      </w:r>
      <w:r w:rsidRPr="00FB60C2">
        <w:t xml:space="preserve">, les </w:t>
      </w:r>
      <w:r w:rsidRPr="00FB60C2">
        <w:rPr>
          <w:color w:val="000000"/>
        </w:rPr>
        <w:t xml:space="preserve">établissements </w:t>
      </w:r>
      <w:r w:rsidR="00776966" w:rsidRPr="00FB60C2">
        <w:rPr>
          <w:color w:val="000000"/>
        </w:rPr>
        <w:t xml:space="preserve">canadiens </w:t>
      </w:r>
      <w:r w:rsidRPr="00FB60C2">
        <w:rPr>
          <w:color w:val="000000"/>
        </w:rPr>
        <w:t>et</w:t>
      </w:r>
      <w:r w:rsidR="00776966" w:rsidRPr="00FB60C2">
        <w:rPr>
          <w:color w:val="000000"/>
        </w:rPr>
        <w:t xml:space="preserve"> </w:t>
      </w:r>
      <w:r w:rsidRPr="00FB60C2">
        <w:rPr>
          <w:color w:val="000000"/>
        </w:rPr>
        <w:t xml:space="preserve">les dépôts </w:t>
      </w:r>
      <w:r w:rsidR="00776966" w:rsidRPr="00FB60C2">
        <w:rPr>
          <w:color w:val="000000"/>
        </w:rPr>
        <w:t>utilisés</w:t>
      </w:r>
      <w:r w:rsidRPr="00FB60C2">
        <w:rPr>
          <w:color w:val="000000"/>
        </w:rPr>
        <w:t xml:space="preserve"> pour gérer l’accès aux données.</w:t>
      </w:r>
      <w:r w:rsidR="00D76445" w:rsidRPr="00FB60C2">
        <w:rPr>
          <w:color w:val="000000"/>
        </w:rPr>
        <w:t xml:space="preserve"> </w:t>
      </w:r>
      <w:r w:rsidR="002C5F01" w:rsidRPr="00FB60C2">
        <w:rPr>
          <w:color w:val="000000"/>
        </w:rPr>
        <w:t xml:space="preserve">Pour </w:t>
      </w:r>
      <w:r w:rsidR="00B83F5F" w:rsidRPr="00FB60C2">
        <w:rPr>
          <w:color w:val="000000"/>
        </w:rPr>
        <w:t>aider les</w:t>
      </w:r>
      <w:r w:rsidR="002C5F01" w:rsidRPr="00FB60C2">
        <w:rPr>
          <w:color w:val="000000"/>
        </w:rPr>
        <w:t xml:space="preserve"> chercheuses et chercheurs </w:t>
      </w:r>
      <w:r w:rsidR="00B83F5F" w:rsidRPr="00FB60C2">
        <w:rPr>
          <w:color w:val="000000"/>
        </w:rPr>
        <w:t>à</w:t>
      </w:r>
      <w:r w:rsidR="002C5F01" w:rsidRPr="00FB60C2">
        <w:rPr>
          <w:color w:val="000000"/>
        </w:rPr>
        <w:t xml:space="preserve"> </w:t>
      </w:r>
      <w:r w:rsidR="00776966" w:rsidRPr="00FB60C2">
        <w:rPr>
          <w:color w:val="000000"/>
        </w:rPr>
        <w:t xml:space="preserve">honorer </w:t>
      </w:r>
      <w:r w:rsidR="002C5F01" w:rsidRPr="00FB60C2">
        <w:rPr>
          <w:color w:val="000000"/>
        </w:rPr>
        <w:t xml:space="preserve">leurs obligations et </w:t>
      </w:r>
      <w:r w:rsidR="00B83F5F" w:rsidRPr="00FB60C2">
        <w:rPr>
          <w:color w:val="000000"/>
        </w:rPr>
        <w:t>à</w:t>
      </w:r>
      <w:r w:rsidR="002C5F01" w:rsidRPr="00FB60C2">
        <w:rPr>
          <w:color w:val="000000"/>
        </w:rPr>
        <w:t xml:space="preserve"> </w:t>
      </w:r>
      <w:r w:rsidR="00776966" w:rsidRPr="00FB60C2">
        <w:rPr>
          <w:color w:val="000000"/>
        </w:rPr>
        <w:t>atteindre l’excellence en</w:t>
      </w:r>
      <w:r w:rsidR="002C5F01" w:rsidRPr="00FB60C2">
        <w:rPr>
          <w:color w:val="000000"/>
        </w:rPr>
        <w:t xml:space="preserve"> recherche, il sera essentiel </w:t>
      </w:r>
      <w:r w:rsidR="006058DA" w:rsidRPr="00FB60C2">
        <w:rPr>
          <w:color w:val="000000"/>
        </w:rPr>
        <w:t>d’instaurer</w:t>
      </w:r>
      <w:r w:rsidR="002C5F01" w:rsidRPr="00FB60C2">
        <w:rPr>
          <w:color w:val="000000"/>
        </w:rPr>
        <w:t xml:space="preserve"> un </w:t>
      </w:r>
      <w:r w:rsidRPr="00FB60C2">
        <w:rPr>
          <w:color w:val="000000"/>
        </w:rPr>
        <w:t>cadre solide</w:t>
      </w:r>
      <w:r w:rsidR="006058DA" w:rsidRPr="00FB60C2">
        <w:rPr>
          <w:color w:val="000000"/>
        </w:rPr>
        <w:t xml:space="preserve"> de gestion de l’accès contrôlé</w:t>
      </w:r>
      <w:r w:rsidRPr="00FB60C2">
        <w:rPr>
          <w:color w:val="000000"/>
        </w:rPr>
        <w:t xml:space="preserve"> </w:t>
      </w:r>
      <w:r w:rsidR="006058DA" w:rsidRPr="00FB60C2">
        <w:rPr>
          <w:color w:val="000000"/>
        </w:rPr>
        <w:t>englobant la</w:t>
      </w:r>
      <w:r w:rsidRPr="00FB60C2">
        <w:rPr>
          <w:color w:val="000000"/>
        </w:rPr>
        <w:t xml:space="preserve"> technologie, </w:t>
      </w:r>
      <w:r w:rsidR="006058DA" w:rsidRPr="00FB60C2">
        <w:rPr>
          <w:color w:val="000000"/>
        </w:rPr>
        <w:t xml:space="preserve">la </w:t>
      </w:r>
      <w:r w:rsidRPr="00FB60C2">
        <w:rPr>
          <w:color w:val="000000"/>
        </w:rPr>
        <w:t xml:space="preserve">gouvernance, </w:t>
      </w:r>
      <w:r w:rsidR="006058DA" w:rsidRPr="00FB60C2">
        <w:rPr>
          <w:color w:val="000000"/>
        </w:rPr>
        <w:t xml:space="preserve">la </w:t>
      </w:r>
      <w:r w:rsidRPr="00FB60C2">
        <w:rPr>
          <w:color w:val="000000"/>
        </w:rPr>
        <w:t xml:space="preserve">formation et </w:t>
      </w:r>
      <w:r w:rsidR="006058DA" w:rsidRPr="00FB60C2">
        <w:rPr>
          <w:color w:val="000000"/>
        </w:rPr>
        <w:t xml:space="preserve">le </w:t>
      </w:r>
      <w:r w:rsidRPr="00FB60C2">
        <w:rPr>
          <w:color w:val="000000"/>
        </w:rPr>
        <w:t>personnel</w:t>
      </w:r>
      <w:r w:rsidR="002C5F01" w:rsidRPr="00FB60C2">
        <w:rPr>
          <w:color w:val="000000"/>
        </w:rPr>
        <w:t>.</w:t>
      </w:r>
    </w:p>
    <w:p w14:paraId="548C539A" w14:textId="77777777" w:rsidR="00A9061F" w:rsidRPr="00FB60C2" w:rsidRDefault="00A9061F" w:rsidP="00106A3F">
      <w:pPr>
        <w:keepNext/>
      </w:pPr>
    </w:p>
    <w:p w14:paraId="267017B5" w14:textId="77777777" w:rsidR="00A9061F" w:rsidRPr="00FB60C2" w:rsidRDefault="00A9061F" w:rsidP="008C5D5A">
      <w:pPr>
        <w:pStyle w:val="Heading1"/>
        <w:keepLines w:val="0"/>
        <w:numPr>
          <w:ilvl w:val="0"/>
          <w:numId w:val="7"/>
        </w:numPr>
      </w:pPr>
      <w:bookmarkStart w:id="71" w:name="_Toc207100041"/>
      <w:r w:rsidRPr="00FB60C2">
        <w:rPr>
          <w:color w:val="000000"/>
        </w:rPr>
        <w:t>Glossaire</w:t>
      </w:r>
      <w:bookmarkEnd w:id="71"/>
    </w:p>
    <w:p w14:paraId="354A4FA6" w14:textId="77777777" w:rsidR="00A9061F" w:rsidRPr="00FB60C2" w:rsidRDefault="00A9061F" w:rsidP="00106A3F">
      <w:pPr>
        <w:keepNext/>
        <w:rPr>
          <w:b/>
        </w:rPr>
      </w:pPr>
    </w:p>
    <w:p w14:paraId="7EDE656C" w14:textId="51D099F6" w:rsidR="00A9061F" w:rsidRPr="00FB60C2" w:rsidRDefault="00133709" w:rsidP="008C5D5A">
      <w:pPr>
        <w:keepNext/>
      </w:pPr>
      <w:r w:rsidRPr="00FB60C2">
        <w:rPr>
          <w:color w:val="000000"/>
        </w:rPr>
        <w:t>Plusieur</w:t>
      </w:r>
      <w:r w:rsidR="002C5F01" w:rsidRPr="00FB60C2">
        <w:rPr>
          <w:color w:val="000000"/>
        </w:rPr>
        <w:t xml:space="preserve">s </w:t>
      </w:r>
      <w:r w:rsidR="00E822EE" w:rsidRPr="00FB60C2">
        <w:rPr>
          <w:color w:val="000000"/>
        </w:rPr>
        <w:t xml:space="preserve">de </w:t>
      </w:r>
      <w:r w:rsidR="002C5F01" w:rsidRPr="00FB60C2">
        <w:rPr>
          <w:color w:val="000000"/>
        </w:rPr>
        <w:t xml:space="preserve">ces définitions s’inspirent du glossaire de la </w:t>
      </w:r>
      <w:r w:rsidR="008A36CD" w:rsidRPr="00FB60C2">
        <w:rPr>
          <w:color w:val="000000"/>
        </w:rPr>
        <w:t>b</w:t>
      </w:r>
      <w:r w:rsidR="002C5F01" w:rsidRPr="00FB60C2">
        <w:rPr>
          <w:color w:val="000000"/>
        </w:rPr>
        <w:t>oîte à outils pour les données sensibles destinée aux chercheurs (</w:t>
      </w:r>
      <w:r w:rsidR="00A9061F" w:rsidRPr="00FB60C2">
        <w:rPr>
          <w:color w:val="000000"/>
        </w:rPr>
        <w:t xml:space="preserve">groupe d’experts sur les données sensibles, 2020). </w:t>
      </w:r>
      <w:r w:rsidR="002C5F01" w:rsidRPr="00FB60C2">
        <w:rPr>
          <w:color w:val="000000"/>
        </w:rPr>
        <w:t>Les autres sources et références sont indiquées</w:t>
      </w:r>
      <w:r w:rsidR="00A30B63" w:rsidRPr="00FB60C2">
        <w:rPr>
          <w:color w:val="000000"/>
        </w:rPr>
        <w:t>, le cas échéant</w:t>
      </w:r>
      <w:r w:rsidR="002C5F01" w:rsidRPr="00FB60C2">
        <w:rPr>
          <w:color w:val="000000"/>
        </w:rPr>
        <w:t>.</w:t>
      </w:r>
    </w:p>
    <w:p w14:paraId="34E5E36F" w14:textId="77777777" w:rsidR="00A9061F" w:rsidRPr="00FB60C2" w:rsidRDefault="00A9061F" w:rsidP="00B701C8"/>
    <w:p w14:paraId="2822966B" w14:textId="4C510BDE" w:rsidR="00106A3F" w:rsidRDefault="00106A3F" w:rsidP="00B701C8">
      <w:pPr>
        <w:rPr>
          <w:bCs/>
          <w:color w:val="000000"/>
        </w:rPr>
      </w:pPr>
      <w:r w:rsidRPr="00FB60C2">
        <w:rPr>
          <w:b/>
          <w:color w:val="000000"/>
        </w:rPr>
        <w:t>Accès aux données :</w:t>
      </w:r>
      <w:r w:rsidRPr="00FB60C2">
        <w:rPr>
          <w:bCs/>
          <w:color w:val="000000"/>
        </w:rPr>
        <w:t xml:space="preserve"> Le droit ou la possibilité d’utiliser ou de consulter les données conservées dans une base de données ou un dépôt, un environnement de recherche ou un environnement virtuel de recherche.</w:t>
      </w:r>
    </w:p>
    <w:p w14:paraId="3EFE1446" w14:textId="77777777" w:rsidR="00106A3F" w:rsidRPr="00FB60C2" w:rsidRDefault="00106A3F" w:rsidP="00B701C8">
      <w:pPr>
        <w:rPr>
          <w:b/>
          <w:color w:val="000000"/>
        </w:rPr>
      </w:pPr>
    </w:p>
    <w:p w14:paraId="51F159AB" w14:textId="77777777" w:rsidR="00106A3F" w:rsidRDefault="00106A3F" w:rsidP="00B701C8">
      <w:pPr>
        <w:rPr>
          <w:color w:val="000000"/>
        </w:rPr>
      </w:pPr>
      <w:r w:rsidRPr="00FB60C2">
        <w:rPr>
          <w:b/>
          <w:color w:val="000000"/>
        </w:rPr>
        <w:t>Comité d’éthique de la recherche :</w:t>
      </w:r>
      <w:r w:rsidRPr="00106A3F">
        <w:rPr>
          <w:bCs/>
          <w:color w:val="000000"/>
        </w:rPr>
        <w:t xml:space="preserve"> </w:t>
      </w:r>
      <w:r w:rsidRPr="00FB60C2">
        <w:rPr>
          <w:color w:val="000000"/>
        </w:rPr>
        <w:t>Une entité affiliée à un établissement de recherche canadien qui est mandatée pour évaluer l’acceptabilité éthique d’une recherche au nom de l’établissement (Groupe en éthique de la recherche, 2022).</w:t>
      </w:r>
    </w:p>
    <w:p w14:paraId="5CBDFA44" w14:textId="77777777" w:rsidR="00106A3F" w:rsidRPr="00FB60C2" w:rsidRDefault="00106A3F" w:rsidP="00B701C8"/>
    <w:p w14:paraId="3309C3F2" w14:textId="77777777" w:rsidR="00106A3F" w:rsidRDefault="00106A3F" w:rsidP="00B701C8">
      <w:pPr>
        <w:rPr>
          <w:bCs/>
          <w:color w:val="000000"/>
        </w:rPr>
      </w:pPr>
      <w:r w:rsidRPr="00FB60C2">
        <w:rPr>
          <w:b/>
          <w:color w:val="000000"/>
        </w:rPr>
        <w:t>Consignation de données :</w:t>
      </w:r>
      <w:r w:rsidRPr="00106A3F">
        <w:rPr>
          <w:bCs/>
          <w:color w:val="000000"/>
        </w:rPr>
        <w:t xml:space="preserve"> </w:t>
      </w:r>
      <w:r w:rsidRPr="00FB60C2">
        <w:rPr>
          <w:bCs/>
          <w:color w:val="000000"/>
        </w:rPr>
        <w:t>L’ajout de données dans un dépôt reconnu (institutionnel, national, code source ouvert, dépôt par discipline ou pluridisciplinaire ou autre) en vue de leur conservation et de leur utilisation éventuelle par d’autres chercheurs.</w:t>
      </w:r>
    </w:p>
    <w:p w14:paraId="7A9185CE" w14:textId="77777777" w:rsidR="00106A3F" w:rsidRPr="00FB60C2" w:rsidRDefault="00106A3F" w:rsidP="00B701C8">
      <w:pPr>
        <w:rPr>
          <w:b/>
          <w:color w:val="000000"/>
        </w:rPr>
      </w:pPr>
    </w:p>
    <w:p w14:paraId="18AEF80D" w14:textId="77777777" w:rsidR="00106A3F" w:rsidRDefault="00106A3F" w:rsidP="00B701C8">
      <w:pPr>
        <w:rPr>
          <w:bCs/>
          <w:color w:val="000000"/>
        </w:rPr>
      </w:pPr>
      <w:r w:rsidRPr="00FB60C2">
        <w:rPr>
          <w:b/>
          <w:color w:val="000000"/>
        </w:rPr>
        <w:t>Couplage de données :</w:t>
      </w:r>
      <w:r w:rsidRPr="00106A3F">
        <w:rPr>
          <w:bCs/>
          <w:color w:val="000000"/>
        </w:rPr>
        <w:t xml:space="preserve"> </w:t>
      </w:r>
      <w:r w:rsidRPr="00FB60C2">
        <w:rPr>
          <w:bCs/>
          <w:color w:val="000000"/>
        </w:rPr>
        <w:t>La combinaison ou l’analyse de deux ou de plusieurs jeux de données distincts (ex. : renseignements sur la santé et l’éducation de mêmes personnes) à des fins de recherche.</w:t>
      </w:r>
    </w:p>
    <w:p w14:paraId="645F77CF" w14:textId="77777777" w:rsidR="00106A3F" w:rsidRPr="00FB60C2" w:rsidRDefault="00106A3F" w:rsidP="00B701C8"/>
    <w:p w14:paraId="0B6EDC19" w14:textId="77777777" w:rsidR="00106A3F" w:rsidRDefault="00106A3F" w:rsidP="00B701C8">
      <w:pPr>
        <w:rPr>
          <w:bCs/>
          <w:color w:val="000000"/>
        </w:rPr>
      </w:pPr>
      <w:r w:rsidRPr="00FB60C2">
        <w:rPr>
          <w:b/>
          <w:color w:val="000000"/>
        </w:rPr>
        <w:t>Dépôt de données :</w:t>
      </w:r>
      <w:r w:rsidRPr="00106A3F">
        <w:rPr>
          <w:bCs/>
          <w:color w:val="000000"/>
        </w:rPr>
        <w:t xml:space="preserve"> </w:t>
      </w:r>
      <w:r w:rsidRPr="00FB60C2">
        <w:rPr>
          <w:bCs/>
          <w:color w:val="000000"/>
        </w:rPr>
        <w:t>Il s’agit de</w:t>
      </w:r>
      <w:r w:rsidRPr="00FB60C2">
        <w:t xml:space="preserve"> bases de données en ligne utilisées pour conserver des données à long terme et en permettre la recherche et éventuellement l’utilisation. </w:t>
      </w:r>
      <w:r w:rsidRPr="00FB60C2">
        <w:rPr>
          <w:bCs/>
          <w:color w:val="000000"/>
        </w:rPr>
        <w:t>Les dépôts de données peuvent être soumis à des exigences particulières en matière de sujet, de domaine de recherche, de format et de réutilisation des données. Ce qu’on y consigne fait idéalement l’objet d’une curation par la personne responsable de l’intendance, qui doit assurer l’authenticité, la découvrabilité et l’accessibilité à moyen terme du contenu.</w:t>
      </w:r>
    </w:p>
    <w:p w14:paraId="22BC9275" w14:textId="77777777" w:rsidR="00106A3F" w:rsidRPr="00FB60C2" w:rsidRDefault="00106A3F" w:rsidP="00B701C8">
      <w:pPr>
        <w:rPr>
          <w:bCs/>
          <w:color w:val="000000"/>
        </w:rPr>
      </w:pPr>
    </w:p>
    <w:p w14:paraId="36FE6899" w14:textId="77777777" w:rsidR="00106A3F" w:rsidRDefault="00106A3F" w:rsidP="00B701C8">
      <w:pPr>
        <w:rPr>
          <w:color w:val="000000"/>
        </w:rPr>
      </w:pPr>
      <w:r w:rsidRPr="00FB60C2">
        <w:rPr>
          <w:b/>
          <w:color w:val="000000"/>
        </w:rPr>
        <w:t>DFDR :</w:t>
      </w:r>
      <w:r w:rsidRPr="00106A3F">
        <w:rPr>
          <w:bCs/>
          <w:color w:val="000000"/>
        </w:rPr>
        <w:t xml:space="preserve"> </w:t>
      </w:r>
      <w:r w:rsidRPr="00FB60C2">
        <w:rPr>
          <w:color w:val="000000"/>
        </w:rPr>
        <w:t>Le Dépôt fédéré de données de recherche, un dépôt de données de recherche bilingue, polyvalent et structuré administré par l’Alliance de recherche numérique du Canada (</w:t>
      </w:r>
      <w:hyperlink r:id="rId13" w:history="1">
        <w:r w:rsidRPr="00FB60C2">
          <w:rPr>
            <w:color w:val="1155CC"/>
            <w:u w:val="single"/>
          </w:rPr>
          <w:t>https://www.frdr-dfdr.ca/repo/</w:t>
        </w:r>
      </w:hyperlink>
      <w:r w:rsidRPr="00FB60C2">
        <w:rPr>
          <w:color w:val="000000"/>
        </w:rPr>
        <w:t>).</w:t>
      </w:r>
    </w:p>
    <w:p w14:paraId="112C94B2" w14:textId="77777777" w:rsidR="00106A3F" w:rsidRPr="00FB60C2" w:rsidRDefault="00106A3F" w:rsidP="00B701C8"/>
    <w:p w14:paraId="58FF944A" w14:textId="77777777" w:rsidR="00106A3F" w:rsidRPr="00FB60C2" w:rsidRDefault="00106A3F" w:rsidP="00B701C8">
      <w:r w:rsidRPr="00FB60C2">
        <w:rPr>
          <w:b/>
          <w:color w:val="000000"/>
        </w:rPr>
        <w:t>Documents de recherche :</w:t>
      </w:r>
      <w:r w:rsidRPr="00FB60C2">
        <w:rPr>
          <w:bCs/>
          <w:color w:val="000000"/>
        </w:rPr>
        <w:t xml:space="preserve"> L’</w:t>
      </w:r>
      <w:r w:rsidRPr="00FB60C2">
        <w:rPr>
          <w:color w:val="000000"/>
        </w:rPr>
        <w:t>objet d’une enquête – scientifique, universitaire, littéraire ou artistique – duquel sont tirées des données d’après une méthode ou une pratique (gouvernement du Canada, 2021).</w:t>
      </w:r>
    </w:p>
    <w:p w14:paraId="2106F4B6" w14:textId="77777777" w:rsidR="00106A3F" w:rsidRPr="00FB60C2" w:rsidRDefault="00106A3F" w:rsidP="00106A3F">
      <w:pPr>
        <w:ind w:left="709"/>
      </w:pPr>
    </w:p>
    <w:p w14:paraId="579BC5E3" w14:textId="77777777" w:rsidR="00106A3F" w:rsidRDefault="00106A3F" w:rsidP="00B701C8">
      <w:pPr>
        <w:rPr>
          <w:color w:val="000000"/>
        </w:rPr>
      </w:pPr>
      <w:r w:rsidRPr="00FB60C2">
        <w:rPr>
          <w:b/>
          <w:color w:val="000000"/>
        </w:rPr>
        <w:t>Données de recherche :</w:t>
      </w:r>
      <w:r w:rsidRPr="00106A3F">
        <w:rPr>
          <w:bCs/>
          <w:color w:val="000000"/>
        </w:rPr>
        <w:t xml:space="preserve"> </w:t>
      </w:r>
      <w:r w:rsidRPr="00FB60C2">
        <w:rPr>
          <w:bCs/>
          <w:color w:val="000000"/>
        </w:rPr>
        <w:t>Les s</w:t>
      </w:r>
      <w:r w:rsidRPr="00FB60C2">
        <w:rPr>
          <w:color w:val="000000"/>
        </w:rPr>
        <w:t>ources utilisées pour une enquête scientifique ou technique, une recherche, une bourse d’études ou une pratique créative et qui servent de données probantes dans un processus de recherche ou qui sont globalement acceptées par une communauté de recherche comme étant nécessaires pour valider ou répéter des résultats ou des constats de recherche (gouvernement du Canada, 2021).</w:t>
      </w:r>
    </w:p>
    <w:p w14:paraId="05B9D091" w14:textId="77777777" w:rsidR="00106A3F" w:rsidRPr="00FB60C2" w:rsidRDefault="00106A3F" w:rsidP="00B701C8"/>
    <w:p w14:paraId="0E0388DC" w14:textId="77777777" w:rsidR="00106A3F" w:rsidRPr="00FB60C2" w:rsidRDefault="00106A3F" w:rsidP="00B701C8">
      <w:pPr>
        <w:rPr>
          <w:bCs/>
          <w:color w:val="000000"/>
        </w:rPr>
      </w:pPr>
      <w:r w:rsidRPr="00FB60C2">
        <w:rPr>
          <w:b/>
          <w:color w:val="000000"/>
        </w:rPr>
        <w:lastRenderedPageBreak/>
        <w:t>Données sensibles :</w:t>
      </w:r>
      <w:r w:rsidRPr="00FB60C2">
        <w:rPr>
          <w:bCs/>
          <w:color w:val="000000"/>
        </w:rPr>
        <w:t xml:space="preserve"> L’information qui doit être protégée contre l’accès non autorisé ou la divulgation, notamment :</w:t>
      </w:r>
    </w:p>
    <w:p w14:paraId="7CEC3DFF" w14:textId="77777777" w:rsidR="00106A3F" w:rsidRPr="00FB60C2" w:rsidRDefault="00106A3F" w:rsidP="00106A3F">
      <w:pPr>
        <w:pStyle w:val="ListParagraph"/>
        <w:numPr>
          <w:ilvl w:val="1"/>
          <w:numId w:val="26"/>
        </w:numPr>
        <w:ind w:left="709"/>
        <w:rPr>
          <w:bCs/>
          <w:color w:val="000000"/>
        </w:rPr>
      </w:pPr>
      <w:r w:rsidRPr="00FB60C2">
        <w:rPr>
          <w:bCs/>
          <w:color w:val="000000"/>
        </w:rPr>
        <w:t>Renseignements personnels</w:t>
      </w:r>
    </w:p>
    <w:p w14:paraId="0E135042" w14:textId="77777777" w:rsidR="00106A3F" w:rsidRPr="00FB60C2" w:rsidRDefault="00106A3F" w:rsidP="00106A3F">
      <w:pPr>
        <w:pStyle w:val="ListParagraph"/>
        <w:numPr>
          <w:ilvl w:val="1"/>
          <w:numId w:val="26"/>
        </w:numPr>
        <w:ind w:left="709"/>
        <w:rPr>
          <w:bCs/>
          <w:color w:val="000000"/>
        </w:rPr>
      </w:pPr>
      <w:r w:rsidRPr="00FB60C2">
        <w:rPr>
          <w:bCs/>
          <w:color w:val="000000"/>
        </w:rPr>
        <w:t>Renseignements personnels sur la santé</w:t>
      </w:r>
    </w:p>
    <w:p w14:paraId="15FAA7C1" w14:textId="77777777" w:rsidR="00106A3F" w:rsidRPr="00FB60C2" w:rsidRDefault="00106A3F" w:rsidP="00106A3F">
      <w:pPr>
        <w:numPr>
          <w:ilvl w:val="0"/>
          <w:numId w:val="26"/>
        </w:numPr>
        <w:ind w:left="709"/>
      </w:pPr>
      <w:r w:rsidRPr="00FB60C2">
        <w:t>Données sur les participantes et participants à une recherche qui sont sujets à l’ETPC2</w:t>
      </w:r>
    </w:p>
    <w:p w14:paraId="4C025E4B" w14:textId="77777777" w:rsidR="00106A3F" w:rsidRPr="00FB60C2" w:rsidRDefault="00106A3F" w:rsidP="00106A3F">
      <w:pPr>
        <w:numPr>
          <w:ilvl w:val="0"/>
          <w:numId w:val="26"/>
        </w:numPr>
        <w:ind w:left="709"/>
      </w:pPr>
      <w:r w:rsidRPr="00FB60C2">
        <w:t>Données dans un domaine de recherche en technologies sensibles ou qui présentent un potentiel de double usage (gouvernement du Canada, 2024c)</w:t>
      </w:r>
    </w:p>
    <w:p w14:paraId="11E85285" w14:textId="77777777" w:rsidR="00106A3F" w:rsidRPr="00FB60C2" w:rsidRDefault="00106A3F" w:rsidP="00106A3F">
      <w:pPr>
        <w:pStyle w:val="ListParagraph"/>
        <w:numPr>
          <w:ilvl w:val="1"/>
          <w:numId w:val="26"/>
        </w:numPr>
        <w:ind w:left="709"/>
        <w:rPr>
          <w:bCs/>
          <w:color w:val="000000"/>
        </w:rPr>
      </w:pPr>
      <w:r w:rsidRPr="00FB60C2">
        <w:rPr>
          <w:bCs/>
          <w:color w:val="000000"/>
        </w:rPr>
        <w:t>Dossiers scolaires</w:t>
      </w:r>
    </w:p>
    <w:p w14:paraId="18B261AE" w14:textId="77777777" w:rsidR="00106A3F" w:rsidRPr="00FB60C2" w:rsidRDefault="00106A3F" w:rsidP="00106A3F">
      <w:pPr>
        <w:pStyle w:val="ListParagraph"/>
        <w:numPr>
          <w:ilvl w:val="1"/>
          <w:numId w:val="26"/>
        </w:numPr>
        <w:ind w:left="709"/>
        <w:rPr>
          <w:bCs/>
          <w:color w:val="000000"/>
        </w:rPr>
      </w:pPr>
      <w:r w:rsidRPr="00FB60C2">
        <w:rPr>
          <w:bCs/>
          <w:color w:val="000000"/>
        </w:rPr>
        <w:t>Dossiers clients</w:t>
      </w:r>
    </w:p>
    <w:p w14:paraId="0E5A0DE1" w14:textId="77777777" w:rsidR="00106A3F" w:rsidRPr="00FB60C2" w:rsidRDefault="00106A3F" w:rsidP="00106A3F">
      <w:pPr>
        <w:pStyle w:val="ListParagraph"/>
        <w:numPr>
          <w:ilvl w:val="1"/>
          <w:numId w:val="26"/>
        </w:numPr>
        <w:ind w:left="709"/>
        <w:rPr>
          <w:bCs/>
          <w:color w:val="000000"/>
        </w:rPr>
      </w:pPr>
      <w:r w:rsidRPr="00FB60C2">
        <w:rPr>
          <w:bCs/>
          <w:color w:val="000000"/>
        </w:rPr>
        <w:t>Informations financières</w:t>
      </w:r>
    </w:p>
    <w:p w14:paraId="2FD33706" w14:textId="77777777" w:rsidR="00106A3F" w:rsidRPr="00FB60C2" w:rsidRDefault="00106A3F" w:rsidP="00106A3F">
      <w:pPr>
        <w:pStyle w:val="ListParagraph"/>
        <w:numPr>
          <w:ilvl w:val="1"/>
          <w:numId w:val="26"/>
        </w:numPr>
        <w:ind w:left="709"/>
        <w:rPr>
          <w:bCs/>
          <w:color w:val="000000"/>
        </w:rPr>
      </w:pPr>
      <w:r w:rsidRPr="00FB60C2">
        <w:rPr>
          <w:bCs/>
          <w:color w:val="000000"/>
        </w:rPr>
        <w:t>Renseignements d’ordre criminel</w:t>
      </w:r>
    </w:p>
    <w:p w14:paraId="54F2A331" w14:textId="77777777" w:rsidR="00106A3F" w:rsidRPr="00FB60C2" w:rsidRDefault="00106A3F" w:rsidP="00106A3F">
      <w:pPr>
        <w:pStyle w:val="ListParagraph"/>
        <w:numPr>
          <w:ilvl w:val="1"/>
          <w:numId w:val="26"/>
        </w:numPr>
        <w:ind w:left="709"/>
        <w:rPr>
          <w:bCs/>
          <w:color w:val="000000"/>
        </w:rPr>
      </w:pPr>
      <w:r w:rsidRPr="00FB60C2">
        <w:rPr>
          <w:bCs/>
          <w:color w:val="000000"/>
        </w:rPr>
        <w:t>Renseignements géographiques (ex. : localisations détaillées d’espèces en péril)</w:t>
      </w:r>
    </w:p>
    <w:p w14:paraId="7B6B699C" w14:textId="77777777" w:rsidR="00106A3F" w:rsidRPr="00FB60C2" w:rsidRDefault="00106A3F" w:rsidP="00106A3F">
      <w:pPr>
        <w:pStyle w:val="ListParagraph"/>
        <w:numPr>
          <w:ilvl w:val="1"/>
          <w:numId w:val="26"/>
        </w:numPr>
        <w:ind w:left="709"/>
        <w:rPr>
          <w:bCs/>
          <w:color w:val="000000"/>
        </w:rPr>
      </w:pPr>
      <w:r w:rsidRPr="00FB60C2">
        <w:rPr>
          <w:bCs/>
          <w:color w:val="000000"/>
        </w:rPr>
        <w:t>Renseignements personnels confidentiels</w:t>
      </w:r>
    </w:p>
    <w:p w14:paraId="62BF8B91" w14:textId="77777777" w:rsidR="00106A3F" w:rsidRPr="00FB60C2" w:rsidRDefault="00106A3F" w:rsidP="00106A3F">
      <w:pPr>
        <w:pStyle w:val="ListParagraph"/>
        <w:numPr>
          <w:ilvl w:val="1"/>
          <w:numId w:val="26"/>
        </w:numPr>
        <w:ind w:left="709"/>
        <w:rPr>
          <w:bCs/>
          <w:color w:val="000000"/>
        </w:rPr>
      </w:pPr>
      <w:r w:rsidRPr="00FB60C2">
        <w:rPr>
          <w:bCs/>
          <w:color w:val="000000"/>
        </w:rPr>
        <w:t>Renseignements jugés confidentiels</w:t>
      </w:r>
    </w:p>
    <w:p w14:paraId="695A2A4A" w14:textId="77777777" w:rsidR="00106A3F" w:rsidRPr="00FB60C2" w:rsidRDefault="00106A3F" w:rsidP="00106A3F">
      <w:pPr>
        <w:pStyle w:val="ListParagraph"/>
        <w:numPr>
          <w:ilvl w:val="1"/>
          <w:numId w:val="26"/>
        </w:numPr>
        <w:ind w:left="709"/>
        <w:rPr>
          <w:bCs/>
          <w:color w:val="000000"/>
        </w:rPr>
      </w:pPr>
      <w:r w:rsidRPr="00FB60C2">
        <w:rPr>
          <w:bCs/>
          <w:color w:val="000000"/>
        </w:rPr>
        <w:t>Données confiées à une tierce personne, à une organisation ou à une entité dans l’intention d’en préserver la confidentialité en interdisant ou en limitant les droits d’accès</w:t>
      </w:r>
    </w:p>
    <w:p w14:paraId="519939C7" w14:textId="3A2B51FE" w:rsidR="00106A3F" w:rsidRPr="00106A3F" w:rsidRDefault="00106A3F" w:rsidP="00106A3F">
      <w:pPr>
        <w:pStyle w:val="ListParagraph"/>
        <w:numPr>
          <w:ilvl w:val="1"/>
          <w:numId w:val="26"/>
        </w:numPr>
        <w:ind w:left="709"/>
        <w:rPr>
          <w:bCs/>
          <w:color w:val="000000"/>
        </w:rPr>
      </w:pPr>
      <w:r w:rsidRPr="00FB60C2">
        <w:rPr>
          <w:bCs/>
          <w:color w:val="000000"/>
        </w:rPr>
        <w:t>Renseignements protégés en vertu de toute politique interdisant l’accès non autorisé</w:t>
      </w:r>
    </w:p>
    <w:p w14:paraId="7D397689" w14:textId="7E4A5956" w:rsidR="00106A3F" w:rsidRPr="00106A3F" w:rsidRDefault="00106A3F" w:rsidP="00106A3F">
      <w:pPr>
        <w:pStyle w:val="ListParagraph"/>
        <w:ind w:left="709"/>
        <w:rPr>
          <w:bCs/>
          <w:color w:val="000000"/>
        </w:rPr>
      </w:pPr>
    </w:p>
    <w:p w14:paraId="6E070ABD" w14:textId="77777777" w:rsidR="00106A3F" w:rsidRPr="00FB60C2" w:rsidRDefault="00106A3F" w:rsidP="00106A3F">
      <w:pPr>
        <w:pStyle w:val="ListParagraph"/>
        <w:ind w:left="709"/>
        <w:rPr>
          <w:bCs/>
          <w:color w:val="000000"/>
        </w:rPr>
      </w:pPr>
    </w:p>
    <w:p w14:paraId="20855F3B" w14:textId="77777777" w:rsidR="00106A3F" w:rsidRDefault="00106A3F" w:rsidP="00B701C8">
      <w:pPr>
        <w:rPr>
          <w:color w:val="000000"/>
        </w:rPr>
      </w:pPr>
      <w:r w:rsidRPr="00FB60C2">
        <w:rPr>
          <w:b/>
          <w:color w:val="000000"/>
        </w:rPr>
        <w:t xml:space="preserve">EPTC2 : </w:t>
      </w:r>
      <w:r w:rsidRPr="00FB60C2">
        <w:rPr>
          <w:bCs/>
          <w:color w:val="000000"/>
        </w:rPr>
        <w:t xml:space="preserve">Énoncé de politique des trois conseils : Éthique de la recherche avec des êtres humains – EPTC2 (2022) </w:t>
      </w:r>
      <w:r w:rsidRPr="00FB60C2">
        <w:rPr>
          <w:color w:val="000000"/>
        </w:rPr>
        <w:t>(Groupe en éthique de la recherche, 2022).</w:t>
      </w:r>
    </w:p>
    <w:p w14:paraId="29AF3447" w14:textId="77777777" w:rsidR="00106A3F" w:rsidRPr="00FB60C2" w:rsidRDefault="00106A3F" w:rsidP="00B701C8">
      <w:pPr>
        <w:rPr>
          <w:color w:val="000000"/>
        </w:rPr>
      </w:pPr>
    </w:p>
    <w:p w14:paraId="37A31ED8" w14:textId="77777777" w:rsidR="00106A3F" w:rsidRDefault="00106A3F" w:rsidP="00B701C8">
      <w:pPr>
        <w:rPr>
          <w:color w:val="000000"/>
        </w:rPr>
      </w:pPr>
      <w:r w:rsidRPr="00FB60C2">
        <w:rPr>
          <w:b/>
          <w:color w:val="000000"/>
        </w:rPr>
        <w:t>Gestion de l’accès contrôlé (GAC) :</w:t>
      </w:r>
      <w:r w:rsidRPr="00106A3F">
        <w:rPr>
          <w:bCs/>
          <w:color w:val="000000"/>
        </w:rPr>
        <w:t xml:space="preserve"> </w:t>
      </w:r>
      <w:r w:rsidRPr="00FB60C2">
        <w:rPr>
          <w:bCs/>
          <w:color w:val="000000"/>
        </w:rPr>
        <w:t>Les</w:t>
      </w:r>
      <w:r w:rsidRPr="00FB60C2">
        <w:rPr>
          <w:color w:val="000000"/>
        </w:rPr>
        <w:t xml:space="preserve"> politiques, procédures et mécanismes employés pour gérer l’accès aux données de recherche ne pouvant pas être diffusées publiquement pour une ou plusieurs raisons.</w:t>
      </w:r>
    </w:p>
    <w:p w14:paraId="236E8043" w14:textId="77777777" w:rsidR="00106A3F" w:rsidRPr="00FB60C2" w:rsidRDefault="00106A3F" w:rsidP="00B701C8"/>
    <w:p w14:paraId="07E31818" w14:textId="77777777" w:rsidR="00106A3F" w:rsidRPr="00FB60C2" w:rsidRDefault="00106A3F" w:rsidP="00B701C8">
      <w:r w:rsidRPr="00FB60C2">
        <w:rPr>
          <w:b/>
          <w:color w:val="000000"/>
        </w:rPr>
        <w:t>Gouvernance des données :</w:t>
      </w:r>
      <w:r w:rsidRPr="00FB60C2">
        <w:rPr>
          <w:color w:val="000000"/>
        </w:rPr>
        <w:t xml:space="preserve"> L’exercice d’un pouvoir, l’adoption d’une mesure et la prise d’une décision commune concernant la gestion des données de recherche et la gestion générale de la disponibilité, de l’utilisabilité, de l’intégrité et de la sécurité de ces données (définition inspirée du document sur la terminologie de la GDR du groupe de travail du CODATA, 2024).</w:t>
      </w:r>
    </w:p>
    <w:p w14:paraId="3DF7F076" w14:textId="77777777" w:rsidR="00106A3F" w:rsidRPr="00FB60C2" w:rsidRDefault="00106A3F" w:rsidP="00106A3F">
      <w:pPr>
        <w:pStyle w:val="ListParagraph"/>
        <w:ind w:left="709"/>
        <w:rPr>
          <w:bCs/>
          <w:color w:val="000000"/>
        </w:rPr>
      </w:pPr>
    </w:p>
    <w:p w14:paraId="1BA456FB" w14:textId="77777777" w:rsidR="00106A3F" w:rsidRDefault="00106A3F" w:rsidP="00B701C8">
      <w:pPr>
        <w:rPr>
          <w:color w:val="000000"/>
        </w:rPr>
      </w:pPr>
      <w:r w:rsidRPr="00FB60C2">
        <w:rPr>
          <w:b/>
          <w:color w:val="000000"/>
        </w:rPr>
        <w:t>Intendance des données :</w:t>
      </w:r>
      <w:r w:rsidRPr="00106A3F">
        <w:rPr>
          <w:bCs/>
          <w:color w:val="000000"/>
        </w:rPr>
        <w:t xml:space="preserve"> La p</w:t>
      </w:r>
      <w:r w:rsidRPr="00FB60C2">
        <w:rPr>
          <w:bCs/>
          <w:color w:val="000000"/>
        </w:rPr>
        <w:t xml:space="preserve">rocédure suivie par une personne ou un groupe pendant et après les phases actives d’un projet de recherche pour assurer une gestion et une surveillance responsables de l’utilisation et de la consultation des données et métadonnées </w:t>
      </w:r>
      <w:r w:rsidRPr="00FB60C2">
        <w:rPr>
          <w:color w:val="000000"/>
        </w:rPr>
        <w:t>(définition partiellement inspirée du document sur la terminologie de la GDR du groupe de travail du CODATA, 2024).</w:t>
      </w:r>
    </w:p>
    <w:p w14:paraId="418166F8" w14:textId="77777777" w:rsidR="00106A3F" w:rsidRPr="00FB60C2" w:rsidRDefault="00106A3F" w:rsidP="00B701C8">
      <w:pPr>
        <w:rPr>
          <w:b/>
        </w:rPr>
      </w:pPr>
    </w:p>
    <w:p w14:paraId="0AA98A51" w14:textId="77777777" w:rsidR="00106A3F" w:rsidRDefault="00106A3F" w:rsidP="00B701C8">
      <w:pPr>
        <w:rPr>
          <w:color w:val="000000"/>
        </w:rPr>
      </w:pPr>
      <w:r w:rsidRPr="00FB60C2">
        <w:rPr>
          <w:b/>
          <w:color w:val="000000"/>
        </w:rPr>
        <w:t>Principes FAIR </w:t>
      </w:r>
      <w:r w:rsidRPr="00FB60C2">
        <w:rPr>
          <w:b/>
          <w:bCs/>
          <w:color w:val="000000"/>
        </w:rPr>
        <w:t>:</w:t>
      </w:r>
      <w:r w:rsidRPr="00FB60C2">
        <w:rPr>
          <w:color w:val="000000"/>
        </w:rPr>
        <w:t xml:space="preserve"> Les principes directeurs FAIR pour la gestion et l’intendance des données scientifiques prévoient que les données et les métadonnées de recherche doivent être faciles à trouver, accessibles, interopérables et réutilisables par des personnes et/ou des machines (Wilkinson et coll., 2016).</w:t>
      </w:r>
    </w:p>
    <w:p w14:paraId="796A12DB" w14:textId="77777777" w:rsidR="00106A3F" w:rsidRPr="00FB60C2" w:rsidRDefault="00106A3F" w:rsidP="00B701C8"/>
    <w:p w14:paraId="252C0292" w14:textId="77777777" w:rsidR="00106A3F" w:rsidRDefault="00106A3F" w:rsidP="00B701C8">
      <w:pPr>
        <w:rPr>
          <w:color w:val="000000"/>
        </w:rPr>
      </w:pPr>
      <w:r w:rsidRPr="00FB60C2">
        <w:rPr>
          <w:b/>
          <w:color w:val="000000"/>
        </w:rPr>
        <w:t>Principes PCAP</w:t>
      </w:r>
      <w:r w:rsidRPr="00FB60C2">
        <w:rPr>
          <w:b/>
          <w:color w:val="000000"/>
          <w:vertAlign w:val="superscript"/>
        </w:rPr>
        <w:t>MD </w:t>
      </w:r>
      <w:r w:rsidRPr="00FB60C2">
        <w:rPr>
          <w:b/>
          <w:color w:val="000000"/>
        </w:rPr>
        <w:t>:</w:t>
      </w:r>
      <w:r w:rsidRPr="00106A3F">
        <w:rPr>
          <w:bCs/>
          <w:color w:val="000000"/>
        </w:rPr>
        <w:t xml:space="preserve"> </w:t>
      </w:r>
      <w:r w:rsidRPr="00FB60C2">
        <w:rPr>
          <w:bCs/>
          <w:color w:val="000000"/>
        </w:rPr>
        <w:t>Il s’agit des</w:t>
      </w:r>
      <w:r w:rsidRPr="00FB60C2">
        <w:rPr>
          <w:b/>
          <w:color w:val="000000"/>
        </w:rPr>
        <w:t xml:space="preserve"> </w:t>
      </w:r>
      <w:r w:rsidRPr="00FB60C2">
        <w:rPr>
          <w:color w:val="000000"/>
        </w:rPr>
        <w:t xml:space="preserve">principes de propriété, de contrôle, d’accès et de gestion des données appliqués par les Premières Nations en vue de l’utilisation et de la </w:t>
      </w:r>
      <w:r w:rsidRPr="00FB60C2">
        <w:rPr>
          <w:color w:val="000000"/>
        </w:rPr>
        <w:lastRenderedPageBreak/>
        <w:t>souveraineté de ces renseignements (Centre de gouvernance de l’information des Premières Nations, 2021).</w:t>
      </w:r>
    </w:p>
    <w:p w14:paraId="58252812" w14:textId="77777777" w:rsidR="00106A3F" w:rsidRPr="00FB60C2" w:rsidRDefault="00106A3F" w:rsidP="00B701C8"/>
    <w:p w14:paraId="246B56E9" w14:textId="77777777" w:rsidR="00106A3F" w:rsidRPr="00FB60C2" w:rsidRDefault="00106A3F" w:rsidP="00B701C8">
      <w:r w:rsidRPr="00FB60C2">
        <w:rPr>
          <w:b/>
          <w:color w:val="000000"/>
        </w:rPr>
        <w:t>Principes CARE :</w:t>
      </w:r>
      <w:r w:rsidRPr="00106A3F">
        <w:rPr>
          <w:bCs/>
          <w:color w:val="000000"/>
        </w:rPr>
        <w:t xml:space="preserve"> </w:t>
      </w:r>
      <w:r w:rsidRPr="00FB60C2">
        <w:rPr>
          <w:color w:val="000000"/>
        </w:rPr>
        <w:t>Les principes CARE pour la gouvernance des données autochtones, soit l’avantage collectif, le pouvoir de contrôle, la responsabilité et l’éthique (Carroll et coll., 2020).</w:t>
      </w:r>
    </w:p>
    <w:p w14:paraId="3B689176" w14:textId="77777777" w:rsidR="00106A3F" w:rsidRPr="00FB60C2" w:rsidRDefault="00106A3F" w:rsidP="00106A3F">
      <w:pPr>
        <w:pStyle w:val="ListParagraph"/>
        <w:ind w:left="709"/>
        <w:rPr>
          <w:bCs/>
          <w:color w:val="000000"/>
        </w:rPr>
      </w:pPr>
    </w:p>
    <w:p w14:paraId="5051EEAB" w14:textId="77777777" w:rsidR="00106A3F" w:rsidRDefault="00106A3F" w:rsidP="00B701C8">
      <w:pPr>
        <w:rPr>
          <w:color w:val="000000"/>
        </w:rPr>
      </w:pPr>
      <w:r w:rsidRPr="00FB60C2">
        <w:rPr>
          <w:b/>
          <w:color w:val="000000"/>
        </w:rPr>
        <w:t>Réutilisation de données :</w:t>
      </w:r>
      <w:r w:rsidRPr="00106A3F">
        <w:rPr>
          <w:bCs/>
          <w:color w:val="000000"/>
        </w:rPr>
        <w:t xml:space="preserve"> </w:t>
      </w:r>
      <w:r w:rsidRPr="00FB60C2">
        <w:rPr>
          <w:bCs/>
          <w:color w:val="000000"/>
        </w:rPr>
        <w:t xml:space="preserve">L’utilisation ou la réanalyse de </w:t>
      </w:r>
      <w:r w:rsidRPr="00FB60C2">
        <w:rPr>
          <w:color w:val="000000"/>
        </w:rPr>
        <w:t>données dans un cadre autre que celui de la recherche à l’origine de leur collecte (définition inspirée du document sur la terminologie de la GDR du groupe de travail du CODATA, 2024).</w:t>
      </w:r>
    </w:p>
    <w:p w14:paraId="0387FE96" w14:textId="77777777" w:rsidR="00106A3F" w:rsidRPr="00FB60C2" w:rsidRDefault="00106A3F" w:rsidP="00B701C8"/>
    <w:p w14:paraId="723DEA43" w14:textId="77777777" w:rsidR="00106A3F" w:rsidRPr="00FB60C2" w:rsidRDefault="00106A3F" w:rsidP="00B701C8">
      <w:r w:rsidRPr="00FB60C2">
        <w:rPr>
          <w:b/>
          <w:color w:val="000000"/>
        </w:rPr>
        <w:t>Souveraineté des données autochtones :</w:t>
      </w:r>
      <w:r w:rsidRPr="00FB60C2">
        <w:rPr>
          <w:color w:val="000000"/>
        </w:rPr>
        <w:t xml:space="preserve"> Le droit inhérent et inaliénable des communautés, nations et gouvernements autochtones d’administrer les données – y compris les connaissances traditionnelles – les concernant ou encore produites par eux ou avec leur aide. Il s’agit d’un élément fondamental de l’autodétermination et de l’autonomie gouvernementale des Autochtones (Centre de gouvernance de l’information des Premières Nations, 2022; Kukutai et Taylor, 2016).</w:t>
      </w:r>
    </w:p>
    <w:p w14:paraId="673C17AD" w14:textId="77777777" w:rsidR="00123312" w:rsidRPr="00FB60C2" w:rsidRDefault="00123312" w:rsidP="00B701C8"/>
    <w:p w14:paraId="25396A6D" w14:textId="31F5683E" w:rsidR="00106A3F" w:rsidRPr="00FB60C2" w:rsidRDefault="00A9061F" w:rsidP="00D32E0E">
      <w:pPr>
        <w:pStyle w:val="Heading1"/>
        <w:numPr>
          <w:ilvl w:val="0"/>
          <w:numId w:val="7"/>
        </w:numPr>
      </w:pPr>
      <w:bookmarkStart w:id="72" w:name="_Toc207100042"/>
      <w:r w:rsidRPr="00D32E0E">
        <w:rPr>
          <w:color w:val="000000"/>
        </w:rPr>
        <w:t>Références</w:t>
      </w:r>
      <w:bookmarkEnd w:id="72"/>
    </w:p>
    <w:p w14:paraId="3AEBDDD8" w14:textId="77777777" w:rsidR="00D32E0E" w:rsidRDefault="00D32E0E" w:rsidP="00B701C8">
      <w:pPr>
        <w:rPr>
          <w:color w:val="000000"/>
        </w:rPr>
      </w:pPr>
    </w:p>
    <w:p w14:paraId="7A5BC623" w14:textId="2EACEC24" w:rsidR="00106A3F" w:rsidRPr="00106A3F" w:rsidRDefault="00106A3F" w:rsidP="00B701C8">
      <w:pPr>
        <w:rPr>
          <w:color w:val="1155CC"/>
          <w:u w:val="single"/>
        </w:rPr>
      </w:pPr>
      <w:r w:rsidRPr="00FB60C2">
        <w:rPr>
          <w:color w:val="000000"/>
        </w:rPr>
        <w:t xml:space="preserve">Akbar, I. M., Bhawiyuga, A. et Siregar, R. (2021). </w:t>
      </w:r>
      <w:r w:rsidRPr="003F51C9">
        <w:rPr>
          <w:color w:val="000000"/>
          <w:lang w:val="en-CA"/>
        </w:rPr>
        <w:t xml:space="preserve">An Ethereum blockchain based electronic health record system for inter-hospital secure </w:t>
      </w:r>
      <w:r w:rsidRPr="003F51C9">
        <w:rPr>
          <w:lang w:val="en-CA"/>
        </w:rPr>
        <w:t>data sharing</w:t>
      </w:r>
      <w:r w:rsidRPr="003F51C9">
        <w:rPr>
          <w:color w:val="000000"/>
          <w:lang w:val="en-CA"/>
        </w:rPr>
        <w:t xml:space="preserve">. </w:t>
      </w:r>
      <w:r w:rsidRPr="003F51C9">
        <w:rPr>
          <w:i/>
          <w:color w:val="000000"/>
          <w:lang w:val="en-CA"/>
        </w:rPr>
        <w:t>Proceedings of the 6th International Conference on Sustainable Information Engineering and Technology (SIET ’21)</w:t>
      </w:r>
      <w:r w:rsidRPr="003F51C9">
        <w:rPr>
          <w:color w:val="000000"/>
          <w:lang w:val="en-CA"/>
        </w:rPr>
        <w:t xml:space="preserve">. Association for Computing Machinery, New York (NY), USA, pages 226 à 230. </w:t>
      </w:r>
      <w:r w:rsidRPr="00FB60C2">
        <w:rPr>
          <w:color w:val="000000"/>
        </w:rPr>
        <w:t xml:space="preserve">Sur Internet : </w:t>
      </w:r>
      <w:hyperlink r:id="rId14" w:history="1">
        <w:r w:rsidRPr="00106A3F">
          <w:rPr>
            <w:color w:val="1155CC"/>
          </w:rPr>
          <w:t>https://doi.org/10.1145/3479645.3479699</w:t>
        </w:r>
      </w:hyperlink>
      <w:r w:rsidRPr="00FB60C2">
        <w:t>.</w:t>
      </w:r>
    </w:p>
    <w:p w14:paraId="311881A9" w14:textId="77777777" w:rsidR="00106A3F" w:rsidRDefault="00106A3F" w:rsidP="00B701C8">
      <w:pPr>
        <w:rPr>
          <w:color w:val="000000"/>
        </w:rPr>
      </w:pPr>
    </w:p>
    <w:p w14:paraId="2DCD1BD6" w14:textId="0E997B36" w:rsidR="00106A3F" w:rsidRPr="00FB60C2" w:rsidRDefault="00106A3F" w:rsidP="00B701C8">
      <w:r w:rsidRPr="00FB60C2">
        <w:rPr>
          <w:color w:val="000000"/>
        </w:rPr>
        <w:t xml:space="preserve">Association des hôpitaux de l’Ontario (2022). </w:t>
      </w:r>
      <w:r w:rsidRPr="003F51C9">
        <w:rPr>
          <w:i/>
          <w:color w:val="000000"/>
          <w:lang w:val="en-CA"/>
        </w:rPr>
        <w:t>Records retention toolkit: A guide to the maintenance and disposal of hospital records.</w:t>
      </w:r>
      <w:r w:rsidRPr="003F51C9">
        <w:rPr>
          <w:color w:val="000000"/>
          <w:lang w:val="en-CA"/>
        </w:rPr>
        <w:t xml:space="preserve"> </w:t>
      </w:r>
      <w:r w:rsidRPr="00FB60C2">
        <w:rPr>
          <w:iCs/>
        </w:rPr>
        <w:t>Consulté le 6 mars</w:t>
      </w:r>
      <w:r w:rsidRPr="00FB60C2">
        <w:rPr>
          <w:color w:val="000000"/>
        </w:rPr>
        <w:t xml:space="preserve"> 2025. Sur Internet : </w:t>
      </w:r>
      <w:hyperlink r:id="rId15" w:history="1">
        <w:r w:rsidRPr="00FB60C2">
          <w:rPr>
            <w:color w:val="1155CC"/>
            <w:u w:val="single"/>
          </w:rPr>
          <w:t>https://www.oha.com/Legislative%20and%20Legal%20Issues%20Documents1/Records%20Retention%20Toolkit,%20September%202022.pdf</w:t>
        </w:r>
      </w:hyperlink>
      <w:r w:rsidRPr="00FB60C2">
        <w:rPr>
          <w:color w:val="000000"/>
        </w:rPr>
        <w:t>.</w:t>
      </w:r>
    </w:p>
    <w:p w14:paraId="05DFE8AE" w14:textId="77777777" w:rsidR="00106A3F" w:rsidRDefault="00106A3F" w:rsidP="00B701C8">
      <w:pPr>
        <w:rPr>
          <w:color w:val="000000"/>
        </w:rPr>
      </w:pPr>
    </w:p>
    <w:p w14:paraId="30B1A29B" w14:textId="14330F55" w:rsidR="00106A3F" w:rsidRPr="00FB60C2" w:rsidRDefault="00106A3F" w:rsidP="00B701C8">
      <w:r w:rsidRPr="00FB60C2">
        <w:rPr>
          <w:color w:val="000000"/>
        </w:rPr>
        <w:t xml:space="preserve">Brignull, H., Leiser, M., Santos, C. et Doshi, K. (2023). </w:t>
      </w:r>
      <w:r w:rsidRPr="00FB60C2">
        <w:rPr>
          <w:i/>
          <w:color w:val="000000"/>
        </w:rPr>
        <w:t>Types of deceptive pattern</w:t>
      </w:r>
      <w:r w:rsidRPr="00FB60C2">
        <w:rPr>
          <w:color w:val="000000"/>
        </w:rPr>
        <w:t xml:space="preserve">. Consulté le 6 mars 2025. Sur Internet : </w:t>
      </w:r>
      <w:hyperlink r:id="rId16" w:history="1">
        <w:r w:rsidRPr="00FB60C2">
          <w:rPr>
            <w:color w:val="1155CC"/>
            <w:u w:val="single"/>
          </w:rPr>
          <w:t>https://www.deceptive.design/types</w:t>
        </w:r>
      </w:hyperlink>
      <w:r w:rsidRPr="00FB60C2">
        <w:t>.</w:t>
      </w:r>
    </w:p>
    <w:p w14:paraId="3AE49C90" w14:textId="77777777" w:rsidR="00106A3F" w:rsidRDefault="00106A3F" w:rsidP="00B701C8">
      <w:pPr>
        <w:rPr>
          <w:color w:val="000000"/>
        </w:rPr>
      </w:pPr>
    </w:p>
    <w:p w14:paraId="29B7E130" w14:textId="79EE028C" w:rsidR="00106A3F" w:rsidRPr="00FB60C2" w:rsidRDefault="00106A3F" w:rsidP="00B701C8">
      <w:r w:rsidRPr="00FB60C2">
        <w:rPr>
          <w:color w:val="000000"/>
        </w:rPr>
        <w:t xml:space="preserve">Carroll, S., Garba, I., Figueroa-Rodríguez, O., Holbrook, J., Lovett, R., Materechera, S. et coll. (2020). </w:t>
      </w:r>
      <w:r w:rsidRPr="00FB60C2">
        <w:t xml:space="preserve">The CARE Principles for Indigenous Data Governance. </w:t>
      </w:r>
      <w:r w:rsidRPr="00FB60C2">
        <w:rPr>
          <w:i/>
        </w:rPr>
        <w:t>Data Science Journa</w:t>
      </w:r>
      <w:r w:rsidRPr="00FB60C2">
        <w:t xml:space="preserve">l, </w:t>
      </w:r>
      <w:r w:rsidRPr="00FB60C2">
        <w:rPr>
          <w:i/>
          <w:iCs/>
        </w:rPr>
        <w:t>19</w:t>
      </w:r>
      <w:r w:rsidRPr="00FB60C2">
        <w:t xml:space="preserve">(XX), pages 1 à 12. </w:t>
      </w:r>
      <w:r w:rsidRPr="00FB60C2">
        <w:rPr>
          <w:color w:val="000000"/>
        </w:rPr>
        <w:t xml:space="preserve">Sur Internet : </w:t>
      </w:r>
      <w:hyperlink r:id="rId17">
        <w:r w:rsidRPr="00FB60C2">
          <w:rPr>
            <w:color w:val="1155CC"/>
            <w:u w:val="single"/>
          </w:rPr>
          <w:t>https://doi.org/10.5334/dsj-2020-043</w:t>
        </w:r>
      </w:hyperlink>
      <w:r w:rsidRPr="00FB60C2">
        <w:t>.</w:t>
      </w:r>
    </w:p>
    <w:p w14:paraId="78124430" w14:textId="77777777" w:rsidR="00106A3F" w:rsidRDefault="00106A3F" w:rsidP="00B701C8">
      <w:pPr>
        <w:rPr>
          <w:color w:val="000000"/>
        </w:rPr>
      </w:pPr>
    </w:p>
    <w:p w14:paraId="0E46AFDA" w14:textId="6F5702C5" w:rsidR="00106A3F" w:rsidRPr="00FB60C2" w:rsidRDefault="00106A3F" w:rsidP="00B701C8">
      <w:r w:rsidRPr="00FB60C2">
        <w:rPr>
          <w:color w:val="000000"/>
        </w:rPr>
        <w:t xml:space="preserve">Centre de gouvernance de l’information des Premières Nations (2021). </w:t>
      </w:r>
      <w:r w:rsidRPr="00FB60C2">
        <w:rPr>
          <w:i/>
          <w:iCs/>
          <w:color w:val="000000"/>
        </w:rPr>
        <w:t>Les principes de PCAP® des Premières Nations.</w:t>
      </w:r>
      <w:r w:rsidRPr="00FB60C2">
        <w:rPr>
          <w:i/>
        </w:rPr>
        <w:t xml:space="preserve"> </w:t>
      </w:r>
      <w:r w:rsidRPr="00FB60C2">
        <w:rPr>
          <w:iCs/>
        </w:rPr>
        <w:t>Consulté le 13 </w:t>
      </w:r>
      <w:r w:rsidRPr="00FB60C2">
        <w:rPr>
          <w:color w:val="000000"/>
        </w:rPr>
        <w:t xml:space="preserve">janvier 2025. Sur Internet : </w:t>
      </w:r>
      <w:hyperlink r:id="rId18" w:history="1">
        <w:r w:rsidRPr="00106A3F">
          <w:rPr>
            <w:rStyle w:val="Hyperlink"/>
            <w:color w:val="1155CC"/>
          </w:rPr>
          <w:t>https://fnigc.ca/fr/les-principes-de-pcap-des-premieres-nations/</w:t>
        </w:r>
      </w:hyperlink>
      <w:r w:rsidRPr="00FB60C2">
        <w:rPr>
          <w:color w:val="000000"/>
        </w:rPr>
        <w:t>.</w:t>
      </w:r>
    </w:p>
    <w:p w14:paraId="6C7836EA" w14:textId="77777777" w:rsidR="00106A3F" w:rsidRDefault="00106A3F" w:rsidP="00B701C8">
      <w:pPr>
        <w:rPr>
          <w:color w:val="000000"/>
        </w:rPr>
      </w:pPr>
    </w:p>
    <w:p w14:paraId="48D507A0" w14:textId="6FCED2C1" w:rsidR="00106A3F" w:rsidRPr="00FB60C2" w:rsidRDefault="00106A3F" w:rsidP="00B701C8">
      <w:r w:rsidRPr="00FB60C2">
        <w:rPr>
          <w:color w:val="000000"/>
        </w:rPr>
        <w:t xml:space="preserve">Centre de gouvernance de l’information des Premières Nations (2022). </w:t>
      </w:r>
      <w:r w:rsidRPr="003F51C9">
        <w:rPr>
          <w:i/>
          <w:lang w:val="en-CA"/>
        </w:rPr>
        <w:t>Exploration of the impact of Canada’s information management regime on First Nations data sovereignty</w:t>
      </w:r>
      <w:r w:rsidRPr="003F51C9">
        <w:rPr>
          <w:lang w:val="en-CA"/>
        </w:rPr>
        <w:t>.</w:t>
      </w:r>
      <w:r w:rsidRPr="003F51C9">
        <w:rPr>
          <w:color w:val="000000"/>
          <w:lang w:val="en-CA"/>
        </w:rPr>
        <w:t xml:space="preserve"> </w:t>
      </w:r>
      <w:r w:rsidRPr="00FB60C2">
        <w:rPr>
          <w:color w:val="000000"/>
        </w:rPr>
        <w:t xml:space="preserve">Sur </w:t>
      </w:r>
      <w:r w:rsidRPr="00FB60C2">
        <w:rPr>
          <w:color w:val="000000"/>
        </w:rPr>
        <w:lastRenderedPageBreak/>
        <w:t xml:space="preserve">Internet : </w:t>
      </w:r>
      <w:hyperlink r:id="rId19" w:history="1">
        <w:r w:rsidRPr="00106A3F">
          <w:rPr>
            <w:rStyle w:val="Hyperlink"/>
            <w:color w:val="1155CC"/>
          </w:rPr>
          <w:t>https://fnigc.ca/wp-content/uploads/2022/09/FNIGC_Discussion_Paper_IM_Regime_Data_Sovereignty_EN.pdf</w:t>
        </w:r>
      </w:hyperlink>
      <w:r w:rsidRPr="00FB60C2">
        <w:t>.</w:t>
      </w:r>
    </w:p>
    <w:p w14:paraId="4DF62E8B" w14:textId="77777777" w:rsidR="00106A3F" w:rsidRDefault="00106A3F" w:rsidP="00B701C8">
      <w:pPr>
        <w:rPr>
          <w:color w:val="000000"/>
        </w:rPr>
      </w:pPr>
    </w:p>
    <w:p w14:paraId="2F925F44" w14:textId="5ADF9223" w:rsidR="00106A3F" w:rsidRPr="00FB60C2" w:rsidRDefault="00106A3F" w:rsidP="00B701C8">
      <w:r w:rsidRPr="00FB60C2">
        <w:rPr>
          <w:color w:val="000000"/>
        </w:rPr>
        <w:t xml:space="preserve">Chacon, S. et Straub, B. (2014). </w:t>
      </w:r>
      <w:r w:rsidRPr="003F51C9">
        <w:rPr>
          <w:i/>
          <w:color w:val="000000"/>
          <w:lang w:val="en-CA"/>
        </w:rPr>
        <w:t>Pro Git</w:t>
      </w:r>
      <w:r w:rsidRPr="003F51C9">
        <w:rPr>
          <w:color w:val="000000"/>
          <w:lang w:val="en-CA"/>
        </w:rPr>
        <w:t xml:space="preserve"> (2</w:t>
      </w:r>
      <w:r w:rsidRPr="003F51C9">
        <w:rPr>
          <w:color w:val="000000"/>
          <w:vertAlign w:val="superscript"/>
          <w:lang w:val="en-CA"/>
        </w:rPr>
        <w:t>e</w:t>
      </w:r>
      <w:r w:rsidRPr="003F51C9">
        <w:rPr>
          <w:color w:val="000000"/>
          <w:lang w:val="en-CA"/>
        </w:rPr>
        <w:t xml:space="preserve"> éd.). Git SCM. </w:t>
      </w:r>
      <w:r w:rsidRPr="00FB60C2">
        <w:rPr>
          <w:color w:val="000000"/>
        </w:rPr>
        <w:t xml:space="preserve">Sur Internet : </w:t>
      </w:r>
      <w:hyperlink r:id="rId20" w:history="1">
        <w:r w:rsidRPr="00FB60C2">
          <w:rPr>
            <w:color w:val="1155CC"/>
            <w:u w:val="single"/>
          </w:rPr>
          <w:t>https://git-scm.com/book/en/v2</w:t>
        </w:r>
      </w:hyperlink>
      <w:r w:rsidRPr="00FB60C2">
        <w:t>.</w:t>
      </w:r>
    </w:p>
    <w:p w14:paraId="3D8CB2DF" w14:textId="77777777" w:rsidR="00106A3F" w:rsidRDefault="00106A3F" w:rsidP="00B701C8">
      <w:pPr>
        <w:rPr>
          <w:color w:val="000000"/>
        </w:rPr>
      </w:pPr>
    </w:p>
    <w:p w14:paraId="1D5D7AE3" w14:textId="78645E90" w:rsidR="00106A3F" w:rsidRPr="00FB60C2" w:rsidRDefault="00106A3F" w:rsidP="00B701C8">
      <w:r w:rsidRPr="00FB60C2">
        <w:rPr>
          <w:color w:val="000000"/>
        </w:rPr>
        <w:t xml:space="preserve">CODATA, groupe de travail sur la terminologie de la GDR (2024). </w:t>
      </w:r>
      <w:r w:rsidRPr="003F51C9">
        <w:rPr>
          <w:color w:val="000000"/>
          <w:lang w:val="en-CA"/>
        </w:rPr>
        <w:t xml:space="preserve">CODATA RDM Terminology (2023, v0001): overview. </w:t>
      </w:r>
      <w:r w:rsidRPr="00FB60C2">
        <w:rPr>
          <w:color w:val="000000"/>
        </w:rPr>
        <w:t xml:space="preserve">Zenodo. Sur Internet : </w:t>
      </w:r>
      <w:hyperlink r:id="rId21" w:history="1">
        <w:r w:rsidRPr="00106A3F">
          <w:rPr>
            <w:rStyle w:val="Hyperlink"/>
            <w:color w:val="1155CC"/>
          </w:rPr>
          <w:t>https://doi.org/10.5281/zenodo.10626170</w:t>
        </w:r>
      </w:hyperlink>
      <w:r w:rsidRPr="00FB60C2">
        <w:rPr>
          <w:color w:val="000000"/>
        </w:rPr>
        <w:t>.</w:t>
      </w:r>
    </w:p>
    <w:p w14:paraId="5B772189" w14:textId="77777777" w:rsidR="00106A3F" w:rsidRDefault="00106A3F" w:rsidP="00B701C8">
      <w:pPr>
        <w:rPr>
          <w:color w:val="000000"/>
        </w:rPr>
      </w:pPr>
    </w:p>
    <w:p w14:paraId="26401F5F" w14:textId="59B6F8E4" w:rsidR="00106A3F" w:rsidRPr="00FB60C2" w:rsidRDefault="00106A3F" w:rsidP="00B701C8">
      <w:r w:rsidRPr="00FB60C2">
        <w:rPr>
          <w:color w:val="000000"/>
        </w:rPr>
        <w:t xml:space="preserve">Commissaire à l’information et à la protection de la vie privée de l’Ontario (2018). </w:t>
      </w:r>
      <w:r w:rsidRPr="00FB60C2">
        <w:rPr>
          <w:i/>
          <w:color w:val="000000"/>
        </w:rPr>
        <w:t>Privacy by design</w:t>
      </w:r>
      <w:r w:rsidRPr="00FB60C2">
        <w:rPr>
          <w:color w:val="000000"/>
        </w:rPr>
        <w:t xml:space="preserve">. </w:t>
      </w:r>
      <w:r w:rsidRPr="00FB60C2">
        <w:rPr>
          <w:iCs/>
        </w:rPr>
        <w:t>Consulté le 6 mars</w:t>
      </w:r>
      <w:r w:rsidRPr="00FB60C2">
        <w:rPr>
          <w:color w:val="000000"/>
        </w:rPr>
        <w:t xml:space="preserve"> 2025. Sur Internet : </w:t>
      </w:r>
      <w:hyperlink r:id="rId22" w:history="1">
        <w:r w:rsidRPr="00106A3F">
          <w:rPr>
            <w:rStyle w:val="Hyperlink"/>
            <w:color w:val="1155CC"/>
          </w:rPr>
          <w:t>https://www.ipc.on.ca/sites/default/files/legacy/2018/01/pbd-1.pdf</w:t>
        </w:r>
      </w:hyperlink>
      <w:r w:rsidRPr="00FB60C2">
        <w:rPr>
          <w:color w:val="000000"/>
        </w:rPr>
        <w:t>.</w:t>
      </w:r>
    </w:p>
    <w:p w14:paraId="50FA3107" w14:textId="77777777" w:rsidR="00106A3F" w:rsidRDefault="00106A3F" w:rsidP="00B701C8">
      <w:pPr>
        <w:rPr>
          <w:color w:val="000000"/>
        </w:rPr>
      </w:pPr>
    </w:p>
    <w:p w14:paraId="05004F3D" w14:textId="044E7564" w:rsidR="00106A3F" w:rsidRPr="00FB60C2" w:rsidRDefault="00106A3F" w:rsidP="00B701C8">
      <w:r w:rsidRPr="00FB60C2">
        <w:rPr>
          <w:color w:val="000000"/>
        </w:rPr>
        <w:t xml:space="preserve">Garrity, G. M., Lyons, C. et Tiedje, J. M. (2011). </w:t>
      </w:r>
      <w:r w:rsidRPr="003F51C9">
        <w:rPr>
          <w:color w:val="000000"/>
          <w:lang w:val="en-CA"/>
        </w:rPr>
        <w:t xml:space="preserve">A phylogeny-based approach to naming uncultivated Archaea and Bacteria. </w:t>
      </w:r>
      <w:r w:rsidRPr="00FB60C2">
        <w:rPr>
          <w:i/>
          <w:color w:val="000000"/>
        </w:rPr>
        <w:t>BMC Bioinformatics, 12</w:t>
      </w:r>
      <w:r w:rsidRPr="00FB60C2">
        <w:rPr>
          <w:color w:val="000000"/>
        </w:rPr>
        <w:t xml:space="preserve">(71). Sur Internet : </w:t>
      </w:r>
      <w:hyperlink r:id="rId23" w:history="1">
        <w:r w:rsidRPr="00FB60C2">
          <w:rPr>
            <w:color w:val="1155CC"/>
            <w:u w:val="single"/>
          </w:rPr>
          <w:t>https://doi.org/10.1186/1471-2105-12-71</w:t>
        </w:r>
      </w:hyperlink>
      <w:r w:rsidRPr="00FB60C2">
        <w:rPr>
          <w:color w:val="000000"/>
        </w:rPr>
        <w:t>.</w:t>
      </w:r>
    </w:p>
    <w:p w14:paraId="5AD23249" w14:textId="77777777" w:rsidR="00106A3F" w:rsidRDefault="00106A3F" w:rsidP="00B701C8">
      <w:pPr>
        <w:rPr>
          <w:color w:val="000000"/>
        </w:rPr>
      </w:pPr>
    </w:p>
    <w:p w14:paraId="77EC94D3" w14:textId="2937C01F" w:rsidR="00106A3F" w:rsidRPr="00FB60C2" w:rsidRDefault="00106A3F" w:rsidP="00B701C8">
      <w:r w:rsidRPr="00FB60C2">
        <w:rPr>
          <w:color w:val="000000"/>
        </w:rPr>
        <w:t xml:space="preserve">Gouvernement du Canada (2021). </w:t>
      </w:r>
      <w:r w:rsidRPr="00FB60C2">
        <w:rPr>
          <w:i/>
          <w:color w:val="000000"/>
        </w:rPr>
        <w:t>Politique des trois organismes sur la gestion des données de recherche.</w:t>
      </w:r>
      <w:r w:rsidRPr="00FB60C2">
        <w:rPr>
          <w:color w:val="000000"/>
        </w:rPr>
        <w:t xml:space="preserve"> </w:t>
      </w:r>
      <w:r w:rsidRPr="00FB60C2">
        <w:rPr>
          <w:iCs/>
        </w:rPr>
        <w:t>Consulté le 12 </w:t>
      </w:r>
      <w:r w:rsidRPr="00FB60C2">
        <w:rPr>
          <w:color w:val="000000"/>
        </w:rPr>
        <w:t xml:space="preserve">janvier 2025. Sur Internet : </w:t>
      </w:r>
      <w:hyperlink r:id="rId24" w:history="1">
        <w:r w:rsidRPr="00106A3F">
          <w:rPr>
            <w:rStyle w:val="Hyperlink"/>
            <w:color w:val="1155CC"/>
          </w:rPr>
          <w:t>https://science.gc.ca/site/science/fr/financement-interorganismes-recherche/politiques-lignes-directrices/gestion-donnees-recherche/politique-trois-organismes-gestion-donnees-recherche</w:t>
        </w:r>
      </w:hyperlink>
      <w:r w:rsidRPr="00FB60C2">
        <w:t>.</w:t>
      </w:r>
    </w:p>
    <w:p w14:paraId="4ADB8EFC" w14:textId="77777777" w:rsidR="00106A3F" w:rsidRDefault="00106A3F" w:rsidP="00B701C8">
      <w:pPr>
        <w:rPr>
          <w:color w:val="000000"/>
        </w:rPr>
      </w:pPr>
    </w:p>
    <w:p w14:paraId="4A164F4C" w14:textId="4CE0103B" w:rsidR="00106A3F" w:rsidRPr="00FB60C2" w:rsidRDefault="00106A3F" w:rsidP="00B701C8">
      <w:r w:rsidRPr="00FB60C2">
        <w:rPr>
          <w:color w:val="000000"/>
        </w:rPr>
        <w:t xml:space="preserve">Gouvernement du Canada (2022). </w:t>
      </w:r>
      <w:r w:rsidRPr="00FB60C2">
        <w:rPr>
          <w:i/>
          <w:color w:val="000000"/>
        </w:rPr>
        <w:t>Avis : Réduction de la période de conservation des registres d’essais cliniques de médicaments et de produits de santé naturels</w:t>
      </w:r>
      <w:r w:rsidRPr="00FB60C2">
        <w:rPr>
          <w:color w:val="000000"/>
        </w:rPr>
        <w:t xml:space="preserve">. </w:t>
      </w:r>
      <w:r w:rsidRPr="00FB60C2">
        <w:rPr>
          <w:iCs/>
        </w:rPr>
        <w:t>Consulté le 13 mai </w:t>
      </w:r>
      <w:r w:rsidRPr="00FB60C2">
        <w:rPr>
          <w:color w:val="000000"/>
        </w:rPr>
        <w:t>2025. Sur Internet :</w:t>
      </w:r>
      <w:r w:rsidRPr="00FB60C2">
        <w:t xml:space="preserve"> </w:t>
      </w:r>
      <w:hyperlink r:id="rId25" w:history="1">
        <w:r w:rsidRPr="00106A3F">
          <w:rPr>
            <w:rStyle w:val="Hyperlink"/>
            <w:color w:val="1155CC"/>
          </w:rPr>
          <w:t>https://www.canada.ca/fr/sante-canada/services/essais-cliniques/avis-reduction-periode-conservation-registres-essais-cliniques-medicaments-produits-sante-naturels.html</w:t>
        </w:r>
      </w:hyperlink>
      <w:r w:rsidRPr="00FB60C2">
        <w:rPr>
          <w:color w:val="000000"/>
        </w:rPr>
        <w:t xml:space="preserve">. </w:t>
      </w:r>
    </w:p>
    <w:p w14:paraId="502D6CD3" w14:textId="77777777" w:rsidR="00106A3F" w:rsidRDefault="00106A3F" w:rsidP="00B701C8">
      <w:pPr>
        <w:rPr>
          <w:color w:val="000000"/>
        </w:rPr>
      </w:pPr>
    </w:p>
    <w:p w14:paraId="54ECFF22" w14:textId="6409346F" w:rsidR="00106A3F" w:rsidRPr="00FB60C2" w:rsidRDefault="00106A3F" w:rsidP="00B701C8">
      <w:r w:rsidRPr="00FB60C2">
        <w:rPr>
          <w:color w:val="000000"/>
        </w:rPr>
        <w:t xml:space="preserve">Gouvernement du Canada (2024a). </w:t>
      </w:r>
      <w:r w:rsidRPr="00FB60C2">
        <w:rPr>
          <w:i/>
          <w:iCs/>
          <w:color w:val="000000"/>
        </w:rPr>
        <w:t>Lignes directrices sur la sécurité nationale pour les partenariats de recherche</w:t>
      </w:r>
      <w:r w:rsidRPr="00FB60C2">
        <w:rPr>
          <w:i/>
          <w:color w:val="000000"/>
        </w:rPr>
        <w:t xml:space="preserve">. </w:t>
      </w:r>
      <w:r w:rsidRPr="00FB60C2">
        <w:rPr>
          <w:iCs/>
        </w:rPr>
        <w:t>Consulté le 17 avril</w:t>
      </w:r>
      <w:r w:rsidRPr="00FB60C2">
        <w:rPr>
          <w:color w:val="000000"/>
        </w:rPr>
        <w:t xml:space="preserve"> 2025. Sur Internet : </w:t>
      </w:r>
      <w:hyperlink r:id="rId26" w:history="1">
        <w:r w:rsidRPr="00106A3F">
          <w:rPr>
            <w:rStyle w:val="Hyperlink"/>
            <w:color w:val="1155CC"/>
          </w:rPr>
          <w:t>https://science.gc.ca/site/science/fr/protegez-votre-recherche/lignes-directrices-outils-pour-mise-oeuvre-securite-recherche/lignes-directrices-securite-nationale-pour-partenariats-recherche</w:t>
        </w:r>
      </w:hyperlink>
      <w:r w:rsidRPr="00FB60C2">
        <w:rPr>
          <w:color w:val="000000"/>
        </w:rPr>
        <w:t>.</w:t>
      </w:r>
    </w:p>
    <w:p w14:paraId="2745F760" w14:textId="77777777" w:rsidR="00106A3F" w:rsidRDefault="00106A3F" w:rsidP="00B701C8">
      <w:pPr>
        <w:rPr>
          <w:color w:val="000000"/>
        </w:rPr>
      </w:pPr>
    </w:p>
    <w:p w14:paraId="2304A41A" w14:textId="79B4C712" w:rsidR="00106A3F" w:rsidRPr="00FB60C2" w:rsidRDefault="00106A3F" w:rsidP="00B701C8">
      <w:r w:rsidRPr="00FB60C2">
        <w:rPr>
          <w:color w:val="000000"/>
        </w:rPr>
        <w:t xml:space="preserve">Gouvernement du Canada (2024b). </w:t>
      </w:r>
      <w:r w:rsidRPr="00FB60C2">
        <w:rPr>
          <w:i/>
          <w:iCs/>
          <w:color w:val="000000"/>
        </w:rPr>
        <w:t>Politique sur la recherche en technologies sensibles et sur les affiliations préoccupantes</w:t>
      </w:r>
      <w:r w:rsidRPr="00FB60C2">
        <w:rPr>
          <w:i/>
          <w:color w:val="000000"/>
        </w:rPr>
        <w:t>.</w:t>
      </w:r>
      <w:r w:rsidRPr="00FB60C2">
        <w:rPr>
          <w:color w:val="000000"/>
        </w:rPr>
        <w:t xml:space="preserve"> </w:t>
      </w:r>
      <w:r w:rsidRPr="00FB60C2">
        <w:rPr>
          <w:iCs/>
        </w:rPr>
        <w:t>Consulté le 17 avril</w:t>
      </w:r>
      <w:r w:rsidRPr="00FB60C2">
        <w:rPr>
          <w:color w:val="000000"/>
        </w:rPr>
        <w:t> 2025. Sur Internet :</w:t>
      </w:r>
      <w:r w:rsidRPr="00FB60C2">
        <w:t xml:space="preserve"> </w:t>
      </w:r>
      <w:hyperlink r:id="rId27" w:history="1">
        <w:r w:rsidRPr="00106A3F">
          <w:rPr>
            <w:rStyle w:val="Hyperlink"/>
            <w:color w:val="1155CC"/>
          </w:rPr>
          <w:t>https://science.gc.ca/site/science/fr/protegez-votre-recherche/lignes-directrices-outils-pour-mise-oeuvre-securite-recherche/recherche-technologies-sensibles-affiliations-preoccupantes/politique-recherche-technologies-sensibles-affiliations-preoccupantes</w:t>
        </w:r>
      </w:hyperlink>
      <w:r w:rsidRPr="00FB60C2">
        <w:rPr>
          <w:color w:val="000000"/>
        </w:rPr>
        <w:t>.</w:t>
      </w:r>
    </w:p>
    <w:p w14:paraId="4184A417" w14:textId="77777777" w:rsidR="00106A3F" w:rsidRDefault="00106A3F" w:rsidP="00B701C8">
      <w:pPr>
        <w:rPr>
          <w:color w:val="000000"/>
        </w:rPr>
      </w:pPr>
    </w:p>
    <w:p w14:paraId="041850BE" w14:textId="422FDED7" w:rsidR="00106A3F" w:rsidRPr="00FB60C2" w:rsidRDefault="00106A3F" w:rsidP="00B701C8">
      <w:r w:rsidRPr="00FB60C2">
        <w:rPr>
          <w:color w:val="000000"/>
        </w:rPr>
        <w:t xml:space="preserve">Gouvernement du Canada (2024c). </w:t>
      </w:r>
      <w:r w:rsidRPr="00FB60C2">
        <w:rPr>
          <w:i/>
          <w:iCs/>
          <w:color w:val="000000"/>
        </w:rPr>
        <w:t>Domaines de recherche en technologies sensibles</w:t>
      </w:r>
      <w:r w:rsidRPr="00FB60C2">
        <w:rPr>
          <w:i/>
          <w:color w:val="000000"/>
        </w:rPr>
        <w:t>.</w:t>
      </w:r>
      <w:r w:rsidRPr="00FB60C2">
        <w:rPr>
          <w:color w:val="000000"/>
        </w:rPr>
        <w:t xml:space="preserve"> </w:t>
      </w:r>
      <w:r w:rsidRPr="00FB60C2">
        <w:rPr>
          <w:iCs/>
        </w:rPr>
        <w:t>Consulté le 17 avril</w:t>
      </w:r>
      <w:r w:rsidRPr="00FB60C2">
        <w:rPr>
          <w:color w:val="000000"/>
        </w:rPr>
        <w:t> 2025. Sur Internet :</w:t>
      </w:r>
      <w:r w:rsidRPr="00FB60C2">
        <w:t xml:space="preserve"> </w:t>
      </w:r>
      <w:hyperlink r:id="rId28" w:history="1">
        <w:r w:rsidRPr="00106A3F">
          <w:rPr>
            <w:rStyle w:val="Hyperlink"/>
            <w:color w:val="1155CC"/>
          </w:rPr>
          <w:t>https://science.gc.ca/site/science/fr/protegez-votre-recherche/lignes-directrices-outils-pour-mise-oeuvre-securite-recherche/recherche-technologies-sensibles-affiliations-preoccupantes/domaines-recherche-technologies-sensibles</w:t>
        </w:r>
      </w:hyperlink>
      <w:r w:rsidRPr="00FB60C2">
        <w:rPr>
          <w:color w:val="000000"/>
        </w:rPr>
        <w:t>.</w:t>
      </w:r>
    </w:p>
    <w:p w14:paraId="138106DC" w14:textId="77777777" w:rsidR="00106A3F" w:rsidRDefault="00106A3F" w:rsidP="00B701C8">
      <w:pPr>
        <w:rPr>
          <w:color w:val="000000"/>
        </w:rPr>
      </w:pPr>
    </w:p>
    <w:p w14:paraId="33DE2D97" w14:textId="1897D2DC" w:rsidR="00106A3F" w:rsidRPr="00FB60C2" w:rsidRDefault="00106A3F" w:rsidP="00B701C8">
      <w:r w:rsidRPr="00FB60C2">
        <w:rPr>
          <w:color w:val="000000"/>
        </w:rPr>
        <w:lastRenderedPageBreak/>
        <w:t xml:space="preserve">Gouvernement du Canada (2025). </w:t>
      </w:r>
      <w:r w:rsidRPr="00FB60C2">
        <w:rPr>
          <w:i/>
          <w:iCs/>
          <w:color w:val="000000"/>
        </w:rPr>
        <w:t>Protection de l’information contrôlée dans les organisations et les systèmes ne relevant pas du gouvernement du Canada (ITSP.10.171)</w:t>
      </w:r>
      <w:r w:rsidRPr="00FB60C2">
        <w:rPr>
          <w:i/>
          <w:color w:val="000000"/>
        </w:rPr>
        <w:t>.</w:t>
      </w:r>
      <w:r w:rsidRPr="00FB60C2">
        <w:rPr>
          <w:iCs/>
        </w:rPr>
        <w:t xml:space="preserve"> Consulté le 23 juin</w:t>
      </w:r>
      <w:r w:rsidRPr="00FB60C2">
        <w:rPr>
          <w:color w:val="000000"/>
        </w:rPr>
        <w:t> 2025. Sur Internet :</w:t>
      </w:r>
      <w:r w:rsidRPr="00FB60C2">
        <w:t xml:space="preserve"> </w:t>
      </w:r>
      <w:hyperlink r:id="rId29" w:history="1">
        <w:r w:rsidRPr="00106A3F">
          <w:rPr>
            <w:rStyle w:val="Hyperlink"/>
            <w:color w:val="1155CC"/>
          </w:rPr>
          <w:t>https://www.cyber.gc.ca/fr/orientation/protection-linformation-controlee-organisations-systemes-ne-relevant-pas-gouvernement-canada-itsp10171</w:t>
        </w:r>
      </w:hyperlink>
      <w:r w:rsidRPr="00FB60C2">
        <w:t>.</w:t>
      </w:r>
    </w:p>
    <w:p w14:paraId="4E71E87C" w14:textId="77777777" w:rsidR="00106A3F" w:rsidRDefault="00106A3F" w:rsidP="00B701C8">
      <w:pPr>
        <w:rPr>
          <w:color w:val="000000"/>
        </w:rPr>
      </w:pPr>
    </w:p>
    <w:p w14:paraId="6D87C5E8" w14:textId="57F0DD98" w:rsidR="00106A3F" w:rsidRPr="00FB60C2" w:rsidRDefault="00106A3F" w:rsidP="00B701C8">
      <w:r w:rsidRPr="00FB60C2">
        <w:rPr>
          <w:color w:val="000000"/>
        </w:rPr>
        <w:t xml:space="preserve">Groupe d’experts sur les données sensibles (2020). </w:t>
      </w:r>
      <w:r w:rsidRPr="003F51C9">
        <w:rPr>
          <w:i/>
          <w:iCs/>
          <w:color w:val="000000"/>
          <w:lang w:val="en-CA"/>
        </w:rPr>
        <w:t>Sensitive Data Toolkit for Researchers Part 1: Glossary of Terms for Sensitive Data used for Research Purposes.</w:t>
      </w:r>
      <w:r w:rsidRPr="003F51C9">
        <w:rPr>
          <w:color w:val="000000"/>
          <w:lang w:val="en-CA"/>
        </w:rPr>
        <w:t xml:space="preserve"> </w:t>
      </w:r>
      <w:r w:rsidRPr="00FB60C2">
        <w:rPr>
          <w:color w:val="000000"/>
        </w:rPr>
        <w:t xml:space="preserve">Zenodo. Sur Internet : </w:t>
      </w:r>
      <w:hyperlink r:id="rId30" w:history="1">
        <w:r w:rsidRPr="00106A3F">
          <w:rPr>
            <w:rStyle w:val="Hyperlink"/>
            <w:color w:val="1155CC"/>
          </w:rPr>
          <w:t>https://doi.org/10.5281/zenodo.4088946</w:t>
        </w:r>
      </w:hyperlink>
      <w:r w:rsidRPr="00FB60C2">
        <w:rPr>
          <w:color w:val="000000"/>
        </w:rPr>
        <w:t>.</w:t>
      </w:r>
    </w:p>
    <w:p w14:paraId="677CB5F2" w14:textId="77777777" w:rsidR="00106A3F" w:rsidRDefault="00106A3F" w:rsidP="00B701C8">
      <w:pPr>
        <w:rPr>
          <w:color w:val="000000"/>
        </w:rPr>
      </w:pPr>
    </w:p>
    <w:p w14:paraId="0CC03D23" w14:textId="02F0B5D7" w:rsidR="00106A3F" w:rsidRPr="00FB60C2" w:rsidRDefault="00106A3F" w:rsidP="00B701C8">
      <w:r w:rsidRPr="00FB60C2">
        <w:rPr>
          <w:color w:val="000000"/>
        </w:rPr>
        <w:t xml:space="preserve">Groupe en éthique de la recherche (2021). </w:t>
      </w:r>
      <w:r w:rsidRPr="00FB60C2">
        <w:rPr>
          <w:i/>
          <w:iCs/>
          <w:color w:val="000000"/>
        </w:rPr>
        <w:t>Lignes directrices pour verser des données existantes dans des dépôts publics</w:t>
      </w:r>
      <w:r w:rsidRPr="00FB60C2">
        <w:rPr>
          <w:color w:val="000000"/>
        </w:rPr>
        <w:t xml:space="preserve">. </w:t>
      </w:r>
      <w:r w:rsidRPr="00FB60C2">
        <w:rPr>
          <w:iCs/>
        </w:rPr>
        <w:t>Consulté le 6 mars</w:t>
      </w:r>
      <w:r w:rsidRPr="00FB60C2">
        <w:rPr>
          <w:color w:val="000000"/>
        </w:rPr>
        <w:t xml:space="preserve"> 2025. Sur Internet : </w:t>
      </w:r>
      <w:hyperlink r:id="rId31" w:history="1">
        <w:r w:rsidRPr="00FB60C2">
          <w:rPr>
            <w:color w:val="1155CC"/>
            <w:u w:val="single"/>
          </w:rPr>
          <w:t>https://ethics.gc.ca/eng/consignationing_depots.html</w:t>
        </w:r>
      </w:hyperlink>
      <w:r w:rsidRPr="00FB60C2">
        <w:rPr>
          <w:color w:val="000000"/>
        </w:rPr>
        <w:t>.</w:t>
      </w:r>
    </w:p>
    <w:p w14:paraId="26AEDA33" w14:textId="77777777" w:rsidR="00106A3F" w:rsidRDefault="00106A3F" w:rsidP="00B701C8">
      <w:pPr>
        <w:rPr>
          <w:color w:val="000000"/>
        </w:rPr>
      </w:pPr>
    </w:p>
    <w:p w14:paraId="45F611E6" w14:textId="365CF1A3" w:rsidR="00106A3F" w:rsidRPr="00FB60C2" w:rsidRDefault="00106A3F" w:rsidP="00B701C8">
      <w:r w:rsidRPr="00FB60C2">
        <w:rPr>
          <w:color w:val="000000"/>
        </w:rPr>
        <w:t xml:space="preserve">Groupe en éthique de la recherche (2022). </w:t>
      </w:r>
      <w:r w:rsidRPr="00FB60C2">
        <w:rPr>
          <w:i/>
          <w:iCs/>
          <w:color w:val="000000"/>
        </w:rPr>
        <w:t>É</w:t>
      </w:r>
      <w:r w:rsidRPr="00FB60C2">
        <w:rPr>
          <w:i/>
          <w:color w:val="000000"/>
        </w:rPr>
        <w:t>noncé de politique des trois conseils : éthique de la recherche avec des êtres humains (EPTC2)</w:t>
      </w:r>
      <w:r w:rsidRPr="00106A3F">
        <w:rPr>
          <w:iCs/>
          <w:color w:val="000000"/>
        </w:rPr>
        <w:t>.</w:t>
      </w:r>
      <w:r w:rsidRPr="00FB60C2">
        <w:rPr>
          <w:color w:val="000000"/>
        </w:rPr>
        <w:t xml:space="preserve"> </w:t>
      </w:r>
      <w:r w:rsidRPr="00FB60C2">
        <w:rPr>
          <w:iCs/>
        </w:rPr>
        <w:t>Consulté le 19 mars</w:t>
      </w:r>
      <w:r w:rsidRPr="00FB60C2">
        <w:rPr>
          <w:color w:val="000000"/>
        </w:rPr>
        <w:t xml:space="preserve"> 2025. Sur Internet : </w:t>
      </w:r>
      <w:hyperlink r:id="rId32" w:history="1">
        <w:r w:rsidRPr="00106A3F">
          <w:rPr>
            <w:rStyle w:val="Hyperlink"/>
            <w:color w:val="1155CC"/>
          </w:rPr>
          <w:t>https://ethics.gc.ca/fra/policy-politique_tcps2-eptc2_2022.html</w:t>
        </w:r>
      </w:hyperlink>
      <w:r w:rsidRPr="00FB60C2">
        <w:rPr>
          <w:color w:val="000000"/>
        </w:rPr>
        <w:t>.</w:t>
      </w:r>
    </w:p>
    <w:p w14:paraId="0C198883" w14:textId="77777777" w:rsidR="00106A3F" w:rsidRPr="00FB60C2" w:rsidRDefault="00106A3F" w:rsidP="00B701C8">
      <w:pPr>
        <w:spacing w:before="240" w:after="240"/>
      </w:pPr>
      <w:r w:rsidRPr="00FB60C2">
        <w:rPr>
          <w:color w:val="000000"/>
        </w:rPr>
        <w:t xml:space="preserve">Groupe sur la conduite responsable de la recherche (2021). </w:t>
      </w:r>
      <w:r w:rsidRPr="00FB60C2">
        <w:rPr>
          <w:i/>
          <w:color w:val="000000"/>
        </w:rPr>
        <w:t>Cadre de référence des trois organismes sur la conduite responsable de la recherche (2021)</w:t>
      </w:r>
      <w:r w:rsidRPr="00FB60C2">
        <w:rPr>
          <w:color w:val="000000"/>
        </w:rPr>
        <w:t xml:space="preserve">. </w:t>
      </w:r>
      <w:r w:rsidRPr="00FB60C2">
        <w:rPr>
          <w:iCs/>
        </w:rPr>
        <w:t>Consulté le 20 mars</w:t>
      </w:r>
      <w:r w:rsidRPr="00FB60C2">
        <w:rPr>
          <w:color w:val="000000"/>
        </w:rPr>
        <w:t xml:space="preserve"> 2025. Sur Internet : </w:t>
      </w:r>
      <w:hyperlink r:id="rId33" w:history="1">
        <w:r w:rsidRPr="00106A3F">
          <w:rPr>
            <w:rStyle w:val="Hyperlink"/>
            <w:color w:val="1155CC"/>
          </w:rPr>
          <w:t>https://rcr.ethics.gc.ca/fra/framework-cadre-2021.html</w:t>
        </w:r>
      </w:hyperlink>
      <w:r w:rsidRPr="00FB60C2">
        <w:rPr>
          <w:color w:val="000000"/>
        </w:rPr>
        <w:t>.</w:t>
      </w:r>
    </w:p>
    <w:p w14:paraId="4A96C8E7" w14:textId="77777777" w:rsidR="00106A3F" w:rsidRPr="00FB60C2" w:rsidRDefault="00106A3F" w:rsidP="00B701C8">
      <w:r w:rsidRPr="003F51C9">
        <w:rPr>
          <w:color w:val="000000"/>
          <w:lang w:val="en-CA"/>
        </w:rPr>
        <w:t xml:space="preserve">ICPSR (s.d.). </w:t>
      </w:r>
      <w:r w:rsidRPr="003F51C9">
        <w:rPr>
          <w:i/>
          <w:color w:val="000000"/>
          <w:lang w:val="en-CA"/>
        </w:rPr>
        <w:t>Accessing restricted data at ICPSR</w:t>
      </w:r>
      <w:r w:rsidRPr="003F51C9">
        <w:rPr>
          <w:color w:val="000000"/>
          <w:lang w:val="en-CA"/>
        </w:rPr>
        <w:t xml:space="preserve">. </w:t>
      </w:r>
      <w:r w:rsidRPr="00FB60C2">
        <w:rPr>
          <w:iCs/>
        </w:rPr>
        <w:t>Consulté le 6 mars</w:t>
      </w:r>
      <w:r w:rsidRPr="00FB60C2">
        <w:rPr>
          <w:color w:val="000000"/>
        </w:rPr>
        <w:t xml:space="preserve"> 2025. Sur Internet : </w:t>
      </w:r>
      <w:hyperlink r:id="rId34" w:history="1">
        <w:r w:rsidRPr="00FB60C2">
          <w:rPr>
            <w:color w:val="1155CC"/>
            <w:u w:val="single"/>
          </w:rPr>
          <w:t>https://www.icpsr.umich.edu/web/pages/ICPSR/access/restricted/</w:t>
        </w:r>
      </w:hyperlink>
      <w:r w:rsidRPr="00FB60C2">
        <w:rPr>
          <w:color w:val="000000"/>
        </w:rPr>
        <w:t>.</w:t>
      </w:r>
    </w:p>
    <w:p w14:paraId="16A74CE7" w14:textId="77777777" w:rsidR="00106A3F" w:rsidRDefault="00106A3F" w:rsidP="00B701C8">
      <w:pPr>
        <w:rPr>
          <w:color w:val="000000"/>
        </w:rPr>
      </w:pPr>
    </w:p>
    <w:p w14:paraId="15A6326B" w14:textId="27E9B73C" w:rsidR="00106A3F" w:rsidRPr="003F51C9" w:rsidRDefault="00106A3F" w:rsidP="00B701C8">
      <w:pPr>
        <w:rPr>
          <w:lang w:val="en-CA"/>
        </w:rPr>
      </w:pPr>
      <w:r w:rsidRPr="003F51C9">
        <w:rPr>
          <w:color w:val="000000"/>
          <w:lang w:val="en-CA"/>
        </w:rPr>
        <w:t xml:space="preserve">International Society for Biological and Environmental Repositories (ISBER) (s.d.). </w:t>
      </w:r>
      <w:r w:rsidRPr="003F51C9">
        <w:rPr>
          <w:i/>
          <w:color w:val="000000"/>
          <w:lang w:val="en-CA"/>
        </w:rPr>
        <w:t>Best practices: Recommendations for repositories</w:t>
      </w:r>
      <w:r w:rsidRPr="003F51C9">
        <w:rPr>
          <w:color w:val="000000"/>
          <w:lang w:val="en-CA"/>
        </w:rPr>
        <w:t>. Sur Internet :</w:t>
      </w:r>
      <w:hyperlink r:id="rId35" w:history="1">
        <w:r w:rsidRPr="003F51C9">
          <w:rPr>
            <w:rStyle w:val="Hyperlink"/>
            <w:color w:val="auto"/>
            <w:u w:val="none"/>
            <w:lang w:val="en-CA"/>
          </w:rPr>
          <w:t xml:space="preserve"> </w:t>
        </w:r>
      </w:hyperlink>
      <w:hyperlink r:id="rId36" w:history="1">
        <w:r w:rsidRPr="003F51C9">
          <w:rPr>
            <w:color w:val="1155CC"/>
            <w:u w:val="single"/>
            <w:lang w:val="en-CA"/>
          </w:rPr>
          <w:t>https://www.isber.org/page/BPR</w:t>
        </w:r>
      </w:hyperlink>
      <w:r w:rsidRPr="003F51C9">
        <w:rPr>
          <w:color w:val="000000"/>
          <w:lang w:val="en-CA"/>
        </w:rPr>
        <w:t>.</w:t>
      </w:r>
    </w:p>
    <w:p w14:paraId="04A60C64" w14:textId="77777777" w:rsidR="00106A3F" w:rsidRPr="003F51C9" w:rsidRDefault="00106A3F" w:rsidP="00B701C8">
      <w:pPr>
        <w:rPr>
          <w:color w:val="000000"/>
          <w:lang w:val="en-CA"/>
        </w:rPr>
      </w:pPr>
    </w:p>
    <w:p w14:paraId="23E8E6F3" w14:textId="2B3E0081" w:rsidR="00106A3F" w:rsidRPr="003F51C9" w:rsidRDefault="00106A3F" w:rsidP="00B701C8">
      <w:pPr>
        <w:rPr>
          <w:lang w:val="en-CA"/>
        </w:rPr>
      </w:pPr>
      <w:r w:rsidRPr="003F51C9">
        <w:rPr>
          <w:color w:val="000000"/>
          <w:lang w:val="en-CA"/>
        </w:rPr>
        <w:t xml:space="preserve">Jin, H., Xu, C., Luo, Y., Li, P., Cao, Y. et Mathew, J. (2019). Toward secure, privacy-preserving, and interoperable medical data sharing via blockchain, </w:t>
      </w:r>
      <w:r w:rsidRPr="003F51C9">
        <w:rPr>
          <w:i/>
          <w:color w:val="000000"/>
          <w:lang w:val="en-CA"/>
        </w:rPr>
        <w:t xml:space="preserve">2019, </w:t>
      </w:r>
      <w:r w:rsidRPr="003F51C9">
        <w:rPr>
          <w:i/>
          <w:lang w:val="en-CA"/>
        </w:rPr>
        <w:t>IEEE 25</w:t>
      </w:r>
      <w:r w:rsidRPr="003F51C9">
        <w:rPr>
          <w:i/>
          <w:vertAlign w:val="superscript"/>
          <w:lang w:val="en-CA"/>
        </w:rPr>
        <w:t>th</w:t>
      </w:r>
      <w:r w:rsidRPr="003F51C9">
        <w:rPr>
          <w:i/>
          <w:lang w:val="en-CA"/>
        </w:rPr>
        <w:t xml:space="preserve"> International Conference on Parallel and Distributed Systems (ICPADS)</w:t>
      </w:r>
      <w:r w:rsidRPr="003F51C9">
        <w:rPr>
          <w:color w:val="000000"/>
          <w:lang w:val="en-CA"/>
        </w:rPr>
        <w:t>, Tianjin, Chine, pages 852 à 861. Doi : 10.1109/ICPADS47876.2019.00126.</w:t>
      </w:r>
    </w:p>
    <w:p w14:paraId="3F1CAA47" w14:textId="77777777" w:rsidR="00106A3F" w:rsidRPr="003F51C9" w:rsidRDefault="00106A3F" w:rsidP="00B701C8">
      <w:pPr>
        <w:rPr>
          <w:color w:val="000000"/>
          <w:lang w:val="en-CA"/>
        </w:rPr>
      </w:pPr>
    </w:p>
    <w:p w14:paraId="7A250BAF" w14:textId="3EB92BC3" w:rsidR="00106A3F" w:rsidRPr="00FB60C2" w:rsidRDefault="00106A3F" w:rsidP="00106A3F">
      <w:r w:rsidRPr="003F51C9">
        <w:rPr>
          <w:color w:val="000000"/>
          <w:lang w:val="en-CA"/>
        </w:rPr>
        <w:t>Kazantsev, K., Islam, N., Zwiegelaar, J., Brown, A. et Maull, R. (2023). Data sharing for business model innovation in platform ecosystems: From private data to public good,</w:t>
      </w:r>
      <w:r w:rsidRPr="003F51C9">
        <w:rPr>
          <w:i/>
          <w:color w:val="000000"/>
          <w:lang w:val="en-CA"/>
        </w:rPr>
        <w:t xml:space="preserve"> Technological Forecasting and Social Change</w:t>
      </w:r>
      <w:r w:rsidRPr="003F51C9">
        <w:rPr>
          <w:color w:val="000000"/>
          <w:lang w:val="en-CA"/>
        </w:rPr>
        <w:t xml:space="preserve">, vol. 192, 122515. </w:t>
      </w:r>
      <w:r w:rsidRPr="00FB60C2">
        <w:rPr>
          <w:color w:val="000000"/>
        </w:rPr>
        <w:t xml:space="preserve">Sur Internet : </w:t>
      </w:r>
      <w:hyperlink r:id="rId37" w:history="1">
        <w:r w:rsidRPr="00FB60C2">
          <w:rPr>
            <w:color w:val="1155CC"/>
            <w:u w:val="single"/>
          </w:rPr>
          <w:t>https://doi.org/10.1016/j.techfore.2023.122515</w:t>
        </w:r>
      </w:hyperlink>
      <w:r w:rsidRPr="00FB60C2">
        <w:rPr>
          <w:color w:val="000000"/>
        </w:rPr>
        <w:t>.</w:t>
      </w:r>
    </w:p>
    <w:p w14:paraId="7D8C6C85" w14:textId="77777777" w:rsidR="00106A3F" w:rsidRDefault="00106A3F" w:rsidP="00B701C8">
      <w:pPr>
        <w:rPr>
          <w:color w:val="000000"/>
        </w:rPr>
      </w:pPr>
    </w:p>
    <w:p w14:paraId="055B6CE2" w14:textId="49BD4853" w:rsidR="00106A3F" w:rsidRPr="00FB60C2" w:rsidRDefault="00106A3F" w:rsidP="00B701C8">
      <w:r w:rsidRPr="00FB60C2">
        <w:rPr>
          <w:color w:val="000000"/>
        </w:rPr>
        <w:t xml:space="preserve">Kukutai, T. et Taylor, J. (éd.) </w:t>
      </w:r>
      <w:r w:rsidRPr="003F51C9">
        <w:rPr>
          <w:color w:val="000000"/>
          <w:lang w:val="en-CA"/>
        </w:rPr>
        <w:t xml:space="preserve">(2016). </w:t>
      </w:r>
      <w:r w:rsidRPr="003F51C9">
        <w:rPr>
          <w:i/>
          <w:iCs/>
          <w:color w:val="000000"/>
          <w:lang w:val="en-CA"/>
        </w:rPr>
        <w:t>I</w:t>
      </w:r>
      <w:r w:rsidRPr="003F51C9">
        <w:rPr>
          <w:i/>
          <w:lang w:val="en-CA"/>
        </w:rPr>
        <w:t>ndigenous Data Sovereignty Toward an Agenda</w:t>
      </w:r>
      <w:r w:rsidRPr="003F51C9">
        <w:rPr>
          <w:lang w:val="en-CA"/>
        </w:rPr>
        <w:t>.</w:t>
      </w:r>
      <w:r w:rsidRPr="003F51C9">
        <w:rPr>
          <w:color w:val="000000"/>
          <w:lang w:val="en-CA"/>
        </w:rPr>
        <w:t xml:space="preserve"> </w:t>
      </w:r>
      <w:r w:rsidRPr="00FB60C2">
        <w:rPr>
          <w:color w:val="000000"/>
        </w:rPr>
        <w:t xml:space="preserve">Canberra, ANU Press. Sur Internet : </w:t>
      </w:r>
      <w:hyperlink r:id="rId38">
        <w:r w:rsidRPr="00FB60C2">
          <w:rPr>
            <w:color w:val="1155CC"/>
            <w:u w:val="single"/>
          </w:rPr>
          <w:t>https://press.anu.edu.au/publications/series/caepr/indigenous-data-sovereignty</w:t>
        </w:r>
      </w:hyperlink>
      <w:r w:rsidRPr="00FB60C2">
        <w:t>.</w:t>
      </w:r>
    </w:p>
    <w:p w14:paraId="29B0615D" w14:textId="77777777" w:rsidR="00106A3F" w:rsidRDefault="00106A3F" w:rsidP="00B701C8">
      <w:pPr>
        <w:rPr>
          <w:color w:val="000000"/>
        </w:rPr>
      </w:pPr>
    </w:p>
    <w:p w14:paraId="1F6CC4F6" w14:textId="0F2C1864" w:rsidR="00106A3F" w:rsidRPr="003F51C9" w:rsidRDefault="00106A3F" w:rsidP="00B701C8">
      <w:pPr>
        <w:rPr>
          <w:lang w:val="en-CA"/>
        </w:rPr>
      </w:pPr>
      <w:r w:rsidRPr="00FB60C2">
        <w:rPr>
          <w:color w:val="000000"/>
        </w:rPr>
        <w:t xml:space="preserve">Lefaivre, S., Behan, B., Vaccarino, A., Evans, K., Dharsee, M., Gee, T. et coll. (2019). </w:t>
      </w:r>
      <w:r w:rsidRPr="003F51C9">
        <w:rPr>
          <w:lang w:val="en-CA"/>
        </w:rPr>
        <w:t xml:space="preserve">Big data needs big governance: Best practices from Brain-CODE, the Ontario Brain Institute’s Neuroinformatics Platform. </w:t>
      </w:r>
      <w:r w:rsidRPr="003F51C9">
        <w:rPr>
          <w:i/>
          <w:lang w:val="en-CA"/>
        </w:rPr>
        <w:t>Frontiers in Genetics</w:t>
      </w:r>
      <w:r w:rsidRPr="003F51C9">
        <w:rPr>
          <w:lang w:val="en-CA"/>
        </w:rPr>
        <w:t>, 10:191. Doi : 10.3389/fgene.2019.0019.1.</w:t>
      </w:r>
    </w:p>
    <w:p w14:paraId="3B039105" w14:textId="77777777" w:rsidR="00106A3F" w:rsidRPr="003F51C9" w:rsidRDefault="00106A3F" w:rsidP="00B701C8">
      <w:pPr>
        <w:rPr>
          <w:color w:val="000000"/>
          <w:lang w:val="en-CA"/>
        </w:rPr>
      </w:pPr>
    </w:p>
    <w:p w14:paraId="2ACCE750" w14:textId="6E93E6A1" w:rsidR="00106A3F" w:rsidRPr="00FB60C2" w:rsidRDefault="00106A3F" w:rsidP="00B701C8">
      <w:r w:rsidRPr="003F51C9">
        <w:rPr>
          <w:color w:val="000000"/>
          <w:lang w:val="en-CA"/>
        </w:rPr>
        <w:t xml:space="preserve">Liu, J., Li, X., Ye, L., Zhang, H., Du, X. et Guizani, M. (2018). </w:t>
      </w:r>
      <w:r w:rsidRPr="003F51C9">
        <w:rPr>
          <w:lang w:val="en-CA"/>
        </w:rPr>
        <w:t xml:space="preserve">BPDS: A blockchain based privacy-preserving data sharing for electronic medical records. </w:t>
      </w:r>
      <w:r w:rsidRPr="00FB60C2">
        <w:rPr>
          <w:i/>
        </w:rPr>
        <w:t xml:space="preserve">2018 IEEE Global </w:t>
      </w:r>
      <w:r w:rsidRPr="00FB60C2">
        <w:rPr>
          <w:i/>
        </w:rPr>
        <w:lastRenderedPageBreak/>
        <w:t>Communications Conference (GLOBECOM)</w:t>
      </w:r>
      <w:r w:rsidRPr="00FB60C2">
        <w:t>, Abu Dhabi, Émirats arabes unis, pages 1 à 6, doi : 10.1109/GLOCOM.2018.8647713.</w:t>
      </w:r>
    </w:p>
    <w:p w14:paraId="19D77604" w14:textId="77777777" w:rsidR="00106A3F" w:rsidRDefault="00106A3F" w:rsidP="00B701C8">
      <w:pPr>
        <w:rPr>
          <w:color w:val="000000"/>
        </w:rPr>
      </w:pPr>
    </w:p>
    <w:p w14:paraId="11D2A8A7" w14:textId="12DF4144" w:rsidR="00106A3F" w:rsidRPr="003F51C9" w:rsidRDefault="00106A3F" w:rsidP="00B701C8">
      <w:pPr>
        <w:rPr>
          <w:lang w:val="en-CA"/>
        </w:rPr>
      </w:pPr>
      <w:r w:rsidRPr="003F51C9">
        <w:rPr>
          <w:color w:val="000000"/>
          <w:lang w:val="en-CA"/>
        </w:rPr>
        <w:t xml:space="preserve">Oren, A. (2023). Blockchain-based safety and efficiency approach to air traffic management. </w:t>
      </w:r>
      <w:r w:rsidRPr="003F51C9">
        <w:rPr>
          <w:i/>
          <w:color w:val="000000"/>
          <w:lang w:val="en-CA"/>
        </w:rPr>
        <w:t>10</w:t>
      </w:r>
      <w:r w:rsidRPr="003F51C9">
        <w:rPr>
          <w:i/>
          <w:color w:val="000000"/>
          <w:vertAlign w:val="superscript"/>
          <w:lang w:val="en-CA"/>
        </w:rPr>
        <w:t>th</w:t>
      </w:r>
      <w:r w:rsidRPr="003F51C9">
        <w:rPr>
          <w:i/>
          <w:color w:val="000000"/>
          <w:lang w:val="en-CA"/>
        </w:rPr>
        <w:t xml:space="preserve"> International Conference on Recent Advances in Air and Space Technologies (RAST)</w:t>
      </w:r>
      <w:r w:rsidRPr="003F51C9">
        <w:rPr>
          <w:color w:val="000000"/>
          <w:lang w:val="en-CA"/>
        </w:rPr>
        <w:t>, Istanbul, Türkiye, 2023, pages 1 à 7. Doi : 10.1109/RAST57548.2023.10197930.</w:t>
      </w:r>
    </w:p>
    <w:p w14:paraId="52BE4E48" w14:textId="77777777" w:rsidR="00106A3F" w:rsidRPr="003F51C9" w:rsidRDefault="00106A3F" w:rsidP="00B701C8">
      <w:pPr>
        <w:rPr>
          <w:color w:val="000000"/>
          <w:lang w:val="en-CA"/>
        </w:rPr>
      </w:pPr>
    </w:p>
    <w:p w14:paraId="599CD82C" w14:textId="79D746A6" w:rsidR="00106A3F" w:rsidRPr="00FB60C2" w:rsidRDefault="00106A3F" w:rsidP="00B701C8">
      <w:r w:rsidRPr="003F51C9">
        <w:rPr>
          <w:color w:val="000000"/>
          <w:lang w:val="en-CA"/>
        </w:rPr>
        <w:t xml:space="preserve">Privacy Patterns (s.d.). </w:t>
      </w:r>
      <w:r w:rsidRPr="00FB60C2">
        <w:rPr>
          <w:i/>
          <w:iCs/>
          <w:color w:val="000000"/>
        </w:rPr>
        <w:t>Privacy</w:t>
      </w:r>
      <w:r w:rsidRPr="00FB60C2">
        <w:rPr>
          <w:i/>
          <w:color w:val="000000"/>
        </w:rPr>
        <w:t xml:space="preserve"> patterns</w:t>
      </w:r>
      <w:r w:rsidRPr="00FB60C2">
        <w:rPr>
          <w:color w:val="000000"/>
        </w:rPr>
        <w:t xml:space="preserve">. </w:t>
      </w:r>
      <w:r w:rsidRPr="00FB60C2">
        <w:rPr>
          <w:iCs/>
        </w:rPr>
        <w:t>Consulté le 6 mars</w:t>
      </w:r>
      <w:r w:rsidRPr="00FB60C2">
        <w:rPr>
          <w:color w:val="000000"/>
        </w:rPr>
        <w:t xml:space="preserve"> 2025. Sur Internet : </w:t>
      </w:r>
      <w:hyperlink r:id="rId39" w:history="1">
        <w:r w:rsidRPr="00106A3F">
          <w:rPr>
            <w:rStyle w:val="Hyperlink"/>
            <w:color w:val="1155CC"/>
          </w:rPr>
          <w:t>https://privacypatterns.org/</w:t>
        </w:r>
      </w:hyperlink>
      <w:r w:rsidRPr="00FB60C2">
        <w:rPr>
          <w:color w:val="000000"/>
        </w:rPr>
        <w:t>.</w:t>
      </w:r>
    </w:p>
    <w:p w14:paraId="1F60ED46" w14:textId="77777777" w:rsidR="00106A3F" w:rsidRDefault="00106A3F" w:rsidP="00B701C8">
      <w:pPr>
        <w:rPr>
          <w:color w:val="000000"/>
        </w:rPr>
      </w:pPr>
    </w:p>
    <w:p w14:paraId="711DF117" w14:textId="69CE0349" w:rsidR="00106A3F" w:rsidRPr="00FB60C2" w:rsidRDefault="00106A3F" w:rsidP="00B701C8">
      <w:r w:rsidRPr="00FB60C2">
        <w:rPr>
          <w:color w:val="000000"/>
        </w:rPr>
        <w:t xml:space="preserve">Qualitative Data Repositories (s.d.a.). </w:t>
      </w:r>
      <w:r w:rsidRPr="003F51C9">
        <w:rPr>
          <w:i/>
          <w:color w:val="000000"/>
          <w:lang w:val="en-CA"/>
        </w:rPr>
        <w:t>About the Qualitative Data Repository</w:t>
      </w:r>
      <w:r w:rsidRPr="003F51C9">
        <w:rPr>
          <w:color w:val="000000"/>
          <w:lang w:val="en-CA"/>
        </w:rPr>
        <w:t xml:space="preserve">. </w:t>
      </w:r>
      <w:r w:rsidRPr="00FB60C2">
        <w:rPr>
          <w:iCs/>
        </w:rPr>
        <w:t>Consulté le 6 mars</w:t>
      </w:r>
      <w:r w:rsidRPr="00FB60C2">
        <w:rPr>
          <w:color w:val="000000"/>
        </w:rPr>
        <w:t xml:space="preserve"> 2025. Sur Internet : </w:t>
      </w:r>
      <w:hyperlink r:id="rId40" w:history="1">
        <w:r w:rsidRPr="00FB60C2">
          <w:rPr>
            <w:color w:val="1155CC"/>
            <w:u w:val="single"/>
          </w:rPr>
          <w:t>https://qdr.syr.edu/about</w:t>
        </w:r>
      </w:hyperlink>
      <w:r w:rsidRPr="00FB60C2">
        <w:rPr>
          <w:color w:val="000000"/>
        </w:rPr>
        <w:t>.</w:t>
      </w:r>
    </w:p>
    <w:p w14:paraId="7DC46803" w14:textId="77777777" w:rsidR="00106A3F" w:rsidRDefault="00106A3F" w:rsidP="00B701C8">
      <w:pPr>
        <w:rPr>
          <w:color w:val="000000"/>
        </w:rPr>
      </w:pPr>
    </w:p>
    <w:p w14:paraId="24B6E8C8" w14:textId="17E315B4" w:rsidR="00106A3F" w:rsidRPr="00FB60C2" w:rsidRDefault="00106A3F" w:rsidP="00B701C8">
      <w:r w:rsidRPr="00FB60C2">
        <w:rPr>
          <w:color w:val="000000"/>
        </w:rPr>
        <w:t xml:space="preserve">Qualitative Data Repositories (s.d.b.). </w:t>
      </w:r>
      <w:r w:rsidRPr="00FB60C2">
        <w:rPr>
          <w:i/>
          <w:color w:val="000000"/>
        </w:rPr>
        <w:t>Access controls</w:t>
      </w:r>
      <w:r w:rsidRPr="00FB60C2">
        <w:rPr>
          <w:color w:val="000000"/>
        </w:rPr>
        <w:t xml:space="preserve">. </w:t>
      </w:r>
      <w:r w:rsidRPr="00FB60C2">
        <w:rPr>
          <w:iCs/>
        </w:rPr>
        <w:t>Consulté le 6 mars</w:t>
      </w:r>
      <w:r w:rsidRPr="00FB60C2">
        <w:rPr>
          <w:color w:val="000000"/>
        </w:rPr>
        <w:t xml:space="preserve"> 2025. Sur Internet : </w:t>
      </w:r>
      <w:hyperlink r:id="rId41" w:history="1">
        <w:r w:rsidRPr="00106A3F">
          <w:rPr>
            <w:rStyle w:val="Hyperlink"/>
            <w:color w:val="1155CC"/>
          </w:rPr>
          <w:t>https://qdr.syr.edu/guidance/human-participants/access-controls</w:t>
        </w:r>
      </w:hyperlink>
      <w:r w:rsidRPr="00FB60C2">
        <w:t>.</w:t>
      </w:r>
    </w:p>
    <w:p w14:paraId="4712F218" w14:textId="77777777" w:rsidR="00106A3F" w:rsidRDefault="00106A3F" w:rsidP="00B701C8"/>
    <w:p w14:paraId="180D0A04" w14:textId="72D7422F" w:rsidR="00106A3F" w:rsidRPr="003F51C9" w:rsidRDefault="00106A3F" w:rsidP="00B701C8">
      <w:pPr>
        <w:rPr>
          <w:lang w:val="en-CA"/>
        </w:rPr>
      </w:pPr>
      <w:r w:rsidRPr="003F51C9">
        <w:rPr>
          <w:lang w:val="en-CA"/>
        </w:rPr>
        <w:t xml:space="preserve">Read, K. B., Gibson, G., Leahey, A., Peterson, L., Rutley, S., Shi, J., Smith, V. et Stathis, K. (2024a). Understanding the challenges associated with finding and accessing restricted data in Canada: A mixed methods study. </w:t>
      </w:r>
      <w:r w:rsidRPr="003F51C9">
        <w:rPr>
          <w:i/>
          <w:lang w:val="en-CA"/>
        </w:rPr>
        <w:t>FACETS</w:t>
      </w:r>
      <w:r w:rsidRPr="003F51C9">
        <w:rPr>
          <w:lang w:val="en-CA"/>
        </w:rPr>
        <w:t xml:space="preserve">, 9, pages 1 à 9. </w:t>
      </w:r>
      <w:r w:rsidRPr="003F51C9">
        <w:rPr>
          <w:color w:val="000000"/>
          <w:lang w:val="en-CA"/>
        </w:rPr>
        <w:t xml:space="preserve">Sur Internet : </w:t>
      </w:r>
      <w:hyperlink r:id="rId42">
        <w:r w:rsidRPr="003F51C9">
          <w:rPr>
            <w:color w:val="1155CC"/>
            <w:u w:val="single"/>
            <w:lang w:val="en-CA"/>
          </w:rPr>
          <w:t>https://doi.org/10.1139/facets-2023-0102</w:t>
        </w:r>
      </w:hyperlink>
      <w:r w:rsidRPr="003F51C9">
        <w:rPr>
          <w:lang w:val="en-CA"/>
        </w:rPr>
        <w:t>.</w:t>
      </w:r>
    </w:p>
    <w:p w14:paraId="3B3B187B" w14:textId="77777777" w:rsidR="00106A3F" w:rsidRPr="003F51C9" w:rsidRDefault="00106A3F" w:rsidP="00B701C8">
      <w:pPr>
        <w:rPr>
          <w:lang w:val="en-CA"/>
        </w:rPr>
      </w:pPr>
    </w:p>
    <w:p w14:paraId="4745E843" w14:textId="3CDE67A6" w:rsidR="00106A3F" w:rsidRPr="003F51C9" w:rsidRDefault="00106A3F" w:rsidP="00B701C8">
      <w:pPr>
        <w:rPr>
          <w:lang w:val="en-CA"/>
        </w:rPr>
      </w:pPr>
      <w:r w:rsidRPr="003F51C9">
        <w:rPr>
          <w:lang w:val="en-CA"/>
        </w:rPr>
        <w:t xml:space="preserve">Read, K. B., Gibson, G., Leahey, A., Peterson, L., Rutley, S., Shi, J., Smith, V. et Stathis, K. (2024b). Identifying metadata commonalities across restricted health data sources: A mixed methods study exploring how to improve the discovery of and access to restricted datasets. </w:t>
      </w:r>
      <w:r w:rsidRPr="003F51C9">
        <w:rPr>
          <w:i/>
          <w:lang w:val="en-CA"/>
        </w:rPr>
        <w:t>Journal of eScience Librarianship</w:t>
      </w:r>
      <w:r w:rsidRPr="003F51C9">
        <w:rPr>
          <w:lang w:val="en-CA"/>
        </w:rPr>
        <w:t xml:space="preserve">, </w:t>
      </w:r>
      <w:r w:rsidRPr="003F51C9">
        <w:rPr>
          <w:i/>
          <w:iCs/>
          <w:lang w:val="en-CA"/>
        </w:rPr>
        <w:t>13</w:t>
      </w:r>
      <w:r w:rsidRPr="003F51C9">
        <w:rPr>
          <w:lang w:val="en-CA"/>
        </w:rPr>
        <w:t xml:space="preserve">(2), article 2. </w:t>
      </w:r>
      <w:r w:rsidRPr="003F51C9">
        <w:rPr>
          <w:color w:val="000000"/>
          <w:lang w:val="en-CA"/>
        </w:rPr>
        <w:t xml:space="preserve">Sur Internet : </w:t>
      </w:r>
      <w:hyperlink r:id="rId43">
        <w:r w:rsidRPr="003F51C9">
          <w:rPr>
            <w:color w:val="1155CC"/>
            <w:u w:val="single"/>
            <w:lang w:val="en-CA"/>
          </w:rPr>
          <w:t>https://doi.org/10.7191/jeslib.907</w:t>
        </w:r>
      </w:hyperlink>
      <w:r w:rsidRPr="003F51C9">
        <w:rPr>
          <w:lang w:val="en-CA"/>
        </w:rPr>
        <w:t>.</w:t>
      </w:r>
    </w:p>
    <w:p w14:paraId="24D02068" w14:textId="77777777" w:rsidR="00106A3F" w:rsidRPr="003F51C9" w:rsidRDefault="00106A3F" w:rsidP="00B701C8">
      <w:pPr>
        <w:rPr>
          <w:lang w:val="en-CA"/>
        </w:rPr>
      </w:pPr>
    </w:p>
    <w:p w14:paraId="5FEC1DA4" w14:textId="652703F8" w:rsidR="00106A3F" w:rsidRPr="00FB60C2" w:rsidRDefault="00106A3F" w:rsidP="00B701C8">
      <w:r w:rsidRPr="003F51C9">
        <w:rPr>
          <w:lang w:val="en-CA"/>
        </w:rPr>
        <w:t xml:space="preserve">Read, K. B., Gibson, G., Leahey, A., Peterson, L., Rutley, S., Shi, J., Smith, V. et Stathis, K. (2024c). </w:t>
      </w:r>
      <w:r w:rsidRPr="003F51C9">
        <w:rPr>
          <w:i/>
          <w:lang w:val="en-CA"/>
        </w:rPr>
        <w:t>Report: Understanding and evaluating data discovery and access for restricted data in Canada: A metadata assessment of health data sources</w:t>
      </w:r>
      <w:r w:rsidRPr="003F51C9">
        <w:rPr>
          <w:lang w:val="en-CA"/>
        </w:rPr>
        <w:t xml:space="preserve">. </w:t>
      </w:r>
      <w:r w:rsidRPr="00FB60C2">
        <w:t xml:space="preserve">Zenodo. </w:t>
      </w:r>
      <w:r w:rsidRPr="00FB60C2">
        <w:rPr>
          <w:color w:val="000000"/>
        </w:rPr>
        <w:t xml:space="preserve">Sur Internet : </w:t>
      </w:r>
      <w:hyperlink r:id="rId44">
        <w:r w:rsidRPr="00FB60C2">
          <w:rPr>
            <w:color w:val="1155CC"/>
            <w:u w:val="single"/>
          </w:rPr>
          <w:t>https://doi.org/10.5281/ZENODO.13900843</w:t>
        </w:r>
      </w:hyperlink>
      <w:r w:rsidRPr="00FB60C2">
        <w:t>.</w:t>
      </w:r>
    </w:p>
    <w:p w14:paraId="1681578C" w14:textId="77777777" w:rsidR="00106A3F" w:rsidRDefault="00106A3F" w:rsidP="00B701C8">
      <w:pPr>
        <w:rPr>
          <w:color w:val="000000"/>
        </w:rPr>
      </w:pPr>
    </w:p>
    <w:p w14:paraId="003A0B7A" w14:textId="5F77EB0E" w:rsidR="00106A3F" w:rsidRPr="00FB60C2" w:rsidRDefault="00106A3F" w:rsidP="00B701C8">
      <w:r w:rsidRPr="00FB60C2">
        <w:rPr>
          <w:color w:val="000000"/>
        </w:rPr>
        <w:t xml:space="preserve">Siyal, A. A., Junejo, A. Z., Zawish, M., Ahmed, K., Khalil, A. et Soursou, G. (2019). </w:t>
      </w:r>
      <w:r w:rsidRPr="003F51C9">
        <w:rPr>
          <w:color w:val="000000"/>
          <w:lang w:val="en-CA"/>
        </w:rPr>
        <w:t xml:space="preserve">Applications of blockchain technology in medicine and healthcare: Challenges and future perspectives. </w:t>
      </w:r>
      <w:r w:rsidRPr="00FB60C2">
        <w:rPr>
          <w:i/>
          <w:color w:val="000000"/>
        </w:rPr>
        <w:t>Cryptography</w:t>
      </w:r>
      <w:r w:rsidRPr="00FB60C2">
        <w:rPr>
          <w:color w:val="000000"/>
        </w:rPr>
        <w:t xml:space="preserve">, </w:t>
      </w:r>
      <w:r w:rsidRPr="00FB60C2">
        <w:rPr>
          <w:i/>
          <w:iCs/>
          <w:color w:val="000000"/>
        </w:rPr>
        <w:t>3</w:t>
      </w:r>
      <w:r w:rsidRPr="00FB60C2">
        <w:rPr>
          <w:color w:val="000000"/>
        </w:rPr>
        <w:t xml:space="preserve">(1), 3. Sur Internet : </w:t>
      </w:r>
      <w:hyperlink r:id="rId45" w:history="1">
        <w:r w:rsidRPr="00FB60C2">
          <w:rPr>
            <w:color w:val="1155CC"/>
            <w:u w:val="single"/>
          </w:rPr>
          <w:t>https://doi.org/10.3390/cryptography3010003</w:t>
        </w:r>
      </w:hyperlink>
      <w:r w:rsidRPr="00FB60C2">
        <w:rPr>
          <w:color w:val="000000"/>
        </w:rPr>
        <w:t>.</w:t>
      </w:r>
    </w:p>
    <w:p w14:paraId="0A4DDEC2" w14:textId="77777777" w:rsidR="00106A3F" w:rsidRDefault="00106A3F" w:rsidP="00B701C8">
      <w:pPr>
        <w:rPr>
          <w:i/>
          <w:color w:val="000000"/>
        </w:rPr>
      </w:pPr>
    </w:p>
    <w:p w14:paraId="4A63412A" w14:textId="68677C6F" w:rsidR="00106A3F" w:rsidRPr="003F51C9" w:rsidRDefault="00106A3F" w:rsidP="00B701C8">
      <w:pPr>
        <w:rPr>
          <w:vertAlign w:val="subscript"/>
          <w:lang w:val="en-CA"/>
        </w:rPr>
      </w:pPr>
      <w:r w:rsidRPr="003F51C9">
        <w:rPr>
          <w:color w:val="000000"/>
          <w:lang w:val="en-CA"/>
        </w:rPr>
        <w:t xml:space="preserve">The Galaxy Community (2024). The Galaxy platform for accessible, reproducible, and collaborative data analyses: 2024 update. </w:t>
      </w:r>
      <w:r w:rsidRPr="003F51C9">
        <w:rPr>
          <w:i/>
          <w:color w:val="000000"/>
          <w:lang w:val="en-CA"/>
        </w:rPr>
        <w:t>Nucleic Acids Research</w:t>
      </w:r>
      <w:r w:rsidRPr="003F51C9">
        <w:rPr>
          <w:color w:val="000000"/>
          <w:lang w:val="en-CA"/>
        </w:rPr>
        <w:t xml:space="preserve">, 52(W1), page W83 à W94. Sur Internet : </w:t>
      </w:r>
      <w:hyperlink r:id="rId46" w:history="1">
        <w:r w:rsidRPr="003F51C9">
          <w:rPr>
            <w:color w:val="1155CC"/>
            <w:u w:val="single"/>
            <w:lang w:val="en-CA"/>
          </w:rPr>
          <w:t>https://doi.org/10.1093/nar/gkae410</w:t>
        </w:r>
      </w:hyperlink>
      <w:r w:rsidRPr="003F51C9">
        <w:rPr>
          <w:color w:val="000000"/>
          <w:lang w:val="en-CA"/>
        </w:rPr>
        <w:t>.</w:t>
      </w:r>
    </w:p>
    <w:p w14:paraId="132AB921" w14:textId="77777777" w:rsidR="00106A3F" w:rsidRPr="003F51C9" w:rsidRDefault="00106A3F" w:rsidP="00B701C8">
      <w:pPr>
        <w:rPr>
          <w:color w:val="000000"/>
          <w:lang w:val="en-CA"/>
        </w:rPr>
      </w:pPr>
    </w:p>
    <w:p w14:paraId="5CC7BB0D" w14:textId="1E613B40" w:rsidR="00106A3F" w:rsidRPr="00FB60C2" w:rsidRDefault="00106A3F" w:rsidP="00B701C8">
      <w:r w:rsidRPr="003F51C9">
        <w:rPr>
          <w:color w:val="000000"/>
          <w:lang w:val="en-CA"/>
        </w:rPr>
        <w:t xml:space="preserve">Tryka, K. A., Hao, L., Sturcke, A., Jin, Y., Wang, Z. Y., Ziyabari, L., Lee, M., Popova, N., Sharopova, N., Kimura, M. et Feolo, M. (2014). </w:t>
      </w:r>
      <w:r w:rsidRPr="00FB60C2">
        <w:rPr>
          <w:color w:val="000000"/>
        </w:rPr>
        <w:t xml:space="preserve">NCBI’s Database of Genotypes and Phenotypes: dbGaP. </w:t>
      </w:r>
      <w:r w:rsidRPr="00FB60C2">
        <w:rPr>
          <w:i/>
          <w:color w:val="000000"/>
        </w:rPr>
        <w:t>Nucleic Acids Research,</w:t>
      </w:r>
      <w:r w:rsidRPr="00FB60C2">
        <w:rPr>
          <w:color w:val="000000"/>
        </w:rPr>
        <w:t xml:space="preserve"> </w:t>
      </w:r>
      <w:r w:rsidRPr="00FB60C2">
        <w:rPr>
          <w:i/>
          <w:iCs/>
          <w:color w:val="000000"/>
        </w:rPr>
        <w:t xml:space="preserve">42 </w:t>
      </w:r>
      <w:r w:rsidRPr="00FB60C2">
        <w:rPr>
          <w:color w:val="000000"/>
        </w:rPr>
        <w:t xml:space="preserve">(introuvable dans la base de données), pages D975 à D979. Sur Internet : </w:t>
      </w:r>
      <w:hyperlink r:id="rId47" w:history="1">
        <w:r w:rsidRPr="00FB60C2">
          <w:rPr>
            <w:color w:val="1155CC"/>
            <w:u w:val="single"/>
          </w:rPr>
          <w:t>https://doi.org/10.1093/nar/gkt1211</w:t>
        </w:r>
      </w:hyperlink>
      <w:r w:rsidRPr="00FB60C2">
        <w:rPr>
          <w:color w:val="000000"/>
        </w:rPr>
        <w:t>.</w:t>
      </w:r>
    </w:p>
    <w:p w14:paraId="2F1162CA" w14:textId="77777777" w:rsidR="00106A3F" w:rsidRDefault="00106A3F" w:rsidP="00B701C8">
      <w:pPr>
        <w:rPr>
          <w:color w:val="000000"/>
        </w:rPr>
      </w:pPr>
    </w:p>
    <w:p w14:paraId="755FD6E8" w14:textId="690CE746" w:rsidR="00106A3F" w:rsidRPr="00FB60C2" w:rsidRDefault="00106A3F" w:rsidP="00B701C8">
      <w:r w:rsidRPr="00FB60C2">
        <w:rPr>
          <w:color w:val="000000"/>
        </w:rPr>
        <w:t xml:space="preserve">Tuladhar, A., Rogerson, M., Engelhart, J., Parry, G. C. et Altrichter, B. (2024). </w:t>
      </w:r>
      <w:r w:rsidRPr="003F51C9">
        <w:rPr>
          <w:lang w:val="en-CA"/>
        </w:rPr>
        <w:t xml:space="preserve">Blockchain for compliance: an information processing case study of mandatory supply chain transparency </w:t>
      </w:r>
      <w:r w:rsidRPr="003F51C9">
        <w:rPr>
          <w:lang w:val="en-CA"/>
        </w:rPr>
        <w:lastRenderedPageBreak/>
        <w:t xml:space="preserve">in conflict minerals sourcing. </w:t>
      </w:r>
      <w:r w:rsidRPr="00FB60C2">
        <w:rPr>
          <w:i/>
        </w:rPr>
        <w:t>Supply Chain Management</w:t>
      </w:r>
      <w:r w:rsidRPr="00FB60C2">
        <w:t xml:space="preserve">, </w:t>
      </w:r>
      <w:r w:rsidRPr="00FB60C2">
        <w:rPr>
          <w:i/>
          <w:iCs/>
          <w:color w:val="000000"/>
        </w:rPr>
        <w:t>29</w:t>
      </w:r>
      <w:r w:rsidRPr="00FB60C2">
        <w:rPr>
          <w:color w:val="000000"/>
        </w:rPr>
        <w:t xml:space="preserve">(4), pages 755 à 777. Sur Internet : </w:t>
      </w:r>
      <w:hyperlink r:id="rId48" w:history="1">
        <w:r w:rsidRPr="00FB60C2">
          <w:rPr>
            <w:color w:val="1155CC"/>
            <w:u w:val="single"/>
          </w:rPr>
          <w:t>https://doi.org/10.1108/SCM-11-2023-0585</w:t>
        </w:r>
      </w:hyperlink>
      <w:r w:rsidRPr="00FB60C2">
        <w:rPr>
          <w:color w:val="000000"/>
        </w:rPr>
        <w:t xml:space="preserve">. </w:t>
      </w:r>
    </w:p>
    <w:p w14:paraId="46290A99" w14:textId="77777777" w:rsidR="00106A3F" w:rsidRDefault="00106A3F" w:rsidP="00B701C8">
      <w:pPr>
        <w:rPr>
          <w:color w:val="000000"/>
        </w:rPr>
      </w:pPr>
    </w:p>
    <w:p w14:paraId="78C485C7" w14:textId="4907AA9C" w:rsidR="00106A3F" w:rsidRPr="00FB60C2" w:rsidRDefault="00106A3F" w:rsidP="00B701C8">
      <w:r w:rsidRPr="00FB60C2">
        <w:rPr>
          <w:color w:val="000000"/>
        </w:rPr>
        <w:t xml:space="preserve">Université de Bristol (s.d.). </w:t>
      </w:r>
      <w:r w:rsidRPr="003F51C9">
        <w:rPr>
          <w:i/>
          <w:color w:val="000000"/>
          <w:lang w:val="en-CA"/>
        </w:rPr>
        <w:t>Publishing data under access restrictions.</w:t>
      </w:r>
      <w:r w:rsidRPr="003F51C9">
        <w:rPr>
          <w:color w:val="000000"/>
          <w:lang w:val="en-CA"/>
        </w:rPr>
        <w:t xml:space="preserve"> </w:t>
      </w:r>
      <w:r w:rsidRPr="00FB60C2">
        <w:rPr>
          <w:iCs/>
        </w:rPr>
        <w:t>Consulté le 6 mars</w:t>
      </w:r>
      <w:r w:rsidRPr="00FB60C2">
        <w:rPr>
          <w:color w:val="000000"/>
        </w:rPr>
        <w:t xml:space="preserve"> 2025. Sur Internet : </w:t>
      </w:r>
      <w:hyperlink r:id="rId49">
        <w:r w:rsidRPr="00FB60C2">
          <w:rPr>
            <w:color w:val="1155CC"/>
            <w:u w:val="single"/>
          </w:rPr>
          <w:t>https://www.bristol.ac.uk/staff/researchers/data/publishing-research-data/publishing-data-under-access-restrictions/</w:t>
        </w:r>
      </w:hyperlink>
      <w:r w:rsidRPr="00FB60C2">
        <w:t>.</w:t>
      </w:r>
    </w:p>
    <w:p w14:paraId="1EE24A2D" w14:textId="77777777" w:rsidR="00106A3F" w:rsidRDefault="00106A3F" w:rsidP="00B701C8">
      <w:pPr>
        <w:rPr>
          <w:color w:val="000000"/>
        </w:rPr>
      </w:pPr>
    </w:p>
    <w:p w14:paraId="264D1B1B" w14:textId="2F8866F3" w:rsidR="00106A3F" w:rsidRPr="00FB60C2" w:rsidRDefault="00106A3F" w:rsidP="00B701C8">
      <w:r w:rsidRPr="00FB60C2">
        <w:rPr>
          <w:color w:val="000000"/>
        </w:rPr>
        <w:t xml:space="preserve">Wagner, A. S., Waite, L. K., Wierzba, M. et coll. FAIRly big: A framework for computationally reproducible processing of large-scale data. </w:t>
      </w:r>
      <w:r w:rsidRPr="00FB60C2">
        <w:rPr>
          <w:i/>
          <w:color w:val="000000"/>
        </w:rPr>
        <w:t>Scientific Data</w:t>
      </w:r>
      <w:r w:rsidRPr="00FB60C2">
        <w:rPr>
          <w:color w:val="000000"/>
        </w:rPr>
        <w:t xml:space="preserve">, </w:t>
      </w:r>
      <w:r w:rsidRPr="00FB60C2">
        <w:rPr>
          <w:i/>
          <w:iCs/>
          <w:color w:val="000000"/>
        </w:rPr>
        <w:t>9</w:t>
      </w:r>
      <w:r w:rsidRPr="00FB60C2">
        <w:rPr>
          <w:color w:val="000000"/>
        </w:rPr>
        <w:t xml:space="preserve">(1), article 80. Sur Internet : </w:t>
      </w:r>
      <w:hyperlink r:id="rId50" w:history="1">
        <w:r w:rsidRPr="00FB60C2">
          <w:rPr>
            <w:color w:val="1155CC"/>
            <w:u w:val="single"/>
          </w:rPr>
          <w:t>https://doi.org/10.1038/s41597-022-01163-2</w:t>
        </w:r>
      </w:hyperlink>
      <w:r w:rsidRPr="00FB60C2">
        <w:rPr>
          <w:color w:val="000000"/>
        </w:rPr>
        <w:t>.</w:t>
      </w:r>
    </w:p>
    <w:p w14:paraId="5D615404" w14:textId="77777777" w:rsidR="00106A3F" w:rsidRDefault="00106A3F" w:rsidP="00B701C8">
      <w:pPr>
        <w:rPr>
          <w:color w:val="000000"/>
        </w:rPr>
      </w:pPr>
    </w:p>
    <w:p w14:paraId="77159F5D" w14:textId="6A446847" w:rsidR="00106A3F" w:rsidRPr="00FB60C2" w:rsidRDefault="00106A3F" w:rsidP="00B701C8">
      <w:r w:rsidRPr="00FB60C2">
        <w:rPr>
          <w:color w:val="000000"/>
        </w:rPr>
        <w:t xml:space="preserve">Wilkinson, M., Dumontier, M., Aalbersberg, I., Appleton, G., Axton, M., Baak, A. et coll. (2016). </w:t>
      </w:r>
      <w:r w:rsidRPr="003F51C9">
        <w:rPr>
          <w:color w:val="000000"/>
          <w:lang w:val="en-CA"/>
        </w:rPr>
        <w:t xml:space="preserve">The FAIR Guiding Principles for scientific data management and stewardship. </w:t>
      </w:r>
      <w:r w:rsidRPr="00FB60C2">
        <w:rPr>
          <w:i/>
          <w:color w:val="000000"/>
        </w:rPr>
        <w:t>Scientific Data</w:t>
      </w:r>
      <w:r w:rsidRPr="00FB60C2">
        <w:rPr>
          <w:color w:val="000000"/>
        </w:rPr>
        <w:t xml:space="preserve">, 15 mars 2016. Sur Internet : </w:t>
      </w:r>
      <w:hyperlink r:id="rId51" w:history="1">
        <w:r w:rsidRPr="00FB60C2">
          <w:rPr>
            <w:color w:val="1155CC"/>
            <w:u w:val="single"/>
          </w:rPr>
          <w:t>https://doi.org/10.1038/sdata.2016.18</w:t>
        </w:r>
      </w:hyperlink>
      <w:r w:rsidRPr="00FB60C2">
        <w:rPr>
          <w:color w:val="000000"/>
        </w:rPr>
        <w:t>.</w:t>
      </w:r>
    </w:p>
    <w:p w14:paraId="22EA3900" w14:textId="77777777" w:rsidR="00106A3F" w:rsidRDefault="00106A3F" w:rsidP="00B701C8">
      <w:pPr>
        <w:rPr>
          <w:color w:val="000000"/>
        </w:rPr>
      </w:pPr>
    </w:p>
    <w:p w14:paraId="138FBAB5" w14:textId="0BFA786A" w:rsidR="00106A3F" w:rsidRPr="00FB60C2" w:rsidRDefault="00106A3F" w:rsidP="00B701C8">
      <w:r w:rsidRPr="00FB60C2">
        <w:rPr>
          <w:color w:val="000000"/>
        </w:rPr>
        <w:t xml:space="preserve">Wu, M., Xu, F., Subramaniam, G., Li, Z., Chen, L., et Zhu, W. (2024). </w:t>
      </w:r>
      <w:r w:rsidRPr="003F51C9">
        <w:rPr>
          <w:color w:val="000000"/>
          <w:lang w:val="en-CA"/>
        </w:rPr>
        <w:t xml:space="preserve">Advancing Hematopoietic Stem Cell Transplantation Typing: Harnessing Hyperledger Fabric’s Blockchain Architecture. </w:t>
      </w:r>
      <w:r w:rsidRPr="00FB60C2">
        <w:rPr>
          <w:i/>
          <w:color w:val="000000"/>
        </w:rPr>
        <w:t>IEEE Access</w:t>
      </w:r>
      <w:r w:rsidRPr="00FB60C2">
        <w:rPr>
          <w:color w:val="000000"/>
        </w:rPr>
        <w:t>, vol. 12, pages 117884 à 117898. Doi : 10.1109/ACCESS.2024.3434953.</w:t>
      </w:r>
    </w:p>
    <w:p w14:paraId="464D0FA7" w14:textId="77777777" w:rsidR="00A9061F" w:rsidRPr="00FB60C2" w:rsidRDefault="00A9061F" w:rsidP="00B701C8"/>
    <w:p w14:paraId="155E5289" w14:textId="77777777" w:rsidR="00A9061F" w:rsidRPr="00FB60C2" w:rsidRDefault="00A9061F" w:rsidP="00B701C8"/>
    <w:p w14:paraId="5E911594" w14:textId="5158AE73" w:rsidR="00A9061F" w:rsidRPr="00FB60C2" w:rsidRDefault="00A9061F" w:rsidP="00B701C8">
      <w:pPr>
        <w:pStyle w:val="Heading1"/>
        <w:numPr>
          <w:ilvl w:val="0"/>
          <w:numId w:val="7"/>
        </w:numPr>
      </w:pPr>
      <w:bookmarkStart w:id="73" w:name="_Toc207100043"/>
      <w:r w:rsidRPr="00FB60C2">
        <w:rPr>
          <w:color w:val="000000"/>
        </w:rPr>
        <w:t>Annexes</w:t>
      </w:r>
      <w:bookmarkEnd w:id="73"/>
    </w:p>
    <w:p w14:paraId="7EF5B75D" w14:textId="77777777" w:rsidR="00A9061F" w:rsidRPr="00FB60C2" w:rsidRDefault="00A9061F" w:rsidP="00B701C8">
      <w:pPr>
        <w:ind w:left="720"/>
      </w:pPr>
    </w:p>
    <w:p w14:paraId="33885A81" w14:textId="7ED39796" w:rsidR="00A9061F" w:rsidRPr="00FB60C2" w:rsidRDefault="00A9061F" w:rsidP="00B701C8">
      <w:pPr>
        <w:pStyle w:val="Heading2"/>
        <w:numPr>
          <w:ilvl w:val="0"/>
          <w:numId w:val="13"/>
        </w:numPr>
      </w:pPr>
      <w:bookmarkStart w:id="74" w:name="_Toc207100044"/>
      <w:r w:rsidRPr="00FB60C2">
        <w:rPr>
          <w:color w:val="000000"/>
        </w:rPr>
        <w:t>A</w:t>
      </w:r>
      <w:r w:rsidR="007072CA" w:rsidRPr="00FB60C2">
        <w:rPr>
          <w:color w:val="000000"/>
        </w:rPr>
        <w:t>nnexe </w:t>
      </w:r>
      <w:r w:rsidRPr="00FB60C2">
        <w:rPr>
          <w:color w:val="000000"/>
        </w:rPr>
        <w:t>1</w:t>
      </w:r>
      <w:r w:rsidR="00E822EE" w:rsidRPr="00FB60C2">
        <w:rPr>
          <w:color w:val="000000"/>
        </w:rPr>
        <w:t> </w:t>
      </w:r>
      <w:r w:rsidRPr="00FB60C2">
        <w:rPr>
          <w:color w:val="000000"/>
        </w:rPr>
        <w:t xml:space="preserve">: </w:t>
      </w:r>
      <w:r w:rsidR="007072CA" w:rsidRPr="00FB60C2">
        <w:rPr>
          <w:color w:val="000000"/>
        </w:rPr>
        <w:t>Liste des membres des groupes de travail sur la gestion de l’accès contrôlé</w:t>
      </w:r>
      <w:bookmarkEnd w:id="74"/>
    </w:p>
    <w:p w14:paraId="1104DA1D" w14:textId="77777777" w:rsidR="00A9061F" w:rsidRPr="00FB60C2" w:rsidRDefault="00A9061F" w:rsidP="00B701C8"/>
    <w:p w14:paraId="02303672" w14:textId="2D02741E" w:rsidR="00A9061F" w:rsidRPr="00FB60C2" w:rsidRDefault="007072CA" w:rsidP="00B701C8">
      <w:pPr>
        <w:rPr>
          <w:b/>
        </w:rPr>
      </w:pPr>
      <w:r w:rsidRPr="00FB60C2">
        <w:rPr>
          <w:b/>
          <w:color w:val="000000"/>
        </w:rPr>
        <w:t>Groupe de travail sur l’état des choses</w:t>
      </w:r>
    </w:p>
    <w:p w14:paraId="0EA577D4" w14:textId="77777777" w:rsidR="00A9061F" w:rsidRPr="00FB60C2" w:rsidRDefault="00A9061F" w:rsidP="00B701C8">
      <w:pPr>
        <w:rPr>
          <w:b/>
        </w:rPr>
      </w:pPr>
    </w:p>
    <w:p w14:paraId="7CF2AD45" w14:textId="62E89BA0" w:rsidR="00A9061F" w:rsidRPr="00FB60C2" w:rsidRDefault="00A9061F" w:rsidP="00B701C8">
      <w:pPr>
        <w:numPr>
          <w:ilvl w:val="0"/>
          <w:numId w:val="4"/>
        </w:numPr>
      </w:pPr>
      <w:r w:rsidRPr="00FB60C2">
        <w:rPr>
          <w:color w:val="000000"/>
        </w:rPr>
        <w:t>Jennifer Abel</w:t>
      </w:r>
      <w:r w:rsidR="007072CA" w:rsidRPr="00FB60C2">
        <w:rPr>
          <w:color w:val="000000"/>
        </w:rPr>
        <w:t xml:space="preserve">, </w:t>
      </w:r>
      <w:r w:rsidRPr="00FB60C2">
        <w:rPr>
          <w:color w:val="000000"/>
        </w:rPr>
        <w:t>Universit</w:t>
      </w:r>
      <w:r w:rsidR="007072CA" w:rsidRPr="00FB60C2">
        <w:rPr>
          <w:color w:val="000000"/>
        </w:rPr>
        <w:t>é</w:t>
      </w:r>
      <w:r w:rsidRPr="00FB60C2">
        <w:rPr>
          <w:color w:val="000000"/>
        </w:rPr>
        <w:t xml:space="preserve"> </w:t>
      </w:r>
      <w:r w:rsidR="007072CA" w:rsidRPr="00FB60C2">
        <w:rPr>
          <w:color w:val="000000"/>
        </w:rPr>
        <w:t>de</w:t>
      </w:r>
      <w:r w:rsidRPr="00FB60C2">
        <w:rPr>
          <w:color w:val="000000"/>
        </w:rPr>
        <w:t xml:space="preserve"> Calgary</w:t>
      </w:r>
      <w:r w:rsidR="00ED5631" w:rsidRPr="00FB60C2">
        <w:rPr>
          <w:color w:val="000000"/>
        </w:rPr>
        <w:t xml:space="preserve"> (</w:t>
      </w:r>
      <w:r w:rsidR="007072CA" w:rsidRPr="00FB60C2">
        <w:rPr>
          <w:color w:val="000000"/>
        </w:rPr>
        <w:t>présidente</w:t>
      </w:r>
      <w:r w:rsidRPr="00FB60C2">
        <w:rPr>
          <w:color w:val="000000"/>
        </w:rPr>
        <w:t>)</w:t>
      </w:r>
    </w:p>
    <w:p w14:paraId="04EE3C30" w14:textId="3FE9CAFA" w:rsidR="00A9061F" w:rsidRPr="00FB60C2" w:rsidRDefault="00A9061F" w:rsidP="00B701C8">
      <w:pPr>
        <w:numPr>
          <w:ilvl w:val="0"/>
          <w:numId w:val="4"/>
        </w:numPr>
      </w:pPr>
      <w:r w:rsidRPr="00FB60C2">
        <w:rPr>
          <w:color w:val="000000"/>
        </w:rPr>
        <w:t>Alexander (Sacha) Jerabek</w:t>
      </w:r>
      <w:r w:rsidR="00ED5631" w:rsidRPr="00FB60C2">
        <w:rPr>
          <w:color w:val="000000"/>
        </w:rPr>
        <w:t xml:space="preserve">, </w:t>
      </w:r>
      <w:r w:rsidRPr="00FB60C2">
        <w:rPr>
          <w:color w:val="000000"/>
        </w:rPr>
        <w:t>Université du Québec à Montréal</w:t>
      </w:r>
    </w:p>
    <w:p w14:paraId="4287A453" w14:textId="583139E7" w:rsidR="00A9061F" w:rsidRPr="00FB60C2" w:rsidRDefault="00A9061F" w:rsidP="00B701C8">
      <w:pPr>
        <w:numPr>
          <w:ilvl w:val="0"/>
          <w:numId w:val="4"/>
        </w:numPr>
      </w:pPr>
      <w:r w:rsidRPr="00FB60C2">
        <w:rPr>
          <w:color w:val="000000"/>
        </w:rPr>
        <w:t>Alexander Thistlewood</w:t>
      </w:r>
      <w:r w:rsidR="00ED5631" w:rsidRPr="00FB60C2">
        <w:rPr>
          <w:color w:val="000000"/>
        </w:rPr>
        <w:t xml:space="preserve">, </w:t>
      </w:r>
      <w:r w:rsidR="007072CA" w:rsidRPr="00FB60C2">
        <w:rPr>
          <w:color w:val="000000"/>
        </w:rPr>
        <w:t>Université de</w:t>
      </w:r>
      <w:r w:rsidRPr="00FB60C2">
        <w:rPr>
          <w:color w:val="000000"/>
        </w:rPr>
        <w:t xml:space="preserve"> Calgary</w:t>
      </w:r>
    </w:p>
    <w:p w14:paraId="68B7E867" w14:textId="72562581" w:rsidR="00A9061F" w:rsidRPr="00625FE3" w:rsidRDefault="00A9061F" w:rsidP="00625FE3">
      <w:pPr>
        <w:numPr>
          <w:ilvl w:val="0"/>
          <w:numId w:val="4"/>
        </w:numPr>
        <w:rPr>
          <w:color w:val="000000"/>
          <w:lang w:val="en-CA"/>
        </w:rPr>
      </w:pPr>
      <w:r w:rsidRPr="00FB60C2">
        <w:rPr>
          <w:color w:val="000000"/>
        </w:rPr>
        <w:t>Elodie Portales-Casamar</w:t>
      </w:r>
      <w:r w:rsidR="00ED5631" w:rsidRPr="00FB60C2">
        <w:rPr>
          <w:color w:val="000000"/>
        </w:rPr>
        <w:t xml:space="preserve">, </w:t>
      </w:r>
      <w:r w:rsidR="00625FE3" w:rsidRPr="00625FE3">
        <w:rPr>
          <w:color w:val="000000"/>
          <w:lang w:val="en-CA"/>
        </w:rPr>
        <w:t>Centre de recherche Azrieli du CHU Sainte-Justine</w:t>
      </w:r>
    </w:p>
    <w:p w14:paraId="725BB8F7" w14:textId="60779709" w:rsidR="00A9061F" w:rsidRPr="00FB60C2" w:rsidRDefault="00A9061F" w:rsidP="00B701C8">
      <w:pPr>
        <w:numPr>
          <w:ilvl w:val="0"/>
          <w:numId w:val="4"/>
        </w:numPr>
      </w:pPr>
      <w:r w:rsidRPr="00FB60C2">
        <w:rPr>
          <w:color w:val="000000"/>
        </w:rPr>
        <w:t>James MacGregor</w:t>
      </w:r>
      <w:r w:rsidR="00ED5631" w:rsidRPr="00FB60C2">
        <w:rPr>
          <w:color w:val="000000"/>
        </w:rPr>
        <w:t xml:space="preserve">, </w:t>
      </w:r>
      <w:r w:rsidR="007072CA" w:rsidRPr="00FB60C2">
        <w:rPr>
          <w:color w:val="000000"/>
        </w:rPr>
        <w:t>Réseau canadien de documentation pour la recherche</w:t>
      </w:r>
    </w:p>
    <w:p w14:paraId="43D3DE1B" w14:textId="4C283686" w:rsidR="00A9061F" w:rsidRPr="003F51C9" w:rsidRDefault="00A9061F" w:rsidP="00B701C8">
      <w:pPr>
        <w:numPr>
          <w:ilvl w:val="0"/>
          <w:numId w:val="4"/>
        </w:numPr>
        <w:rPr>
          <w:lang w:val="en-CA"/>
        </w:rPr>
      </w:pPr>
      <w:r w:rsidRPr="003F51C9">
        <w:rPr>
          <w:color w:val="000000"/>
          <w:lang w:val="en-CA"/>
        </w:rPr>
        <w:t>Jody Wolfe</w:t>
      </w:r>
      <w:r w:rsidR="00ED5631" w:rsidRPr="003F51C9">
        <w:rPr>
          <w:color w:val="000000"/>
          <w:lang w:val="en-CA"/>
        </w:rPr>
        <w:t xml:space="preserve">, </w:t>
      </w:r>
      <w:r w:rsidRPr="003F51C9">
        <w:rPr>
          <w:color w:val="000000"/>
          <w:lang w:val="en-CA"/>
        </w:rPr>
        <w:t>PolicyWise for Children &amp; Families</w:t>
      </w:r>
    </w:p>
    <w:p w14:paraId="31FC8DBF" w14:textId="3B38B9A7" w:rsidR="00A9061F" w:rsidRPr="00FB60C2" w:rsidRDefault="00A9061F" w:rsidP="00B701C8">
      <w:pPr>
        <w:numPr>
          <w:ilvl w:val="0"/>
          <w:numId w:val="4"/>
        </w:numPr>
      </w:pPr>
      <w:r w:rsidRPr="00FB60C2">
        <w:rPr>
          <w:color w:val="000000"/>
        </w:rPr>
        <w:t>Mathilde Sainte-Marie</w:t>
      </w:r>
      <w:r w:rsidR="00ED5631" w:rsidRPr="00FB60C2">
        <w:rPr>
          <w:color w:val="000000"/>
        </w:rPr>
        <w:t xml:space="preserve">, </w:t>
      </w:r>
      <w:r w:rsidR="00625FE3" w:rsidRPr="00625FE3">
        <w:rPr>
          <w:color w:val="000000"/>
        </w:rPr>
        <w:t>Centre de recherche Azrieli du CHU Sainte-Justine</w:t>
      </w:r>
    </w:p>
    <w:p w14:paraId="40D6AD5B" w14:textId="29722E50" w:rsidR="00A9061F" w:rsidRPr="00FB60C2" w:rsidRDefault="00A9061F" w:rsidP="00B701C8">
      <w:pPr>
        <w:numPr>
          <w:ilvl w:val="0"/>
          <w:numId w:val="4"/>
        </w:numPr>
      </w:pPr>
      <w:r w:rsidRPr="00FB60C2">
        <w:rPr>
          <w:color w:val="000000"/>
        </w:rPr>
        <w:t xml:space="preserve">Melissa Cuthill, Université </w:t>
      </w:r>
      <w:r w:rsidR="0095511C" w:rsidRPr="00FB60C2">
        <w:rPr>
          <w:color w:val="000000"/>
        </w:rPr>
        <w:t>p</w:t>
      </w:r>
      <w:r w:rsidRPr="00FB60C2">
        <w:rPr>
          <w:color w:val="000000"/>
        </w:rPr>
        <w:t>olytechnique Kwantlen</w:t>
      </w:r>
    </w:p>
    <w:p w14:paraId="06C55527" w14:textId="45A6604B" w:rsidR="00A9061F" w:rsidRPr="00FB60C2" w:rsidRDefault="00A9061F" w:rsidP="00B701C8">
      <w:pPr>
        <w:numPr>
          <w:ilvl w:val="0"/>
          <w:numId w:val="4"/>
        </w:numPr>
      </w:pPr>
      <w:r w:rsidRPr="00FB60C2">
        <w:rPr>
          <w:color w:val="000000"/>
        </w:rPr>
        <w:t xml:space="preserve">Robyn Stobbs, Université </w:t>
      </w:r>
      <w:r w:rsidR="004851B4" w:rsidRPr="00FB60C2">
        <w:rPr>
          <w:color w:val="000000"/>
        </w:rPr>
        <w:t>d’</w:t>
      </w:r>
      <w:r w:rsidRPr="00FB60C2">
        <w:rPr>
          <w:color w:val="000000"/>
        </w:rPr>
        <w:t>Athabasca</w:t>
      </w:r>
    </w:p>
    <w:p w14:paraId="5B606B85" w14:textId="705FFE08" w:rsidR="00A9061F" w:rsidRPr="00FB60C2" w:rsidRDefault="00A9061F" w:rsidP="00B701C8">
      <w:pPr>
        <w:numPr>
          <w:ilvl w:val="0"/>
          <w:numId w:val="4"/>
        </w:numPr>
      </w:pPr>
      <w:r w:rsidRPr="00FB60C2">
        <w:rPr>
          <w:color w:val="000000"/>
        </w:rPr>
        <w:t>Tanya Nguyen</w:t>
      </w:r>
      <w:r w:rsidR="00ED5631" w:rsidRPr="00FB60C2">
        <w:rPr>
          <w:color w:val="000000"/>
        </w:rPr>
        <w:t xml:space="preserve">, Université </w:t>
      </w:r>
      <w:r w:rsidR="004851B4" w:rsidRPr="00FB60C2">
        <w:rPr>
          <w:color w:val="000000"/>
        </w:rPr>
        <w:t>d’</w:t>
      </w:r>
      <w:r w:rsidR="00ED5631" w:rsidRPr="00FB60C2">
        <w:rPr>
          <w:color w:val="000000"/>
        </w:rPr>
        <w:t>Athabasca</w:t>
      </w:r>
    </w:p>
    <w:p w14:paraId="1D09A98E" w14:textId="77777777" w:rsidR="00A9061F" w:rsidRPr="00FB60C2" w:rsidRDefault="00A9061F" w:rsidP="00B701C8">
      <w:pPr>
        <w:rPr>
          <w:b/>
        </w:rPr>
      </w:pPr>
    </w:p>
    <w:p w14:paraId="0A768FC9" w14:textId="352C145E" w:rsidR="00A9061F" w:rsidRPr="00FB60C2" w:rsidRDefault="007072CA" w:rsidP="00B701C8">
      <w:pPr>
        <w:keepNext/>
        <w:rPr>
          <w:b/>
          <w:color w:val="000000"/>
        </w:rPr>
      </w:pPr>
      <w:r w:rsidRPr="00FB60C2">
        <w:rPr>
          <w:b/>
          <w:color w:val="000000"/>
        </w:rPr>
        <w:lastRenderedPageBreak/>
        <w:t>Groupe de travail sur l’intendance des données</w:t>
      </w:r>
    </w:p>
    <w:p w14:paraId="6EDABAF8" w14:textId="77777777" w:rsidR="007072CA" w:rsidRPr="00FB60C2" w:rsidRDefault="007072CA" w:rsidP="00B701C8">
      <w:pPr>
        <w:keepNext/>
        <w:rPr>
          <w:b/>
        </w:rPr>
      </w:pPr>
    </w:p>
    <w:p w14:paraId="0176C5E0" w14:textId="768521AF" w:rsidR="00A9061F" w:rsidRPr="00FB60C2" w:rsidRDefault="00A9061F" w:rsidP="00B701C8">
      <w:pPr>
        <w:keepNext/>
        <w:numPr>
          <w:ilvl w:val="0"/>
          <w:numId w:val="12"/>
        </w:numPr>
      </w:pPr>
      <w:r w:rsidRPr="00FB60C2">
        <w:rPr>
          <w:color w:val="000000"/>
        </w:rPr>
        <w:t>Rebecca (Becky) Pero</w:t>
      </w:r>
      <w:r w:rsidR="00CC1A26" w:rsidRPr="00FB60C2">
        <w:rPr>
          <w:color w:val="000000"/>
        </w:rPr>
        <w:t xml:space="preserve">, Université </w:t>
      </w:r>
      <w:r w:rsidRPr="00FB60C2">
        <w:rPr>
          <w:color w:val="000000"/>
        </w:rPr>
        <w:t>Queen’s</w:t>
      </w:r>
      <w:r w:rsidR="00CC1A26" w:rsidRPr="00FB60C2">
        <w:rPr>
          <w:color w:val="000000"/>
        </w:rPr>
        <w:t xml:space="preserve"> (coprésidente</w:t>
      </w:r>
      <w:r w:rsidRPr="00FB60C2">
        <w:rPr>
          <w:color w:val="000000"/>
        </w:rPr>
        <w:t>)</w:t>
      </w:r>
    </w:p>
    <w:p w14:paraId="2EDC7922" w14:textId="77777777" w:rsidR="00CC1A26" w:rsidRPr="00FB60C2" w:rsidRDefault="00A9061F" w:rsidP="00B701C8">
      <w:pPr>
        <w:keepNext/>
        <w:numPr>
          <w:ilvl w:val="0"/>
          <w:numId w:val="12"/>
        </w:numPr>
      </w:pPr>
      <w:r w:rsidRPr="00FB60C2">
        <w:rPr>
          <w:color w:val="000000"/>
        </w:rPr>
        <w:t>Victoria Smith</w:t>
      </w:r>
      <w:r w:rsidR="00CC1A26" w:rsidRPr="00FB60C2">
        <w:rPr>
          <w:color w:val="000000"/>
        </w:rPr>
        <w:t xml:space="preserve">, </w:t>
      </w:r>
      <w:r w:rsidRPr="00FB60C2">
        <w:rPr>
          <w:color w:val="000000"/>
        </w:rPr>
        <w:t>Alliance de recherche numérique du Canada</w:t>
      </w:r>
      <w:r w:rsidR="00CC1A26" w:rsidRPr="00FB60C2">
        <w:rPr>
          <w:color w:val="000000"/>
        </w:rPr>
        <w:t xml:space="preserve"> (coprésidente)</w:t>
      </w:r>
    </w:p>
    <w:p w14:paraId="2805720C" w14:textId="50923684" w:rsidR="00A9061F" w:rsidRPr="00FB60C2" w:rsidRDefault="00A9061F" w:rsidP="00B701C8">
      <w:pPr>
        <w:numPr>
          <w:ilvl w:val="0"/>
          <w:numId w:val="12"/>
        </w:numPr>
      </w:pPr>
      <w:r w:rsidRPr="00FB60C2">
        <w:rPr>
          <w:color w:val="000000"/>
        </w:rPr>
        <w:t>Alexandra Cooper</w:t>
      </w:r>
      <w:r w:rsidR="00CC1A26" w:rsidRPr="00FB60C2">
        <w:rPr>
          <w:color w:val="000000"/>
        </w:rPr>
        <w:t>, Université Queen’s</w:t>
      </w:r>
    </w:p>
    <w:p w14:paraId="73F4EB8E" w14:textId="6EE4CCEA" w:rsidR="00A9061F" w:rsidRPr="00FB60C2" w:rsidRDefault="00A9061F" w:rsidP="00B701C8">
      <w:pPr>
        <w:numPr>
          <w:ilvl w:val="0"/>
          <w:numId w:val="12"/>
        </w:numPr>
      </w:pPr>
      <w:r w:rsidRPr="00FB60C2">
        <w:rPr>
          <w:color w:val="000000"/>
        </w:rPr>
        <w:t>Amanda Tomé</w:t>
      </w:r>
      <w:r w:rsidR="00CC1A26" w:rsidRPr="00FB60C2">
        <w:rPr>
          <w:color w:val="000000"/>
        </w:rPr>
        <w:t xml:space="preserve">, </w:t>
      </w:r>
      <w:r w:rsidRPr="00FB60C2">
        <w:rPr>
          <w:color w:val="000000"/>
        </w:rPr>
        <w:t>Alliance de recherche numérique du Canada</w:t>
      </w:r>
      <w:r w:rsidR="00CC1A26" w:rsidRPr="00FB60C2">
        <w:rPr>
          <w:color w:val="000000"/>
        </w:rPr>
        <w:t xml:space="preserve">, </w:t>
      </w:r>
      <w:r w:rsidRPr="00FB60C2">
        <w:rPr>
          <w:color w:val="000000"/>
        </w:rPr>
        <w:t>Dépôt fédéré de données de recherche</w:t>
      </w:r>
    </w:p>
    <w:p w14:paraId="15FDA571" w14:textId="66A94CB5" w:rsidR="00A9061F" w:rsidRPr="00FB60C2" w:rsidRDefault="00A9061F" w:rsidP="00B701C8">
      <w:pPr>
        <w:numPr>
          <w:ilvl w:val="0"/>
          <w:numId w:val="12"/>
        </w:numPr>
      </w:pPr>
      <w:r w:rsidRPr="00FB60C2">
        <w:rPr>
          <w:color w:val="000000"/>
        </w:rPr>
        <w:t>Anna Borynec</w:t>
      </w:r>
      <w:r w:rsidR="00CC1A26" w:rsidRPr="00FB60C2">
        <w:rPr>
          <w:color w:val="000000"/>
        </w:rPr>
        <w:t xml:space="preserve">, Collège </w:t>
      </w:r>
      <w:r w:rsidRPr="00FB60C2">
        <w:rPr>
          <w:color w:val="000000"/>
        </w:rPr>
        <w:t>NorQuest</w:t>
      </w:r>
    </w:p>
    <w:p w14:paraId="3EC0A775" w14:textId="631C202A" w:rsidR="00A9061F" w:rsidRPr="00FB60C2" w:rsidRDefault="00A9061F" w:rsidP="00B701C8">
      <w:pPr>
        <w:numPr>
          <w:ilvl w:val="0"/>
          <w:numId w:val="12"/>
        </w:numPr>
      </w:pPr>
      <w:r w:rsidRPr="00FB60C2">
        <w:rPr>
          <w:color w:val="000000"/>
        </w:rPr>
        <w:t>Arturo Santiseban</w:t>
      </w:r>
      <w:r w:rsidR="00CC1A26" w:rsidRPr="00FB60C2">
        <w:rPr>
          <w:color w:val="000000"/>
        </w:rPr>
        <w:t>, Centre de toxicomanie et de santé mentale</w:t>
      </w:r>
    </w:p>
    <w:p w14:paraId="7FE51150" w14:textId="427ED6AD" w:rsidR="00A9061F" w:rsidRPr="00FB60C2" w:rsidRDefault="00A9061F" w:rsidP="00B701C8">
      <w:pPr>
        <w:numPr>
          <w:ilvl w:val="0"/>
          <w:numId w:val="12"/>
        </w:numPr>
      </w:pPr>
      <w:r w:rsidRPr="00FB60C2">
        <w:rPr>
          <w:color w:val="000000"/>
        </w:rPr>
        <w:t>Brendan Behan</w:t>
      </w:r>
      <w:r w:rsidR="00CC1A26" w:rsidRPr="00FB60C2">
        <w:rPr>
          <w:color w:val="000000"/>
        </w:rPr>
        <w:t xml:space="preserve">, Institut </w:t>
      </w:r>
      <w:r w:rsidRPr="00FB60C2">
        <w:rPr>
          <w:color w:val="000000"/>
        </w:rPr>
        <w:t>Vect</w:t>
      </w:r>
      <w:r w:rsidR="00CC1A26" w:rsidRPr="00FB60C2">
        <w:rPr>
          <w:color w:val="000000"/>
        </w:rPr>
        <w:t>eur</w:t>
      </w:r>
    </w:p>
    <w:p w14:paraId="11D613CA" w14:textId="71C98F05" w:rsidR="00A9061F" w:rsidRPr="00FB60C2" w:rsidRDefault="00A9061F" w:rsidP="00B701C8">
      <w:pPr>
        <w:numPr>
          <w:ilvl w:val="0"/>
          <w:numId w:val="12"/>
        </w:numPr>
      </w:pPr>
      <w:r w:rsidRPr="00FB60C2">
        <w:rPr>
          <w:color w:val="000000"/>
        </w:rPr>
        <w:t>Carolle Djima</w:t>
      </w:r>
      <w:r w:rsidR="00CC1A26" w:rsidRPr="00FB60C2">
        <w:rPr>
          <w:color w:val="000000"/>
        </w:rPr>
        <w:t xml:space="preserve">, </w:t>
      </w:r>
      <w:r w:rsidRPr="00FB60C2">
        <w:rPr>
          <w:color w:val="000000"/>
        </w:rPr>
        <w:t>Université de Montréal</w:t>
      </w:r>
    </w:p>
    <w:p w14:paraId="5CC1EB3F" w14:textId="4ADE6B98" w:rsidR="00A9061F" w:rsidRPr="00FB60C2" w:rsidRDefault="00A9061F" w:rsidP="00B701C8">
      <w:pPr>
        <w:numPr>
          <w:ilvl w:val="0"/>
          <w:numId w:val="12"/>
        </w:numPr>
      </w:pPr>
      <w:r w:rsidRPr="00FB60C2">
        <w:rPr>
          <w:color w:val="000000"/>
        </w:rPr>
        <w:t>Dalen Klassen</w:t>
      </w:r>
      <w:r w:rsidR="00CC1A26" w:rsidRPr="00FB60C2">
        <w:rPr>
          <w:color w:val="000000"/>
        </w:rPr>
        <w:t xml:space="preserve">, </w:t>
      </w:r>
      <w:r w:rsidRPr="00FB60C2">
        <w:rPr>
          <w:color w:val="000000"/>
        </w:rPr>
        <w:t>Unity Health Toronto</w:t>
      </w:r>
    </w:p>
    <w:p w14:paraId="166AB8F0" w14:textId="0293008E" w:rsidR="00A9061F" w:rsidRPr="00FB60C2" w:rsidRDefault="00A9061F" w:rsidP="00B701C8">
      <w:pPr>
        <w:numPr>
          <w:ilvl w:val="0"/>
          <w:numId w:val="12"/>
        </w:numPr>
      </w:pPr>
      <w:r w:rsidRPr="00FB60C2">
        <w:rPr>
          <w:color w:val="000000"/>
        </w:rPr>
        <w:t>Dominic Boisvert</w:t>
      </w:r>
      <w:r w:rsidR="00CC1A26" w:rsidRPr="00FB60C2">
        <w:rPr>
          <w:color w:val="000000"/>
        </w:rPr>
        <w:t xml:space="preserve">, </w:t>
      </w:r>
      <w:r w:rsidRPr="00FB60C2">
        <w:rPr>
          <w:color w:val="000000"/>
        </w:rPr>
        <w:t>Université de Montréal</w:t>
      </w:r>
    </w:p>
    <w:p w14:paraId="17459BFE" w14:textId="36F9E0E3" w:rsidR="00A9061F" w:rsidRPr="00FB60C2" w:rsidRDefault="00A9061F" w:rsidP="00B701C8">
      <w:pPr>
        <w:numPr>
          <w:ilvl w:val="0"/>
          <w:numId w:val="12"/>
        </w:numPr>
      </w:pPr>
      <w:r w:rsidRPr="00FB60C2">
        <w:rPr>
          <w:color w:val="000000"/>
        </w:rPr>
        <w:t>Dominique Laroche</w:t>
      </w:r>
      <w:r w:rsidR="00CC1A26" w:rsidRPr="00FB60C2">
        <w:rPr>
          <w:color w:val="000000"/>
        </w:rPr>
        <w:t xml:space="preserve">, </w:t>
      </w:r>
      <w:r w:rsidRPr="00FB60C2">
        <w:rPr>
          <w:color w:val="000000"/>
        </w:rPr>
        <w:t>Université de Montréal</w:t>
      </w:r>
    </w:p>
    <w:p w14:paraId="54AD7565" w14:textId="41CAE3AF" w:rsidR="00A9061F" w:rsidRPr="00FB60C2" w:rsidRDefault="00A9061F" w:rsidP="00B701C8">
      <w:pPr>
        <w:numPr>
          <w:ilvl w:val="0"/>
          <w:numId w:val="12"/>
        </w:numPr>
      </w:pPr>
      <w:r w:rsidRPr="00FB60C2">
        <w:rPr>
          <w:color w:val="000000"/>
        </w:rPr>
        <w:t>Elodie Portales-Casamar</w:t>
      </w:r>
      <w:r w:rsidR="00CC1A26" w:rsidRPr="00FB60C2">
        <w:rPr>
          <w:color w:val="000000"/>
        </w:rPr>
        <w:t xml:space="preserve">, </w:t>
      </w:r>
      <w:r w:rsidR="00625FE3" w:rsidRPr="00625FE3">
        <w:rPr>
          <w:color w:val="000000"/>
        </w:rPr>
        <w:t>Centre de recherche Azrieli du CHU Sainte-Justine</w:t>
      </w:r>
    </w:p>
    <w:p w14:paraId="1D7D7D75" w14:textId="522F6AC0" w:rsidR="00A9061F" w:rsidRPr="00FB60C2" w:rsidRDefault="00A9061F" w:rsidP="00B701C8">
      <w:pPr>
        <w:numPr>
          <w:ilvl w:val="0"/>
          <w:numId w:val="12"/>
        </w:numPr>
      </w:pPr>
      <w:r w:rsidRPr="00FB60C2">
        <w:rPr>
          <w:color w:val="000000"/>
        </w:rPr>
        <w:t>Emily Hersey</w:t>
      </w:r>
      <w:r w:rsidR="00CC1A26" w:rsidRPr="00FB60C2">
        <w:rPr>
          <w:color w:val="000000"/>
        </w:rPr>
        <w:t xml:space="preserve">, Université </w:t>
      </w:r>
      <w:r w:rsidRPr="00FB60C2">
        <w:rPr>
          <w:color w:val="000000"/>
        </w:rPr>
        <w:t>Carleton</w:t>
      </w:r>
    </w:p>
    <w:p w14:paraId="7242BC34" w14:textId="23AE2FE0" w:rsidR="00A9061F" w:rsidRPr="00FB60C2" w:rsidRDefault="00A9061F" w:rsidP="00B701C8">
      <w:pPr>
        <w:numPr>
          <w:ilvl w:val="0"/>
          <w:numId w:val="12"/>
        </w:numPr>
      </w:pPr>
      <w:r w:rsidRPr="00FB60C2">
        <w:rPr>
          <w:color w:val="000000"/>
        </w:rPr>
        <w:t>Erin Dickie</w:t>
      </w:r>
      <w:r w:rsidR="00CC1A26" w:rsidRPr="00FB60C2">
        <w:rPr>
          <w:color w:val="000000"/>
        </w:rPr>
        <w:t>, Centre de toxicomanie et de santé mentale</w:t>
      </w:r>
    </w:p>
    <w:p w14:paraId="053B1AC5" w14:textId="4E3994F1" w:rsidR="00A9061F" w:rsidRPr="00FB60C2" w:rsidRDefault="00A9061F" w:rsidP="00B701C8">
      <w:pPr>
        <w:numPr>
          <w:ilvl w:val="0"/>
          <w:numId w:val="12"/>
        </w:numPr>
      </w:pPr>
      <w:r w:rsidRPr="00FB60C2">
        <w:rPr>
          <w:color w:val="000000"/>
        </w:rPr>
        <w:t>Gail Burritt</w:t>
      </w:r>
      <w:r w:rsidR="00CC1A26" w:rsidRPr="00FB60C2">
        <w:rPr>
          <w:color w:val="000000"/>
        </w:rPr>
        <w:t>, Université d’</w:t>
      </w:r>
      <w:r w:rsidRPr="00FB60C2">
        <w:rPr>
          <w:color w:val="000000"/>
        </w:rPr>
        <w:t>Athabasca</w:t>
      </w:r>
    </w:p>
    <w:p w14:paraId="01C8D6C2" w14:textId="77777777" w:rsidR="00CC1A26" w:rsidRPr="00FB60C2" w:rsidRDefault="00A9061F" w:rsidP="00B701C8">
      <w:pPr>
        <w:numPr>
          <w:ilvl w:val="0"/>
          <w:numId w:val="12"/>
        </w:numPr>
      </w:pPr>
      <w:r w:rsidRPr="00FB60C2">
        <w:rPr>
          <w:color w:val="000000"/>
        </w:rPr>
        <w:t>Gordon DuVal</w:t>
      </w:r>
      <w:r w:rsidR="00CC1A26" w:rsidRPr="00FB60C2">
        <w:rPr>
          <w:color w:val="000000"/>
        </w:rPr>
        <w:t>, Université Carleton</w:t>
      </w:r>
    </w:p>
    <w:p w14:paraId="5AAEE8F9" w14:textId="7F7003EE" w:rsidR="00CC1A26" w:rsidRPr="00FB60C2" w:rsidRDefault="00A9061F" w:rsidP="00B701C8">
      <w:pPr>
        <w:numPr>
          <w:ilvl w:val="0"/>
          <w:numId w:val="12"/>
        </w:numPr>
      </w:pPr>
      <w:r w:rsidRPr="00FB60C2">
        <w:rPr>
          <w:color w:val="000000"/>
        </w:rPr>
        <w:t>Guillermo (Will) Fiebelkorn</w:t>
      </w:r>
      <w:r w:rsidR="00CC1A26" w:rsidRPr="00FB60C2">
        <w:rPr>
          <w:color w:val="000000"/>
        </w:rPr>
        <w:t>, Université de Calgary</w:t>
      </w:r>
    </w:p>
    <w:p w14:paraId="7B60A427" w14:textId="43FEA2EC" w:rsidR="00CC1A26" w:rsidRPr="00FB60C2" w:rsidRDefault="00A9061F" w:rsidP="00B701C8">
      <w:pPr>
        <w:numPr>
          <w:ilvl w:val="0"/>
          <w:numId w:val="12"/>
        </w:numPr>
      </w:pPr>
      <w:r w:rsidRPr="00FB60C2">
        <w:rPr>
          <w:color w:val="000000"/>
        </w:rPr>
        <w:t>Jane Fry</w:t>
      </w:r>
      <w:r w:rsidR="00CC1A26" w:rsidRPr="00FB60C2">
        <w:rPr>
          <w:color w:val="000000"/>
        </w:rPr>
        <w:t>, Université Carleton</w:t>
      </w:r>
    </w:p>
    <w:p w14:paraId="1FA60A60" w14:textId="71F2B283" w:rsidR="00A9061F" w:rsidRPr="003F51C9" w:rsidRDefault="00A9061F" w:rsidP="00B701C8">
      <w:pPr>
        <w:numPr>
          <w:ilvl w:val="0"/>
          <w:numId w:val="12"/>
        </w:numPr>
        <w:rPr>
          <w:lang w:val="en-CA"/>
        </w:rPr>
      </w:pPr>
      <w:r w:rsidRPr="003F51C9">
        <w:rPr>
          <w:color w:val="000000"/>
          <w:lang w:val="en-CA"/>
        </w:rPr>
        <w:t>Jody Wolfe</w:t>
      </w:r>
      <w:r w:rsidR="00CC1A26" w:rsidRPr="003F51C9">
        <w:rPr>
          <w:color w:val="000000"/>
          <w:lang w:val="en-CA"/>
        </w:rPr>
        <w:t xml:space="preserve">, </w:t>
      </w:r>
      <w:r w:rsidRPr="003F51C9">
        <w:rPr>
          <w:color w:val="000000"/>
          <w:lang w:val="en-CA"/>
        </w:rPr>
        <w:t>PolicyWise for Children &amp; Families</w:t>
      </w:r>
    </w:p>
    <w:p w14:paraId="50D5AC9C" w14:textId="77777777" w:rsidR="00CC1A26" w:rsidRPr="00FB60C2" w:rsidRDefault="00A9061F" w:rsidP="00B701C8">
      <w:pPr>
        <w:numPr>
          <w:ilvl w:val="0"/>
          <w:numId w:val="12"/>
        </w:numPr>
      </w:pPr>
      <w:r w:rsidRPr="00FB60C2">
        <w:rPr>
          <w:color w:val="000000"/>
        </w:rPr>
        <w:t>Ju-Chi Yu</w:t>
      </w:r>
      <w:r w:rsidR="00CC1A26" w:rsidRPr="00FB60C2">
        <w:rPr>
          <w:color w:val="000000"/>
        </w:rPr>
        <w:t>, Centre de toxicomanie et de santé mentale</w:t>
      </w:r>
    </w:p>
    <w:p w14:paraId="5FCC9128" w14:textId="2DEAFFDF" w:rsidR="00A9061F" w:rsidRPr="00FB60C2" w:rsidRDefault="00A9061F" w:rsidP="00B701C8">
      <w:pPr>
        <w:numPr>
          <w:ilvl w:val="0"/>
          <w:numId w:val="12"/>
        </w:numPr>
      </w:pPr>
      <w:r w:rsidRPr="00FB60C2">
        <w:rPr>
          <w:color w:val="000000"/>
        </w:rPr>
        <w:t>Kelly Blair-Matuk</w:t>
      </w:r>
      <w:r w:rsidR="00CC1A26" w:rsidRPr="00FB60C2">
        <w:rPr>
          <w:color w:val="000000"/>
        </w:rPr>
        <w:t>,</w:t>
      </w:r>
      <w:r w:rsidRPr="00FB60C2">
        <w:rPr>
          <w:color w:val="000000"/>
        </w:rPr>
        <w:t xml:space="preserve"> </w:t>
      </w:r>
      <w:r w:rsidR="00CC1A26" w:rsidRPr="00FB60C2">
        <w:rPr>
          <w:color w:val="000000"/>
        </w:rPr>
        <w:t xml:space="preserve">Université </w:t>
      </w:r>
      <w:r w:rsidRPr="00FB60C2">
        <w:rPr>
          <w:color w:val="000000"/>
        </w:rPr>
        <w:t>Queen’s</w:t>
      </w:r>
    </w:p>
    <w:p w14:paraId="45E9939B" w14:textId="7EB75B91" w:rsidR="00A9061F" w:rsidRPr="00FB60C2" w:rsidRDefault="00A9061F" w:rsidP="00B701C8">
      <w:pPr>
        <w:numPr>
          <w:ilvl w:val="0"/>
          <w:numId w:val="12"/>
        </w:numPr>
      </w:pPr>
      <w:r w:rsidRPr="00FB60C2">
        <w:rPr>
          <w:color w:val="000000"/>
        </w:rPr>
        <w:t>Lucia Costanzo</w:t>
      </w:r>
      <w:r w:rsidR="00CC1A26" w:rsidRPr="00FB60C2">
        <w:rPr>
          <w:color w:val="000000"/>
        </w:rPr>
        <w:t xml:space="preserve">, </w:t>
      </w:r>
      <w:r w:rsidR="007072CA" w:rsidRPr="00FB60C2">
        <w:rPr>
          <w:color w:val="000000"/>
        </w:rPr>
        <w:t xml:space="preserve">Université </w:t>
      </w:r>
      <w:r w:rsidR="00CC1A26" w:rsidRPr="00FB60C2">
        <w:rPr>
          <w:color w:val="000000"/>
        </w:rPr>
        <w:t xml:space="preserve">de </w:t>
      </w:r>
      <w:r w:rsidRPr="00FB60C2">
        <w:rPr>
          <w:color w:val="000000"/>
        </w:rPr>
        <w:t>Guelph</w:t>
      </w:r>
    </w:p>
    <w:p w14:paraId="2CD0869D" w14:textId="5DD01890" w:rsidR="00A9061F" w:rsidRPr="00FB60C2" w:rsidRDefault="00A9061F" w:rsidP="00B701C8">
      <w:pPr>
        <w:numPr>
          <w:ilvl w:val="0"/>
          <w:numId w:val="12"/>
        </w:numPr>
      </w:pPr>
      <w:r w:rsidRPr="00FB60C2">
        <w:rPr>
          <w:color w:val="000000"/>
        </w:rPr>
        <w:t>Mathilde Sainte-Marie</w:t>
      </w:r>
      <w:r w:rsidR="00CC1A26" w:rsidRPr="00FB60C2">
        <w:rPr>
          <w:color w:val="000000"/>
        </w:rPr>
        <w:t xml:space="preserve">, </w:t>
      </w:r>
      <w:r w:rsidR="00625FE3" w:rsidRPr="00625FE3">
        <w:rPr>
          <w:color w:val="000000"/>
        </w:rPr>
        <w:t>Centre de recherche Azrieli du CHU Sainte-Justine</w:t>
      </w:r>
    </w:p>
    <w:p w14:paraId="55A69CD8" w14:textId="77777777" w:rsidR="00CC1A26" w:rsidRPr="00FB60C2" w:rsidRDefault="00A9061F" w:rsidP="00B701C8">
      <w:pPr>
        <w:numPr>
          <w:ilvl w:val="0"/>
          <w:numId w:val="12"/>
        </w:numPr>
      </w:pPr>
      <w:r w:rsidRPr="00FB60C2">
        <w:rPr>
          <w:color w:val="000000"/>
        </w:rPr>
        <w:t>Matthew Adams</w:t>
      </w:r>
      <w:r w:rsidR="00CC1A26" w:rsidRPr="00FB60C2">
        <w:rPr>
          <w:color w:val="000000"/>
        </w:rPr>
        <w:t>, Université de Calgary</w:t>
      </w:r>
    </w:p>
    <w:p w14:paraId="77DF94FA" w14:textId="47177F52" w:rsidR="00A9061F" w:rsidRPr="00FB60C2" w:rsidRDefault="00A9061F" w:rsidP="00B701C8">
      <w:pPr>
        <w:numPr>
          <w:ilvl w:val="0"/>
          <w:numId w:val="12"/>
        </w:numPr>
      </w:pPr>
      <w:r w:rsidRPr="00FB60C2">
        <w:rPr>
          <w:color w:val="000000"/>
        </w:rPr>
        <w:t xml:space="preserve">Melissa Cuthill, Université </w:t>
      </w:r>
      <w:r w:rsidR="0095511C" w:rsidRPr="00FB60C2">
        <w:rPr>
          <w:color w:val="000000"/>
        </w:rPr>
        <w:t>p</w:t>
      </w:r>
      <w:r w:rsidRPr="00FB60C2">
        <w:rPr>
          <w:color w:val="000000"/>
        </w:rPr>
        <w:t>olytechnique Kwantlen</w:t>
      </w:r>
    </w:p>
    <w:p w14:paraId="5763425D" w14:textId="0B516C26" w:rsidR="00A9061F" w:rsidRPr="00FB60C2" w:rsidRDefault="00A9061F" w:rsidP="00B701C8">
      <w:pPr>
        <w:numPr>
          <w:ilvl w:val="0"/>
          <w:numId w:val="12"/>
        </w:numPr>
      </w:pPr>
      <w:r w:rsidRPr="00FB60C2">
        <w:rPr>
          <w:color w:val="000000"/>
        </w:rPr>
        <w:t>Nathalie Aerens</w:t>
      </w:r>
      <w:r w:rsidR="00CC1A26" w:rsidRPr="00FB60C2">
        <w:rPr>
          <w:color w:val="000000"/>
        </w:rPr>
        <w:t xml:space="preserve">, </w:t>
      </w:r>
      <w:r w:rsidRPr="00FB60C2">
        <w:rPr>
          <w:color w:val="000000"/>
        </w:rPr>
        <w:t>Université McGill</w:t>
      </w:r>
    </w:p>
    <w:p w14:paraId="15F5DA41" w14:textId="09AE0593" w:rsidR="00A9061F" w:rsidRPr="00FB60C2" w:rsidRDefault="00A9061F" w:rsidP="00B701C8">
      <w:pPr>
        <w:numPr>
          <w:ilvl w:val="0"/>
          <w:numId w:val="12"/>
        </w:numPr>
      </w:pPr>
      <w:r w:rsidRPr="00FB60C2">
        <w:rPr>
          <w:color w:val="000000"/>
        </w:rPr>
        <w:t>Pascale Beliveau</w:t>
      </w:r>
      <w:r w:rsidR="00CC1A26" w:rsidRPr="00FB60C2">
        <w:rPr>
          <w:color w:val="000000"/>
        </w:rPr>
        <w:t xml:space="preserve">, </w:t>
      </w:r>
      <w:r w:rsidRPr="00FB60C2">
        <w:rPr>
          <w:color w:val="000000"/>
        </w:rPr>
        <w:t>Université de Montréal</w:t>
      </w:r>
    </w:p>
    <w:p w14:paraId="13C2BBBE" w14:textId="41DEC0BB" w:rsidR="00A9061F" w:rsidRPr="00FB60C2" w:rsidRDefault="00A9061F" w:rsidP="00B701C8">
      <w:pPr>
        <w:numPr>
          <w:ilvl w:val="0"/>
          <w:numId w:val="12"/>
        </w:numPr>
      </w:pPr>
      <w:r w:rsidRPr="00FB60C2">
        <w:rPr>
          <w:color w:val="000000"/>
        </w:rPr>
        <w:t>Patrick Marois</w:t>
      </w:r>
      <w:r w:rsidR="00CC1A26" w:rsidRPr="00FB60C2">
        <w:rPr>
          <w:color w:val="000000"/>
        </w:rPr>
        <w:t xml:space="preserve">, </w:t>
      </w:r>
      <w:r w:rsidRPr="00FB60C2">
        <w:rPr>
          <w:color w:val="000000"/>
        </w:rPr>
        <w:t>Université Laval</w:t>
      </w:r>
    </w:p>
    <w:p w14:paraId="30A9307B" w14:textId="1F690E78" w:rsidR="00A9061F" w:rsidRPr="00FB60C2" w:rsidRDefault="00A9061F" w:rsidP="00B701C8">
      <w:pPr>
        <w:numPr>
          <w:ilvl w:val="0"/>
          <w:numId w:val="12"/>
        </w:numPr>
      </w:pPr>
      <w:r w:rsidRPr="00FB60C2">
        <w:rPr>
          <w:color w:val="000000"/>
        </w:rPr>
        <w:t>Pradeep Nair</w:t>
      </w:r>
      <w:r w:rsidR="00CC1A26" w:rsidRPr="00FB60C2">
        <w:rPr>
          <w:color w:val="000000"/>
        </w:rPr>
        <w:t xml:space="preserve">, </w:t>
      </w:r>
      <w:r w:rsidRPr="00FB60C2">
        <w:rPr>
          <w:color w:val="000000"/>
        </w:rPr>
        <w:t>TRIUMF</w:t>
      </w:r>
    </w:p>
    <w:p w14:paraId="65B5AAF5" w14:textId="570A73B6" w:rsidR="00A9061F" w:rsidRPr="00FB60C2" w:rsidRDefault="00A9061F" w:rsidP="00B701C8">
      <w:pPr>
        <w:numPr>
          <w:ilvl w:val="0"/>
          <w:numId w:val="12"/>
        </w:numPr>
      </w:pPr>
      <w:r w:rsidRPr="00FB60C2">
        <w:rPr>
          <w:color w:val="000000"/>
        </w:rPr>
        <w:t>Sharon Freitag</w:t>
      </w:r>
      <w:r w:rsidR="00CC1A26" w:rsidRPr="00FB60C2">
        <w:rPr>
          <w:color w:val="000000"/>
        </w:rPr>
        <w:t xml:space="preserve">, </w:t>
      </w:r>
      <w:r w:rsidRPr="00FB60C2">
        <w:rPr>
          <w:color w:val="000000"/>
        </w:rPr>
        <w:t>Unity Health Toronto</w:t>
      </w:r>
    </w:p>
    <w:p w14:paraId="2CEE7DE0" w14:textId="689B3A2B" w:rsidR="00A9061F" w:rsidRPr="00FB60C2" w:rsidRDefault="00A9061F" w:rsidP="00B701C8">
      <w:pPr>
        <w:numPr>
          <w:ilvl w:val="0"/>
          <w:numId w:val="12"/>
        </w:numPr>
      </w:pPr>
      <w:r w:rsidRPr="00FB60C2">
        <w:rPr>
          <w:color w:val="000000"/>
        </w:rPr>
        <w:t>Yves Terra</w:t>
      </w:r>
      <w:r w:rsidR="00CC1A26" w:rsidRPr="00FB60C2">
        <w:rPr>
          <w:color w:val="000000"/>
        </w:rPr>
        <w:t xml:space="preserve">t, </w:t>
      </w:r>
      <w:r w:rsidRPr="00FB60C2">
        <w:rPr>
          <w:color w:val="000000"/>
        </w:rPr>
        <w:t>Université de Montréal</w:t>
      </w:r>
    </w:p>
    <w:p w14:paraId="545FD184" w14:textId="77777777" w:rsidR="00A9061F" w:rsidRPr="00FB60C2" w:rsidRDefault="00A9061F" w:rsidP="00B701C8"/>
    <w:p w14:paraId="7AF5984E" w14:textId="59060D20" w:rsidR="00A9061F" w:rsidRPr="00FB60C2" w:rsidRDefault="007072CA" w:rsidP="00B701C8">
      <w:r w:rsidRPr="00FB60C2">
        <w:rPr>
          <w:b/>
          <w:color w:val="000000"/>
        </w:rPr>
        <w:t>Groupe de travail sur la technologie et les services</w:t>
      </w:r>
    </w:p>
    <w:p w14:paraId="3AE0E2FF" w14:textId="77777777" w:rsidR="00A9061F" w:rsidRPr="00FB60C2" w:rsidRDefault="00A9061F" w:rsidP="00B701C8"/>
    <w:p w14:paraId="60711173" w14:textId="2B37C12C" w:rsidR="00A9061F" w:rsidRPr="00FB60C2" w:rsidRDefault="00A9061F" w:rsidP="00B701C8">
      <w:pPr>
        <w:numPr>
          <w:ilvl w:val="0"/>
          <w:numId w:val="15"/>
        </w:numPr>
      </w:pPr>
      <w:r w:rsidRPr="00FB60C2">
        <w:rPr>
          <w:color w:val="000000"/>
        </w:rPr>
        <w:t>Ian Percel</w:t>
      </w:r>
      <w:r w:rsidR="00CC1A26" w:rsidRPr="00FB60C2">
        <w:rPr>
          <w:color w:val="000000"/>
        </w:rPr>
        <w:t xml:space="preserve">, </w:t>
      </w:r>
      <w:r w:rsidR="007072CA" w:rsidRPr="00FB60C2">
        <w:rPr>
          <w:color w:val="000000"/>
        </w:rPr>
        <w:t xml:space="preserve">Université </w:t>
      </w:r>
      <w:r w:rsidR="00CC1A26" w:rsidRPr="00FB60C2">
        <w:rPr>
          <w:color w:val="000000"/>
        </w:rPr>
        <w:t>de</w:t>
      </w:r>
      <w:r w:rsidRPr="00FB60C2">
        <w:rPr>
          <w:color w:val="000000"/>
        </w:rPr>
        <w:t xml:space="preserve"> Calgary</w:t>
      </w:r>
      <w:r w:rsidR="00CC1A26" w:rsidRPr="00FB60C2">
        <w:rPr>
          <w:color w:val="000000"/>
        </w:rPr>
        <w:t xml:space="preserve"> (coprésident</w:t>
      </w:r>
      <w:r w:rsidRPr="00FB60C2">
        <w:rPr>
          <w:color w:val="000000"/>
        </w:rPr>
        <w:t>)</w:t>
      </w:r>
    </w:p>
    <w:p w14:paraId="4E4BD670" w14:textId="5151FBAE" w:rsidR="00CC1A26" w:rsidRPr="00FB60C2" w:rsidRDefault="00A9061F" w:rsidP="00B701C8">
      <w:pPr>
        <w:numPr>
          <w:ilvl w:val="0"/>
          <w:numId w:val="15"/>
        </w:numPr>
      </w:pPr>
      <w:r w:rsidRPr="00FB60C2">
        <w:rPr>
          <w:color w:val="000000"/>
        </w:rPr>
        <w:t>Victoria Smith</w:t>
      </w:r>
      <w:r w:rsidR="00CC1A26" w:rsidRPr="00FB60C2">
        <w:rPr>
          <w:color w:val="000000"/>
        </w:rPr>
        <w:t xml:space="preserve">, </w:t>
      </w:r>
      <w:r w:rsidRPr="00FB60C2">
        <w:rPr>
          <w:color w:val="000000"/>
        </w:rPr>
        <w:t>Alliance de recherche numérique du Canada</w:t>
      </w:r>
      <w:r w:rsidR="00CC1A26" w:rsidRPr="00FB60C2">
        <w:rPr>
          <w:color w:val="000000"/>
        </w:rPr>
        <w:t xml:space="preserve"> (coprésidente)</w:t>
      </w:r>
    </w:p>
    <w:p w14:paraId="4E32D12E" w14:textId="7892E752" w:rsidR="00A9061F" w:rsidRPr="00FB60C2" w:rsidRDefault="00A9061F" w:rsidP="00B701C8">
      <w:pPr>
        <w:numPr>
          <w:ilvl w:val="0"/>
          <w:numId w:val="15"/>
        </w:numPr>
      </w:pPr>
      <w:r w:rsidRPr="00FB60C2">
        <w:rPr>
          <w:color w:val="000000"/>
        </w:rPr>
        <w:t>Amanda Tomé</w:t>
      </w:r>
      <w:r w:rsidR="00CC1A26" w:rsidRPr="00FB60C2">
        <w:rPr>
          <w:color w:val="000000"/>
        </w:rPr>
        <w:t xml:space="preserve">, </w:t>
      </w:r>
      <w:r w:rsidRPr="00FB60C2">
        <w:rPr>
          <w:color w:val="000000"/>
        </w:rPr>
        <w:t>Alliance de recherche numérique du Canada</w:t>
      </w:r>
      <w:r w:rsidR="00CC1A26" w:rsidRPr="00FB60C2">
        <w:rPr>
          <w:color w:val="000000"/>
        </w:rPr>
        <w:t xml:space="preserve">, </w:t>
      </w:r>
      <w:r w:rsidRPr="00FB60C2">
        <w:rPr>
          <w:color w:val="000000"/>
        </w:rPr>
        <w:t>Dépôt fédéré de données de recherche</w:t>
      </w:r>
    </w:p>
    <w:p w14:paraId="0E8FBC56" w14:textId="087A6900" w:rsidR="00A9061F" w:rsidRPr="00FB60C2" w:rsidRDefault="00A9061F" w:rsidP="00B701C8">
      <w:pPr>
        <w:numPr>
          <w:ilvl w:val="0"/>
          <w:numId w:val="15"/>
        </w:numPr>
      </w:pPr>
      <w:r w:rsidRPr="00FB60C2">
        <w:rPr>
          <w:color w:val="000000"/>
        </w:rPr>
        <w:t>Amber Leahey</w:t>
      </w:r>
      <w:r w:rsidR="00CC1A26" w:rsidRPr="00FB60C2">
        <w:rPr>
          <w:color w:val="000000"/>
        </w:rPr>
        <w:t xml:space="preserve">, </w:t>
      </w:r>
      <w:r w:rsidRPr="00FB60C2">
        <w:rPr>
          <w:color w:val="000000"/>
        </w:rPr>
        <w:t>Borealis</w:t>
      </w:r>
    </w:p>
    <w:p w14:paraId="3B38F4ED" w14:textId="0CC60341" w:rsidR="00A9061F" w:rsidRPr="00FB60C2" w:rsidRDefault="00A9061F" w:rsidP="00B701C8">
      <w:pPr>
        <w:numPr>
          <w:ilvl w:val="0"/>
          <w:numId w:val="15"/>
        </w:numPr>
      </w:pPr>
      <w:r w:rsidRPr="00FB60C2">
        <w:rPr>
          <w:color w:val="000000"/>
        </w:rPr>
        <w:t>Amy Allison</w:t>
      </w:r>
      <w:r w:rsidR="00CC1A26" w:rsidRPr="00FB60C2">
        <w:rPr>
          <w:color w:val="000000"/>
        </w:rPr>
        <w:t xml:space="preserve">, </w:t>
      </w:r>
      <w:r w:rsidR="007072CA" w:rsidRPr="00FB60C2">
        <w:rPr>
          <w:color w:val="000000"/>
        </w:rPr>
        <w:t xml:space="preserve">Université </w:t>
      </w:r>
      <w:r w:rsidR="00CC1A26" w:rsidRPr="00FB60C2">
        <w:rPr>
          <w:color w:val="000000"/>
        </w:rPr>
        <w:t>de</w:t>
      </w:r>
      <w:r w:rsidRPr="00FB60C2">
        <w:rPr>
          <w:color w:val="000000"/>
        </w:rPr>
        <w:t xml:space="preserve"> Guelph</w:t>
      </w:r>
    </w:p>
    <w:p w14:paraId="1318FF18" w14:textId="05CF17E9" w:rsidR="00A9061F" w:rsidRPr="00FB60C2" w:rsidRDefault="00A9061F" w:rsidP="00B701C8">
      <w:pPr>
        <w:numPr>
          <w:ilvl w:val="0"/>
          <w:numId w:val="15"/>
        </w:numPr>
      </w:pPr>
      <w:r w:rsidRPr="00FB60C2">
        <w:rPr>
          <w:color w:val="000000"/>
        </w:rPr>
        <w:t>Andre Gerges</w:t>
      </w:r>
      <w:r w:rsidR="00CC1A26" w:rsidRPr="00FB60C2">
        <w:rPr>
          <w:color w:val="000000"/>
        </w:rPr>
        <w:t xml:space="preserve">, </w:t>
      </w:r>
      <w:r w:rsidRPr="00FB60C2">
        <w:rPr>
          <w:color w:val="000000"/>
        </w:rPr>
        <w:t>Université Laval</w:t>
      </w:r>
    </w:p>
    <w:p w14:paraId="40FEEAC6" w14:textId="0918AEF6" w:rsidR="00A9061F" w:rsidRPr="00FB60C2" w:rsidRDefault="00A9061F" w:rsidP="00B701C8">
      <w:pPr>
        <w:numPr>
          <w:ilvl w:val="0"/>
          <w:numId w:val="15"/>
        </w:numPr>
      </w:pPr>
      <w:r w:rsidRPr="00FB60C2">
        <w:rPr>
          <w:color w:val="000000"/>
        </w:rPr>
        <w:t>Andrew Schoenrock</w:t>
      </w:r>
      <w:r w:rsidR="00CC1A26" w:rsidRPr="00FB60C2">
        <w:rPr>
          <w:color w:val="000000"/>
        </w:rPr>
        <w:t xml:space="preserve">, Université </w:t>
      </w:r>
      <w:r w:rsidRPr="00FB60C2">
        <w:rPr>
          <w:color w:val="000000"/>
        </w:rPr>
        <w:t>Carleton</w:t>
      </w:r>
    </w:p>
    <w:p w14:paraId="0E818A78" w14:textId="579A8C28" w:rsidR="00A9061F" w:rsidRPr="00FB60C2" w:rsidRDefault="00A9061F" w:rsidP="00B701C8">
      <w:pPr>
        <w:numPr>
          <w:ilvl w:val="0"/>
          <w:numId w:val="15"/>
        </w:numPr>
      </w:pPr>
      <w:r w:rsidRPr="00FB60C2">
        <w:rPr>
          <w:color w:val="000000"/>
        </w:rPr>
        <w:t>Andy Adler</w:t>
      </w:r>
      <w:r w:rsidR="00CC1A26" w:rsidRPr="00FB60C2">
        <w:rPr>
          <w:color w:val="000000"/>
        </w:rPr>
        <w:t>, Université Carleton</w:t>
      </w:r>
    </w:p>
    <w:p w14:paraId="1AA9DD96" w14:textId="21D4441D" w:rsidR="00A9061F" w:rsidRPr="00FB60C2" w:rsidRDefault="00A9061F" w:rsidP="00B701C8">
      <w:pPr>
        <w:numPr>
          <w:ilvl w:val="0"/>
          <w:numId w:val="15"/>
        </w:numPr>
      </w:pPr>
      <w:r w:rsidRPr="00FB60C2">
        <w:rPr>
          <w:color w:val="000000"/>
        </w:rPr>
        <w:t>Asim Aziz</w:t>
      </w:r>
      <w:r w:rsidR="006023BC" w:rsidRPr="00FB60C2">
        <w:rPr>
          <w:color w:val="000000"/>
        </w:rPr>
        <w:t>, Université d’</w:t>
      </w:r>
      <w:r w:rsidRPr="00FB60C2">
        <w:rPr>
          <w:color w:val="000000"/>
        </w:rPr>
        <w:t>Athabasca</w:t>
      </w:r>
    </w:p>
    <w:p w14:paraId="01A67B9E" w14:textId="77777777" w:rsidR="00A9061F" w:rsidRPr="00FB60C2" w:rsidRDefault="00A9061F" w:rsidP="00B701C8">
      <w:pPr>
        <w:numPr>
          <w:ilvl w:val="0"/>
          <w:numId w:val="15"/>
        </w:numPr>
      </w:pPr>
      <w:r w:rsidRPr="00FB60C2">
        <w:rPr>
          <w:color w:val="000000"/>
        </w:rPr>
        <w:t>Carla Graebner, Université Simon-Fraser</w:t>
      </w:r>
    </w:p>
    <w:p w14:paraId="6AE111BF" w14:textId="009DD491" w:rsidR="00A9061F" w:rsidRPr="00FB60C2" w:rsidRDefault="00A9061F" w:rsidP="00B701C8">
      <w:pPr>
        <w:numPr>
          <w:ilvl w:val="0"/>
          <w:numId w:val="15"/>
        </w:numPr>
      </w:pPr>
      <w:r w:rsidRPr="00FB60C2">
        <w:rPr>
          <w:color w:val="000000"/>
        </w:rPr>
        <w:lastRenderedPageBreak/>
        <w:t>Dalen Klassen</w:t>
      </w:r>
      <w:r w:rsidR="006023BC" w:rsidRPr="00FB60C2">
        <w:rPr>
          <w:color w:val="000000"/>
        </w:rPr>
        <w:t xml:space="preserve">, </w:t>
      </w:r>
      <w:r w:rsidRPr="00FB60C2">
        <w:rPr>
          <w:color w:val="000000"/>
        </w:rPr>
        <w:t>Unity Health Toronto</w:t>
      </w:r>
    </w:p>
    <w:p w14:paraId="5772B2D0" w14:textId="5D86A999" w:rsidR="00A9061F" w:rsidRPr="00FB60C2" w:rsidRDefault="00A9061F" w:rsidP="00B701C8">
      <w:pPr>
        <w:numPr>
          <w:ilvl w:val="0"/>
          <w:numId w:val="15"/>
        </w:numPr>
      </w:pPr>
      <w:r w:rsidRPr="00FB60C2">
        <w:rPr>
          <w:color w:val="000000"/>
        </w:rPr>
        <w:t>Di Qing</w:t>
      </w:r>
      <w:r w:rsidR="006023BC" w:rsidRPr="00FB60C2">
        <w:rPr>
          <w:color w:val="000000"/>
        </w:rPr>
        <w:t xml:space="preserve">, </w:t>
      </w:r>
      <w:r w:rsidRPr="00FB60C2">
        <w:rPr>
          <w:color w:val="000000"/>
        </w:rPr>
        <w:t>TRIUMF</w:t>
      </w:r>
    </w:p>
    <w:p w14:paraId="2ACAEC00" w14:textId="1F5A1AAF" w:rsidR="00A9061F" w:rsidRPr="00FB60C2" w:rsidRDefault="00A9061F" w:rsidP="00B701C8">
      <w:pPr>
        <w:numPr>
          <w:ilvl w:val="0"/>
          <w:numId w:val="15"/>
        </w:numPr>
      </w:pPr>
      <w:r w:rsidRPr="00FB60C2">
        <w:rPr>
          <w:color w:val="000000"/>
        </w:rPr>
        <w:t>Erin Clary</w:t>
      </w:r>
      <w:r w:rsidR="006023BC" w:rsidRPr="00FB60C2">
        <w:rPr>
          <w:color w:val="000000"/>
        </w:rPr>
        <w:t xml:space="preserve">, </w:t>
      </w:r>
      <w:r w:rsidRPr="00FB60C2">
        <w:rPr>
          <w:color w:val="000000"/>
        </w:rPr>
        <w:t>Alliance de recherche numérique du Canada</w:t>
      </w:r>
      <w:r w:rsidR="006023BC" w:rsidRPr="00FB60C2">
        <w:rPr>
          <w:color w:val="000000"/>
        </w:rPr>
        <w:t>,</w:t>
      </w:r>
      <w:r w:rsidRPr="00FB60C2">
        <w:rPr>
          <w:color w:val="000000"/>
        </w:rPr>
        <w:t xml:space="preserve"> Dépôt fédéré de données de recherche</w:t>
      </w:r>
    </w:p>
    <w:p w14:paraId="45CC89DA" w14:textId="1CA4312C" w:rsidR="00A9061F" w:rsidRPr="00FB60C2" w:rsidRDefault="00A9061F" w:rsidP="00B701C8">
      <w:pPr>
        <w:numPr>
          <w:ilvl w:val="0"/>
          <w:numId w:val="15"/>
        </w:numPr>
      </w:pPr>
      <w:r w:rsidRPr="00FB60C2">
        <w:rPr>
          <w:color w:val="000000"/>
        </w:rPr>
        <w:t>Farhad Qureshi</w:t>
      </w:r>
      <w:r w:rsidR="006023BC" w:rsidRPr="00FB60C2">
        <w:rPr>
          <w:color w:val="000000"/>
        </w:rPr>
        <w:t>, Centre de toxicomanie et de santé mentale</w:t>
      </w:r>
    </w:p>
    <w:p w14:paraId="52D13F78" w14:textId="5B818C91" w:rsidR="00A9061F" w:rsidRPr="00FB60C2" w:rsidRDefault="00A9061F" w:rsidP="00B701C8">
      <w:pPr>
        <w:numPr>
          <w:ilvl w:val="0"/>
          <w:numId w:val="15"/>
        </w:numPr>
      </w:pPr>
      <w:r w:rsidRPr="00FB60C2">
        <w:rPr>
          <w:color w:val="000000"/>
        </w:rPr>
        <w:t>Ju-Chi Yu</w:t>
      </w:r>
      <w:r w:rsidR="006023BC" w:rsidRPr="00FB60C2">
        <w:rPr>
          <w:color w:val="000000"/>
        </w:rPr>
        <w:t>, Centre de toxicomanie et de santé mentale</w:t>
      </w:r>
    </w:p>
    <w:p w14:paraId="407CBF2D" w14:textId="5E012A92" w:rsidR="00A9061F" w:rsidRPr="00FB60C2" w:rsidRDefault="00A9061F" w:rsidP="00B701C8">
      <w:pPr>
        <w:numPr>
          <w:ilvl w:val="0"/>
          <w:numId w:val="15"/>
        </w:numPr>
      </w:pPr>
      <w:r w:rsidRPr="00FB60C2">
        <w:rPr>
          <w:color w:val="000000"/>
        </w:rPr>
        <w:t>Kamran Afzali</w:t>
      </w:r>
      <w:r w:rsidR="006023BC" w:rsidRPr="00FB60C2">
        <w:rPr>
          <w:color w:val="000000"/>
        </w:rPr>
        <w:t xml:space="preserve">, </w:t>
      </w:r>
      <w:r w:rsidRPr="00FB60C2">
        <w:rPr>
          <w:color w:val="000000"/>
        </w:rPr>
        <w:t>Université de Montréal</w:t>
      </w:r>
    </w:p>
    <w:p w14:paraId="0CBF005C" w14:textId="756A875A" w:rsidR="00A9061F" w:rsidRPr="00FB60C2" w:rsidRDefault="00A9061F" w:rsidP="00B701C8">
      <w:pPr>
        <w:numPr>
          <w:ilvl w:val="0"/>
          <w:numId w:val="15"/>
        </w:numPr>
      </w:pPr>
      <w:r w:rsidRPr="00FB60C2">
        <w:rPr>
          <w:color w:val="000000"/>
        </w:rPr>
        <w:t>Khedidja Serid</w:t>
      </w:r>
      <w:r w:rsidR="006023BC" w:rsidRPr="00FB60C2">
        <w:rPr>
          <w:color w:val="000000"/>
        </w:rPr>
        <w:t xml:space="preserve">i, </w:t>
      </w:r>
      <w:r w:rsidRPr="00FB60C2">
        <w:rPr>
          <w:color w:val="000000"/>
        </w:rPr>
        <w:t>Université de Montréal</w:t>
      </w:r>
    </w:p>
    <w:p w14:paraId="08DC99AB" w14:textId="77777777" w:rsidR="006023BC" w:rsidRPr="00FB60C2" w:rsidRDefault="00A9061F" w:rsidP="00B701C8">
      <w:pPr>
        <w:numPr>
          <w:ilvl w:val="0"/>
          <w:numId w:val="15"/>
        </w:numPr>
      </w:pPr>
      <w:r w:rsidRPr="00FB60C2">
        <w:rPr>
          <w:color w:val="000000"/>
        </w:rPr>
        <w:t>Laura Gerlitz</w:t>
      </w:r>
      <w:r w:rsidR="006023BC" w:rsidRPr="00FB60C2">
        <w:rPr>
          <w:color w:val="000000"/>
        </w:rPr>
        <w:t>, Alliance de recherche numérique du Canada, Dépôt fédéré de données de recherche</w:t>
      </w:r>
    </w:p>
    <w:p w14:paraId="6904C004" w14:textId="1B5F9D8A" w:rsidR="00A9061F" w:rsidRPr="00FB60C2" w:rsidRDefault="00A9061F" w:rsidP="00B701C8">
      <w:pPr>
        <w:numPr>
          <w:ilvl w:val="0"/>
          <w:numId w:val="15"/>
        </w:numPr>
      </w:pPr>
      <w:r w:rsidRPr="00FB60C2">
        <w:rPr>
          <w:color w:val="000000"/>
        </w:rPr>
        <w:t>Lucia Costanzo</w:t>
      </w:r>
      <w:r w:rsidR="006023BC" w:rsidRPr="00FB60C2">
        <w:rPr>
          <w:color w:val="000000"/>
        </w:rPr>
        <w:t xml:space="preserve">, </w:t>
      </w:r>
      <w:r w:rsidR="007072CA" w:rsidRPr="00FB60C2">
        <w:rPr>
          <w:color w:val="000000"/>
        </w:rPr>
        <w:t xml:space="preserve">Université </w:t>
      </w:r>
      <w:r w:rsidR="006023BC" w:rsidRPr="00FB60C2">
        <w:rPr>
          <w:color w:val="000000"/>
        </w:rPr>
        <w:t>de</w:t>
      </w:r>
      <w:r w:rsidRPr="00FB60C2">
        <w:rPr>
          <w:color w:val="000000"/>
        </w:rPr>
        <w:t xml:space="preserve"> Guelph</w:t>
      </w:r>
    </w:p>
    <w:p w14:paraId="76474187" w14:textId="54DB692B" w:rsidR="00A9061F" w:rsidRPr="00FB60C2" w:rsidRDefault="00A9061F" w:rsidP="00B701C8">
      <w:pPr>
        <w:numPr>
          <w:ilvl w:val="0"/>
          <w:numId w:val="15"/>
        </w:numPr>
      </w:pPr>
      <w:r w:rsidRPr="00FB60C2">
        <w:rPr>
          <w:color w:val="000000"/>
        </w:rPr>
        <w:t>Megan Goodchild</w:t>
      </w:r>
      <w:r w:rsidR="006023BC" w:rsidRPr="00FB60C2">
        <w:rPr>
          <w:color w:val="000000"/>
        </w:rPr>
        <w:t xml:space="preserve">, Université </w:t>
      </w:r>
      <w:r w:rsidRPr="00FB60C2">
        <w:rPr>
          <w:color w:val="000000"/>
        </w:rPr>
        <w:t xml:space="preserve">Queen’s </w:t>
      </w:r>
    </w:p>
    <w:p w14:paraId="26A9BD59" w14:textId="17EAB67D" w:rsidR="00A9061F" w:rsidRPr="003F51C9" w:rsidRDefault="00A9061F" w:rsidP="00B701C8">
      <w:pPr>
        <w:numPr>
          <w:ilvl w:val="0"/>
          <w:numId w:val="15"/>
        </w:numPr>
        <w:rPr>
          <w:lang w:val="en-CA"/>
        </w:rPr>
      </w:pPr>
      <w:r w:rsidRPr="003F51C9">
        <w:rPr>
          <w:color w:val="000000"/>
          <w:lang w:val="en-CA"/>
        </w:rPr>
        <w:t>Megan Meredith-Lobay</w:t>
      </w:r>
      <w:r w:rsidR="006023BC" w:rsidRPr="003F51C9">
        <w:rPr>
          <w:color w:val="000000"/>
          <w:lang w:val="en-CA"/>
        </w:rPr>
        <w:t>, Université Simon-Fraser</w:t>
      </w:r>
    </w:p>
    <w:p w14:paraId="58D1C8FC" w14:textId="2FD13B10" w:rsidR="00A9061F" w:rsidRPr="00FB60C2" w:rsidRDefault="00A9061F" w:rsidP="00B701C8">
      <w:pPr>
        <w:numPr>
          <w:ilvl w:val="0"/>
          <w:numId w:val="15"/>
        </w:numPr>
      </w:pPr>
      <w:r w:rsidRPr="00FB60C2">
        <w:rPr>
          <w:color w:val="000000"/>
        </w:rPr>
        <w:t>Mike Winter</w:t>
      </w:r>
      <w:r w:rsidR="006023BC" w:rsidRPr="00FB60C2">
        <w:rPr>
          <w:color w:val="000000"/>
        </w:rPr>
        <w:t xml:space="preserve">, </w:t>
      </w:r>
      <w:r w:rsidRPr="00FB60C2">
        <w:rPr>
          <w:color w:val="000000"/>
        </w:rPr>
        <w:t>Alliance de recherche numérique du Canada</w:t>
      </w:r>
      <w:r w:rsidR="006023BC" w:rsidRPr="00FB60C2">
        <w:rPr>
          <w:color w:val="000000"/>
        </w:rPr>
        <w:t>,</w:t>
      </w:r>
      <w:r w:rsidRPr="00FB60C2">
        <w:rPr>
          <w:color w:val="000000"/>
        </w:rPr>
        <w:t xml:space="preserve"> Dépôt fédéré de données de recherche</w:t>
      </w:r>
    </w:p>
    <w:p w14:paraId="03185A98" w14:textId="47857A42" w:rsidR="00A9061F" w:rsidRPr="00FB60C2" w:rsidRDefault="00A9061F" w:rsidP="00B701C8">
      <w:pPr>
        <w:numPr>
          <w:ilvl w:val="0"/>
          <w:numId w:val="15"/>
        </w:numPr>
      </w:pPr>
      <w:r w:rsidRPr="00FB60C2">
        <w:rPr>
          <w:color w:val="000000"/>
        </w:rPr>
        <w:t>Scott Baker</w:t>
      </w:r>
      <w:r w:rsidR="006023BC" w:rsidRPr="00FB60C2">
        <w:rPr>
          <w:color w:val="000000"/>
        </w:rPr>
        <w:t xml:space="preserve">, </w:t>
      </w:r>
      <w:r w:rsidRPr="00FB60C2">
        <w:rPr>
          <w:color w:val="000000"/>
        </w:rPr>
        <w:t>Université de la Colombie-Britannique</w:t>
      </w:r>
    </w:p>
    <w:p w14:paraId="58583409" w14:textId="77F5024C" w:rsidR="00A9061F" w:rsidRPr="00FB60C2" w:rsidRDefault="00A9061F" w:rsidP="00B701C8">
      <w:pPr>
        <w:numPr>
          <w:ilvl w:val="0"/>
          <w:numId w:val="15"/>
        </w:numPr>
      </w:pPr>
      <w:r w:rsidRPr="00FB60C2">
        <w:rPr>
          <w:color w:val="000000"/>
        </w:rPr>
        <w:t>Simon Liu</w:t>
      </w:r>
      <w:r w:rsidR="006023BC" w:rsidRPr="00FB60C2">
        <w:rPr>
          <w:color w:val="000000"/>
        </w:rPr>
        <w:t xml:space="preserve">, </w:t>
      </w:r>
      <w:r w:rsidRPr="00FB60C2">
        <w:rPr>
          <w:color w:val="000000"/>
        </w:rPr>
        <w:t>TRIUMF</w:t>
      </w:r>
    </w:p>
    <w:p w14:paraId="4AD12DAA" w14:textId="758580E1" w:rsidR="00A9061F" w:rsidRPr="00FB60C2" w:rsidRDefault="00A9061F" w:rsidP="00B701C8">
      <w:pPr>
        <w:numPr>
          <w:ilvl w:val="0"/>
          <w:numId w:val="15"/>
        </w:numPr>
      </w:pPr>
      <w:r w:rsidRPr="00FB60C2">
        <w:rPr>
          <w:color w:val="000000"/>
        </w:rPr>
        <w:t>Todd Trann</w:t>
      </w:r>
      <w:r w:rsidR="006023BC" w:rsidRPr="00FB60C2">
        <w:rPr>
          <w:color w:val="000000"/>
        </w:rPr>
        <w:t xml:space="preserve">, </w:t>
      </w:r>
      <w:r w:rsidRPr="00FB60C2">
        <w:rPr>
          <w:color w:val="000000"/>
        </w:rPr>
        <w:t>Alliance de recherche numérique du Canada</w:t>
      </w:r>
      <w:r w:rsidR="006023BC" w:rsidRPr="00FB60C2">
        <w:rPr>
          <w:color w:val="000000"/>
        </w:rPr>
        <w:t>,</w:t>
      </w:r>
      <w:r w:rsidRPr="00FB60C2">
        <w:rPr>
          <w:color w:val="000000"/>
        </w:rPr>
        <w:t xml:space="preserve"> Dépôt fédéré de données de recherche</w:t>
      </w:r>
    </w:p>
    <w:p w14:paraId="6830573E" w14:textId="77777777" w:rsidR="00A9061F" w:rsidRPr="00FB60C2" w:rsidRDefault="00A9061F" w:rsidP="00B701C8"/>
    <w:p w14:paraId="218FD89E" w14:textId="21554357" w:rsidR="00A9061F" w:rsidRPr="00FB60C2" w:rsidRDefault="00A9061F" w:rsidP="00B701C8">
      <w:pPr>
        <w:pStyle w:val="Heading2"/>
        <w:numPr>
          <w:ilvl w:val="0"/>
          <w:numId w:val="13"/>
        </w:numPr>
      </w:pPr>
      <w:bookmarkStart w:id="75" w:name="_Toc207100045"/>
      <w:r w:rsidRPr="00FB60C2">
        <w:rPr>
          <w:color w:val="000000"/>
        </w:rPr>
        <w:t>A</w:t>
      </w:r>
      <w:r w:rsidR="005311ED" w:rsidRPr="00FB60C2">
        <w:rPr>
          <w:color w:val="000000"/>
        </w:rPr>
        <w:t>nnexe </w:t>
      </w:r>
      <w:r w:rsidRPr="00FB60C2">
        <w:rPr>
          <w:color w:val="000000"/>
        </w:rPr>
        <w:t>2</w:t>
      </w:r>
      <w:r w:rsidR="005311ED" w:rsidRPr="00FB60C2">
        <w:rPr>
          <w:color w:val="000000"/>
        </w:rPr>
        <w:t xml:space="preserve"> : Liste des parties prenantes </w:t>
      </w:r>
      <w:r w:rsidR="004F67B5" w:rsidRPr="00FB60C2">
        <w:rPr>
          <w:color w:val="000000"/>
        </w:rPr>
        <w:t>de</w:t>
      </w:r>
      <w:r w:rsidR="005311ED" w:rsidRPr="00FB60C2">
        <w:rPr>
          <w:color w:val="000000"/>
        </w:rPr>
        <w:t xml:space="preserve"> l’écosystème de </w:t>
      </w:r>
      <w:r w:rsidRPr="00FB60C2">
        <w:rPr>
          <w:color w:val="000000"/>
        </w:rPr>
        <w:t>recherche</w:t>
      </w:r>
      <w:bookmarkEnd w:id="75"/>
    </w:p>
    <w:p w14:paraId="2675D8E0" w14:textId="77777777" w:rsidR="00A9061F" w:rsidRPr="00FB60C2" w:rsidRDefault="00A9061F" w:rsidP="00B701C8"/>
    <w:p w14:paraId="120DDB0D" w14:textId="0EE07D2F" w:rsidR="00A9061F" w:rsidRPr="00FB60C2" w:rsidRDefault="00A56E95" w:rsidP="00B701C8">
      <w:r w:rsidRPr="00FB60C2">
        <w:rPr>
          <w:color w:val="000000"/>
        </w:rPr>
        <w:t xml:space="preserve">Voici une liste non exhaustive des parties prenantes de l’écosystème de recherche qui peuvent </w:t>
      </w:r>
      <w:r w:rsidR="006E3288" w:rsidRPr="00FB60C2">
        <w:rPr>
          <w:color w:val="000000"/>
        </w:rPr>
        <w:t>participer à</w:t>
      </w:r>
      <w:r w:rsidRPr="00FB60C2">
        <w:rPr>
          <w:color w:val="000000"/>
        </w:rPr>
        <w:t xml:space="preserve"> l</w:t>
      </w:r>
      <w:r w:rsidR="004F67B5" w:rsidRPr="00FB60C2">
        <w:rPr>
          <w:color w:val="000000"/>
        </w:rPr>
        <w:t xml:space="preserve">a gestion </w:t>
      </w:r>
      <w:r w:rsidR="006E3288" w:rsidRPr="00FB60C2">
        <w:rPr>
          <w:color w:val="000000"/>
        </w:rPr>
        <w:t>de</w:t>
      </w:r>
      <w:r w:rsidR="00E822EE" w:rsidRPr="00FB60C2">
        <w:rPr>
          <w:color w:val="000000"/>
        </w:rPr>
        <w:t xml:space="preserve"> l</w:t>
      </w:r>
      <w:r w:rsidR="00774E6C" w:rsidRPr="00FB60C2">
        <w:rPr>
          <w:color w:val="000000"/>
        </w:rPr>
        <w:t>’</w:t>
      </w:r>
      <w:r w:rsidR="00E822EE" w:rsidRPr="00FB60C2">
        <w:rPr>
          <w:color w:val="000000"/>
        </w:rPr>
        <w:t>accès</w:t>
      </w:r>
      <w:r w:rsidR="006E3288" w:rsidRPr="00FB60C2">
        <w:rPr>
          <w:color w:val="000000"/>
        </w:rPr>
        <w:t xml:space="preserve"> contrôlé</w:t>
      </w:r>
      <w:r w:rsidR="006139A0" w:rsidRPr="00FB60C2">
        <w:rPr>
          <w:color w:val="000000"/>
        </w:rPr>
        <w:t> :</w:t>
      </w:r>
    </w:p>
    <w:p w14:paraId="389934C0" w14:textId="77777777" w:rsidR="00A9061F" w:rsidRPr="00FB60C2" w:rsidRDefault="00A9061F" w:rsidP="00B701C8"/>
    <w:p w14:paraId="688977F9" w14:textId="4C12B365" w:rsidR="00A9061F" w:rsidRPr="00FB60C2" w:rsidRDefault="00A9061F" w:rsidP="00B701C8">
      <w:pPr>
        <w:numPr>
          <w:ilvl w:val="0"/>
          <w:numId w:val="3"/>
        </w:numPr>
      </w:pPr>
      <w:r w:rsidRPr="00FB60C2">
        <w:rPr>
          <w:color w:val="000000"/>
        </w:rPr>
        <w:t>Go</w:t>
      </w:r>
      <w:r w:rsidR="00A56E95" w:rsidRPr="00FB60C2">
        <w:rPr>
          <w:color w:val="000000"/>
        </w:rPr>
        <w:t>u</w:t>
      </w:r>
      <w:r w:rsidRPr="00FB60C2">
        <w:rPr>
          <w:color w:val="000000"/>
        </w:rPr>
        <w:t>vern</w:t>
      </w:r>
      <w:r w:rsidR="00A56E95" w:rsidRPr="00FB60C2">
        <w:rPr>
          <w:color w:val="000000"/>
        </w:rPr>
        <w:t>e</w:t>
      </w:r>
      <w:r w:rsidRPr="00FB60C2">
        <w:rPr>
          <w:color w:val="000000"/>
        </w:rPr>
        <w:t xml:space="preserve">ments, </w:t>
      </w:r>
      <w:r w:rsidR="00A56E95" w:rsidRPr="00FB60C2">
        <w:rPr>
          <w:color w:val="000000"/>
        </w:rPr>
        <w:t>législateurs</w:t>
      </w:r>
      <w:r w:rsidRPr="00FB60C2">
        <w:rPr>
          <w:color w:val="000000"/>
        </w:rPr>
        <w:t xml:space="preserve"> </w:t>
      </w:r>
      <w:r w:rsidR="00A56E95" w:rsidRPr="00FB60C2">
        <w:rPr>
          <w:color w:val="000000"/>
        </w:rPr>
        <w:t>et décideurs politiques</w:t>
      </w:r>
    </w:p>
    <w:p w14:paraId="7CCC7D92" w14:textId="1545F76E" w:rsidR="00A9061F" w:rsidRPr="00FB60C2" w:rsidRDefault="00A56E95" w:rsidP="00B701C8">
      <w:pPr>
        <w:numPr>
          <w:ilvl w:val="0"/>
          <w:numId w:val="3"/>
        </w:numPr>
      </w:pPr>
      <w:r w:rsidRPr="00FB60C2">
        <w:rPr>
          <w:color w:val="000000"/>
        </w:rPr>
        <w:t>Bailleurs de fonds, en particulier ceux d</w:t>
      </w:r>
      <w:r w:rsidR="004F67B5" w:rsidRPr="00FB60C2">
        <w:rPr>
          <w:color w:val="000000"/>
        </w:rPr>
        <w:t>’ordre</w:t>
      </w:r>
      <w:r w:rsidRPr="00FB60C2">
        <w:rPr>
          <w:color w:val="000000"/>
        </w:rPr>
        <w:t xml:space="preserve"> fédéral</w:t>
      </w:r>
    </w:p>
    <w:p w14:paraId="4BFA3C61" w14:textId="7EE685D2" w:rsidR="00A9061F" w:rsidRPr="00FB60C2" w:rsidRDefault="00A56E95" w:rsidP="00B701C8">
      <w:pPr>
        <w:numPr>
          <w:ilvl w:val="0"/>
          <w:numId w:val="3"/>
        </w:numPr>
      </w:pPr>
      <w:r w:rsidRPr="00FB60C2">
        <w:rPr>
          <w:color w:val="000000"/>
        </w:rPr>
        <w:t>Fournisseurs d’i</w:t>
      </w:r>
      <w:r w:rsidR="00A9061F" w:rsidRPr="00FB60C2">
        <w:rPr>
          <w:color w:val="000000"/>
        </w:rPr>
        <w:t>nfrastructure</w:t>
      </w:r>
      <w:r w:rsidRPr="00FB60C2">
        <w:rPr>
          <w:color w:val="000000"/>
        </w:rPr>
        <w:t>s</w:t>
      </w:r>
    </w:p>
    <w:p w14:paraId="59EB3645" w14:textId="47F235FA" w:rsidR="00A9061F" w:rsidRPr="00FB60C2" w:rsidRDefault="006849F1" w:rsidP="00B701C8">
      <w:pPr>
        <w:numPr>
          <w:ilvl w:val="1"/>
          <w:numId w:val="3"/>
        </w:numPr>
      </w:pPr>
      <w:r w:rsidRPr="00FB60C2">
        <w:rPr>
          <w:color w:val="000000"/>
        </w:rPr>
        <w:t>Fournisseurs de</w:t>
      </w:r>
      <w:r w:rsidR="00A56E95" w:rsidRPr="00FB60C2">
        <w:rPr>
          <w:color w:val="000000"/>
        </w:rPr>
        <w:t xml:space="preserve"> </w:t>
      </w:r>
      <w:r w:rsidR="00A9061F" w:rsidRPr="00FB60C2">
        <w:rPr>
          <w:color w:val="000000"/>
        </w:rPr>
        <w:t>dépôt</w:t>
      </w:r>
      <w:r w:rsidR="00A56E95" w:rsidRPr="00FB60C2">
        <w:rPr>
          <w:color w:val="000000"/>
        </w:rPr>
        <w:t>s</w:t>
      </w:r>
    </w:p>
    <w:p w14:paraId="2F8DD786" w14:textId="5C269169" w:rsidR="00A9061F" w:rsidRPr="00FB60C2" w:rsidRDefault="00A56E95" w:rsidP="00B701C8">
      <w:pPr>
        <w:numPr>
          <w:ilvl w:val="1"/>
          <w:numId w:val="3"/>
        </w:numPr>
      </w:pPr>
      <w:r w:rsidRPr="00FB60C2">
        <w:rPr>
          <w:color w:val="000000"/>
        </w:rPr>
        <w:t xml:space="preserve">Fournisseurs d’instruments de </w:t>
      </w:r>
      <w:r w:rsidR="00A9061F" w:rsidRPr="00FB60C2">
        <w:rPr>
          <w:color w:val="000000"/>
        </w:rPr>
        <w:t>calcul de haute performance</w:t>
      </w:r>
    </w:p>
    <w:p w14:paraId="6F91FD14" w14:textId="77777777" w:rsidR="00A9061F" w:rsidRPr="00FB60C2" w:rsidRDefault="00A9061F" w:rsidP="00B701C8">
      <w:pPr>
        <w:numPr>
          <w:ilvl w:val="0"/>
          <w:numId w:val="3"/>
        </w:numPr>
      </w:pPr>
      <w:r w:rsidRPr="00FB60C2">
        <w:rPr>
          <w:color w:val="000000"/>
        </w:rPr>
        <w:t>Établissements de recherche canadiens</w:t>
      </w:r>
    </w:p>
    <w:p w14:paraId="4EA6DA75" w14:textId="360E7113" w:rsidR="00A9061F" w:rsidRPr="00FB60C2" w:rsidRDefault="00A56E95" w:rsidP="00B701C8">
      <w:pPr>
        <w:numPr>
          <w:ilvl w:val="1"/>
          <w:numId w:val="3"/>
        </w:numPr>
      </w:pPr>
      <w:r w:rsidRPr="00FB60C2">
        <w:rPr>
          <w:color w:val="000000"/>
        </w:rPr>
        <w:t xml:space="preserve">Bureaux de </w:t>
      </w:r>
      <w:r w:rsidR="00A9061F" w:rsidRPr="00FB60C2">
        <w:rPr>
          <w:color w:val="000000"/>
        </w:rPr>
        <w:t>recherche</w:t>
      </w:r>
    </w:p>
    <w:p w14:paraId="72178D72" w14:textId="552F3BEE" w:rsidR="00A9061F" w:rsidRPr="00FB60C2" w:rsidRDefault="00A56E95" w:rsidP="00B701C8">
      <w:pPr>
        <w:numPr>
          <w:ilvl w:val="1"/>
          <w:numId w:val="3"/>
        </w:numPr>
      </w:pPr>
      <w:r w:rsidRPr="00FB60C2">
        <w:rPr>
          <w:color w:val="000000"/>
        </w:rPr>
        <w:t>C</w:t>
      </w:r>
      <w:r w:rsidR="00A9061F" w:rsidRPr="00FB60C2">
        <w:rPr>
          <w:color w:val="000000"/>
        </w:rPr>
        <w:t>omité</w:t>
      </w:r>
      <w:r w:rsidRPr="00FB60C2">
        <w:rPr>
          <w:color w:val="000000"/>
        </w:rPr>
        <w:t>s</w:t>
      </w:r>
      <w:r w:rsidR="00A9061F" w:rsidRPr="00FB60C2">
        <w:rPr>
          <w:color w:val="000000"/>
        </w:rPr>
        <w:t xml:space="preserve"> d’éthique de la recherche</w:t>
      </w:r>
    </w:p>
    <w:p w14:paraId="0C9A518B" w14:textId="694AAF7A" w:rsidR="00A9061F" w:rsidRPr="00FB60C2" w:rsidRDefault="00A56E95" w:rsidP="00B701C8">
      <w:pPr>
        <w:numPr>
          <w:ilvl w:val="1"/>
          <w:numId w:val="3"/>
        </w:numPr>
      </w:pPr>
      <w:r w:rsidRPr="00FB60C2">
        <w:rPr>
          <w:color w:val="000000"/>
        </w:rPr>
        <w:t>Conseillères et conseill</w:t>
      </w:r>
      <w:r w:rsidR="00E822EE" w:rsidRPr="00FB60C2">
        <w:rPr>
          <w:color w:val="000000"/>
        </w:rPr>
        <w:t>e</w:t>
      </w:r>
      <w:r w:rsidRPr="00FB60C2">
        <w:rPr>
          <w:color w:val="000000"/>
        </w:rPr>
        <w:t>rs juridiques, bureaux juridiques</w:t>
      </w:r>
    </w:p>
    <w:p w14:paraId="1736F02E" w14:textId="453F10E0" w:rsidR="00A9061F" w:rsidRPr="00FB60C2" w:rsidRDefault="00A56E95" w:rsidP="00B701C8">
      <w:pPr>
        <w:numPr>
          <w:ilvl w:val="1"/>
          <w:numId w:val="3"/>
        </w:numPr>
      </w:pPr>
      <w:r w:rsidRPr="00FB60C2">
        <w:rPr>
          <w:color w:val="000000"/>
        </w:rPr>
        <w:t>Bureaux de gestion des dossiers</w:t>
      </w:r>
      <w:r w:rsidR="00774E6C" w:rsidRPr="00FB60C2">
        <w:rPr>
          <w:color w:val="000000"/>
        </w:rPr>
        <w:t xml:space="preserve">, </w:t>
      </w:r>
      <w:r w:rsidRPr="00FB60C2">
        <w:rPr>
          <w:color w:val="000000"/>
        </w:rPr>
        <w:t>archives organisationnelles</w:t>
      </w:r>
    </w:p>
    <w:p w14:paraId="31A8CE68" w14:textId="761135D7" w:rsidR="00A9061F" w:rsidRPr="00FB60C2" w:rsidRDefault="00A56E95" w:rsidP="00B701C8">
      <w:pPr>
        <w:numPr>
          <w:ilvl w:val="1"/>
          <w:numId w:val="3"/>
        </w:numPr>
      </w:pPr>
      <w:r w:rsidRPr="00FB60C2">
        <w:rPr>
          <w:color w:val="000000"/>
        </w:rPr>
        <w:t xml:space="preserve">Bureaux de protection </w:t>
      </w:r>
      <w:r w:rsidR="00A9061F" w:rsidRPr="00FB60C2">
        <w:rPr>
          <w:color w:val="000000"/>
        </w:rPr>
        <w:t>de la vie privée</w:t>
      </w:r>
    </w:p>
    <w:p w14:paraId="34034060" w14:textId="0D4B6083" w:rsidR="00A9061F" w:rsidRPr="00FB60C2" w:rsidRDefault="00A56E95" w:rsidP="00B701C8">
      <w:pPr>
        <w:numPr>
          <w:ilvl w:val="1"/>
          <w:numId w:val="3"/>
        </w:numPr>
      </w:pPr>
      <w:r w:rsidRPr="00FB60C2">
        <w:rPr>
          <w:color w:val="000000"/>
        </w:rPr>
        <w:t>Bureaux de gestion des risques</w:t>
      </w:r>
    </w:p>
    <w:p w14:paraId="7BC97F7C" w14:textId="6E37FB02" w:rsidR="00A9061F" w:rsidRPr="00FB60C2" w:rsidRDefault="00A56E95" w:rsidP="00B701C8">
      <w:pPr>
        <w:numPr>
          <w:ilvl w:val="1"/>
          <w:numId w:val="3"/>
        </w:numPr>
      </w:pPr>
      <w:r w:rsidRPr="00FB60C2">
        <w:rPr>
          <w:color w:val="000000"/>
        </w:rPr>
        <w:t>Responsables des technologies de l’i</w:t>
      </w:r>
      <w:r w:rsidR="00A9061F" w:rsidRPr="00FB60C2">
        <w:rPr>
          <w:color w:val="000000"/>
        </w:rPr>
        <w:t>nformation</w:t>
      </w:r>
    </w:p>
    <w:p w14:paraId="7C2CA55D" w14:textId="77777777" w:rsidR="00A9061F" w:rsidRPr="00FB60C2" w:rsidRDefault="00A9061F" w:rsidP="00B701C8">
      <w:pPr>
        <w:numPr>
          <w:ilvl w:val="1"/>
          <w:numId w:val="3"/>
        </w:numPr>
      </w:pPr>
      <w:r w:rsidRPr="00FB60C2">
        <w:rPr>
          <w:color w:val="000000"/>
        </w:rPr>
        <w:t>Bibliothèques</w:t>
      </w:r>
    </w:p>
    <w:p w14:paraId="57D0E196" w14:textId="77552DBC" w:rsidR="00A9061F" w:rsidRPr="00FB60C2" w:rsidRDefault="00A56E95" w:rsidP="00B701C8">
      <w:pPr>
        <w:numPr>
          <w:ilvl w:val="1"/>
          <w:numId w:val="3"/>
        </w:numPr>
      </w:pPr>
      <w:r w:rsidRPr="00FB60C2">
        <w:rPr>
          <w:color w:val="000000"/>
        </w:rPr>
        <w:t>D</w:t>
      </w:r>
      <w:r w:rsidR="0056741B" w:rsidRPr="00FB60C2">
        <w:rPr>
          <w:color w:val="000000"/>
        </w:rPr>
        <w:t>épôts</w:t>
      </w:r>
      <w:r w:rsidRPr="00FB60C2">
        <w:rPr>
          <w:color w:val="000000"/>
        </w:rPr>
        <w:t xml:space="preserve"> institutionnels</w:t>
      </w:r>
    </w:p>
    <w:p w14:paraId="036B1AA0" w14:textId="3D4D7CF9" w:rsidR="00A9061F" w:rsidRPr="00FB60C2" w:rsidRDefault="00A56E95" w:rsidP="00B701C8">
      <w:pPr>
        <w:numPr>
          <w:ilvl w:val="0"/>
          <w:numId w:val="3"/>
        </w:numPr>
      </w:pPr>
      <w:r w:rsidRPr="00FB60C2">
        <w:rPr>
          <w:color w:val="000000"/>
        </w:rPr>
        <w:t>C</w:t>
      </w:r>
      <w:r w:rsidR="00A9061F" w:rsidRPr="00FB60C2">
        <w:rPr>
          <w:color w:val="000000"/>
        </w:rPr>
        <w:t>hercheuses et chercheurs</w:t>
      </w:r>
    </w:p>
    <w:p w14:paraId="3EE92B84" w14:textId="77777777" w:rsidR="00A9061F" w:rsidRPr="00FB60C2" w:rsidRDefault="00A9061F" w:rsidP="00B701C8">
      <w:pPr>
        <w:numPr>
          <w:ilvl w:val="1"/>
          <w:numId w:val="3"/>
        </w:numPr>
      </w:pPr>
      <w:r w:rsidRPr="00FB60C2">
        <w:rPr>
          <w:color w:val="000000"/>
        </w:rPr>
        <w:t>Corps professoral</w:t>
      </w:r>
    </w:p>
    <w:p w14:paraId="1237340F" w14:textId="77777777" w:rsidR="00A9061F" w:rsidRPr="00FB60C2" w:rsidRDefault="00A9061F" w:rsidP="00B701C8">
      <w:pPr>
        <w:numPr>
          <w:ilvl w:val="1"/>
          <w:numId w:val="3"/>
        </w:numPr>
      </w:pPr>
      <w:r w:rsidRPr="00FB60C2">
        <w:rPr>
          <w:color w:val="000000"/>
        </w:rPr>
        <w:t>Communauté étudiante</w:t>
      </w:r>
    </w:p>
    <w:p w14:paraId="6AD4D367" w14:textId="3450959B" w:rsidR="00A9061F" w:rsidRPr="00FB60C2" w:rsidRDefault="00A56E95" w:rsidP="00B701C8">
      <w:pPr>
        <w:numPr>
          <w:ilvl w:val="1"/>
          <w:numId w:val="3"/>
        </w:numPr>
      </w:pPr>
      <w:r w:rsidRPr="00FB60C2">
        <w:rPr>
          <w:color w:val="000000"/>
        </w:rPr>
        <w:t>Personnel</w:t>
      </w:r>
    </w:p>
    <w:p w14:paraId="01BEF9DA" w14:textId="3C8591BC" w:rsidR="00A9061F" w:rsidRPr="00FB60C2" w:rsidRDefault="00A56E95" w:rsidP="00B701C8">
      <w:pPr>
        <w:keepNext/>
        <w:numPr>
          <w:ilvl w:val="0"/>
          <w:numId w:val="3"/>
        </w:numPr>
      </w:pPr>
      <w:r w:rsidRPr="00FB60C2">
        <w:rPr>
          <w:color w:val="000000"/>
        </w:rPr>
        <w:lastRenderedPageBreak/>
        <w:t>P</w:t>
      </w:r>
      <w:r w:rsidR="00A9061F" w:rsidRPr="00FB60C2">
        <w:rPr>
          <w:color w:val="000000"/>
        </w:rPr>
        <w:t>articipante</w:t>
      </w:r>
      <w:r w:rsidRPr="00FB60C2">
        <w:rPr>
          <w:color w:val="000000"/>
        </w:rPr>
        <w:t xml:space="preserve">s et </w:t>
      </w:r>
      <w:r w:rsidR="00A9061F" w:rsidRPr="00FB60C2">
        <w:rPr>
          <w:color w:val="000000"/>
        </w:rPr>
        <w:t>participant</w:t>
      </w:r>
      <w:r w:rsidRPr="00FB60C2">
        <w:rPr>
          <w:color w:val="000000"/>
        </w:rPr>
        <w:t>s aux recherches</w:t>
      </w:r>
    </w:p>
    <w:p w14:paraId="1683D52C" w14:textId="7BB2B329" w:rsidR="00A9061F" w:rsidRPr="00FB60C2" w:rsidRDefault="00A9061F" w:rsidP="00B701C8">
      <w:pPr>
        <w:keepNext/>
        <w:numPr>
          <w:ilvl w:val="1"/>
          <w:numId w:val="3"/>
        </w:numPr>
      </w:pPr>
      <w:r w:rsidRPr="00FB60C2">
        <w:rPr>
          <w:color w:val="000000"/>
        </w:rPr>
        <w:t>Particuliers</w:t>
      </w:r>
    </w:p>
    <w:p w14:paraId="5A95BC92" w14:textId="249D9B12" w:rsidR="00A9061F" w:rsidRPr="00FB60C2" w:rsidRDefault="00A56E95" w:rsidP="00B701C8">
      <w:pPr>
        <w:keepNext/>
        <w:numPr>
          <w:ilvl w:val="1"/>
          <w:numId w:val="3"/>
        </w:numPr>
      </w:pPr>
      <w:r w:rsidRPr="00FB60C2">
        <w:rPr>
          <w:color w:val="000000"/>
        </w:rPr>
        <w:t>Collectivité</w:t>
      </w:r>
      <w:r w:rsidR="00A71EE2" w:rsidRPr="00FB60C2">
        <w:rPr>
          <w:color w:val="000000"/>
        </w:rPr>
        <w:t>s</w:t>
      </w:r>
    </w:p>
    <w:p w14:paraId="3D7017BD" w14:textId="77777777" w:rsidR="00A9061F" w:rsidRPr="00FB60C2" w:rsidRDefault="00A9061F" w:rsidP="00B701C8">
      <w:pPr>
        <w:keepNext/>
        <w:numPr>
          <w:ilvl w:val="1"/>
          <w:numId w:val="3"/>
        </w:numPr>
      </w:pPr>
      <w:r w:rsidRPr="00FB60C2">
        <w:rPr>
          <w:color w:val="000000"/>
        </w:rPr>
        <w:t>Organisations</w:t>
      </w:r>
    </w:p>
    <w:p w14:paraId="104B7A51" w14:textId="77777777" w:rsidR="00A9061F" w:rsidRPr="00FB60C2" w:rsidRDefault="00A9061F" w:rsidP="00B701C8">
      <w:pPr>
        <w:ind w:left="1440"/>
      </w:pPr>
    </w:p>
    <w:p w14:paraId="3AA021EF" w14:textId="430BD627" w:rsidR="00A9061F" w:rsidRPr="00FB60C2" w:rsidRDefault="00A9061F" w:rsidP="00B701C8">
      <w:pPr>
        <w:pStyle w:val="Heading2"/>
        <w:numPr>
          <w:ilvl w:val="0"/>
          <w:numId w:val="13"/>
        </w:numPr>
      </w:pPr>
      <w:bookmarkStart w:id="76" w:name="_Toc207100046"/>
      <w:r w:rsidRPr="00FB60C2">
        <w:rPr>
          <w:color w:val="000000"/>
        </w:rPr>
        <w:t>A</w:t>
      </w:r>
      <w:r w:rsidR="00961055" w:rsidRPr="00FB60C2">
        <w:rPr>
          <w:color w:val="000000"/>
        </w:rPr>
        <w:t>nnexe </w:t>
      </w:r>
      <w:r w:rsidRPr="00FB60C2">
        <w:rPr>
          <w:color w:val="000000"/>
        </w:rPr>
        <w:t>3</w:t>
      </w:r>
      <w:r w:rsidR="00961055" w:rsidRPr="00FB60C2">
        <w:rPr>
          <w:color w:val="000000"/>
        </w:rPr>
        <w:t> </w:t>
      </w:r>
      <w:r w:rsidRPr="00FB60C2">
        <w:rPr>
          <w:color w:val="000000"/>
        </w:rPr>
        <w:t xml:space="preserve">: </w:t>
      </w:r>
      <w:r w:rsidR="00961055" w:rsidRPr="00FB60C2">
        <w:rPr>
          <w:color w:val="000000"/>
        </w:rPr>
        <w:t>Méthodologie du groupe de travail sur l’état des choses</w:t>
      </w:r>
      <w:bookmarkEnd w:id="76"/>
    </w:p>
    <w:p w14:paraId="2C42A39E" w14:textId="33417206" w:rsidR="00A9061F" w:rsidRPr="00FB60C2" w:rsidRDefault="00AE4CE8" w:rsidP="00B701C8">
      <w:r w:rsidRPr="00FB60C2">
        <w:rPr>
          <w:color w:val="000000"/>
        </w:rPr>
        <w:t>Dès le début de l’Initiative de gestion de l’accès contrôlé</w:t>
      </w:r>
      <w:r w:rsidR="00A9061F" w:rsidRPr="00FB60C2">
        <w:rPr>
          <w:color w:val="000000"/>
        </w:rPr>
        <w:t xml:space="preserve">, </w:t>
      </w:r>
      <w:r w:rsidRPr="00FB60C2">
        <w:rPr>
          <w:color w:val="000000"/>
        </w:rPr>
        <w:t xml:space="preserve">les organisations partenaires </w:t>
      </w:r>
      <w:r w:rsidR="005A6001" w:rsidRPr="00FB60C2">
        <w:rPr>
          <w:color w:val="000000"/>
        </w:rPr>
        <w:t xml:space="preserve">ont </w:t>
      </w:r>
      <w:r w:rsidR="00817D72" w:rsidRPr="00FB60C2">
        <w:rPr>
          <w:color w:val="000000"/>
        </w:rPr>
        <w:t xml:space="preserve">jugé nécessaire </w:t>
      </w:r>
      <w:r w:rsidR="00455C82" w:rsidRPr="00FB60C2">
        <w:rPr>
          <w:color w:val="000000"/>
        </w:rPr>
        <w:t>d’avoir</w:t>
      </w:r>
      <w:r w:rsidR="00817D72" w:rsidRPr="00FB60C2">
        <w:rPr>
          <w:color w:val="000000"/>
        </w:rPr>
        <w:t xml:space="preserve"> le portrait</w:t>
      </w:r>
      <w:r w:rsidR="005A6001" w:rsidRPr="00FB60C2">
        <w:rPr>
          <w:color w:val="000000"/>
        </w:rPr>
        <w:t xml:space="preserve"> </w:t>
      </w:r>
      <w:r w:rsidR="00817D72" w:rsidRPr="00FB60C2">
        <w:rPr>
          <w:color w:val="000000"/>
        </w:rPr>
        <w:t xml:space="preserve">actuel </w:t>
      </w:r>
      <w:r w:rsidR="005A6001" w:rsidRPr="00FB60C2">
        <w:rPr>
          <w:color w:val="000000"/>
        </w:rPr>
        <w:t xml:space="preserve">de la </w:t>
      </w:r>
      <w:r w:rsidR="00303029" w:rsidRPr="00FB60C2">
        <w:rPr>
          <w:color w:val="000000"/>
        </w:rPr>
        <w:t>gestion de l’accès contrôlé</w:t>
      </w:r>
      <w:r w:rsidR="00A9061F" w:rsidRPr="00FB60C2">
        <w:rPr>
          <w:color w:val="000000"/>
        </w:rPr>
        <w:t xml:space="preserve"> </w:t>
      </w:r>
      <w:r w:rsidR="00A45220" w:rsidRPr="00FB60C2">
        <w:rPr>
          <w:color w:val="000000"/>
        </w:rPr>
        <w:t xml:space="preserve">(GAC) </w:t>
      </w:r>
      <w:r w:rsidR="005A6001" w:rsidRPr="00FB60C2">
        <w:rPr>
          <w:color w:val="000000"/>
        </w:rPr>
        <w:t>aux</w:t>
      </w:r>
      <w:r w:rsidR="00A9061F" w:rsidRPr="00FB60C2">
        <w:rPr>
          <w:color w:val="000000"/>
        </w:rPr>
        <w:t xml:space="preserve"> </w:t>
      </w:r>
      <w:r w:rsidR="00303029" w:rsidRPr="00FB60C2">
        <w:rPr>
          <w:color w:val="000000"/>
        </w:rPr>
        <w:t>données de recherche</w:t>
      </w:r>
      <w:r w:rsidR="00A9061F" w:rsidRPr="00FB60C2">
        <w:rPr>
          <w:color w:val="000000"/>
        </w:rPr>
        <w:t xml:space="preserve">, </w:t>
      </w:r>
      <w:r w:rsidR="005A6001" w:rsidRPr="00FB60C2">
        <w:rPr>
          <w:color w:val="000000"/>
        </w:rPr>
        <w:t>en particulier au</w:t>
      </w:r>
      <w:r w:rsidR="00A9061F" w:rsidRPr="00FB60C2">
        <w:rPr>
          <w:color w:val="000000"/>
        </w:rPr>
        <w:t xml:space="preserve"> Canada, </w:t>
      </w:r>
      <w:r w:rsidR="005A6001" w:rsidRPr="00FB60C2">
        <w:rPr>
          <w:color w:val="000000"/>
        </w:rPr>
        <w:t xml:space="preserve">pour </w:t>
      </w:r>
      <w:r w:rsidR="00455C82" w:rsidRPr="00FB60C2">
        <w:rPr>
          <w:color w:val="000000"/>
        </w:rPr>
        <w:t xml:space="preserve">savoir </w:t>
      </w:r>
      <w:r w:rsidR="001F256F" w:rsidRPr="00FB60C2">
        <w:rPr>
          <w:color w:val="000000"/>
        </w:rPr>
        <w:t xml:space="preserve">ce qui </w:t>
      </w:r>
      <w:r w:rsidR="00455C82" w:rsidRPr="00FB60C2">
        <w:rPr>
          <w:color w:val="000000"/>
        </w:rPr>
        <w:t xml:space="preserve">doit </w:t>
      </w:r>
      <w:r w:rsidR="001F256F" w:rsidRPr="00FB60C2">
        <w:rPr>
          <w:color w:val="000000"/>
        </w:rPr>
        <w:t xml:space="preserve">être fait </w:t>
      </w:r>
      <w:r w:rsidR="005A6001" w:rsidRPr="00FB60C2">
        <w:rPr>
          <w:color w:val="000000"/>
        </w:rPr>
        <w:t xml:space="preserve">à ce chapitre. Le groupe de travail </w:t>
      </w:r>
      <w:r w:rsidR="00455C82" w:rsidRPr="00FB60C2">
        <w:rPr>
          <w:color w:val="000000"/>
        </w:rPr>
        <w:t xml:space="preserve">sur l’état des choses </w:t>
      </w:r>
      <w:r w:rsidR="005A6001" w:rsidRPr="00FB60C2">
        <w:rPr>
          <w:color w:val="000000"/>
        </w:rPr>
        <w:t xml:space="preserve">a été constitué pour </w:t>
      </w:r>
      <w:r w:rsidR="00455C82" w:rsidRPr="00FB60C2">
        <w:rPr>
          <w:color w:val="000000"/>
        </w:rPr>
        <w:t xml:space="preserve">mettre en place </w:t>
      </w:r>
      <w:r w:rsidR="005A6001" w:rsidRPr="00FB60C2">
        <w:rPr>
          <w:color w:val="000000"/>
        </w:rPr>
        <w:t xml:space="preserve">une base de connaissances qui pourrait, d’une part, </w:t>
      </w:r>
      <w:r w:rsidR="00455C82" w:rsidRPr="00FB60C2">
        <w:rPr>
          <w:color w:val="000000"/>
        </w:rPr>
        <w:t>servir</w:t>
      </w:r>
      <w:r w:rsidR="00817D72" w:rsidRPr="00FB60C2">
        <w:rPr>
          <w:color w:val="000000"/>
        </w:rPr>
        <w:t xml:space="preserve"> à</w:t>
      </w:r>
      <w:r w:rsidR="001F256F" w:rsidRPr="00FB60C2">
        <w:rPr>
          <w:color w:val="000000"/>
        </w:rPr>
        <w:t xml:space="preserve"> </w:t>
      </w:r>
      <w:r w:rsidR="005A6001" w:rsidRPr="00FB60C2">
        <w:rPr>
          <w:color w:val="000000"/>
        </w:rPr>
        <w:t>l’</w:t>
      </w:r>
      <w:r w:rsidR="001F256F" w:rsidRPr="00FB60C2">
        <w:rPr>
          <w:color w:val="000000"/>
        </w:rPr>
        <w:t>I</w:t>
      </w:r>
      <w:r w:rsidR="005A6001" w:rsidRPr="00FB60C2">
        <w:rPr>
          <w:color w:val="000000"/>
        </w:rPr>
        <w:t>nitiative</w:t>
      </w:r>
      <w:r w:rsidR="00455C82" w:rsidRPr="00FB60C2">
        <w:rPr>
          <w:color w:val="000000"/>
        </w:rPr>
        <w:t>,</w:t>
      </w:r>
      <w:r w:rsidR="005A6001" w:rsidRPr="00FB60C2">
        <w:rPr>
          <w:color w:val="000000"/>
        </w:rPr>
        <w:t xml:space="preserve"> et d’autre part, être diffusée plus largement. </w:t>
      </w:r>
      <w:r w:rsidR="00455C82" w:rsidRPr="00FB60C2">
        <w:rPr>
          <w:color w:val="000000"/>
        </w:rPr>
        <w:t xml:space="preserve">Il </w:t>
      </w:r>
      <w:r w:rsidR="005A6001" w:rsidRPr="00FB60C2">
        <w:rPr>
          <w:color w:val="000000"/>
        </w:rPr>
        <w:t xml:space="preserve">a commencé par </w:t>
      </w:r>
      <w:r w:rsidR="00455C82" w:rsidRPr="00FB60C2">
        <w:rPr>
          <w:color w:val="000000"/>
        </w:rPr>
        <w:t xml:space="preserve">créer </w:t>
      </w:r>
      <w:r w:rsidR="005A6001" w:rsidRPr="00FB60C2">
        <w:rPr>
          <w:color w:val="000000"/>
        </w:rPr>
        <w:t xml:space="preserve">un formulaire Google </w:t>
      </w:r>
      <w:r w:rsidR="00455C82" w:rsidRPr="00FB60C2">
        <w:rPr>
          <w:color w:val="000000"/>
        </w:rPr>
        <w:t>pour demander</w:t>
      </w:r>
      <w:r w:rsidR="005A6001" w:rsidRPr="00FB60C2">
        <w:rPr>
          <w:color w:val="000000"/>
        </w:rPr>
        <w:t xml:space="preserve"> des </w:t>
      </w:r>
      <w:r w:rsidR="00455C82" w:rsidRPr="00FB60C2">
        <w:rPr>
          <w:color w:val="000000"/>
        </w:rPr>
        <w:t xml:space="preserve">documents </w:t>
      </w:r>
      <w:r w:rsidR="005A6001" w:rsidRPr="00FB60C2">
        <w:rPr>
          <w:color w:val="000000"/>
        </w:rPr>
        <w:t xml:space="preserve">et de l’information </w:t>
      </w:r>
      <w:r w:rsidR="00455C82" w:rsidRPr="00FB60C2">
        <w:rPr>
          <w:color w:val="000000"/>
        </w:rPr>
        <w:t>à</w:t>
      </w:r>
      <w:r w:rsidR="005A6001" w:rsidRPr="00FB60C2">
        <w:rPr>
          <w:color w:val="000000"/>
        </w:rPr>
        <w:t xml:space="preserve"> la communauté </w:t>
      </w:r>
      <w:r w:rsidR="00455C82" w:rsidRPr="00FB60C2">
        <w:rPr>
          <w:color w:val="000000"/>
        </w:rPr>
        <w:t>de</w:t>
      </w:r>
      <w:r w:rsidR="005A6001" w:rsidRPr="00FB60C2">
        <w:rPr>
          <w:color w:val="000000"/>
        </w:rPr>
        <w:t xml:space="preserve"> </w:t>
      </w:r>
      <w:r w:rsidR="00A9061F" w:rsidRPr="00FB60C2">
        <w:rPr>
          <w:color w:val="000000"/>
        </w:rPr>
        <w:t>gestion des données de recherche</w:t>
      </w:r>
      <w:r w:rsidR="005A6001" w:rsidRPr="00FB60C2">
        <w:rPr>
          <w:color w:val="000000"/>
        </w:rPr>
        <w:t>. Ce formulaire</w:t>
      </w:r>
      <w:r w:rsidR="001F256F" w:rsidRPr="00FB60C2">
        <w:rPr>
          <w:color w:val="000000"/>
        </w:rPr>
        <w:t>, facile d</w:t>
      </w:r>
      <w:r w:rsidR="005A6001" w:rsidRPr="00FB60C2">
        <w:rPr>
          <w:color w:val="000000"/>
        </w:rPr>
        <w:t xml:space="preserve">’accès pour encourager la participation, </w:t>
      </w:r>
      <w:r w:rsidR="00455C82" w:rsidRPr="00FB60C2">
        <w:rPr>
          <w:color w:val="000000"/>
        </w:rPr>
        <w:t>était disponible</w:t>
      </w:r>
      <w:r w:rsidR="005A6001" w:rsidRPr="00FB60C2">
        <w:rPr>
          <w:color w:val="000000"/>
        </w:rPr>
        <w:t xml:space="preserve"> en français et en anglais. Les personnes répondantes pouvaient envoyer soit </w:t>
      </w:r>
      <w:r w:rsidR="00455C82" w:rsidRPr="00FB60C2">
        <w:rPr>
          <w:color w:val="000000"/>
        </w:rPr>
        <w:t>les documents</w:t>
      </w:r>
      <w:r w:rsidR="005A6001" w:rsidRPr="00FB60C2">
        <w:rPr>
          <w:color w:val="000000"/>
        </w:rPr>
        <w:t xml:space="preserve">, soit des liens vers </w:t>
      </w:r>
      <w:r w:rsidR="00455C82" w:rsidRPr="00FB60C2">
        <w:rPr>
          <w:color w:val="000000"/>
        </w:rPr>
        <w:t>ceux-ci</w:t>
      </w:r>
      <w:r w:rsidR="005A6001" w:rsidRPr="00FB60C2">
        <w:rPr>
          <w:color w:val="000000"/>
        </w:rPr>
        <w:t xml:space="preserve">. Le formulaire a été envoyé en août et septembre 2024 à </w:t>
      </w:r>
      <w:r w:rsidR="00455C82" w:rsidRPr="00FB60C2">
        <w:rPr>
          <w:color w:val="000000"/>
        </w:rPr>
        <w:t xml:space="preserve">plusieurs </w:t>
      </w:r>
      <w:r w:rsidR="005A6001" w:rsidRPr="00FB60C2">
        <w:rPr>
          <w:color w:val="000000"/>
        </w:rPr>
        <w:t xml:space="preserve">groupes et </w:t>
      </w:r>
      <w:r w:rsidR="00192CB1" w:rsidRPr="00FB60C2">
        <w:rPr>
          <w:color w:val="000000"/>
        </w:rPr>
        <w:t xml:space="preserve">entités inscrites </w:t>
      </w:r>
      <w:r w:rsidR="006F2FAC" w:rsidRPr="00FB60C2">
        <w:rPr>
          <w:color w:val="000000"/>
        </w:rPr>
        <w:t xml:space="preserve">à des </w:t>
      </w:r>
      <w:r w:rsidR="005A6001" w:rsidRPr="00FB60C2">
        <w:rPr>
          <w:color w:val="000000"/>
        </w:rPr>
        <w:t>liste</w:t>
      </w:r>
      <w:r w:rsidR="00B24CA0" w:rsidRPr="00FB60C2">
        <w:rPr>
          <w:color w:val="000000"/>
        </w:rPr>
        <w:t>s</w:t>
      </w:r>
      <w:r w:rsidR="005A6001" w:rsidRPr="00FB60C2">
        <w:rPr>
          <w:color w:val="000000"/>
        </w:rPr>
        <w:t xml:space="preserve"> de diffusion </w:t>
      </w:r>
      <w:r w:rsidR="00B24CA0" w:rsidRPr="00FB60C2">
        <w:rPr>
          <w:color w:val="000000"/>
        </w:rPr>
        <w:t>LISTSERV</w:t>
      </w:r>
      <w:r w:rsidR="006F2FAC" w:rsidRPr="00FB60C2">
        <w:rPr>
          <w:color w:val="000000"/>
        </w:rPr>
        <w:t xml:space="preserve">, </w:t>
      </w:r>
      <w:r w:rsidR="00455C82" w:rsidRPr="00FB60C2">
        <w:rPr>
          <w:color w:val="000000"/>
        </w:rPr>
        <w:t>surtout</w:t>
      </w:r>
      <w:r w:rsidR="00192CB1" w:rsidRPr="00FB60C2">
        <w:rPr>
          <w:color w:val="000000"/>
        </w:rPr>
        <w:t xml:space="preserve"> au Canada, mais aussi à l’étranger</w:t>
      </w:r>
      <w:r w:rsidR="005A6001" w:rsidRPr="00FB60C2">
        <w:rPr>
          <w:color w:val="000000"/>
        </w:rPr>
        <w:t xml:space="preserve">. </w:t>
      </w:r>
      <w:r w:rsidR="00B24CA0" w:rsidRPr="00FB60C2">
        <w:rPr>
          <w:color w:val="000000"/>
        </w:rPr>
        <w:t>V</w:t>
      </w:r>
      <w:r w:rsidR="005A6001" w:rsidRPr="00FB60C2">
        <w:rPr>
          <w:color w:val="000000"/>
        </w:rPr>
        <w:t>oici une liste non exhaustive</w:t>
      </w:r>
      <w:r w:rsidR="00B24CA0" w:rsidRPr="00FB60C2">
        <w:rPr>
          <w:color w:val="000000"/>
        </w:rPr>
        <w:t xml:space="preserve"> des groupes visés</w:t>
      </w:r>
      <w:r w:rsidR="00455C82" w:rsidRPr="00FB60C2">
        <w:rPr>
          <w:color w:val="000000"/>
        </w:rPr>
        <w:t> :</w:t>
      </w:r>
      <w:r w:rsidR="005A6001" w:rsidRPr="00FB60C2">
        <w:rPr>
          <w:color w:val="000000"/>
        </w:rPr>
        <w:t xml:space="preserve"> </w:t>
      </w:r>
    </w:p>
    <w:p w14:paraId="138BBD6B" w14:textId="77777777" w:rsidR="00A9061F" w:rsidRPr="00FB60C2" w:rsidRDefault="00A9061F" w:rsidP="00B701C8"/>
    <w:p w14:paraId="6DB8B7DD" w14:textId="2708DABD" w:rsidR="005A6001" w:rsidRPr="00FB60C2" w:rsidRDefault="00B24CA0" w:rsidP="00B701C8">
      <w:pPr>
        <w:numPr>
          <w:ilvl w:val="0"/>
          <w:numId w:val="14"/>
        </w:numPr>
      </w:pPr>
      <w:r w:rsidRPr="00FB60C2">
        <w:t>O</w:t>
      </w:r>
      <w:r w:rsidR="005A6001" w:rsidRPr="00FB60C2">
        <w:t>rganisations partenaires de l’</w:t>
      </w:r>
      <w:r w:rsidR="005A6001" w:rsidRPr="00FB60C2">
        <w:rPr>
          <w:color w:val="000000"/>
        </w:rPr>
        <w:t>Initiative de gestion de l’accès contrôlé</w:t>
      </w:r>
    </w:p>
    <w:p w14:paraId="7946F546" w14:textId="58864215" w:rsidR="005A6001" w:rsidRPr="00FB60C2" w:rsidRDefault="00B24CA0" w:rsidP="00B701C8">
      <w:pPr>
        <w:numPr>
          <w:ilvl w:val="0"/>
          <w:numId w:val="14"/>
        </w:numPr>
      </w:pPr>
      <w:r w:rsidRPr="00FB60C2">
        <w:t>L</w:t>
      </w:r>
      <w:r w:rsidR="005A6001" w:rsidRPr="00FB60C2">
        <w:t xml:space="preserve">iste </w:t>
      </w:r>
      <w:r w:rsidRPr="00FB60C2">
        <w:t xml:space="preserve">de diffusion </w:t>
      </w:r>
      <w:r w:rsidR="005A6001" w:rsidRPr="00FB60C2">
        <w:t xml:space="preserve">CANLIB-DATA </w:t>
      </w:r>
      <w:r w:rsidRPr="00FB60C2">
        <w:t xml:space="preserve">sur LISTSERV </w:t>
      </w:r>
      <w:r w:rsidR="005A6001" w:rsidRPr="00FB60C2">
        <w:t xml:space="preserve">(questions relatives aux </w:t>
      </w:r>
      <w:r w:rsidR="00303029" w:rsidRPr="00FB60C2">
        <w:rPr>
          <w:color w:val="000000"/>
        </w:rPr>
        <w:t>données de recherche</w:t>
      </w:r>
      <w:r w:rsidR="00A9061F" w:rsidRPr="00FB60C2">
        <w:rPr>
          <w:color w:val="000000"/>
        </w:rPr>
        <w:t xml:space="preserve"> </w:t>
      </w:r>
      <w:r w:rsidR="005A6001" w:rsidRPr="00FB60C2">
        <w:rPr>
          <w:color w:val="000000"/>
        </w:rPr>
        <w:t>dans les bibliothèques du Canada)</w:t>
      </w:r>
    </w:p>
    <w:p w14:paraId="0B30A89B" w14:textId="0203EBD3" w:rsidR="005A6001" w:rsidRPr="00FB60C2" w:rsidRDefault="00B24CA0" w:rsidP="00B701C8">
      <w:pPr>
        <w:numPr>
          <w:ilvl w:val="0"/>
          <w:numId w:val="14"/>
        </w:numPr>
      </w:pPr>
      <w:r w:rsidRPr="00FB60C2">
        <w:t>L</w:t>
      </w:r>
      <w:r w:rsidR="005A6001" w:rsidRPr="00FB60C2">
        <w:t xml:space="preserve">iste </w:t>
      </w:r>
      <w:r w:rsidRPr="00FB60C2">
        <w:t xml:space="preserve">de diffusion </w:t>
      </w:r>
      <w:r w:rsidR="005A6001" w:rsidRPr="00FB60C2">
        <w:t xml:space="preserve">Forum-DataQc </w:t>
      </w:r>
      <w:r w:rsidRPr="00FB60C2">
        <w:t xml:space="preserve">sur LISTSERV </w:t>
      </w:r>
      <w:r w:rsidR="005A6001" w:rsidRPr="00FB60C2">
        <w:t>(</w:t>
      </w:r>
      <w:r w:rsidRPr="00FB60C2">
        <w:t>discussions en français</w:t>
      </w:r>
      <w:r w:rsidR="005A6001" w:rsidRPr="00FB60C2">
        <w:t xml:space="preserve"> </w:t>
      </w:r>
      <w:r w:rsidR="00AD600F" w:rsidRPr="00FB60C2">
        <w:t>sur les</w:t>
      </w:r>
      <w:r w:rsidR="005A6001" w:rsidRPr="00FB60C2">
        <w:t xml:space="preserve"> </w:t>
      </w:r>
      <w:r w:rsidR="005A6001" w:rsidRPr="00FB60C2">
        <w:rPr>
          <w:color w:val="000000"/>
        </w:rPr>
        <w:t>données de recherche)</w:t>
      </w:r>
    </w:p>
    <w:p w14:paraId="2431A82F" w14:textId="6B7AA583" w:rsidR="00A9061F" w:rsidRPr="00FB60C2" w:rsidRDefault="00B24CA0" w:rsidP="00B701C8">
      <w:pPr>
        <w:numPr>
          <w:ilvl w:val="0"/>
          <w:numId w:val="14"/>
        </w:numPr>
      </w:pPr>
      <w:r w:rsidRPr="00FB60C2">
        <w:t>Liste d’envoi de l’</w:t>
      </w:r>
      <w:r w:rsidR="00A9061F" w:rsidRPr="00FB60C2">
        <w:rPr>
          <w:color w:val="000000"/>
        </w:rPr>
        <w:t>Association canadienne des administratrices et des administrateurs de recherche</w:t>
      </w:r>
    </w:p>
    <w:p w14:paraId="200DD34A" w14:textId="1FB8EE45" w:rsidR="00A9061F" w:rsidRPr="00FB60C2" w:rsidRDefault="00B24CA0" w:rsidP="00B701C8">
      <w:pPr>
        <w:numPr>
          <w:ilvl w:val="0"/>
          <w:numId w:val="14"/>
        </w:numPr>
      </w:pPr>
      <w:r w:rsidRPr="00FB60C2">
        <w:t>Liste d’envoi de l’</w:t>
      </w:r>
      <w:r w:rsidR="00A9061F" w:rsidRPr="00FB60C2">
        <w:rPr>
          <w:color w:val="000000"/>
        </w:rPr>
        <w:t>Initiative de démocratisation des données</w:t>
      </w:r>
    </w:p>
    <w:p w14:paraId="4EA7A2DF" w14:textId="55EBF6BC" w:rsidR="00B24CA0" w:rsidRPr="00FB60C2" w:rsidRDefault="00B24CA0" w:rsidP="00B701C8">
      <w:pPr>
        <w:numPr>
          <w:ilvl w:val="0"/>
          <w:numId w:val="14"/>
        </w:numPr>
      </w:pPr>
      <w:r w:rsidRPr="00FB60C2">
        <w:t xml:space="preserve">Liste de diffusion RESEARCH-DATAMAN sur LISTSERV, une liste d’envoi internationale principalement axée sur l’Europe (discussions </w:t>
      </w:r>
      <w:r w:rsidR="00AD600F" w:rsidRPr="00FB60C2">
        <w:t>sur les</w:t>
      </w:r>
      <w:r w:rsidRPr="00FB60C2">
        <w:t xml:space="preserve"> </w:t>
      </w:r>
      <w:r w:rsidRPr="00FB60C2">
        <w:rPr>
          <w:color w:val="000000"/>
        </w:rPr>
        <w:t xml:space="preserve">données de recherche) </w:t>
      </w:r>
    </w:p>
    <w:p w14:paraId="4B30DBFE" w14:textId="0EB8B221" w:rsidR="00A9061F" w:rsidRPr="00FB60C2" w:rsidRDefault="00A9061F" w:rsidP="00B701C8">
      <w:pPr>
        <w:numPr>
          <w:ilvl w:val="0"/>
          <w:numId w:val="14"/>
        </w:numPr>
      </w:pPr>
      <w:r w:rsidRPr="00FB60C2">
        <w:rPr>
          <w:color w:val="000000"/>
        </w:rPr>
        <w:t>Communauté québécoise Accès aux données</w:t>
      </w:r>
    </w:p>
    <w:p w14:paraId="02D6804A" w14:textId="36E9BB96" w:rsidR="00B24CA0" w:rsidRPr="00FB60C2" w:rsidRDefault="00B24CA0" w:rsidP="00B701C8">
      <w:pPr>
        <w:numPr>
          <w:ilvl w:val="0"/>
          <w:numId w:val="14"/>
        </w:numPr>
      </w:pPr>
      <w:r w:rsidRPr="00FB60C2">
        <w:t>Liste de diffusion LISTSERV axée sur les données ouvertes de l’Université Brigham Young (États-Unis)</w:t>
      </w:r>
    </w:p>
    <w:p w14:paraId="0D65278B" w14:textId="5C73D791" w:rsidR="00A9061F" w:rsidRPr="00FB60C2" w:rsidRDefault="00B24CA0" w:rsidP="00B701C8">
      <w:pPr>
        <w:numPr>
          <w:ilvl w:val="0"/>
          <w:numId w:val="14"/>
        </w:numPr>
      </w:pPr>
      <w:r w:rsidRPr="00FB60C2">
        <w:t>Liste de diffusion du Cyberavis de l’ABRC (</w:t>
      </w:r>
      <w:r w:rsidRPr="00FB60C2">
        <w:rPr>
          <w:color w:val="000000"/>
        </w:rPr>
        <w:t>infolettre hebdomadaire de l’</w:t>
      </w:r>
      <w:r w:rsidR="00A9061F" w:rsidRPr="00FB60C2">
        <w:rPr>
          <w:color w:val="000000"/>
        </w:rPr>
        <w:t>Association des bibliothèques de recherche du Canada</w:t>
      </w:r>
      <w:r w:rsidRPr="00FB60C2">
        <w:rPr>
          <w:color w:val="000000"/>
        </w:rPr>
        <w:t>)</w:t>
      </w:r>
    </w:p>
    <w:p w14:paraId="7CAABFA2" w14:textId="6321C252" w:rsidR="00A9061F" w:rsidRPr="00FB60C2" w:rsidRDefault="00A9061F" w:rsidP="00B701C8">
      <w:pPr>
        <w:numPr>
          <w:ilvl w:val="0"/>
          <w:numId w:val="14"/>
        </w:numPr>
      </w:pPr>
      <w:r w:rsidRPr="00FB60C2">
        <w:rPr>
          <w:color w:val="000000"/>
        </w:rPr>
        <w:t>Partenariat des bibliothèques universitaires du Québec (PBUQ)</w:t>
      </w:r>
    </w:p>
    <w:p w14:paraId="51FB0749" w14:textId="4471C7E1" w:rsidR="00B24CA0" w:rsidRPr="00FB60C2" w:rsidRDefault="00B24CA0" w:rsidP="00B701C8">
      <w:pPr>
        <w:numPr>
          <w:ilvl w:val="0"/>
          <w:numId w:val="14"/>
        </w:numPr>
      </w:pPr>
      <w:r w:rsidRPr="00FB60C2">
        <w:t xml:space="preserve">Liste de diffusion Arcan-L sur LISTSERV (questions </w:t>
      </w:r>
      <w:r w:rsidR="00AD600F" w:rsidRPr="00FB60C2">
        <w:t>sur les</w:t>
      </w:r>
      <w:r w:rsidRPr="00FB60C2">
        <w:t xml:space="preserve"> </w:t>
      </w:r>
      <w:r w:rsidRPr="00FB60C2">
        <w:rPr>
          <w:color w:val="000000"/>
        </w:rPr>
        <w:t>archives au Canada)</w:t>
      </w:r>
    </w:p>
    <w:p w14:paraId="6F3FCEF9" w14:textId="640C9E2B" w:rsidR="00A9061F" w:rsidRPr="00FB60C2" w:rsidRDefault="00B24CA0" w:rsidP="00B701C8">
      <w:pPr>
        <w:numPr>
          <w:ilvl w:val="0"/>
          <w:numId w:val="14"/>
        </w:numPr>
      </w:pPr>
      <w:r w:rsidRPr="00FB60C2">
        <w:rPr>
          <w:color w:val="000000"/>
        </w:rPr>
        <w:t>Liste de diffusion de la bibliothèque de l’</w:t>
      </w:r>
      <w:r w:rsidR="00A9061F" w:rsidRPr="00FB60C2">
        <w:rPr>
          <w:color w:val="000000"/>
        </w:rPr>
        <w:t>Université de Montréal</w:t>
      </w:r>
    </w:p>
    <w:p w14:paraId="7DF41499" w14:textId="77777777" w:rsidR="00A9061F" w:rsidRPr="00FB60C2" w:rsidRDefault="00A9061F" w:rsidP="00B701C8">
      <w:pPr>
        <w:ind w:left="720"/>
      </w:pPr>
    </w:p>
    <w:p w14:paraId="17C73263" w14:textId="05E29C68" w:rsidR="00A9061F" w:rsidRPr="00FB60C2" w:rsidRDefault="00B24CA0" w:rsidP="00B701C8">
      <w:r w:rsidRPr="00FB60C2">
        <w:rPr>
          <w:color w:val="000000"/>
        </w:rPr>
        <w:t xml:space="preserve">Les destinataires </w:t>
      </w:r>
      <w:r w:rsidR="005C23F3" w:rsidRPr="00FB60C2">
        <w:rPr>
          <w:color w:val="000000"/>
        </w:rPr>
        <w:t>ont été</w:t>
      </w:r>
      <w:r w:rsidRPr="00FB60C2">
        <w:rPr>
          <w:color w:val="000000"/>
        </w:rPr>
        <w:t xml:space="preserve"> invités à soumettre les types de documents suivants :</w:t>
      </w:r>
    </w:p>
    <w:p w14:paraId="4FE4BCBB" w14:textId="414E6D4F" w:rsidR="00A9061F" w:rsidRPr="00FB60C2" w:rsidRDefault="00A9061F" w:rsidP="00B701C8">
      <w:pPr>
        <w:numPr>
          <w:ilvl w:val="0"/>
          <w:numId w:val="5"/>
        </w:numPr>
      </w:pPr>
      <w:r w:rsidRPr="00FB60C2">
        <w:rPr>
          <w:color w:val="000000"/>
        </w:rPr>
        <w:t xml:space="preserve">Information sur les dépôts de données de recherche </w:t>
      </w:r>
      <w:r w:rsidR="007F243B" w:rsidRPr="00FB60C2">
        <w:rPr>
          <w:color w:val="000000"/>
        </w:rPr>
        <w:t>contenant</w:t>
      </w:r>
      <w:r w:rsidR="005C23F3" w:rsidRPr="00FB60C2">
        <w:rPr>
          <w:color w:val="000000"/>
        </w:rPr>
        <w:t xml:space="preserve"> </w:t>
      </w:r>
      <w:r w:rsidRPr="00FB60C2">
        <w:rPr>
          <w:color w:val="000000"/>
        </w:rPr>
        <w:t>des données à accès restreint</w:t>
      </w:r>
    </w:p>
    <w:p w14:paraId="152937B0" w14:textId="77777777" w:rsidR="00A9061F" w:rsidRPr="00FB60C2" w:rsidRDefault="00A9061F" w:rsidP="00B701C8">
      <w:pPr>
        <w:numPr>
          <w:ilvl w:val="0"/>
          <w:numId w:val="5"/>
        </w:numPr>
      </w:pPr>
      <w:r w:rsidRPr="00FB60C2">
        <w:rPr>
          <w:color w:val="000000"/>
        </w:rPr>
        <w:t>Descriptions de technologies, d’initiatives, de programmes ou de services</w:t>
      </w:r>
    </w:p>
    <w:p w14:paraId="694A2809" w14:textId="77777777" w:rsidR="00A9061F" w:rsidRPr="00FB60C2" w:rsidRDefault="00A9061F" w:rsidP="00B701C8">
      <w:pPr>
        <w:numPr>
          <w:ilvl w:val="0"/>
          <w:numId w:val="5"/>
        </w:numPr>
      </w:pPr>
      <w:r w:rsidRPr="00FB60C2">
        <w:rPr>
          <w:color w:val="000000"/>
        </w:rPr>
        <w:lastRenderedPageBreak/>
        <w:t>Descriptions de politiques, procédures, flux de travail, modèles ou ententes d’accès aux données</w:t>
      </w:r>
    </w:p>
    <w:p w14:paraId="5CEEDDF3" w14:textId="77777777" w:rsidR="00A9061F" w:rsidRPr="00FB60C2" w:rsidRDefault="00A9061F" w:rsidP="00B701C8">
      <w:pPr>
        <w:numPr>
          <w:ilvl w:val="0"/>
          <w:numId w:val="5"/>
        </w:numPr>
      </w:pPr>
      <w:r w:rsidRPr="00FB60C2">
        <w:rPr>
          <w:color w:val="000000"/>
        </w:rPr>
        <w:t>Outils</w:t>
      </w:r>
    </w:p>
    <w:p w14:paraId="52C596B5" w14:textId="2600F481" w:rsidR="00A9061F" w:rsidRPr="00FB60C2" w:rsidRDefault="005C23F3" w:rsidP="00B701C8">
      <w:pPr>
        <w:numPr>
          <w:ilvl w:val="0"/>
          <w:numId w:val="5"/>
        </w:numPr>
      </w:pPr>
      <w:r w:rsidRPr="00FB60C2">
        <w:rPr>
          <w:color w:val="000000"/>
        </w:rPr>
        <w:t>M</w:t>
      </w:r>
      <w:r w:rsidR="00A9061F" w:rsidRPr="00FB60C2">
        <w:rPr>
          <w:color w:val="000000"/>
        </w:rPr>
        <w:t xml:space="preserve">atériel pédagogique </w:t>
      </w:r>
      <w:r w:rsidRPr="00FB60C2">
        <w:rPr>
          <w:color w:val="000000"/>
        </w:rPr>
        <w:t xml:space="preserve">et </w:t>
      </w:r>
      <w:r w:rsidR="00A9061F" w:rsidRPr="00FB60C2">
        <w:rPr>
          <w:color w:val="000000"/>
        </w:rPr>
        <w:t>programmes de formation</w:t>
      </w:r>
    </w:p>
    <w:p w14:paraId="01337905" w14:textId="77777777" w:rsidR="00A9061F" w:rsidRPr="00FB60C2" w:rsidRDefault="00A9061F" w:rsidP="00B701C8">
      <w:pPr>
        <w:numPr>
          <w:ilvl w:val="0"/>
          <w:numId w:val="5"/>
        </w:numPr>
        <w:spacing w:after="240"/>
      </w:pPr>
      <w:r w:rsidRPr="00FB60C2">
        <w:rPr>
          <w:color w:val="000000"/>
        </w:rPr>
        <w:t>Pratiques exemplaires, normes ou recommandations</w:t>
      </w:r>
    </w:p>
    <w:p w14:paraId="5F5A85B9" w14:textId="60F0F400" w:rsidR="00B86DE8" w:rsidRPr="00FB60C2" w:rsidRDefault="00B86DE8" w:rsidP="00B701C8">
      <w:pPr>
        <w:spacing w:before="240" w:after="240"/>
        <w:rPr>
          <w:color w:val="000000"/>
        </w:rPr>
      </w:pPr>
      <w:r w:rsidRPr="00FB60C2">
        <w:rPr>
          <w:color w:val="000000"/>
        </w:rPr>
        <w:t xml:space="preserve">Les destinataires étaient encouragés à envoyer les ressources </w:t>
      </w:r>
      <w:r w:rsidR="00C24ADE" w:rsidRPr="00FB60C2">
        <w:rPr>
          <w:color w:val="000000"/>
        </w:rPr>
        <w:t xml:space="preserve">même si </w:t>
      </w:r>
      <w:r w:rsidR="005C23F3" w:rsidRPr="00FB60C2">
        <w:rPr>
          <w:color w:val="000000"/>
        </w:rPr>
        <w:t xml:space="preserve">elles et </w:t>
      </w:r>
      <w:r w:rsidRPr="00FB60C2">
        <w:rPr>
          <w:color w:val="000000"/>
        </w:rPr>
        <w:t xml:space="preserve">ils doutaient de </w:t>
      </w:r>
      <w:r w:rsidR="00C24ADE" w:rsidRPr="00FB60C2">
        <w:rPr>
          <w:color w:val="000000"/>
        </w:rPr>
        <w:t xml:space="preserve">leur </w:t>
      </w:r>
      <w:r w:rsidRPr="00FB60C2">
        <w:rPr>
          <w:color w:val="000000"/>
        </w:rPr>
        <w:t xml:space="preserve">pertinence pour la démarche. Les ressources </w:t>
      </w:r>
      <w:r w:rsidR="00E822EE" w:rsidRPr="00FB60C2">
        <w:rPr>
          <w:color w:val="000000"/>
        </w:rPr>
        <w:t>traitant d</w:t>
      </w:r>
      <w:r w:rsidR="009C2704" w:rsidRPr="00FB60C2">
        <w:rPr>
          <w:color w:val="000000"/>
        </w:rPr>
        <w:t>’</w:t>
      </w:r>
      <w:r w:rsidRPr="00FB60C2">
        <w:rPr>
          <w:color w:val="000000"/>
        </w:rPr>
        <w:t xml:space="preserve">initiatives et </w:t>
      </w:r>
      <w:r w:rsidR="00E822EE" w:rsidRPr="00FB60C2">
        <w:rPr>
          <w:color w:val="000000"/>
        </w:rPr>
        <w:t xml:space="preserve">de </w:t>
      </w:r>
      <w:r w:rsidRPr="00FB60C2">
        <w:rPr>
          <w:color w:val="000000"/>
        </w:rPr>
        <w:t>services de l’étranger étai</w:t>
      </w:r>
      <w:r w:rsidR="00E822EE" w:rsidRPr="00FB60C2">
        <w:rPr>
          <w:color w:val="000000"/>
        </w:rPr>
        <w:t>en</w:t>
      </w:r>
      <w:r w:rsidRPr="00FB60C2">
        <w:rPr>
          <w:color w:val="000000"/>
        </w:rPr>
        <w:t xml:space="preserve">t aussi les bienvenues, même si l’accent était </w:t>
      </w:r>
      <w:r w:rsidR="00C24ADE" w:rsidRPr="00FB60C2">
        <w:rPr>
          <w:color w:val="000000"/>
        </w:rPr>
        <w:t xml:space="preserve">mis </w:t>
      </w:r>
      <w:r w:rsidRPr="00FB60C2">
        <w:rPr>
          <w:color w:val="000000"/>
        </w:rPr>
        <w:t>sur le contenu et les outils canadiens.</w:t>
      </w:r>
    </w:p>
    <w:p w14:paraId="2EB6716F" w14:textId="16CD95F8" w:rsidR="00A9061F" w:rsidRPr="00FB60C2" w:rsidRDefault="00B86DE8" w:rsidP="00B701C8">
      <w:pPr>
        <w:spacing w:before="240" w:after="240"/>
      </w:pPr>
      <w:r w:rsidRPr="00FB60C2">
        <w:rPr>
          <w:color w:val="000000"/>
        </w:rPr>
        <w:t>Les membres du groupe de travail sur l’état des choses ont fourni des documents supplémentaires.</w:t>
      </w:r>
    </w:p>
    <w:p w14:paraId="028F50ED" w14:textId="67FF0922" w:rsidR="00A9061F" w:rsidRPr="00FB60C2" w:rsidRDefault="00B86DE8" w:rsidP="00B701C8">
      <w:r w:rsidRPr="00FB60C2">
        <w:t xml:space="preserve">Conscient que le formulaire menait à la collecte d’un échantillon </w:t>
      </w:r>
      <w:r w:rsidR="00066EE7" w:rsidRPr="00FB60C2">
        <w:t xml:space="preserve">de documents existants </w:t>
      </w:r>
      <w:r w:rsidR="00B9734C" w:rsidRPr="00FB60C2">
        <w:t>sélectionné</w:t>
      </w:r>
      <w:r w:rsidR="00066EE7" w:rsidRPr="00FB60C2">
        <w:t>s</w:t>
      </w:r>
      <w:r w:rsidR="00B9734C" w:rsidRPr="00FB60C2">
        <w:t xml:space="preserve"> par les destinataires</w:t>
      </w:r>
      <w:r w:rsidRPr="00FB60C2">
        <w:t xml:space="preserve">, le groupe de travail a aussi </w:t>
      </w:r>
      <w:r w:rsidR="00C24ADE" w:rsidRPr="00FB60C2">
        <w:t xml:space="preserve">fait </w:t>
      </w:r>
      <w:r w:rsidRPr="00FB60C2">
        <w:t xml:space="preserve">un repérage systématique dans les bases de données universitaires pour </w:t>
      </w:r>
      <w:r w:rsidR="00B9734C" w:rsidRPr="00FB60C2">
        <w:t>rassembler</w:t>
      </w:r>
      <w:r w:rsidRPr="00FB60C2">
        <w:t xml:space="preserve"> des sources supplémentaires. Voici la chaîne de recherche utilisée : </w:t>
      </w:r>
    </w:p>
    <w:p w14:paraId="25F4C22B" w14:textId="77777777" w:rsidR="00A9061F" w:rsidRPr="00FB60C2" w:rsidRDefault="00A9061F" w:rsidP="00B701C8"/>
    <w:p w14:paraId="5C2D5AD6" w14:textId="56A78026" w:rsidR="00B22BB6" w:rsidRPr="00FB60C2" w:rsidRDefault="00B9734C" w:rsidP="00B701C8">
      <w:pPr>
        <w:ind w:left="720"/>
      </w:pPr>
      <w:r w:rsidRPr="00FB60C2">
        <w:rPr>
          <w:color w:val="000000"/>
        </w:rPr>
        <w:t>(</w:t>
      </w:r>
      <w:r w:rsidR="00B22BB6" w:rsidRPr="00FB60C2">
        <w:rPr>
          <w:color w:val="000000"/>
        </w:rPr>
        <w:t>« données confidentielles » OU « données privées » OU « données protégées » OU « donnée</w:t>
      </w:r>
      <w:r w:rsidR="00E822EE" w:rsidRPr="00FB60C2">
        <w:rPr>
          <w:color w:val="000000"/>
        </w:rPr>
        <w:t xml:space="preserve">s </w:t>
      </w:r>
      <w:r w:rsidR="00B22BB6" w:rsidRPr="00FB60C2">
        <w:rPr>
          <w:color w:val="000000"/>
        </w:rPr>
        <w:t>sécurisée</w:t>
      </w:r>
      <w:r w:rsidR="00E822EE" w:rsidRPr="00FB60C2">
        <w:rPr>
          <w:color w:val="000000"/>
        </w:rPr>
        <w:t>s</w:t>
      </w:r>
      <w:r w:rsidR="00B22BB6" w:rsidRPr="00FB60C2">
        <w:rPr>
          <w:color w:val="000000"/>
        </w:rPr>
        <w:t> » OU « donnée</w:t>
      </w:r>
      <w:r w:rsidR="00E822EE" w:rsidRPr="00FB60C2">
        <w:rPr>
          <w:color w:val="000000"/>
        </w:rPr>
        <w:t>s</w:t>
      </w:r>
      <w:r w:rsidR="00B22BB6" w:rsidRPr="00FB60C2">
        <w:rPr>
          <w:color w:val="000000"/>
        </w:rPr>
        <w:t xml:space="preserve"> classifiée</w:t>
      </w:r>
      <w:r w:rsidR="00E822EE" w:rsidRPr="00FB60C2">
        <w:rPr>
          <w:color w:val="000000"/>
        </w:rPr>
        <w:t>s</w:t>
      </w:r>
      <w:r w:rsidR="00B22BB6" w:rsidRPr="00FB60C2">
        <w:rPr>
          <w:color w:val="000000"/>
        </w:rPr>
        <w:t> » OU « donnée</w:t>
      </w:r>
      <w:r w:rsidR="00E822EE" w:rsidRPr="00FB60C2">
        <w:rPr>
          <w:color w:val="000000"/>
        </w:rPr>
        <w:t>s</w:t>
      </w:r>
      <w:r w:rsidR="00B22BB6" w:rsidRPr="00FB60C2">
        <w:rPr>
          <w:color w:val="000000"/>
        </w:rPr>
        <w:t xml:space="preserve"> à accès limité » OU « donnée</w:t>
      </w:r>
      <w:r w:rsidR="00E822EE" w:rsidRPr="00FB60C2">
        <w:rPr>
          <w:color w:val="000000"/>
        </w:rPr>
        <w:t>s</w:t>
      </w:r>
      <w:r w:rsidR="00B22BB6" w:rsidRPr="00FB60C2">
        <w:rPr>
          <w:color w:val="000000"/>
        </w:rPr>
        <w:t xml:space="preserve"> à accès contrôlé » OU « données à accès restreint » OU « données exclusives ») ET (« dépôt de donnée</w:t>
      </w:r>
      <w:r w:rsidR="00E822EE" w:rsidRPr="00FB60C2">
        <w:rPr>
          <w:color w:val="000000"/>
        </w:rPr>
        <w:t>s</w:t>
      </w:r>
      <w:r w:rsidR="00B22BB6" w:rsidRPr="00FB60C2">
        <w:rPr>
          <w:color w:val="000000"/>
        </w:rPr>
        <w:t> » OU « archive de données » OU « informathèque » OU « répertoire de données » OU « partage des données » OU « consignation de données »)</w:t>
      </w:r>
    </w:p>
    <w:p w14:paraId="081CE5EB" w14:textId="77777777" w:rsidR="00A9061F" w:rsidRPr="00FB60C2" w:rsidRDefault="00A9061F" w:rsidP="00B701C8">
      <w:pPr>
        <w:ind w:left="720"/>
      </w:pPr>
    </w:p>
    <w:p w14:paraId="57AD2ECD" w14:textId="5979FE3A" w:rsidR="00A9061F" w:rsidRPr="00FB60C2" w:rsidRDefault="001A1CE7" w:rsidP="00B701C8">
      <w:r w:rsidRPr="00FB60C2">
        <w:rPr>
          <w:color w:val="000000"/>
        </w:rPr>
        <w:t>Le</w:t>
      </w:r>
      <w:r w:rsidR="00A9061F" w:rsidRPr="00FB60C2">
        <w:rPr>
          <w:color w:val="000000"/>
        </w:rPr>
        <w:t xml:space="preserve"> repérage </w:t>
      </w:r>
      <w:r w:rsidRPr="00FB60C2">
        <w:rPr>
          <w:color w:val="000000"/>
        </w:rPr>
        <w:t xml:space="preserve">a été mené dans neuf bases de données </w:t>
      </w:r>
      <w:r w:rsidR="00C17379" w:rsidRPr="00FB60C2">
        <w:rPr>
          <w:color w:val="000000"/>
        </w:rPr>
        <w:t>couvrant</w:t>
      </w:r>
      <w:r w:rsidRPr="00FB60C2">
        <w:rPr>
          <w:color w:val="000000"/>
        </w:rPr>
        <w:t xml:space="preserve"> diverses disciplines : </w:t>
      </w:r>
      <w:r w:rsidR="00A9061F" w:rsidRPr="00FB60C2">
        <w:rPr>
          <w:color w:val="000000"/>
        </w:rPr>
        <w:t>Agricola</w:t>
      </w:r>
      <w:r w:rsidR="00B9734C" w:rsidRPr="00FB60C2">
        <w:rPr>
          <w:color w:val="000000"/>
        </w:rPr>
        <w:t xml:space="preserve"> </w:t>
      </w:r>
      <w:r w:rsidR="00A9061F" w:rsidRPr="00FB60C2">
        <w:rPr>
          <w:color w:val="000000"/>
        </w:rPr>
        <w:t>(agriculture), APA PsycINFO, Arts and Humanities Citation Index (</w:t>
      </w:r>
      <w:r w:rsidRPr="00FB60C2">
        <w:rPr>
          <w:color w:val="000000"/>
        </w:rPr>
        <w:t>par l’intermédiaire de</w:t>
      </w:r>
      <w:r w:rsidR="00A9061F" w:rsidRPr="00FB60C2">
        <w:rPr>
          <w:color w:val="000000"/>
        </w:rPr>
        <w:t xml:space="preserve"> Web of Science), Business Source Complete, CanLII (</w:t>
      </w:r>
      <w:r w:rsidRPr="00FB60C2">
        <w:rPr>
          <w:color w:val="000000"/>
        </w:rPr>
        <w:t>droit</w:t>
      </w:r>
      <w:r w:rsidR="00A9061F" w:rsidRPr="00FB60C2">
        <w:rPr>
          <w:color w:val="000000"/>
        </w:rPr>
        <w:t>), ERIC</w:t>
      </w:r>
      <w:r w:rsidR="00B707D4" w:rsidRPr="00FB60C2">
        <w:rPr>
          <w:color w:val="000000"/>
        </w:rPr>
        <w:t xml:space="preserve"> </w:t>
      </w:r>
      <w:r w:rsidR="00A9061F" w:rsidRPr="00FB60C2">
        <w:rPr>
          <w:color w:val="000000"/>
        </w:rPr>
        <w:t>(</w:t>
      </w:r>
      <w:r w:rsidRPr="00FB60C2">
        <w:rPr>
          <w:color w:val="000000"/>
        </w:rPr>
        <w:t>é</w:t>
      </w:r>
      <w:r w:rsidR="00A9061F" w:rsidRPr="00FB60C2">
        <w:rPr>
          <w:color w:val="000000"/>
        </w:rPr>
        <w:t>ducation), Library and Information Science Source, PubMed</w:t>
      </w:r>
      <w:r w:rsidRPr="00FB60C2">
        <w:rPr>
          <w:color w:val="000000"/>
        </w:rPr>
        <w:t xml:space="preserve"> et </w:t>
      </w:r>
      <w:r w:rsidR="00A9061F" w:rsidRPr="00FB60C2">
        <w:rPr>
          <w:color w:val="000000"/>
        </w:rPr>
        <w:t xml:space="preserve">Web of Science. </w:t>
      </w:r>
      <w:r w:rsidRPr="00FB60C2">
        <w:rPr>
          <w:color w:val="000000"/>
        </w:rPr>
        <w:t>Les recherches ont été menées à l’</w:t>
      </w:r>
      <w:r w:rsidR="007072CA" w:rsidRPr="00FB60C2">
        <w:rPr>
          <w:color w:val="000000"/>
        </w:rPr>
        <w:t xml:space="preserve">Université </w:t>
      </w:r>
      <w:r w:rsidRPr="00FB60C2">
        <w:rPr>
          <w:color w:val="000000"/>
        </w:rPr>
        <w:t>de</w:t>
      </w:r>
      <w:r w:rsidR="00A9061F" w:rsidRPr="00FB60C2">
        <w:rPr>
          <w:color w:val="000000"/>
        </w:rPr>
        <w:t xml:space="preserve"> Calgary (Agricola, Arts and Humanities Citation Index, Library and Information Science Source</w:t>
      </w:r>
      <w:r w:rsidRPr="00FB60C2">
        <w:rPr>
          <w:color w:val="000000"/>
        </w:rPr>
        <w:t xml:space="preserve"> et</w:t>
      </w:r>
      <w:r w:rsidR="00A9061F" w:rsidRPr="00FB60C2">
        <w:rPr>
          <w:color w:val="000000"/>
        </w:rPr>
        <w:t xml:space="preserve"> Web of Science), </w:t>
      </w:r>
      <w:r w:rsidRPr="00FB60C2">
        <w:rPr>
          <w:color w:val="000000"/>
        </w:rPr>
        <w:t xml:space="preserve">à l’Université </w:t>
      </w:r>
      <w:r w:rsidR="00C17379" w:rsidRPr="00FB60C2">
        <w:rPr>
          <w:color w:val="000000"/>
        </w:rPr>
        <w:t>d’</w:t>
      </w:r>
      <w:r w:rsidR="00A9061F" w:rsidRPr="00FB60C2">
        <w:rPr>
          <w:color w:val="000000"/>
        </w:rPr>
        <w:t>Athabasca (APA PsycINFO, Business Source Complete</w:t>
      </w:r>
      <w:r w:rsidRPr="00FB60C2">
        <w:rPr>
          <w:color w:val="000000"/>
        </w:rPr>
        <w:t xml:space="preserve"> et </w:t>
      </w:r>
      <w:r w:rsidR="00A9061F" w:rsidRPr="00FB60C2">
        <w:rPr>
          <w:color w:val="000000"/>
        </w:rPr>
        <w:t xml:space="preserve">CanLII) </w:t>
      </w:r>
      <w:r w:rsidRPr="00FB60C2">
        <w:rPr>
          <w:color w:val="000000"/>
        </w:rPr>
        <w:t>et au</w:t>
      </w:r>
      <w:r w:rsidR="00A9061F" w:rsidRPr="00FB60C2">
        <w:rPr>
          <w:color w:val="000000"/>
        </w:rPr>
        <w:t xml:space="preserve"> CHU Sainte-Justine (ERIC</w:t>
      </w:r>
      <w:r w:rsidRPr="00FB60C2">
        <w:rPr>
          <w:color w:val="000000"/>
        </w:rPr>
        <w:t xml:space="preserve"> et </w:t>
      </w:r>
      <w:r w:rsidR="00A9061F" w:rsidRPr="00FB60C2">
        <w:rPr>
          <w:color w:val="000000"/>
        </w:rPr>
        <w:t>PubMed)</w:t>
      </w:r>
      <w:r w:rsidRPr="00FB60C2">
        <w:rPr>
          <w:color w:val="000000"/>
        </w:rPr>
        <w:t xml:space="preserve"> du 13 au 15 </w:t>
      </w:r>
      <w:r w:rsidR="00A9061F" w:rsidRPr="00FB60C2">
        <w:rPr>
          <w:color w:val="000000"/>
        </w:rPr>
        <w:t>novembre</w:t>
      </w:r>
      <w:r w:rsidRPr="00FB60C2">
        <w:rPr>
          <w:color w:val="000000"/>
        </w:rPr>
        <w:t> </w:t>
      </w:r>
      <w:r w:rsidR="00A9061F" w:rsidRPr="00FB60C2">
        <w:rPr>
          <w:color w:val="000000"/>
        </w:rPr>
        <w:t xml:space="preserve">2024. </w:t>
      </w:r>
      <w:r w:rsidRPr="00FB60C2">
        <w:rPr>
          <w:color w:val="000000"/>
        </w:rPr>
        <w:t xml:space="preserve">Les résultats ont été importés dans </w:t>
      </w:r>
      <w:r w:rsidR="00A9061F" w:rsidRPr="00FB60C2">
        <w:rPr>
          <w:color w:val="000000"/>
        </w:rPr>
        <w:t xml:space="preserve">Covidence </w:t>
      </w:r>
      <w:r w:rsidRPr="00FB60C2">
        <w:rPr>
          <w:color w:val="000000"/>
        </w:rPr>
        <w:t>pour un</w:t>
      </w:r>
      <w:r w:rsidR="00C17379" w:rsidRPr="00FB60C2">
        <w:rPr>
          <w:color w:val="000000"/>
        </w:rPr>
        <w:t xml:space="preserve">e </w:t>
      </w:r>
      <w:r w:rsidRPr="00FB60C2">
        <w:rPr>
          <w:color w:val="000000"/>
        </w:rPr>
        <w:t xml:space="preserve">élimination des doublons et </w:t>
      </w:r>
      <w:r w:rsidR="00C17379" w:rsidRPr="00FB60C2">
        <w:rPr>
          <w:color w:val="000000"/>
        </w:rPr>
        <w:t xml:space="preserve">un </w:t>
      </w:r>
      <w:r w:rsidRPr="00FB60C2">
        <w:rPr>
          <w:color w:val="000000"/>
        </w:rPr>
        <w:t>filtrage</w:t>
      </w:r>
      <w:r w:rsidR="00A9061F" w:rsidRPr="00FB60C2">
        <w:rPr>
          <w:color w:val="000000"/>
        </w:rPr>
        <w:t xml:space="preserve">. </w:t>
      </w:r>
      <w:r w:rsidRPr="00FB60C2">
        <w:rPr>
          <w:color w:val="000000"/>
        </w:rPr>
        <w:t>Voici le diagramme de flux PRISMA final :</w:t>
      </w:r>
    </w:p>
    <w:p w14:paraId="29E964C9" w14:textId="77777777" w:rsidR="00A9061F" w:rsidRPr="00FB60C2" w:rsidRDefault="00A9061F" w:rsidP="00B701C8"/>
    <w:p w14:paraId="79CC4596" w14:textId="77777777" w:rsidR="00A9061F" w:rsidRPr="00FB60C2" w:rsidRDefault="00A9061F" w:rsidP="00B701C8">
      <w:r w:rsidRPr="00FB60C2">
        <w:lastRenderedPageBreak/>
        <w:drawing>
          <wp:inline distT="114300" distB="114300" distL="114300" distR="114300" wp14:anchorId="775A70E7" wp14:editId="5DECCB1B">
            <wp:extent cx="5534025" cy="7762875"/>
            <wp:effectExtent l="0" t="0" r="0" b="0"/>
            <wp:docPr id="1" name="image1.png" descr="Une image contenant texte, capture d’écran, Parallèle, Polic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1" name="image1.png" descr="Une image contenant texte, capture d’écran, Parallèle, Police&#10;&#10;Le contenu généré par l’IA peut être incorrect."/>
                    <pic:cNvPicPr/>
                  </pic:nvPicPr>
                  <pic:blipFill>
                    <a:blip r:embed="rId52"/>
                    <a:stretch>
                      <a:fillRect/>
                    </a:stretch>
                  </pic:blipFill>
                  <pic:spPr>
                    <a:xfrm>
                      <a:off x="0" y="0"/>
                      <a:ext cx="5534025" cy="7762875"/>
                    </a:xfrm>
                    <a:prstGeom prst="rect">
                      <a:avLst/>
                    </a:prstGeom>
                  </pic:spPr>
                </pic:pic>
              </a:graphicData>
            </a:graphic>
          </wp:inline>
        </w:drawing>
      </w:r>
    </w:p>
    <w:p w14:paraId="2C969224" w14:textId="77777777" w:rsidR="00A9061F" w:rsidRPr="00FB60C2" w:rsidRDefault="00A9061F" w:rsidP="00B701C8"/>
    <w:p w14:paraId="2771324A" w14:textId="7441B4A5" w:rsidR="00A9061F" w:rsidRPr="00FB60C2" w:rsidRDefault="00A43F4C" w:rsidP="00B701C8">
      <w:pPr>
        <w:keepNext/>
      </w:pPr>
      <w:r w:rsidRPr="00FB60C2">
        <w:rPr>
          <w:color w:val="000000"/>
        </w:rPr>
        <w:lastRenderedPageBreak/>
        <w:t xml:space="preserve">Les documents et ressources reçus et colligés ont été consignés dans une bibliothèque Zotero accessible en </w:t>
      </w:r>
      <w:r w:rsidR="00841F9A" w:rsidRPr="00FB60C2">
        <w:rPr>
          <w:color w:val="000000"/>
        </w:rPr>
        <w:t xml:space="preserve">ligne </w:t>
      </w:r>
      <w:r w:rsidRPr="00FB60C2">
        <w:rPr>
          <w:color w:val="000000"/>
        </w:rPr>
        <w:t>(</w:t>
      </w:r>
      <w:hyperlink r:id="rId53">
        <w:r w:rsidRPr="00FB60C2">
          <w:rPr>
            <w:color w:val="1155CC"/>
            <w:u w:val="single"/>
          </w:rPr>
          <w:t>https://www.zotero.org/groups/5616282/camrdi</w:t>
        </w:r>
      </w:hyperlink>
      <w:r w:rsidRPr="00FB60C2">
        <w:t xml:space="preserve">). Les documents y sont divisés en deux collections : </w:t>
      </w:r>
    </w:p>
    <w:p w14:paraId="3CA3181A" w14:textId="77777777" w:rsidR="00A9061F" w:rsidRPr="00FB60C2" w:rsidRDefault="00A9061F" w:rsidP="00B701C8">
      <w:pPr>
        <w:keepNext/>
      </w:pPr>
    </w:p>
    <w:p w14:paraId="6B0B7D7F" w14:textId="65D1DAEF" w:rsidR="00A43F4C" w:rsidRPr="00FB60C2" w:rsidRDefault="00A43F4C" w:rsidP="00B701C8">
      <w:pPr>
        <w:keepNext/>
        <w:numPr>
          <w:ilvl w:val="0"/>
          <w:numId w:val="14"/>
        </w:numPr>
      </w:pPr>
      <w:r w:rsidRPr="00FB60C2">
        <w:rPr>
          <w:color w:val="000000"/>
        </w:rPr>
        <w:t>Collections fonctionnelles</w:t>
      </w:r>
      <w:r w:rsidR="00B707D4" w:rsidRPr="00FB60C2">
        <w:rPr>
          <w:color w:val="000000"/>
        </w:rPr>
        <w:t>, qui sont</w:t>
      </w:r>
      <w:r w:rsidRPr="00FB60C2">
        <w:rPr>
          <w:color w:val="000000"/>
        </w:rPr>
        <w:t xml:space="preserve"> basées sur la nature ou la fonction de la ressource dans le contexte de l’Initiative de gestion de l’accès contrôlé (« ressources du groupe de travail », « documentation », « formation et éducation », etc.). </w:t>
      </w:r>
    </w:p>
    <w:p w14:paraId="7B2C721A" w14:textId="20491787" w:rsidR="00A43F4C" w:rsidRPr="00FB60C2" w:rsidRDefault="00A43F4C" w:rsidP="00B701C8">
      <w:pPr>
        <w:keepNext/>
        <w:numPr>
          <w:ilvl w:val="0"/>
          <w:numId w:val="14"/>
        </w:numPr>
      </w:pPr>
      <w:r w:rsidRPr="00FB60C2">
        <w:t>Collections thématiques</w:t>
      </w:r>
      <w:r w:rsidR="00B707D4" w:rsidRPr="00FB60C2">
        <w:t>, qui</w:t>
      </w:r>
      <w:r w:rsidRPr="00FB60C2">
        <w:t xml:space="preserve"> réuniss</w:t>
      </w:r>
      <w:r w:rsidR="00B707D4" w:rsidRPr="00FB60C2">
        <w:t>e</w:t>
      </w:r>
      <w:r w:rsidRPr="00FB60C2">
        <w:t>nt des ressources traitant de sujets particulier</w:t>
      </w:r>
      <w:r w:rsidR="00E822EE" w:rsidRPr="00FB60C2">
        <w:t>s</w:t>
      </w:r>
      <w:r w:rsidRPr="00FB60C2">
        <w:t xml:space="preserve"> (ex. : « </w:t>
      </w:r>
      <w:r w:rsidR="00066EE7" w:rsidRPr="00FB60C2">
        <w:t>lois</w:t>
      </w:r>
      <w:r w:rsidRPr="00FB60C2">
        <w:t> », « dépôts », « technologie », etc.)</w:t>
      </w:r>
      <w:r w:rsidR="005C23F3" w:rsidRPr="00FB60C2">
        <w:t>.</w:t>
      </w:r>
    </w:p>
    <w:p w14:paraId="3149521E" w14:textId="77777777" w:rsidR="00A9061F" w:rsidRPr="00FB60C2" w:rsidRDefault="00A9061F" w:rsidP="00B701C8"/>
    <w:p w14:paraId="64E01CD1" w14:textId="29430E04" w:rsidR="00A9061F" w:rsidRPr="00FB60C2" w:rsidRDefault="00B707D4" w:rsidP="00B701C8">
      <w:r w:rsidRPr="00FB60C2">
        <w:rPr>
          <w:color w:val="000000"/>
        </w:rPr>
        <w:t xml:space="preserve">On a aussi attribué </w:t>
      </w:r>
      <w:r w:rsidR="000213F9" w:rsidRPr="00FB60C2">
        <w:rPr>
          <w:color w:val="000000"/>
        </w:rPr>
        <w:t xml:space="preserve">plusieurs </w:t>
      </w:r>
      <w:r w:rsidRPr="00FB60C2">
        <w:rPr>
          <w:color w:val="000000"/>
        </w:rPr>
        <w:t xml:space="preserve">étiquettes aux </w:t>
      </w:r>
      <w:r w:rsidR="00A43F4C" w:rsidRPr="00FB60C2">
        <w:rPr>
          <w:color w:val="000000"/>
        </w:rPr>
        <w:t>documents.</w:t>
      </w:r>
      <w:r w:rsidR="002A2AE2" w:rsidRPr="00FB60C2">
        <w:rPr>
          <w:color w:val="000000"/>
        </w:rPr>
        <w:t xml:space="preserve"> </w:t>
      </w:r>
      <w:r w:rsidRPr="00FB60C2">
        <w:rPr>
          <w:color w:val="000000"/>
        </w:rPr>
        <w:t>L</w:t>
      </w:r>
      <w:r w:rsidR="00A43F4C" w:rsidRPr="00FB60C2">
        <w:rPr>
          <w:color w:val="000000"/>
        </w:rPr>
        <w:t xml:space="preserve">es collections </w:t>
      </w:r>
      <w:r w:rsidR="002A2AE2" w:rsidRPr="00FB60C2">
        <w:rPr>
          <w:color w:val="000000"/>
        </w:rPr>
        <w:t>sont utiles à la recherche de documents</w:t>
      </w:r>
      <w:r w:rsidR="0070748A" w:rsidRPr="00FB60C2">
        <w:rPr>
          <w:color w:val="000000"/>
        </w:rPr>
        <w:t xml:space="preserve"> par</w:t>
      </w:r>
      <w:r w:rsidR="00A43F4C" w:rsidRPr="00FB60C2">
        <w:rPr>
          <w:color w:val="000000"/>
        </w:rPr>
        <w:t xml:space="preserve"> thème ou fonction, </w:t>
      </w:r>
      <w:r w:rsidRPr="00FB60C2">
        <w:rPr>
          <w:color w:val="000000"/>
        </w:rPr>
        <w:t xml:space="preserve">mais </w:t>
      </w:r>
      <w:r w:rsidR="00A43F4C" w:rsidRPr="00FB60C2">
        <w:rPr>
          <w:color w:val="000000"/>
        </w:rPr>
        <w:t xml:space="preserve">les </w:t>
      </w:r>
      <w:r w:rsidR="000213F9" w:rsidRPr="00FB60C2">
        <w:rPr>
          <w:color w:val="000000"/>
        </w:rPr>
        <w:t>étiquettes</w:t>
      </w:r>
      <w:r w:rsidR="00A43F4C" w:rsidRPr="00FB60C2">
        <w:rPr>
          <w:color w:val="000000"/>
        </w:rPr>
        <w:t xml:space="preserve"> favorisent </w:t>
      </w:r>
      <w:r w:rsidR="002D3D2E" w:rsidRPr="00FB60C2">
        <w:rPr>
          <w:color w:val="000000"/>
        </w:rPr>
        <w:t>un repérage</w:t>
      </w:r>
      <w:r w:rsidR="00A43F4C" w:rsidRPr="00FB60C2">
        <w:rPr>
          <w:color w:val="000000"/>
        </w:rPr>
        <w:t xml:space="preserve"> plus précis et ciblé</w:t>
      </w:r>
      <w:r w:rsidR="0070748A" w:rsidRPr="00FB60C2">
        <w:rPr>
          <w:color w:val="000000"/>
        </w:rPr>
        <w:t>, puisqu’ils permettent</w:t>
      </w:r>
      <w:r w:rsidR="002A2AE2" w:rsidRPr="00FB60C2">
        <w:rPr>
          <w:color w:val="000000"/>
        </w:rPr>
        <w:t xml:space="preserve"> l’indexation de divers</w:t>
      </w:r>
      <w:r w:rsidR="002D3D2E" w:rsidRPr="00FB60C2">
        <w:rPr>
          <w:color w:val="000000"/>
        </w:rPr>
        <w:t>es caractéristiques</w:t>
      </w:r>
      <w:r w:rsidR="0070748A" w:rsidRPr="00FB60C2">
        <w:rPr>
          <w:color w:val="000000"/>
        </w:rPr>
        <w:t xml:space="preserve"> – normalement relatives au contenu – </w:t>
      </w:r>
      <w:r w:rsidR="000213F9" w:rsidRPr="00FB60C2">
        <w:rPr>
          <w:color w:val="000000"/>
        </w:rPr>
        <w:t xml:space="preserve">pour </w:t>
      </w:r>
      <w:r w:rsidR="0070748A" w:rsidRPr="00FB60C2">
        <w:rPr>
          <w:color w:val="000000"/>
        </w:rPr>
        <w:t>chaque</w:t>
      </w:r>
      <w:r w:rsidR="002D3D2E" w:rsidRPr="00FB60C2">
        <w:rPr>
          <w:color w:val="000000"/>
        </w:rPr>
        <w:t xml:space="preserve"> document</w:t>
      </w:r>
      <w:r w:rsidR="0070748A" w:rsidRPr="00FB60C2">
        <w:rPr>
          <w:color w:val="000000"/>
        </w:rPr>
        <w:t>. L</w:t>
      </w:r>
      <w:r w:rsidR="00066EE7" w:rsidRPr="00FB60C2">
        <w:rPr>
          <w:color w:val="000000"/>
        </w:rPr>
        <w:t xml:space="preserve">es </w:t>
      </w:r>
      <w:r w:rsidR="0070748A" w:rsidRPr="00FB60C2">
        <w:rPr>
          <w:color w:val="000000"/>
        </w:rPr>
        <w:t>étiquettes</w:t>
      </w:r>
      <w:r w:rsidR="00066EE7" w:rsidRPr="00FB60C2">
        <w:rPr>
          <w:color w:val="000000"/>
        </w:rPr>
        <w:t xml:space="preserve"> attribuées</w:t>
      </w:r>
      <w:r w:rsidR="0070748A" w:rsidRPr="00FB60C2">
        <w:rPr>
          <w:color w:val="000000"/>
        </w:rPr>
        <w:t xml:space="preserve">, qui ont été ajoutées aux mots-clés </w:t>
      </w:r>
      <w:r w:rsidR="00066EE7" w:rsidRPr="00FB60C2">
        <w:rPr>
          <w:color w:val="000000"/>
        </w:rPr>
        <w:t>d</w:t>
      </w:r>
      <w:r w:rsidR="0070748A" w:rsidRPr="00FB60C2">
        <w:rPr>
          <w:color w:val="000000"/>
        </w:rPr>
        <w:t xml:space="preserve">es métadonnées de </w:t>
      </w:r>
      <w:r w:rsidR="000213F9" w:rsidRPr="00FB60C2">
        <w:rPr>
          <w:color w:val="000000"/>
        </w:rPr>
        <w:t xml:space="preserve">plusieurs </w:t>
      </w:r>
      <w:r w:rsidR="0070748A" w:rsidRPr="00FB60C2">
        <w:rPr>
          <w:color w:val="000000"/>
        </w:rPr>
        <w:t xml:space="preserve">documents, </w:t>
      </w:r>
      <w:r w:rsidR="00066EE7" w:rsidRPr="00FB60C2">
        <w:rPr>
          <w:color w:val="000000"/>
        </w:rPr>
        <w:t xml:space="preserve">ont été </w:t>
      </w:r>
      <w:r w:rsidR="0070748A" w:rsidRPr="00FB60C2">
        <w:rPr>
          <w:color w:val="000000"/>
        </w:rPr>
        <w:t>suggérée</w:t>
      </w:r>
      <w:r w:rsidR="00066EE7" w:rsidRPr="00FB60C2">
        <w:rPr>
          <w:color w:val="000000"/>
        </w:rPr>
        <w:t>s</w:t>
      </w:r>
      <w:r w:rsidR="0070748A" w:rsidRPr="00FB60C2">
        <w:rPr>
          <w:color w:val="000000"/>
        </w:rPr>
        <w:t xml:space="preserve"> par </w:t>
      </w:r>
      <w:r w:rsidR="000213F9" w:rsidRPr="00FB60C2">
        <w:rPr>
          <w:color w:val="000000"/>
        </w:rPr>
        <w:t xml:space="preserve">les </w:t>
      </w:r>
      <w:r w:rsidR="0070748A" w:rsidRPr="00FB60C2">
        <w:rPr>
          <w:color w:val="000000"/>
        </w:rPr>
        <w:t>présidence</w:t>
      </w:r>
      <w:r w:rsidR="000213F9" w:rsidRPr="00FB60C2">
        <w:rPr>
          <w:color w:val="000000"/>
        </w:rPr>
        <w:t>s</w:t>
      </w:r>
      <w:r w:rsidR="0070748A" w:rsidRPr="00FB60C2">
        <w:rPr>
          <w:color w:val="000000"/>
        </w:rPr>
        <w:t xml:space="preserve"> des deux autres groupes de travail pour aider les membres de ceux-ci à </w:t>
      </w:r>
      <w:r w:rsidR="000213F9" w:rsidRPr="00FB60C2">
        <w:rPr>
          <w:color w:val="000000"/>
        </w:rPr>
        <w:t>faire de recherches</w:t>
      </w:r>
      <w:r w:rsidR="0070748A" w:rsidRPr="00FB60C2">
        <w:rPr>
          <w:color w:val="000000"/>
        </w:rPr>
        <w:t xml:space="preserve"> </w:t>
      </w:r>
      <w:r w:rsidRPr="00FB60C2">
        <w:rPr>
          <w:color w:val="000000"/>
        </w:rPr>
        <w:t>thématiques</w:t>
      </w:r>
      <w:r w:rsidR="0070748A" w:rsidRPr="00FB60C2">
        <w:rPr>
          <w:color w:val="000000"/>
        </w:rPr>
        <w:t xml:space="preserve">. </w:t>
      </w:r>
      <w:r w:rsidR="000213F9" w:rsidRPr="00FB60C2">
        <w:rPr>
          <w:color w:val="000000"/>
        </w:rPr>
        <w:t>À</w:t>
      </w:r>
      <w:r w:rsidR="0070748A" w:rsidRPr="00FB60C2">
        <w:rPr>
          <w:color w:val="000000"/>
        </w:rPr>
        <w:t xml:space="preserve"> noter qu’une même ressource peut figurer dans plusieurs collections. Voici </w:t>
      </w:r>
      <w:r w:rsidR="00047598" w:rsidRPr="00FB60C2">
        <w:rPr>
          <w:color w:val="000000"/>
        </w:rPr>
        <w:t>la</w:t>
      </w:r>
      <w:r w:rsidR="0070748A" w:rsidRPr="00FB60C2">
        <w:rPr>
          <w:color w:val="000000"/>
        </w:rPr>
        <w:t xml:space="preserve"> liste des collections et </w:t>
      </w:r>
      <w:r w:rsidR="000213F9" w:rsidRPr="00FB60C2">
        <w:rPr>
          <w:color w:val="000000"/>
        </w:rPr>
        <w:t>sous-collections</w:t>
      </w:r>
      <w:r w:rsidR="0070748A" w:rsidRPr="00FB60C2">
        <w:rPr>
          <w:color w:val="000000"/>
        </w:rPr>
        <w:t xml:space="preserve"> constituées :</w:t>
      </w:r>
    </w:p>
    <w:p w14:paraId="04BE688D" w14:textId="77777777" w:rsidR="00A9061F" w:rsidRPr="00FB60C2" w:rsidRDefault="00A9061F" w:rsidP="00B701C8"/>
    <w:p w14:paraId="17BDAEE9" w14:textId="452BC064" w:rsidR="00A9061F" w:rsidRPr="00FB60C2" w:rsidRDefault="00A9061F" w:rsidP="00B701C8">
      <w:pPr>
        <w:numPr>
          <w:ilvl w:val="0"/>
          <w:numId w:val="8"/>
        </w:numPr>
      </w:pPr>
      <w:r w:rsidRPr="00FB60C2">
        <w:rPr>
          <w:b/>
          <w:color w:val="000000"/>
        </w:rPr>
        <w:t>_</w:t>
      </w:r>
      <w:r w:rsidR="00927A7F" w:rsidRPr="00FB60C2">
        <w:rPr>
          <w:b/>
          <w:color w:val="000000"/>
        </w:rPr>
        <w:t xml:space="preserve">Ressources du </w:t>
      </w:r>
      <w:r w:rsidRPr="00FB60C2">
        <w:rPr>
          <w:b/>
          <w:color w:val="000000"/>
        </w:rPr>
        <w:t xml:space="preserve">groupe de travail </w:t>
      </w:r>
      <w:r w:rsidRPr="00FB60C2">
        <w:rPr>
          <w:color w:val="000000"/>
        </w:rPr>
        <w:t>(f</w:t>
      </w:r>
      <w:r w:rsidR="00927A7F" w:rsidRPr="00FB60C2">
        <w:rPr>
          <w:color w:val="000000"/>
        </w:rPr>
        <w:t>onctionnel</w:t>
      </w:r>
      <w:r w:rsidRPr="00FB60C2">
        <w:rPr>
          <w:color w:val="000000"/>
        </w:rPr>
        <w:t>)</w:t>
      </w:r>
      <w:r w:rsidR="008D4153" w:rsidRPr="00FB60C2">
        <w:rPr>
          <w:color w:val="000000"/>
        </w:rPr>
        <w:t xml:space="preserve"> </w:t>
      </w:r>
      <w:r w:rsidRPr="00FB60C2">
        <w:rPr>
          <w:color w:val="000000"/>
        </w:rPr>
        <w:t>(</w:t>
      </w:r>
      <w:r w:rsidR="008D4153" w:rsidRPr="00FB60C2">
        <w:rPr>
          <w:color w:val="000000"/>
        </w:rPr>
        <w:t xml:space="preserve">nom </w:t>
      </w:r>
      <w:r w:rsidR="00C17147" w:rsidRPr="00FB60C2">
        <w:rPr>
          <w:color w:val="000000"/>
        </w:rPr>
        <w:t xml:space="preserve">de la collection </w:t>
      </w:r>
      <w:r w:rsidR="008D4153" w:rsidRPr="00FB60C2">
        <w:rPr>
          <w:color w:val="000000"/>
        </w:rPr>
        <w:t xml:space="preserve">précédé d’un trait de soulignement pour </w:t>
      </w:r>
      <w:r w:rsidR="00C37C1B" w:rsidRPr="00FB60C2">
        <w:rPr>
          <w:color w:val="000000"/>
        </w:rPr>
        <w:t>u</w:t>
      </w:r>
      <w:r w:rsidR="00047598" w:rsidRPr="00FB60C2">
        <w:rPr>
          <w:color w:val="000000"/>
        </w:rPr>
        <w:t>n classement au premier rang de la liste</w:t>
      </w:r>
      <w:r w:rsidRPr="00FB60C2">
        <w:rPr>
          <w:color w:val="000000"/>
        </w:rPr>
        <w:t>)</w:t>
      </w:r>
      <w:r w:rsidR="00C37C1B" w:rsidRPr="00FB60C2">
        <w:rPr>
          <w:color w:val="000000"/>
        </w:rPr>
        <w:t xml:space="preserve"> : </w:t>
      </w:r>
      <w:r w:rsidRPr="00FB60C2">
        <w:rPr>
          <w:color w:val="000000"/>
        </w:rPr>
        <w:t>Re</w:t>
      </w:r>
      <w:r w:rsidR="00C37C1B" w:rsidRPr="00FB60C2">
        <w:rPr>
          <w:color w:val="000000"/>
        </w:rPr>
        <w:t>s</w:t>
      </w:r>
      <w:r w:rsidRPr="00FB60C2">
        <w:rPr>
          <w:color w:val="000000"/>
        </w:rPr>
        <w:t xml:space="preserve">sources </w:t>
      </w:r>
      <w:r w:rsidR="00C37C1B" w:rsidRPr="00FB60C2">
        <w:rPr>
          <w:color w:val="000000"/>
        </w:rPr>
        <w:t xml:space="preserve">particulièrement pertinentes au travail de l’un des </w:t>
      </w:r>
      <w:r w:rsidR="00066EE7" w:rsidRPr="00FB60C2">
        <w:rPr>
          <w:color w:val="000000"/>
        </w:rPr>
        <w:t xml:space="preserve">autres </w:t>
      </w:r>
      <w:r w:rsidRPr="00FB60C2">
        <w:rPr>
          <w:color w:val="000000"/>
        </w:rPr>
        <w:t>groupe</w:t>
      </w:r>
      <w:r w:rsidR="00C37C1B" w:rsidRPr="00FB60C2">
        <w:rPr>
          <w:color w:val="000000"/>
        </w:rPr>
        <w:t>s</w:t>
      </w:r>
      <w:r w:rsidRPr="00FB60C2">
        <w:rPr>
          <w:color w:val="000000"/>
        </w:rPr>
        <w:t xml:space="preserve"> de travail</w:t>
      </w:r>
      <w:r w:rsidR="00C37C1B" w:rsidRPr="00FB60C2">
        <w:rPr>
          <w:color w:val="000000"/>
        </w:rPr>
        <w:t>.</w:t>
      </w:r>
    </w:p>
    <w:p w14:paraId="62EBD145" w14:textId="4EAAD6B4" w:rsidR="00A9061F" w:rsidRPr="00FB60C2" w:rsidRDefault="00463A9F" w:rsidP="00B701C8">
      <w:pPr>
        <w:numPr>
          <w:ilvl w:val="1"/>
          <w:numId w:val="8"/>
        </w:numPr>
        <w:rPr>
          <w:b/>
        </w:rPr>
      </w:pPr>
      <w:r w:rsidRPr="00FB60C2">
        <w:rPr>
          <w:b/>
          <w:color w:val="000000"/>
        </w:rPr>
        <w:t>G</w:t>
      </w:r>
      <w:r w:rsidR="00C37C1B" w:rsidRPr="00FB60C2">
        <w:rPr>
          <w:b/>
          <w:color w:val="000000"/>
        </w:rPr>
        <w:t>roupe de travail sur l’intendance des données</w:t>
      </w:r>
    </w:p>
    <w:p w14:paraId="0BC83FDA" w14:textId="6AF63BA0" w:rsidR="00A9061F" w:rsidRPr="00FB60C2" w:rsidRDefault="00463A9F" w:rsidP="00B701C8">
      <w:pPr>
        <w:numPr>
          <w:ilvl w:val="1"/>
          <w:numId w:val="8"/>
        </w:numPr>
        <w:rPr>
          <w:b/>
        </w:rPr>
      </w:pPr>
      <w:r w:rsidRPr="00FB60C2">
        <w:rPr>
          <w:b/>
          <w:color w:val="000000"/>
        </w:rPr>
        <w:t>G</w:t>
      </w:r>
      <w:r w:rsidR="00C37C1B" w:rsidRPr="00FB60C2">
        <w:rPr>
          <w:b/>
          <w:color w:val="000000"/>
        </w:rPr>
        <w:t>roupe de travail sur la technologie et les services</w:t>
      </w:r>
    </w:p>
    <w:p w14:paraId="1C46445F" w14:textId="33D2E3E4" w:rsidR="00A9061F" w:rsidRPr="00FB60C2" w:rsidRDefault="00C37C1B" w:rsidP="00B701C8">
      <w:pPr>
        <w:numPr>
          <w:ilvl w:val="0"/>
          <w:numId w:val="8"/>
        </w:numPr>
      </w:pPr>
      <w:r w:rsidRPr="00FB60C2">
        <w:rPr>
          <w:b/>
          <w:color w:val="000000"/>
        </w:rPr>
        <w:t xml:space="preserve">Documents propres à </w:t>
      </w:r>
      <w:r w:rsidR="00C17147" w:rsidRPr="00FB60C2">
        <w:rPr>
          <w:b/>
          <w:color w:val="000000"/>
        </w:rPr>
        <w:t xml:space="preserve">une </w:t>
      </w:r>
      <w:r w:rsidR="00066EE7" w:rsidRPr="00FB60C2">
        <w:rPr>
          <w:b/>
          <w:color w:val="000000"/>
        </w:rPr>
        <w:t>discipline</w:t>
      </w:r>
      <w:r w:rsidR="00A9061F" w:rsidRPr="00FB60C2">
        <w:rPr>
          <w:color w:val="000000"/>
        </w:rPr>
        <w:t xml:space="preserve"> (</w:t>
      </w:r>
      <w:r w:rsidR="00927A7F" w:rsidRPr="00FB60C2">
        <w:rPr>
          <w:color w:val="000000"/>
        </w:rPr>
        <w:t>thématique</w:t>
      </w:r>
      <w:r w:rsidR="00A9061F" w:rsidRPr="00FB60C2">
        <w:rPr>
          <w:color w:val="000000"/>
        </w:rPr>
        <w:t>)</w:t>
      </w:r>
      <w:r w:rsidR="00463A9F" w:rsidRPr="00FB60C2">
        <w:rPr>
          <w:color w:val="000000"/>
        </w:rPr>
        <w:t> : Ressources traitant de la</w:t>
      </w:r>
      <w:r w:rsidR="00A9061F" w:rsidRPr="00FB60C2">
        <w:rPr>
          <w:color w:val="000000"/>
        </w:rPr>
        <w:t xml:space="preserve"> </w:t>
      </w:r>
      <w:r w:rsidR="00303029" w:rsidRPr="00FB60C2">
        <w:rPr>
          <w:color w:val="000000"/>
        </w:rPr>
        <w:t>gestion de l’accès contrôlé</w:t>
      </w:r>
      <w:r w:rsidR="00A9061F" w:rsidRPr="00FB60C2">
        <w:rPr>
          <w:color w:val="000000"/>
        </w:rPr>
        <w:t xml:space="preserve"> </w:t>
      </w:r>
      <w:r w:rsidR="00463A9F" w:rsidRPr="00FB60C2">
        <w:rPr>
          <w:color w:val="000000"/>
        </w:rPr>
        <w:t>dans certa</w:t>
      </w:r>
      <w:r w:rsidR="00E822EE" w:rsidRPr="00FB60C2">
        <w:rPr>
          <w:color w:val="000000"/>
        </w:rPr>
        <w:t>i</w:t>
      </w:r>
      <w:r w:rsidR="00463A9F" w:rsidRPr="00FB60C2">
        <w:rPr>
          <w:color w:val="000000"/>
        </w:rPr>
        <w:t>nes disciplines</w:t>
      </w:r>
      <w:r w:rsidR="00A9061F" w:rsidRPr="00FB60C2">
        <w:rPr>
          <w:color w:val="000000"/>
        </w:rPr>
        <w:t xml:space="preserve">. </w:t>
      </w:r>
      <w:r w:rsidR="00463A9F" w:rsidRPr="00FB60C2">
        <w:rPr>
          <w:color w:val="000000"/>
        </w:rPr>
        <w:t xml:space="preserve">Subdivisions </w:t>
      </w:r>
      <w:r w:rsidR="00047598" w:rsidRPr="00FB60C2">
        <w:rPr>
          <w:color w:val="000000"/>
        </w:rPr>
        <w:t>disciplinaires</w:t>
      </w:r>
      <w:r w:rsidR="00463A9F" w:rsidRPr="00FB60C2">
        <w:rPr>
          <w:color w:val="000000"/>
        </w:rPr>
        <w:t xml:space="preserve"> : </w:t>
      </w:r>
    </w:p>
    <w:p w14:paraId="4EB9B080" w14:textId="7E057D68" w:rsidR="00A9061F" w:rsidRPr="00FB60C2" w:rsidRDefault="00463A9F" w:rsidP="00B701C8">
      <w:pPr>
        <w:numPr>
          <w:ilvl w:val="1"/>
          <w:numId w:val="8"/>
        </w:numPr>
        <w:rPr>
          <w:b/>
        </w:rPr>
      </w:pPr>
      <w:r w:rsidRPr="00FB60C2">
        <w:rPr>
          <w:b/>
          <w:color w:val="000000"/>
        </w:rPr>
        <w:t>Sciences biologiques et sciences écologiques</w:t>
      </w:r>
    </w:p>
    <w:p w14:paraId="72F7E186" w14:textId="69747C5D" w:rsidR="00463A9F" w:rsidRPr="00FB60C2" w:rsidRDefault="00463A9F" w:rsidP="00B701C8">
      <w:pPr>
        <w:numPr>
          <w:ilvl w:val="1"/>
          <w:numId w:val="8"/>
        </w:numPr>
        <w:rPr>
          <w:b/>
        </w:rPr>
      </w:pPr>
      <w:r w:rsidRPr="00FB60C2">
        <w:rPr>
          <w:b/>
          <w:color w:val="000000"/>
        </w:rPr>
        <w:t>Génomique</w:t>
      </w:r>
    </w:p>
    <w:p w14:paraId="7F647FD2" w14:textId="3C7D815D" w:rsidR="00463A9F" w:rsidRPr="00FB60C2" w:rsidRDefault="00463A9F" w:rsidP="00B701C8">
      <w:pPr>
        <w:numPr>
          <w:ilvl w:val="1"/>
          <w:numId w:val="8"/>
        </w:numPr>
        <w:rPr>
          <w:b/>
        </w:rPr>
      </w:pPr>
      <w:r w:rsidRPr="00FB60C2">
        <w:rPr>
          <w:b/>
          <w:color w:val="000000"/>
        </w:rPr>
        <w:t>Géosciences</w:t>
      </w:r>
    </w:p>
    <w:p w14:paraId="1303CEFE" w14:textId="77777777" w:rsidR="00463A9F" w:rsidRPr="00FB60C2" w:rsidRDefault="00463A9F" w:rsidP="00B701C8">
      <w:pPr>
        <w:numPr>
          <w:ilvl w:val="1"/>
          <w:numId w:val="8"/>
        </w:numPr>
        <w:rPr>
          <w:b/>
        </w:rPr>
      </w:pPr>
      <w:r w:rsidRPr="00FB60C2">
        <w:rPr>
          <w:b/>
        </w:rPr>
        <w:t>Sciences de la santé et de la vie</w:t>
      </w:r>
    </w:p>
    <w:p w14:paraId="1FEA79F3" w14:textId="39058FFC" w:rsidR="00A9061F" w:rsidRPr="00FB60C2" w:rsidRDefault="00A9061F" w:rsidP="00B701C8">
      <w:pPr>
        <w:numPr>
          <w:ilvl w:val="1"/>
          <w:numId w:val="8"/>
        </w:numPr>
        <w:rPr>
          <w:b/>
        </w:rPr>
      </w:pPr>
      <w:r w:rsidRPr="00FB60C2">
        <w:rPr>
          <w:b/>
          <w:color w:val="000000"/>
        </w:rPr>
        <w:t xml:space="preserve">Neuroscience </w:t>
      </w:r>
      <w:r w:rsidR="00463A9F" w:rsidRPr="00FB60C2">
        <w:rPr>
          <w:b/>
          <w:color w:val="000000"/>
        </w:rPr>
        <w:t>et n</w:t>
      </w:r>
      <w:r w:rsidRPr="00FB60C2">
        <w:rPr>
          <w:b/>
          <w:color w:val="000000"/>
        </w:rPr>
        <w:t>euroimag</w:t>
      </w:r>
      <w:r w:rsidR="00463A9F" w:rsidRPr="00FB60C2">
        <w:rPr>
          <w:b/>
          <w:color w:val="000000"/>
        </w:rPr>
        <w:t>erie</w:t>
      </w:r>
    </w:p>
    <w:p w14:paraId="0155177A" w14:textId="77777777" w:rsidR="00A9061F" w:rsidRPr="00FB60C2" w:rsidRDefault="00A9061F" w:rsidP="00B701C8">
      <w:pPr>
        <w:numPr>
          <w:ilvl w:val="1"/>
          <w:numId w:val="8"/>
        </w:numPr>
        <w:rPr>
          <w:b/>
        </w:rPr>
      </w:pPr>
      <w:r w:rsidRPr="00FB60C2">
        <w:rPr>
          <w:b/>
          <w:color w:val="000000"/>
        </w:rPr>
        <w:t>Sciences humaines et sociales</w:t>
      </w:r>
    </w:p>
    <w:p w14:paraId="38725FA3" w14:textId="796FA097" w:rsidR="00A9061F" w:rsidRPr="00FB60C2" w:rsidRDefault="00A9061F" w:rsidP="00B701C8">
      <w:pPr>
        <w:numPr>
          <w:ilvl w:val="1"/>
          <w:numId w:val="8"/>
        </w:numPr>
        <w:rPr>
          <w:b/>
        </w:rPr>
      </w:pPr>
      <w:r w:rsidRPr="00FB60C2">
        <w:rPr>
          <w:b/>
          <w:color w:val="000000"/>
        </w:rPr>
        <w:t>Science</w:t>
      </w:r>
      <w:r w:rsidR="00463A9F" w:rsidRPr="00FB60C2">
        <w:rPr>
          <w:b/>
          <w:color w:val="000000"/>
        </w:rPr>
        <w:t xml:space="preserve"> de l’espace</w:t>
      </w:r>
    </w:p>
    <w:p w14:paraId="16CBD286" w14:textId="79D70D59" w:rsidR="00A9061F" w:rsidRPr="00FB60C2" w:rsidRDefault="00A9061F" w:rsidP="00B701C8">
      <w:pPr>
        <w:numPr>
          <w:ilvl w:val="0"/>
          <w:numId w:val="8"/>
        </w:numPr>
      </w:pPr>
      <w:r w:rsidRPr="00FB60C2">
        <w:rPr>
          <w:b/>
          <w:color w:val="000000"/>
        </w:rPr>
        <w:t>Documentation</w:t>
      </w:r>
      <w:r w:rsidRPr="00FB60C2">
        <w:rPr>
          <w:color w:val="000000"/>
        </w:rPr>
        <w:t xml:space="preserve"> (</w:t>
      </w:r>
      <w:r w:rsidR="00927A7F" w:rsidRPr="00FB60C2">
        <w:rPr>
          <w:color w:val="000000"/>
        </w:rPr>
        <w:t>fonctionnel, certains documents thématiques</w:t>
      </w:r>
      <w:r w:rsidRPr="00FB60C2">
        <w:rPr>
          <w:color w:val="000000"/>
        </w:rPr>
        <w:t>)</w:t>
      </w:r>
      <w:r w:rsidR="00463A9F" w:rsidRPr="00FB60C2">
        <w:rPr>
          <w:color w:val="000000"/>
        </w:rPr>
        <w:t> : E</w:t>
      </w:r>
      <w:r w:rsidRPr="00FB60C2">
        <w:rPr>
          <w:color w:val="000000"/>
        </w:rPr>
        <w:t>x</w:t>
      </w:r>
      <w:r w:rsidR="00463A9F" w:rsidRPr="00FB60C2">
        <w:rPr>
          <w:color w:val="000000"/>
        </w:rPr>
        <w:t>e</w:t>
      </w:r>
      <w:r w:rsidRPr="00FB60C2">
        <w:rPr>
          <w:color w:val="000000"/>
        </w:rPr>
        <w:t xml:space="preserve">mples </w:t>
      </w:r>
      <w:r w:rsidR="00463A9F" w:rsidRPr="00FB60C2">
        <w:rPr>
          <w:color w:val="000000"/>
        </w:rPr>
        <w:t xml:space="preserve">de </w:t>
      </w:r>
      <w:r w:rsidRPr="00FB60C2">
        <w:rPr>
          <w:color w:val="000000"/>
        </w:rPr>
        <w:t xml:space="preserve">documents </w:t>
      </w:r>
      <w:r w:rsidR="00463A9F" w:rsidRPr="00FB60C2">
        <w:rPr>
          <w:color w:val="000000"/>
        </w:rPr>
        <w:t xml:space="preserve">traitant </w:t>
      </w:r>
      <w:r w:rsidRPr="00FB60C2">
        <w:rPr>
          <w:color w:val="000000"/>
        </w:rPr>
        <w:t>direct</w:t>
      </w:r>
      <w:r w:rsidR="00463A9F" w:rsidRPr="00FB60C2">
        <w:rPr>
          <w:color w:val="000000"/>
        </w:rPr>
        <w:t xml:space="preserve">ement de la gestion de données sensibles, de données </w:t>
      </w:r>
      <w:r w:rsidR="00E06F10" w:rsidRPr="00FB60C2">
        <w:rPr>
          <w:color w:val="000000"/>
        </w:rPr>
        <w:t xml:space="preserve">à </w:t>
      </w:r>
      <w:r w:rsidR="00463A9F" w:rsidRPr="00FB60C2">
        <w:rPr>
          <w:color w:val="000000"/>
        </w:rPr>
        <w:t>accès restreint ou de données à accès contrôlé. Subdivisions par type de documents :</w:t>
      </w:r>
    </w:p>
    <w:p w14:paraId="2458299C" w14:textId="1DB1F9FA" w:rsidR="00A9061F" w:rsidRPr="00FB60C2" w:rsidRDefault="00A9061F" w:rsidP="00B701C8">
      <w:pPr>
        <w:numPr>
          <w:ilvl w:val="1"/>
          <w:numId w:val="8"/>
        </w:numPr>
        <w:rPr>
          <w:b/>
        </w:rPr>
      </w:pPr>
      <w:r w:rsidRPr="00FB60C2">
        <w:rPr>
          <w:b/>
          <w:color w:val="000000"/>
        </w:rPr>
        <w:t>Contrats</w:t>
      </w:r>
      <w:r w:rsidR="00463A9F" w:rsidRPr="00FB60C2">
        <w:rPr>
          <w:b/>
          <w:color w:val="000000"/>
        </w:rPr>
        <w:t xml:space="preserve"> et </w:t>
      </w:r>
      <w:r w:rsidRPr="00FB60C2">
        <w:rPr>
          <w:b/>
          <w:color w:val="000000"/>
        </w:rPr>
        <w:t>entente</w:t>
      </w:r>
      <w:r w:rsidR="00463A9F" w:rsidRPr="00FB60C2">
        <w:rPr>
          <w:b/>
          <w:color w:val="000000"/>
        </w:rPr>
        <w:t>s</w:t>
      </w:r>
    </w:p>
    <w:p w14:paraId="654111B9" w14:textId="56E06015" w:rsidR="00A9061F" w:rsidRPr="00FB60C2" w:rsidRDefault="00A9061F" w:rsidP="00B701C8">
      <w:pPr>
        <w:numPr>
          <w:ilvl w:val="1"/>
          <w:numId w:val="8"/>
        </w:numPr>
        <w:rPr>
          <w:b/>
        </w:rPr>
      </w:pPr>
      <w:r w:rsidRPr="00FB60C2">
        <w:rPr>
          <w:b/>
          <w:color w:val="000000"/>
        </w:rPr>
        <w:t>Form</w:t>
      </w:r>
      <w:r w:rsidR="00463A9F" w:rsidRPr="00FB60C2">
        <w:rPr>
          <w:b/>
          <w:color w:val="000000"/>
        </w:rPr>
        <w:t>ulaires et modèles</w:t>
      </w:r>
    </w:p>
    <w:p w14:paraId="0C51CE10" w14:textId="4A280259" w:rsidR="00A9061F" w:rsidRPr="00FB60C2" w:rsidRDefault="00463A9F" w:rsidP="00B701C8">
      <w:pPr>
        <w:numPr>
          <w:ilvl w:val="1"/>
          <w:numId w:val="8"/>
        </w:numPr>
        <w:rPr>
          <w:b/>
        </w:rPr>
      </w:pPr>
      <w:r w:rsidRPr="00FB60C2">
        <w:rPr>
          <w:b/>
          <w:color w:val="000000"/>
        </w:rPr>
        <w:t>Cadres et modèles</w:t>
      </w:r>
    </w:p>
    <w:p w14:paraId="395AE5D9" w14:textId="21A02FA2" w:rsidR="00A9061F" w:rsidRPr="00FB60C2" w:rsidRDefault="00A9061F" w:rsidP="00B701C8">
      <w:pPr>
        <w:numPr>
          <w:ilvl w:val="1"/>
          <w:numId w:val="8"/>
        </w:numPr>
        <w:rPr>
          <w:b/>
        </w:rPr>
      </w:pPr>
      <w:r w:rsidRPr="00FB60C2">
        <w:rPr>
          <w:b/>
          <w:color w:val="000000"/>
        </w:rPr>
        <w:t>Politique</w:t>
      </w:r>
      <w:r w:rsidR="00463A9F" w:rsidRPr="00FB60C2">
        <w:rPr>
          <w:b/>
          <w:color w:val="000000"/>
        </w:rPr>
        <w:t>s</w:t>
      </w:r>
    </w:p>
    <w:p w14:paraId="6F308BD9" w14:textId="35282E72" w:rsidR="00A9061F" w:rsidRPr="00FB60C2" w:rsidRDefault="00A9061F" w:rsidP="00B701C8">
      <w:pPr>
        <w:numPr>
          <w:ilvl w:val="1"/>
          <w:numId w:val="8"/>
        </w:numPr>
        <w:rPr>
          <w:b/>
        </w:rPr>
      </w:pPr>
      <w:r w:rsidRPr="00FB60C2">
        <w:rPr>
          <w:b/>
          <w:color w:val="000000"/>
        </w:rPr>
        <w:t>Proc</w:t>
      </w:r>
      <w:r w:rsidR="00463A9F" w:rsidRPr="00FB60C2">
        <w:rPr>
          <w:b/>
          <w:color w:val="000000"/>
        </w:rPr>
        <w:t>é</w:t>
      </w:r>
      <w:r w:rsidRPr="00FB60C2">
        <w:rPr>
          <w:b/>
          <w:color w:val="000000"/>
        </w:rPr>
        <w:t xml:space="preserve">dures </w:t>
      </w:r>
      <w:r w:rsidR="00463A9F" w:rsidRPr="00FB60C2">
        <w:rPr>
          <w:b/>
          <w:color w:val="000000"/>
        </w:rPr>
        <w:t>et flux de travail</w:t>
      </w:r>
    </w:p>
    <w:p w14:paraId="3471F1C1" w14:textId="2D981484" w:rsidR="00A9061F" w:rsidRPr="00FB60C2" w:rsidRDefault="00463A9F" w:rsidP="00B701C8">
      <w:pPr>
        <w:numPr>
          <w:ilvl w:val="0"/>
          <w:numId w:val="8"/>
        </w:numPr>
      </w:pPr>
      <w:r w:rsidRPr="00FB60C2">
        <w:rPr>
          <w:b/>
          <w:color w:val="000000"/>
        </w:rPr>
        <w:t>Formation et é</w:t>
      </w:r>
      <w:r w:rsidR="00A9061F" w:rsidRPr="00FB60C2">
        <w:rPr>
          <w:b/>
          <w:color w:val="000000"/>
        </w:rPr>
        <w:t>ducation</w:t>
      </w:r>
      <w:r w:rsidR="00A9061F" w:rsidRPr="00FB60C2">
        <w:rPr>
          <w:color w:val="000000"/>
        </w:rPr>
        <w:t xml:space="preserve"> </w:t>
      </w:r>
      <w:r w:rsidR="008D4153" w:rsidRPr="00FB60C2">
        <w:rPr>
          <w:color w:val="000000"/>
        </w:rPr>
        <w:t>(fonctionnel, certains documents thématiques)</w:t>
      </w:r>
      <w:r w:rsidR="00805155" w:rsidRPr="00FB60C2">
        <w:rPr>
          <w:color w:val="000000"/>
        </w:rPr>
        <w:t> : Ressources de formation</w:t>
      </w:r>
      <w:r w:rsidR="00047598" w:rsidRPr="00FB60C2">
        <w:rPr>
          <w:color w:val="000000"/>
        </w:rPr>
        <w:t xml:space="preserve">, </w:t>
      </w:r>
      <w:r w:rsidR="00805155" w:rsidRPr="00FB60C2">
        <w:rPr>
          <w:color w:val="000000"/>
        </w:rPr>
        <w:t xml:space="preserve">d’éducation </w:t>
      </w:r>
      <w:r w:rsidR="00047598" w:rsidRPr="00FB60C2">
        <w:rPr>
          <w:color w:val="000000"/>
        </w:rPr>
        <w:t>ou d’information sur</w:t>
      </w:r>
      <w:r w:rsidR="00805155" w:rsidRPr="00FB60C2">
        <w:rPr>
          <w:color w:val="000000"/>
        </w:rPr>
        <w:t xml:space="preserve"> la </w:t>
      </w:r>
      <w:r w:rsidR="00A45220" w:rsidRPr="00FB60C2">
        <w:rPr>
          <w:color w:val="000000"/>
        </w:rPr>
        <w:t>GAC</w:t>
      </w:r>
      <w:r w:rsidR="00805155" w:rsidRPr="00FB60C2">
        <w:rPr>
          <w:color w:val="000000"/>
        </w:rPr>
        <w:t>.</w:t>
      </w:r>
    </w:p>
    <w:p w14:paraId="12543E93" w14:textId="78927758" w:rsidR="00A9061F" w:rsidRPr="00FB60C2" w:rsidRDefault="00A9061F" w:rsidP="00B701C8">
      <w:pPr>
        <w:numPr>
          <w:ilvl w:val="1"/>
          <w:numId w:val="8"/>
        </w:numPr>
      </w:pPr>
      <w:r w:rsidRPr="00FB60C2">
        <w:rPr>
          <w:b/>
          <w:color w:val="000000"/>
        </w:rPr>
        <w:t>Guides</w:t>
      </w:r>
      <w:r w:rsidR="00805155" w:rsidRPr="00FB60C2">
        <w:rPr>
          <w:b/>
          <w:color w:val="000000"/>
        </w:rPr>
        <w:t> :</w:t>
      </w:r>
      <w:r w:rsidRPr="00FB60C2">
        <w:rPr>
          <w:color w:val="000000"/>
        </w:rPr>
        <w:t xml:space="preserve"> </w:t>
      </w:r>
      <w:r w:rsidR="00805155" w:rsidRPr="00FB60C2">
        <w:rPr>
          <w:color w:val="000000"/>
        </w:rPr>
        <w:t>G</w:t>
      </w:r>
      <w:r w:rsidRPr="00FB60C2">
        <w:rPr>
          <w:color w:val="000000"/>
        </w:rPr>
        <w:t xml:space="preserve">uides </w:t>
      </w:r>
      <w:r w:rsidR="00805155" w:rsidRPr="00FB60C2">
        <w:rPr>
          <w:color w:val="000000"/>
        </w:rPr>
        <w:t xml:space="preserve">traitant de certains aspects de la </w:t>
      </w:r>
      <w:r w:rsidR="00A45220" w:rsidRPr="00FB60C2">
        <w:rPr>
          <w:color w:val="000000"/>
        </w:rPr>
        <w:t>GAC</w:t>
      </w:r>
    </w:p>
    <w:p w14:paraId="44F14F7D" w14:textId="4E67438B" w:rsidR="00A9061F" w:rsidRPr="00FB60C2" w:rsidRDefault="00303029" w:rsidP="00B701C8">
      <w:pPr>
        <w:numPr>
          <w:ilvl w:val="0"/>
          <w:numId w:val="8"/>
        </w:numPr>
      </w:pPr>
      <w:r w:rsidRPr="00FB60C2">
        <w:rPr>
          <w:b/>
          <w:color w:val="000000"/>
        </w:rPr>
        <w:t>Données autochtones</w:t>
      </w:r>
      <w:r w:rsidR="008D4153" w:rsidRPr="00FB60C2">
        <w:rPr>
          <w:color w:val="000000"/>
        </w:rPr>
        <w:t xml:space="preserve"> (thématique)</w:t>
      </w:r>
      <w:r w:rsidR="00805155" w:rsidRPr="00FB60C2">
        <w:rPr>
          <w:color w:val="000000"/>
        </w:rPr>
        <w:t> : Ressources traitant des d</w:t>
      </w:r>
      <w:r w:rsidRPr="00FB60C2">
        <w:rPr>
          <w:color w:val="000000"/>
        </w:rPr>
        <w:t>onnées autochtones</w:t>
      </w:r>
      <w:r w:rsidR="00A9061F" w:rsidRPr="00FB60C2">
        <w:rPr>
          <w:color w:val="000000"/>
        </w:rPr>
        <w:t xml:space="preserve"> </w:t>
      </w:r>
      <w:r w:rsidR="00805155" w:rsidRPr="00FB60C2">
        <w:rPr>
          <w:color w:val="000000"/>
        </w:rPr>
        <w:t xml:space="preserve">dans diverses régions du monde. </w:t>
      </w:r>
    </w:p>
    <w:p w14:paraId="78835030" w14:textId="222F4865" w:rsidR="00A9061F" w:rsidRPr="00FB60C2" w:rsidRDefault="00A9061F" w:rsidP="00B701C8">
      <w:pPr>
        <w:numPr>
          <w:ilvl w:val="0"/>
          <w:numId w:val="8"/>
        </w:numPr>
      </w:pPr>
      <w:r w:rsidRPr="00FB60C2">
        <w:rPr>
          <w:b/>
          <w:color w:val="000000"/>
        </w:rPr>
        <w:lastRenderedPageBreak/>
        <w:t>Initiatives</w:t>
      </w:r>
      <w:r w:rsidR="008D4153" w:rsidRPr="00FB60C2">
        <w:rPr>
          <w:color w:val="000000"/>
        </w:rPr>
        <w:t xml:space="preserve"> (thématique)</w:t>
      </w:r>
      <w:r w:rsidR="00805155" w:rsidRPr="00FB60C2">
        <w:rPr>
          <w:color w:val="000000"/>
        </w:rPr>
        <w:t> : Ressources issues</w:t>
      </w:r>
      <w:r w:rsidR="00047598" w:rsidRPr="00FB60C2">
        <w:rPr>
          <w:color w:val="000000"/>
        </w:rPr>
        <w:t xml:space="preserve"> ou traitant</w:t>
      </w:r>
      <w:r w:rsidR="00805155" w:rsidRPr="00FB60C2">
        <w:rPr>
          <w:color w:val="000000"/>
        </w:rPr>
        <w:t xml:space="preserve"> d’initiatives de consignation, de préservation et d’archivage</w:t>
      </w:r>
      <w:r w:rsidR="00066EE7" w:rsidRPr="00FB60C2">
        <w:rPr>
          <w:color w:val="000000"/>
        </w:rPr>
        <w:t xml:space="preserve"> de données</w:t>
      </w:r>
      <w:r w:rsidR="00047598" w:rsidRPr="00FB60C2">
        <w:rPr>
          <w:color w:val="000000"/>
        </w:rPr>
        <w:t>.</w:t>
      </w:r>
    </w:p>
    <w:p w14:paraId="60A84336" w14:textId="4BA71B8C" w:rsidR="00A9061F" w:rsidRPr="00FB60C2" w:rsidRDefault="00C17147" w:rsidP="00B701C8">
      <w:pPr>
        <w:numPr>
          <w:ilvl w:val="1"/>
          <w:numId w:val="8"/>
        </w:numPr>
      </w:pPr>
      <w:r w:rsidRPr="00FB60C2">
        <w:rPr>
          <w:b/>
          <w:color w:val="000000"/>
        </w:rPr>
        <w:t>Institutionnelles</w:t>
      </w:r>
      <w:r w:rsidRPr="00FB60C2">
        <w:rPr>
          <w:color w:val="000000"/>
        </w:rPr>
        <w:t> </w:t>
      </w:r>
      <w:r w:rsidR="00805155" w:rsidRPr="00FB60C2">
        <w:rPr>
          <w:b/>
          <w:bCs/>
          <w:color w:val="000000"/>
        </w:rPr>
        <w:t>:</w:t>
      </w:r>
      <w:r w:rsidR="00805155" w:rsidRPr="00FB60C2">
        <w:rPr>
          <w:color w:val="000000"/>
        </w:rPr>
        <w:t xml:space="preserve"> </w:t>
      </w:r>
      <w:r w:rsidR="00047598" w:rsidRPr="00FB60C2">
        <w:rPr>
          <w:color w:val="000000"/>
        </w:rPr>
        <w:t>I</w:t>
      </w:r>
      <w:r w:rsidR="00805155" w:rsidRPr="00FB60C2">
        <w:rPr>
          <w:color w:val="000000"/>
        </w:rPr>
        <w:t>nitiatives organisationnelles</w:t>
      </w:r>
    </w:p>
    <w:p w14:paraId="32275F89" w14:textId="3700BF7D" w:rsidR="00A9061F" w:rsidRPr="00FB60C2" w:rsidRDefault="007072CA" w:rsidP="00B701C8">
      <w:pPr>
        <w:numPr>
          <w:ilvl w:val="2"/>
          <w:numId w:val="8"/>
        </w:numPr>
      </w:pPr>
      <w:r w:rsidRPr="00FB60C2">
        <w:rPr>
          <w:color w:val="000000"/>
        </w:rPr>
        <w:t xml:space="preserve">Université </w:t>
      </w:r>
      <w:r w:rsidR="00805155" w:rsidRPr="00FB60C2">
        <w:rPr>
          <w:color w:val="000000"/>
        </w:rPr>
        <w:t>de</w:t>
      </w:r>
      <w:r w:rsidR="00A9061F" w:rsidRPr="00FB60C2">
        <w:rPr>
          <w:color w:val="000000"/>
        </w:rPr>
        <w:t xml:space="preserve"> Bristol</w:t>
      </w:r>
    </w:p>
    <w:p w14:paraId="2B88DA58" w14:textId="6549647E" w:rsidR="00A9061F" w:rsidRPr="00FB60C2" w:rsidRDefault="00A9061F" w:rsidP="00B701C8">
      <w:pPr>
        <w:numPr>
          <w:ilvl w:val="1"/>
          <w:numId w:val="8"/>
        </w:numPr>
      </w:pPr>
      <w:r w:rsidRPr="00FB60C2">
        <w:rPr>
          <w:b/>
          <w:color w:val="000000"/>
        </w:rPr>
        <w:t>National</w:t>
      </w:r>
      <w:r w:rsidR="00463A9F" w:rsidRPr="00FB60C2">
        <w:rPr>
          <w:b/>
          <w:color w:val="000000"/>
        </w:rPr>
        <w:t>es et régionales</w:t>
      </w:r>
      <w:r w:rsidR="00805155" w:rsidRPr="00FB60C2">
        <w:rPr>
          <w:bCs/>
          <w:color w:val="000000"/>
        </w:rPr>
        <w:t xml:space="preserve"> : </w:t>
      </w:r>
      <w:r w:rsidR="00805155" w:rsidRPr="00FB60C2">
        <w:rPr>
          <w:color w:val="000000"/>
        </w:rPr>
        <w:t>I</w:t>
      </w:r>
      <w:r w:rsidRPr="00FB60C2">
        <w:rPr>
          <w:color w:val="000000"/>
        </w:rPr>
        <w:t>nitiatives</w:t>
      </w:r>
      <w:r w:rsidR="00805155" w:rsidRPr="00FB60C2">
        <w:rPr>
          <w:color w:val="000000"/>
        </w:rPr>
        <w:t xml:space="preserve"> nationales et régionales, y compris </w:t>
      </w:r>
      <w:r w:rsidR="00551F8B" w:rsidRPr="00FB60C2">
        <w:rPr>
          <w:color w:val="000000"/>
        </w:rPr>
        <w:t>pour</w:t>
      </w:r>
      <w:r w:rsidR="00805155" w:rsidRPr="00FB60C2">
        <w:rPr>
          <w:color w:val="000000"/>
        </w:rPr>
        <w:t xml:space="preserve"> la gestion de microdonnées et </w:t>
      </w:r>
      <w:r w:rsidR="00C17147" w:rsidRPr="00FB60C2">
        <w:rPr>
          <w:color w:val="000000"/>
        </w:rPr>
        <w:t xml:space="preserve">de données </w:t>
      </w:r>
      <w:r w:rsidR="00805155" w:rsidRPr="00FB60C2">
        <w:rPr>
          <w:color w:val="000000"/>
        </w:rPr>
        <w:t>démographiques</w:t>
      </w:r>
      <w:r w:rsidR="00326548" w:rsidRPr="00FB60C2">
        <w:rPr>
          <w:color w:val="000000"/>
        </w:rPr>
        <w:t xml:space="preserve"> produites par des organismes de statistique</w:t>
      </w:r>
    </w:p>
    <w:p w14:paraId="3C2D3810" w14:textId="77777777" w:rsidR="00A9061F" w:rsidRPr="00FB60C2" w:rsidRDefault="00A9061F" w:rsidP="00B701C8">
      <w:pPr>
        <w:numPr>
          <w:ilvl w:val="2"/>
          <w:numId w:val="8"/>
        </w:numPr>
      </w:pPr>
      <w:r w:rsidRPr="00FB60C2">
        <w:rPr>
          <w:color w:val="000000"/>
        </w:rPr>
        <w:t>Afrique</w:t>
      </w:r>
    </w:p>
    <w:p w14:paraId="2DCC8C57" w14:textId="77777777" w:rsidR="00A9061F" w:rsidRPr="00FB60C2" w:rsidRDefault="00A9061F" w:rsidP="00B701C8">
      <w:pPr>
        <w:numPr>
          <w:ilvl w:val="2"/>
          <w:numId w:val="8"/>
        </w:numPr>
      </w:pPr>
      <w:r w:rsidRPr="00FB60C2">
        <w:rPr>
          <w:color w:val="000000"/>
        </w:rPr>
        <w:t>Australie</w:t>
      </w:r>
    </w:p>
    <w:p w14:paraId="1B30A6DF" w14:textId="77777777" w:rsidR="00A9061F" w:rsidRPr="00FB60C2" w:rsidRDefault="00A9061F" w:rsidP="00B701C8">
      <w:pPr>
        <w:numPr>
          <w:ilvl w:val="2"/>
          <w:numId w:val="8"/>
        </w:numPr>
      </w:pPr>
      <w:r w:rsidRPr="00FB60C2">
        <w:rPr>
          <w:color w:val="000000"/>
        </w:rPr>
        <w:t>Canada</w:t>
      </w:r>
    </w:p>
    <w:p w14:paraId="347E7481" w14:textId="77777777" w:rsidR="00A9061F" w:rsidRPr="00FB60C2" w:rsidRDefault="00A9061F" w:rsidP="00B701C8">
      <w:pPr>
        <w:numPr>
          <w:ilvl w:val="2"/>
          <w:numId w:val="8"/>
        </w:numPr>
      </w:pPr>
      <w:r w:rsidRPr="00FB60C2">
        <w:rPr>
          <w:color w:val="000000"/>
        </w:rPr>
        <w:t>Europe</w:t>
      </w:r>
    </w:p>
    <w:p w14:paraId="72485B3E" w14:textId="60AE443E" w:rsidR="00A9061F" w:rsidRPr="00FB60C2" w:rsidRDefault="00551F8B" w:rsidP="00B701C8">
      <w:pPr>
        <w:numPr>
          <w:ilvl w:val="3"/>
          <w:numId w:val="8"/>
        </w:numPr>
      </w:pPr>
      <w:r w:rsidRPr="00FB60C2">
        <w:rPr>
          <w:color w:val="000000"/>
        </w:rPr>
        <w:t>Royaume-Uni</w:t>
      </w:r>
    </w:p>
    <w:p w14:paraId="5CE14651" w14:textId="2770949A" w:rsidR="00A9061F" w:rsidRPr="00FB60C2" w:rsidRDefault="00551F8B" w:rsidP="00B701C8">
      <w:pPr>
        <w:numPr>
          <w:ilvl w:val="2"/>
          <w:numId w:val="8"/>
        </w:numPr>
      </w:pPr>
      <w:r w:rsidRPr="00FB60C2">
        <w:rPr>
          <w:color w:val="000000"/>
        </w:rPr>
        <w:t>États-Unis</w:t>
      </w:r>
    </w:p>
    <w:p w14:paraId="495387BD" w14:textId="4BA11ADA" w:rsidR="00A9061F" w:rsidRPr="00FB60C2" w:rsidRDefault="00673C51" w:rsidP="00B701C8">
      <w:pPr>
        <w:numPr>
          <w:ilvl w:val="0"/>
          <w:numId w:val="8"/>
        </w:numPr>
      </w:pPr>
      <w:r w:rsidRPr="00FB60C2">
        <w:rPr>
          <w:b/>
          <w:color w:val="000000"/>
        </w:rPr>
        <w:t>Mesures législatives et cadres juridiques</w:t>
      </w:r>
      <w:r w:rsidRPr="00106A3F">
        <w:rPr>
          <w:bCs/>
          <w:color w:val="000000"/>
        </w:rPr>
        <w:t xml:space="preserve"> </w:t>
      </w:r>
      <w:r w:rsidR="008D4153" w:rsidRPr="00FB60C2">
        <w:rPr>
          <w:color w:val="000000"/>
        </w:rPr>
        <w:t>(thématique)</w:t>
      </w:r>
      <w:r w:rsidRPr="00FB60C2">
        <w:rPr>
          <w:color w:val="000000"/>
        </w:rPr>
        <w:t xml:space="preserve"> : </w:t>
      </w:r>
      <w:r w:rsidR="00047598" w:rsidRPr="00FB60C2">
        <w:rPr>
          <w:color w:val="000000"/>
        </w:rPr>
        <w:t>Principales m</w:t>
      </w:r>
      <w:r w:rsidRPr="00FB60C2">
        <w:rPr>
          <w:color w:val="000000"/>
        </w:rPr>
        <w:t>esures législatives nationales et internationales traitant de la gestion de</w:t>
      </w:r>
      <w:r w:rsidR="00C17147" w:rsidRPr="00FB60C2">
        <w:rPr>
          <w:color w:val="000000"/>
        </w:rPr>
        <w:t>s</w:t>
      </w:r>
      <w:r w:rsidRPr="00FB60C2">
        <w:rPr>
          <w:color w:val="000000"/>
        </w:rPr>
        <w:t xml:space="preserve"> </w:t>
      </w:r>
      <w:r w:rsidR="00303029" w:rsidRPr="00FB60C2">
        <w:rPr>
          <w:color w:val="000000"/>
        </w:rPr>
        <w:t>données sensibles</w:t>
      </w:r>
      <w:r w:rsidRPr="00FB60C2">
        <w:rPr>
          <w:color w:val="000000"/>
        </w:rPr>
        <w:t xml:space="preserve"> (ex. :</w:t>
      </w:r>
      <w:r w:rsidR="00A9061F" w:rsidRPr="00FB60C2">
        <w:rPr>
          <w:color w:val="000000"/>
        </w:rPr>
        <w:t xml:space="preserve"> RGPD</w:t>
      </w:r>
      <w:r w:rsidRPr="00FB60C2">
        <w:rPr>
          <w:color w:val="000000"/>
        </w:rPr>
        <w:t>).</w:t>
      </w:r>
    </w:p>
    <w:p w14:paraId="248B303C" w14:textId="7E8FF84E" w:rsidR="00A9061F" w:rsidRPr="00FB60C2" w:rsidRDefault="0056741B" w:rsidP="00B701C8">
      <w:pPr>
        <w:numPr>
          <w:ilvl w:val="0"/>
          <w:numId w:val="8"/>
        </w:numPr>
      </w:pPr>
      <w:r w:rsidRPr="00FB60C2">
        <w:rPr>
          <w:b/>
          <w:color w:val="000000"/>
        </w:rPr>
        <w:t>Dépôts</w:t>
      </w:r>
      <w:r w:rsidR="00A9061F" w:rsidRPr="00FB60C2">
        <w:rPr>
          <w:color w:val="000000"/>
        </w:rPr>
        <w:t xml:space="preserve"> (</w:t>
      </w:r>
      <w:r w:rsidR="00463A9F" w:rsidRPr="00FB60C2">
        <w:rPr>
          <w:color w:val="000000"/>
        </w:rPr>
        <w:t>thématique</w:t>
      </w:r>
      <w:r w:rsidR="00A9061F" w:rsidRPr="00FB60C2">
        <w:rPr>
          <w:color w:val="000000"/>
        </w:rPr>
        <w:t>)</w:t>
      </w:r>
      <w:r w:rsidR="00673C51" w:rsidRPr="00FB60C2">
        <w:rPr>
          <w:color w:val="000000"/>
        </w:rPr>
        <w:t xml:space="preserve"> : </w:t>
      </w:r>
      <w:r w:rsidR="00A9061F" w:rsidRPr="00FB60C2">
        <w:rPr>
          <w:color w:val="000000"/>
        </w:rPr>
        <w:t>Res</w:t>
      </w:r>
      <w:r w:rsidR="00673C51" w:rsidRPr="00FB60C2">
        <w:rPr>
          <w:color w:val="000000"/>
        </w:rPr>
        <w:t>s</w:t>
      </w:r>
      <w:r w:rsidR="00A9061F" w:rsidRPr="00FB60C2">
        <w:rPr>
          <w:color w:val="000000"/>
        </w:rPr>
        <w:t xml:space="preserve">ources </w:t>
      </w:r>
      <w:r w:rsidR="00673C51" w:rsidRPr="00FB60C2">
        <w:rPr>
          <w:color w:val="000000"/>
        </w:rPr>
        <w:t xml:space="preserve">traitant de l’accès </w:t>
      </w:r>
      <w:r w:rsidR="00C17147" w:rsidRPr="00FB60C2">
        <w:rPr>
          <w:color w:val="000000"/>
        </w:rPr>
        <w:t xml:space="preserve">contrôlé </w:t>
      </w:r>
      <w:r w:rsidR="00673C51" w:rsidRPr="00FB60C2">
        <w:rPr>
          <w:color w:val="000000"/>
        </w:rPr>
        <w:t>aux données dans des dépôts particuliers.</w:t>
      </w:r>
    </w:p>
    <w:p w14:paraId="0AC627B8" w14:textId="77777777" w:rsidR="00A9061F" w:rsidRPr="00FB60C2" w:rsidRDefault="00A9061F" w:rsidP="00B701C8">
      <w:pPr>
        <w:numPr>
          <w:ilvl w:val="1"/>
          <w:numId w:val="8"/>
        </w:numPr>
        <w:rPr>
          <w:b/>
        </w:rPr>
      </w:pPr>
      <w:r w:rsidRPr="00FB60C2">
        <w:rPr>
          <w:b/>
          <w:color w:val="000000"/>
        </w:rPr>
        <w:t>ICPSR</w:t>
      </w:r>
    </w:p>
    <w:p w14:paraId="6EEE80FA" w14:textId="77777777" w:rsidR="00A9061F" w:rsidRPr="00FB60C2" w:rsidRDefault="00A9061F" w:rsidP="00B701C8">
      <w:pPr>
        <w:numPr>
          <w:ilvl w:val="2"/>
          <w:numId w:val="8"/>
        </w:numPr>
        <w:rPr>
          <w:b/>
        </w:rPr>
      </w:pPr>
      <w:r w:rsidRPr="00FB60C2">
        <w:rPr>
          <w:b/>
          <w:color w:val="000000"/>
        </w:rPr>
        <w:t>NACJD</w:t>
      </w:r>
    </w:p>
    <w:p w14:paraId="4ED6ED6E" w14:textId="77777777" w:rsidR="00A9061F" w:rsidRPr="00FB60C2" w:rsidRDefault="00A9061F" w:rsidP="00B701C8">
      <w:pPr>
        <w:numPr>
          <w:ilvl w:val="1"/>
          <w:numId w:val="8"/>
        </w:numPr>
        <w:rPr>
          <w:b/>
        </w:rPr>
      </w:pPr>
      <w:r w:rsidRPr="00FB60C2">
        <w:rPr>
          <w:b/>
          <w:color w:val="000000"/>
        </w:rPr>
        <w:t>QDR</w:t>
      </w:r>
    </w:p>
    <w:p w14:paraId="265F837B" w14:textId="77777777" w:rsidR="00A9061F" w:rsidRPr="00FB60C2" w:rsidRDefault="00A9061F" w:rsidP="00B701C8">
      <w:pPr>
        <w:numPr>
          <w:ilvl w:val="1"/>
          <w:numId w:val="8"/>
        </w:numPr>
        <w:rPr>
          <w:b/>
        </w:rPr>
      </w:pPr>
      <w:r w:rsidRPr="00FB60C2">
        <w:rPr>
          <w:b/>
          <w:color w:val="000000"/>
        </w:rPr>
        <w:t>Vivli</w:t>
      </w:r>
    </w:p>
    <w:p w14:paraId="34BAFF28" w14:textId="0975B3C3" w:rsidR="00F84A82" w:rsidRPr="00FB60C2" w:rsidRDefault="00F84A82" w:rsidP="00B701C8">
      <w:pPr>
        <w:numPr>
          <w:ilvl w:val="0"/>
          <w:numId w:val="8"/>
        </w:numPr>
      </w:pPr>
      <w:r w:rsidRPr="00FB60C2">
        <w:rPr>
          <w:b/>
          <w:color w:val="000000"/>
        </w:rPr>
        <w:t>EXAMEN TECHNIQUE REQUIS </w:t>
      </w:r>
      <w:r w:rsidRPr="00FB60C2">
        <w:rPr>
          <w:bCs/>
          <w:color w:val="000000"/>
        </w:rPr>
        <w:t>:</w:t>
      </w:r>
      <w:r w:rsidRPr="00106A3F">
        <w:rPr>
          <w:bCs/>
          <w:color w:val="000000"/>
        </w:rPr>
        <w:t xml:space="preserve"> </w:t>
      </w:r>
      <w:r w:rsidRPr="00FB60C2">
        <w:rPr>
          <w:color w:val="000000"/>
        </w:rPr>
        <w:t xml:space="preserve">Ressources dont l’utilité </w:t>
      </w:r>
      <w:r w:rsidR="00FB0FAF" w:rsidRPr="00FB60C2">
        <w:rPr>
          <w:color w:val="000000"/>
        </w:rPr>
        <w:t xml:space="preserve">pour de prochaines phases de l’Initiative de gestion de l’accès contrôlé </w:t>
      </w:r>
      <w:r w:rsidRPr="00FB60C2">
        <w:rPr>
          <w:color w:val="000000"/>
        </w:rPr>
        <w:t xml:space="preserve">doit être vérifiée par des spécialistes en calcul informatique de pointe. </w:t>
      </w:r>
    </w:p>
    <w:p w14:paraId="7B6D0EA7" w14:textId="7435C3BD" w:rsidR="00A9061F" w:rsidRPr="00FB60C2" w:rsidRDefault="00A9061F" w:rsidP="00B701C8">
      <w:pPr>
        <w:numPr>
          <w:ilvl w:val="0"/>
          <w:numId w:val="8"/>
        </w:numPr>
      </w:pPr>
      <w:r w:rsidRPr="00FB60C2">
        <w:rPr>
          <w:b/>
          <w:color w:val="000000"/>
        </w:rPr>
        <w:t>Technolog</w:t>
      </w:r>
      <w:r w:rsidR="00463A9F" w:rsidRPr="00FB60C2">
        <w:rPr>
          <w:b/>
          <w:color w:val="000000"/>
        </w:rPr>
        <w:t>ie</w:t>
      </w:r>
      <w:r w:rsidR="008D4153" w:rsidRPr="00FB60C2">
        <w:rPr>
          <w:color w:val="000000"/>
        </w:rPr>
        <w:t xml:space="preserve"> (thématique)</w:t>
      </w:r>
      <w:r w:rsidR="00F84A82" w:rsidRPr="00FB60C2">
        <w:rPr>
          <w:color w:val="000000"/>
        </w:rPr>
        <w:t xml:space="preserve"> : </w:t>
      </w:r>
      <w:r w:rsidRPr="00FB60C2">
        <w:rPr>
          <w:color w:val="000000"/>
        </w:rPr>
        <w:t>Res</w:t>
      </w:r>
      <w:r w:rsidR="00F84A82" w:rsidRPr="00FB60C2">
        <w:rPr>
          <w:color w:val="000000"/>
        </w:rPr>
        <w:t>s</w:t>
      </w:r>
      <w:r w:rsidRPr="00FB60C2">
        <w:rPr>
          <w:color w:val="000000"/>
        </w:rPr>
        <w:t xml:space="preserve">ources </w:t>
      </w:r>
      <w:r w:rsidR="002418D0" w:rsidRPr="00FB60C2">
        <w:rPr>
          <w:color w:val="000000"/>
        </w:rPr>
        <w:t xml:space="preserve">traitant </w:t>
      </w:r>
      <w:r w:rsidR="00FB0FAF" w:rsidRPr="00FB60C2">
        <w:rPr>
          <w:color w:val="000000"/>
        </w:rPr>
        <w:t>de</w:t>
      </w:r>
      <w:r w:rsidR="00A7463E" w:rsidRPr="00FB60C2">
        <w:rPr>
          <w:color w:val="000000"/>
        </w:rPr>
        <w:t>s</w:t>
      </w:r>
      <w:r w:rsidR="00FB0FAF" w:rsidRPr="00FB60C2">
        <w:rPr>
          <w:color w:val="000000"/>
        </w:rPr>
        <w:t xml:space="preserve"> considérations</w:t>
      </w:r>
      <w:r w:rsidR="002418D0" w:rsidRPr="00FB60C2">
        <w:rPr>
          <w:color w:val="000000"/>
        </w:rPr>
        <w:t xml:space="preserve"> techniques lié</w:t>
      </w:r>
      <w:r w:rsidR="00A7463E" w:rsidRPr="00FB60C2">
        <w:rPr>
          <w:color w:val="000000"/>
        </w:rPr>
        <w:t>e</w:t>
      </w:r>
      <w:r w:rsidR="002418D0" w:rsidRPr="00FB60C2">
        <w:rPr>
          <w:color w:val="000000"/>
        </w:rPr>
        <w:t xml:space="preserve">s aux données (contrôle de l’accès, </w:t>
      </w:r>
      <w:r w:rsidRPr="00FB60C2">
        <w:rPr>
          <w:color w:val="000000"/>
        </w:rPr>
        <w:t>respect de la vie privée,</w:t>
      </w:r>
      <w:r w:rsidR="002418D0" w:rsidRPr="00FB60C2">
        <w:rPr>
          <w:color w:val="000000"/>
        </w:rPr>
        <w:t xml:space="preserve"> </w:t>
      </w:r>
      <w:r w:rsidRPr="00FB60C2">
        <w:rPr>
          <w:color w:val="000000"/>
        </w:rPr>
        <w:t>sécurité,</w:t>
      </w:r>
      <w:r w:rsidR="002418D0" w:rsidRPr="00FB60C2">
        <w:rPr>
          <w:color w:val="000000"/>
        </w:rPr>
        <w:t> </w:t>
      </w:r>
      <w:r w:rsidRPr="00FB60C2">
        <w:rPr>
          <w:color w:val="000000"/>
        </w:rPr>
        <w:t>etc</w:t>
      </w:r>
      <w:r w:rsidR="002418D0" w:rsidRPr="00FB60C2">
        <w:rPr>
          <w:color w:val="000000"/>
        </w:rPr>
        <w:t>.).</w:t>
      </w:r>
    </w:p>
    <w:p w14:paraId="21D80592" w14:textId="6AE4DFEE" w:rsidR="00A9061F" w:rsidRPr="00FB60C2" w:rsidRDefault="00A9061F" w:rsidP="00B701C8">
      <w:pPr>
        <w:numPr>
          <w:ilvl w:val="0"/>
          <w:numId w:val="8"/>
        </w:numPr>
      </w:pPr>
      <w:r w:rsidRPr="00FB60C2">
        <w:rPr>
          <w:b/>
          <w:color w:val="000000"/>
        </w:rPr>
        <w:t>Th</w:t>
      </w:r>
      <w:r w:rsidR="00606025" w:rsidRPr="00FB60C2">
        <w:rPr>
          <w:b/>
          <w:color w:val="000000"/>
        </w:rPr>
        <w:t>é</w:t>
      </w:r>
      <w:r w:rsidRPr="00FB60C2">
        <w:rPr>
          <w:b/>
          <w:color w:val="000000"/>
        </w:rPr>
        <w:t>or</w:t>
      </w:r>
      <w:r w:rsidR="00606025" w:rsidRPr="00FB60C2">
        <w:rPr>
          <w:b/>
          <w:color w:val="000000"/>
        </w:rPr>
        <w:t>ie et recherches universitaires</w:t>
      </w:r>
      <w:r w:rsidRPr="00FB60C2">
        <w:rPr>
          <w:color w:val="000000"/>
        </w:rPr>
        <w:t xml:space="preserve"> (f</w:t>
      </w:r>
      <w:r w:rsidR="008D4153" w:rsidRPr="00FB60C2">
        <w:rPr>
          <w:color w:val="000000"/>
        </w:rPr>
        <w:t>onctionnel</w:t>
      </w:r>
      <w:r w:rsidRPr="00FB60C2">
        <w:rPr>
          <w:color w:val="000000"/>
        </w:rPr>
        <w:t>)</w:t>
      </w:r>
      <w:r w:rsidR="00606025" w:rsidRPr="00FB60C2">
        <w:rPr>
          <w:color w:val="000000"/>
        </w:rPr>
        <w:t xml:space="preserve"> : La bibliothèque sur la </w:t>
      </w:r>
      <w:r w:rsidR="00A45220" w:rsidRPr="00FB60C2">
        <w:rPr>
          <w:color w:val="000000"/>
        </w:rPr>
        <w:t>GAC</w:t>
      </w:r>
      <w:r w:rsidR="00606025" w:rsidRPr="00FB60C2">
        <w:rPr>
          <w:color w:val="000000"/>
        </w:rPr>
        <w:t xml:space="preserve"> a</w:t>
      </w:r>
      <w:r w:rsidR="00047598" w:rsidRPr="00FB60C2">
        <w:rPr>
          <w:color w:val="000000"/>
        </w:rPr>
        <w:t>yant</w:t>
      </w:r>
      <w:r w:rsidR="00606025" w:rsidRPr="00FB60C2">
        <w:rPr>
          <w:color w:val="000000"/>
        </w:rPr>
        <w:t xml:space="preserve"> une visée pratique, cette catégorie regroupe </w:t>
      </w:r>
      <w:r w:rsidR="003A580F" w:rsidRPr="00FB60C2">
        <w:rPr>
          <w:color w:val="000000"/>
        </w:rPr>
        <w:t>d</w:t>
      </w:r>
      <w:r w:rsidR="00606025" w:rsidRPr="00FB60C2">
        <w:rPr>
          <w:color w:val="000000"/>
        </w:rPr>
        <w:t xml:space="preserve">es ressources dont le thème est pertinent, mais </w:t>
      </w:r>
      <w:r w:rsidR="00047598" w:rsidRPr="00FB60C2">
        <w:rPr>
          <w:color w:val="000000"/>
        </w:rPr>
        <w:t>dont la</w:t>
      </w:r>
      <w:r w:rsidR="00606025" w:rsidRPr="00FB60C2">
        <w:rPr>
          <w:color w:val="000000"/>
        </w:rPr>
        <w:t xml:space="preserve"> nature </w:t>
      </w:r>
      <w:r w:rsidR="00047598" w:rsidRPr="00FB60C2">
        <w:rPr>
          <w:color w:val="000000"/>
        </w:rPr>
        <w:t xml:space="preserve">est </w:t>
      </w:r>
      <w:r w:rsidR="00606025" w:rsidRPr="00FB60C2">
        <w:rPr>
          <w:color w:val="000000"/>
        </w:rPr>
        <w:t xml:space="preserve">essentiellement théorique et </w:t>
      </w:r>
      <w:r w:rsidR="003A580F" w:rsidRPr="00FB60C2">
        <w:rPr>
          <w:color w:val="000000"/>
        </w:rPr>
        <w:t xml:space="preserve">qui n’ont </w:t>
      </w:r>
      <w:r w:rsidR="00047598" w:rsidRPr="00FB60C2">
        <w:rPr>
          <w:color w:val="000000"/>
        </w:rPr>
        <w:t xml:space="preserve">que </w:t>
      </w:r>
      <w:r w:rsidR="00606025" w:rsidRPr="00FB60C2">
        <w:rPr>
          <w:color w:val="000000"/>
        </w:rPr>
        <w:t>peu, voire pas d’application concrète (ex. : modèle de référence pour un OAIS</w:t>
      </w:r>
      <w:r w:rsidRPr="00FB60C2">
        <w:rPr>
          <w:color w:val="000000"/>
        </w:rPr>
        <w:t>)</w:t>
      </w:r>
      <w:r w:rsidR="00606025" w:rsidRPr="00FB60C2">
        <w:rPr>
          <w:color w:val="000000"/>
        </w:rPr>
        <w:t>.</w:t>
      </w:r>
    </w:p>
    <w:p w14:paraId="4D4AFA2C" w14:textId="77777777" w:rsidR="007516F7" w:rsidRPr="00303029" w:rsidRDefault="007516F7" w:rsidP="00B701C8"/>
    <w:sectPr w:rsidR="007516F7" w:rsidRPr="00303029">
      <w:footerReference w:type="default" r:id="rId54"/>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80B3E" w14:textId="77777777" w:rsidR="00A7077E" w:rsidRDefault="00A7077E">
      <w:pPr>
        <w:spacing w:line="240" w:lineRule="auto"/>
      </w:pPr>
      <w:r>
        <w:separator/>
      </w:r>
    </w:p>
  </w:endnote>
  <w:endnote w:type="continuationSeparator" w:id="0">
    <w:p w14:paraId="1F772789" w14:textId="77777777" w:rsidR="00A7077E" w:rsidRDefault="00A707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0A6079AE-9093-114E-BC44-3BB24A5BF446}"/>
    <w:embedBold r:id="rId2" w:fontKey="{61846C95-A33A-6547-AAEF-7902FD9450D6}"/>
    <w:embedItalic r:id="rId3" w:fontKey="{B1C53CC9-20CA-DA4D-8EC1-3A41CC6421CD}"/>
  </w:font>
  <w:font w:name="Symbol">
    <w:panose1 w:val="05050102010706020507"/>
    <w:charset w:val="02"/>
    <w:family w:val="decorative"/>
    <w:pitch w:val="variable"/>
    <w:sig w:usb0="00000000" w:usb1="10000000" w:usb2="00000000" w:usb3="00000000" w:csb0="80000000" w:csb1="00000000"/>
    <w:embedRegular r:id="rId4" w:fontKey="{D5337B24-A99B-D940-84CC-AF1801F8889D}"/>
  </w:font>
  <w:font w:name="Arial">
    <w:panose1 w:val="020B0604020202020204"/>
    <w:charset w:val="00"/>
    <w:family w:val="swiss"/>
    <w:pitch w:val="variable"/>
    <w:sig w:usb0="E0002AFF" w:usb1="C0007843" w:usb2="00000009" w:usb3="00000000" w:csb0="000001FF" w:csb1="00000000"/>
    <w:embedRegular r:id="rId5" w:fontKey="{0501B000-0F39-744A-AFDB-FD44965E7B05}"/>
    <w:embedBold r:id="rId6" w:fontKey="{F47EF12A-4A32-1145-86B5-F091569780C9}"/>
    <w:embedItalic r:id="rId7" w:fontKey="{77E30AB0-4151-8F46-B77F-F953619C8E2B}"/>
  </w:font>
  <w:font w:name="Wingdings">
    <w:panose1 w:val="05000000000000000000"/>
    <w:charset w:val="4D"/>
    <w:family w:val="decorative"/>
    <w:pitch w:val="variable"/>
    <w:sig w:usb0="00000003" w:usb1="00000000" w:usb2="00000000" w:usb3="00000000" w:csb0="80000001" w:csb1="00000000"/>
    <w:embedRegular r:id="rId8" w:fontKey="{2F2B3C6F-EBCF-114A-969A-471EFDC4B865}"/>
  </w:font>
  <w:font w:name="Courier New">
    <w:panose1 w:val="02070309020205020404"/>
    <w:charset w:val="00"/>
    <w:family w:val="modern"/>
    <w:pitch w:val="fixed"/>
    <w:sig w:usb0="E0002AFF" w:usb1="C0007843" w:usb2="00000009" w:usb3="00000000" w:csb0="000001FF" w:csb1="00000000"/>
    <w:embedRegular r:id="rId9" w:fontKey="{93A05684-A9E1-F744-8777-021866E22934}"/>
  </w:font>
  <w:font w:name="Calibri">
    <w:panose1 w:val="020F0502020204030204"/>
    <w:charset w:val="00"/>
    <w:family w:val="swiss"/>
    <w:pitch w:val="variable"/>
    <w:sig w:usb0="E4002EFF" w:usb1="C000247B" w:usb2="00000009" w:usb3="00000000" w:csb0="000001FF" w:csb1="00000000"/>
    <w:embedRegular r:id="rId10" w:fontKey="{8F3D1B3E-85D2-DC49-8152-F3569F90159C}"/>
  </w:font>
  <w:font w:name="Cambria">
    <w:panose1 w:val="02040503050406030204"/>
    <w:charset w:val="00"/>
    <w:family w:val="roman"/>
    <w:pitch w:val="variable"/>
    <w:sig w:usb0="E00006FF" w:usb1="420024FF" w:usb2="02000000" w:usb3="00000000" w:csb0="0000019F" w:csb1="00000000"/>
    <w:embedRegular r:id="rId11" w:fontKey="{5C8E4A3B-152C-CB47-9EC0-8FB26AE99606}"/>
  </w:font>
  <w:font w:name="Aptos">
    <w:panose1 w:val="020B0004020202020204"/>
    <w:charset w:val="00"/>
    <w:family w:val="swiss"/>
    <w:pitch w:val="variable"/>
    <w:sig w:usb0="20000287" w:usb1="00000003" w:usb2="00000000" w:usb3="00000000" w:csb0="0000019F" w:csb1="00000000"/>
    <w:embedRegular r:id="rId12" w:fontKey="{CEF054F1-343F-F04B-982C-E2F6316C47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46263" w14:textId="3DED76EB" w:rsidR="007516F7" w:rsidRDefault="009756A8" w:rsidP="008135F1">
    <w:pPr>
      <w:jc w:val="right"/>
    </w:pPr>
    <w:r>
      <w:fldChar w:fldCharType="begin"/>
    </w:r>
    <w:r>
      <w:instrText>PAGE</w:instrText>
    </w:r>
    <w:r>
      <w:fldChar w:fldCharType="separate"/>
    </w:r>
    <w: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7ED53" w14:textId="77777777" w:rsidR="00A7077E" w:rsidRDefault="00A7077E">
      <w:pPr>
        <w:spacing w:line="240" w:lineRule="auto"/>
      </w:pPr>
      <w:r>
        <w:separator/>
      </w:r>
    </w:p>
  </w:footnote>
  <w:footnote w:type="continuationSeparator" w:id="0">
    <w:p w14:paraId="0145CBAC" w14:textId="77777777" w:rsidR="00A7077E" w:rsidRDefault="00A7077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75C2B"/>
    <w:multiLevelType w:val="multilevel"/>
    <w:tmpl w:val="42982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1242A9"/>
    <w:multiLevelType w:val="multilevel"/>
    <w:tmpl w:val="09183D7E"/>
    <w:lvl w:ilvl="0">
      <w:start w:val="2"/>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88328CB"/>
    <w:multiLevelType w:val="multilevel"/>
    <w:tmpl w:val="4296DE30"/>
    <w:lvl w:ilvl="0">
      <w:start w:val="1"/>
      <w:numFmt w:val="upperLetter"/>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D3B5255"/>
    <w:multiLevelType w:val="multilevel"/>
    <w:tmpl w:val="A1E8C2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0A128F7"/>
    <w:multiLevelType w:val="multilevel"/>
    <w:tmpl w:val="6F626C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74D171E"/>
    <w:multiLevelType w:val="multilevel"/>
    <w:tmpl w:val="305A44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0620862"/>
    <w:multiLevelType w:val="multilevel"/>
    <w:tmpl w:val="932A2D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3040461"/>
    <w:multiLevelType w:val="multilevel"/>
    <w:tmpl w:val="5DEECC6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56310D0"/>
    <w:multiLevelType w:val="multilevel"/>
    <w:tmpl w:val="81D40AD0"/>
    <w:lvl w:ilvl="0">
      <w:start w:val="1"/>
      <w:numFmt w:val="upperLetter"/>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C904ACC"/>
    <w:multiLevelType w:val="hybridMultilevel"/>
    <w:tmpl w:val="97004CDC"/>
    <w:lvl w:ilvl="0" w:tplc="0C0C0001">
      <w:start w:val="1"/>
      <w:numFmt w:val="bullet"/>
      <w:lvlText w:val=""/>
      <w:lvlJc w:val="left"/>
      <w:pPr>
        <w:ind w:left="1440" w:hanging="360"/>
      </w:pPr>
      <w:rPr>
        <w:rFonts w:ascii="Symbol" w:hAnsi="Symbol" w:hint="default"/>
      </w:rPr>
    </w:lvl>
    <w:lvl w:ilvl="1" w:tplc="EC1ECDA4">
      <w:numFmt w:val="bullet"/>
      <w:lvlText w:val="•"/>
      <w:lvlJc w:val="left"/>
      <w:pPr>
        <w:ind w:left="2520" w:hanging="720"/>
      </w:pPr>
      <w:rPr>
        <w:rFonts w:ascii="Arial" w:eastAsia="Arial" w:hAnsi="Arial" w:cs="Arial"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0" w15:restartNumberingAfterBreak="0">
    <w:nsid w:val="36D41CB9"/>
    <w:multiLevelType w:val="hybridMultilevel"/>
    <w:tmpl w:val="21E83600"/>
    <w:lvl w:ilvl="0" w:tplc="FFFFFFFF">
      <w:start w:val="1"/>
      <w:numFmt w:val="bullet"/>
      <w:lvlText w:val=""/>
      <w:lvlJc w:val="left"/>
      <w:pPr>
        <w:ind w:left="720" w:hanging="360"/>
      </w:pPr>
      <w:rPr>
        <w:rFonts w:ascii="Symbol" w:hAnsi="Symbol" w:hint="default"/>
      </w:rPr>
    </w:lvl>
    <w:lvl w:ilvl="1" w:tplc="0C0C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89E37AF"/>
    <w:multiLevelType w:val="multilevel"/>
    <w:tmpl w:val="D242C39A"/>
    <w:lvl w:ilvl="0">
      <w:start w:val="1"/>
      <w:numFmt w:val="upperLetter"/>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E645157"/>
    <w:multiLevelType w:val="multilevel"/>
    <w:tmpl w:val="87DEAEE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FD45AF4"/>
    <w:multiLevelType w:val="multilevel"/>
    <w:tmpl w:val="0BDA20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21678FD"/>
    <w:multiLevelType w:val="multilevel"/>
    <w:tmpl w:val="ADA04EF0"/>
    <w:lvl w:ilvl="0">
      <w:start w:val="1"/>
      <w:numFmt w:val="decimal"/>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47275E76"/>
    <w:multiLevelType w:val="multilevel"/>
    <w:tmpl w:val="9BE417B4"/>
    <w:lvl w:ilvl="0">
      <w:start w:val="1"/>
      <w:numFmt w:val="decimal"/>
      <w:lvlText w:val="%1."/>
      <w:lvlJc w:val="left"/>
      <w:pPr>
        <w:ind w:left="720" w:hanging="360"/>
      </w:pPr>
      <w:rPr>
        <w:u w:val="none"/>
      </w:rPr>
    </w:lvl>
    <w:lvl w:ilvl="1">
      <w:start w:val="1"/>
      <w:numFmt w:val="lowerLetter"/>
      <w:lvlText w:val="%2)"/>
      <w:lvlJc w:val="left"/>
      <w:pPr>
        <w:ind w:left="1440" w:hanging="360"/>
      </w:p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48AC3124"/>
    <w:multiLevelType w:val="multilevel"/>
    <w:tmpl w:val="D7EE6D66"/>
    <w:lvl w:ilvl="0">
      <w:start w:val="1"/>
      <w:numFmt w:val="upperLetter"/>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49366F26"/>
    <w:multiLevelType w:val="multilevel"/>
    <w:tmpl w:val="982090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A7F3027"/>
    <w:multiLevelType w:val="multilevel"/>
    <w:tmpl w:val="2C88C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9D0114"/>
    <w:multiLevelType w:val="multilevel"/>
    <w:tmpl w:val="327639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52874701"/>
    <w:multiLevelType w:val="hybridMultilevel"/>
    <w:tmpl w:val="CEF64F92"/>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532458C6"/>
    <w:multiLevelType w:val="multilevel"/>
    <w:tmpl w:val="DEBC85E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651532F8"/>
    <w:multiLevelType w:val="multilevel"/>
    <w:tmpl w:val="26588B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678245BF"/>
    <w:multiLevelType w:val="multilevel"/>
    <w:tmpl w:val="EA4AA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5643CD"/>
    <w:multiLevelType w:val="multilevel"/>
    <w:tmpl w:val="B7A83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CF71D16"/>
    <w:multiLevelType w:val="hybridMultilevel"/>
    <w:tmpl w:val="15E08D98"/>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6" w15:restartNumberingAfterBreak="0">
    <w:nsid w:val="743A256C"/>
    <w:multiLevelType w:val="multilevel"/>
    <w:tmpl w:val="AC9E9486"/>
    <w:lvl w:ilvl="0">
      <w:start w:val="6"/>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7EE01C10"/>
    <w:multiLevelType w:val="multilevel"/>
    <w:tmpl w:val="A69408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225262351">
    <w:abstractNumId w:val="17"/>
  </w:num>
  <w:num w:numId="2" w16cid:durableId="591158554">
    <w:abstractNumId w:val="11"/>
  </w:num>
  <w:num w:numId="3" w16cid:durableId="1065568686">
    <w:abstractNumId w:val="15"/>
  </w:num>
  <w:num w:numId="4" w16cid:durableId="341514418">
    <w:abstractNumId w:val="21"/>
  </w:num>
  <w:num w:numId="5" w16cid:durableId="1723599510">
    <w:abstractNumId w:val="6"/>
  </w:num>
  <w:num w:numId="6" w16cid:durableId="1971739029">
    <w:abstractNumId w:val="7"/>
  </w:num>
  <w:num w:numId="7" w16cid:durableId="139617537">
    <w:abstractNumId w:val="14"/>
  </w:num>
  <w:num w:numId="8" w16cid:durableId="1184904471">
    <w:abstractNumId w:val="24"/>
  </w:num>
  <w:num w:numId="9" w16cid:durableId="348990337">
    <w:abstractNumId w:val="13"/>
  </w:num>
  <w:num w:numId="10" w16cid:durableId="175312484">
    <w:abstractNumId w:val="5"/>
  </w:num>
  <w:num w:numId="11" w16cid:durableId="1416509061">
    <w:abstractNumId w:val="0"/>
  </w:num>
  <w:num w:numId="12" w16cid:durableId="1075929750">
    <w:abstractNumId w:val="12"/>
  </w:num>
  <w:num w:numId="13" w16cid:durableId="2073576606">
    <w:abstractNumId w:val="2"/>
  </w:num>
  <w:num w:numId="14" w16cid:durableId="1562672637">
    <w:abstractNumId w:val="3"/>
  </w:num>
  <w:num w:numId="15" w16cid:durableId="2046710203">
    <w:abstractNumId w:val="4"/>
  </w:num>
  <w:num w:numId="16" w16cid:durableId="588664277">
    <w:abstractNumId w:val="8"/>
  </w:num>
  <w:num w:numId="17" w16cid:durableId="1322546079">
    <w:abstractNumId w:val="19"/>
  </w:num>
  <w:num w:numId="18" w16cid:durableId="1648702589">
    <w:abstractNumId w:val="22"/>
  </w:num>
  <w:num w:numId="19" w16cid:durableId="1085570507">
    <w:abstractNumId w:val="26"/>
  </w:num>
  <w:num w:numId="20" w16cid:durableId="372114573">
    <w:abstractNumId w:val="16"/>
  </w:num>
  <w:num w:numId="21" w16cid:durableId="1236207989">
    <w:abstractNumId w:val="1"/>
  </w:num>
  <w:num w:numId="22" w16cid:durableId="831750042">
    <w:abstractNumId w:val="27"/>
  </w:num>
  <w:num w:numId="23" w16cid:durableId="1226336437">
    <w:abstractNumId w:val="9"/>
  </w:num>
  <w:num w:numId="24" w16cid:durableId="229387072">
    <w:abstractNumId w:val="20"/>
  </w:num>
  <w:num w:numId="25" w16cid:durableId="177081423">
    <w:abstractNumId w:val="25"/>
  </w:num>
  <w:num w:numId="26" w16cid:durableId="728651021">
    <w:abstractNumId w:val="10"/>
  </w:num>
  <w:num w:numId="27" w16cid:durableId="782841364">
    <w:abstractNumId w:val="23"/>
  </w:num>
  <w:num w:numId="28" w16cid:durableId="89138720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embedTrueTypeFonts/>
  <w:hideSpellingErrors/>
  <w:hideGrammaticalError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6F7"/>
    <w:rsid w:val="00000FF8"/>
    <w:rsid w:val="00003187"/>
    <w:rsid w:val="000056F1"/>
    <w:rsid w:val="0000610F"/>
    <w:rsid w:val="00007F34"/>
    <w:rsid w:val="0001364E"/>
    <w:rsid w:val="00013DB0"/>
    <w:rsid w:val="00013E5E"/>
    <w:rsid w:val="00017FAA"/>
    <w:rsid w:val="000213F9"/>
    <w:rsid w:val="00025C4F"/>
    <w:rsid w:val="0002750E"/>
    <w:rsid w:val="000435E2"/>
    <w:rsid w:val="00045E23"/>
    <w:rsid w:val="00047598"/>
    <w:rsid w:val="00055E68"/>
    <w:rsid w:val="00056294"/>
    <w:rsid w:val="00060419"/>
    <w:rsid w:val="000669D9"/>
    <w:rsid w:val="00066EE7"/>
    <w:rsid w:val="00073FEC"/>
    <w:rsid w:val="000809EB"/>
    <w:rsid w:val="000823C3"/>
    <w:rsid w:val="00085651"/>
    <w:rsid w:val="00086A16"/>
    <w:rsid w:val="00094429"/>
    <w:rsid w:val="00095387"/>
    <w:rsid w:val="000A0BFE"/>
    <w:rsid w:val="000A309D"/>
    <w:rsid w:val="000A6C4F"/>
    <w:rsid w:val="000B28E3"/>
    <w:rsid w:val="000B3953"/>
    <w:rsid w:val="000B4054"/>
    <w:rsid w:val="000B62E7"/>
    <w:rsid w:val="000B6BF7"/>
    <w:rsid w:val="000D0D18"/>
    <w:rsid w:val="000E18F7"/>
    <w:rsid w:val="000E5116"/>
    <w:rsid w:val="000F3F78"/>
    <w:rsid w:val="000F6C2F"/>
    <w:rsid w:val="00102B37"/>
    <w:rsid w:val="001038C7"/>
    <w:rsid w:val="00105360"/>
    <w:rsid w:val="00106A3F"/>
    <w:rsid w:val="00110A20"/>
    <w:rsid w:val="001119D4"/>
    <w:rsid w:val="00115438"/>
    <w:rsid w:val="00117C4C"/>
    <w:rsid w:val="00120DF3"/>
    <w:rsid w:val="00123312"/>
    <w:rsid w:val="0012534B"/>
    <w:rsid w:val="00125EC4"/>
    <w:rsid w:val="00133709"/>
    <w:rsid w:val="00135C40"/>
    <w:rsid w:val="00137C76"/>
    <w:rsid w:val="00146831"/>
    <w:rsid w:val="00146898"/>
    <w:rsid w:val="0015544B"/>
    <w:rsid w:val="00156CB0"/>
    <w:rsid w:val="00163941"/>
    <w:rsid w:val="00165711"/>
    <w:rsid w:val="001660FE"/>
    <w:rsid w:val="00170418"/>
    <w:rsid w:val="00171D32"/>
    <w:rsid w:val="00181435"/>
    <w:rsid w:val="001836F0"/>
    <w:rsid w:val="00192CB1"/>
    <w:rsid w:val="0019512E"/>
    <w:rsid w:val="001A0533"/>
    <w:rsid w:val="001A1CE7"/>
    <w:rsid w:val="001A1DCD"/>
    <w:rsid w:val="001A26D9"/>
    <w:rsid w:val="001A44B1"/>
    <w:rsid w:val="001B0A13"/>
    <w:rsid w:val="001B1078"/>
    <w:rsid w:val="001B3396"/>
    <w:rsid w:val="001B5B83"/>
    <w:rsid w:val="001B5E7B"/>
    <w:rsid w:val="001B5EA3"/>
    <w:rsid w:val="001C59AD"/>
    <w:rsid w:val="001C5B71"/>
    <w:rsid w:val="001C74E0"/>
    <w:rsid w:val="001D046E"/>
    <w:rsid w:val="001D0F25"/>
    <w:rsid w:val="001D5627"/>
    <w:rsid w:val="001E2F86"/>
    <w:rsid w:val="001E4B22"/>
    <w:rsid w:val="001F1C92"/>
    <w:rsid w:val="001F207E"/>
    <w:rsid w:val="001F256F"/>
    <w:rsid w:val="001F4932"/>
    <w:rsid w:val="00200035"/>
    <w:rsid w:val="00200973"/>
    <w:rsid w:val="0020187B"/>
    <w:rsid w:val="00207692"/>
    <w:rsid w:val="00214E00"/>
    <w:rsid w:val="00216ECB"/>
    <w:rsid w:val="00217738"/>
    <w:rsid w:val="00226DD1"/>
    <w:rsid w:val="002418D0"/>
    <w:rsid w:val="00246D7C"/>
    <w:rsid w:val="00252A87"/>
    <w:rsid w:val="0025721E"/>
    <w:rsid w:val="00260161"/>
    <w:rsid w:val="00270526"/>
    <w:rsid w:val="00281347"/>
    <w:rsid w:val="00286B58"/>
    <w:rsid w:val="002911BA"/>
    <w:rsid w:val="00293473"/>
    <w:rsid w:val="00294DA6"/>
    <w:rsid w:val="00295543"/>
    <w:rsid w:val="002959CF"/>
    <w:rsid w:val="002A2AE2"/>
    <w:rsid w:val="002A5D12"/>
    <w:rsid w:val="002B579A"/>
    <w:rsid w:val="002C070A"/>
    <w:rsid w:val="002C2F4A"/>
    <w:rsid w:val="002C5F01"/>
    <w:rsid w:val="002D1450"/>
    <w:rsid w:val="002D39F5"/>
    <w:rsid w:val="002D3D2E"/>
    <w:rsid w:val="002F5F2B"/>
    <w:rsid w:val="0030204F"/>
    <w:rsid w:val="00303029"/>
    <w:rsid w:val="00306A16"/>
    <w:rsid w:val="00306F9C"/>
    <w:rsid w:val="00311316"/>
    <w:rsid w:val="003133AF"/>
    <w:rsid w:val="00313913"/>
    <w:rsid w:val="00321108"/>
    <w:rsid w:val="00326548"/>
    <w:rsid w:val="0033391D"/>
    <w:rsid w:val="003362D3"/>
    <w:rsid w:val="00347515"/>
    <w:rsid w:val="00354154"/>
    <w:rsid w:val="00362591"/>
    <w:rsid w:val="00366296"/>
    <w:rsid w:val="00374735"/>
    <w:rsid w:val="00386BDF"/>
    <w:rsid w:val="00396E08"/>
    <w:rsid w:val="003A0205"/>
    <w:rsid w:val="003A580F"/>
    <w:rsid w:val="003A78E3"/>
    <w:rsid w:val="003B0712"/>
    <w:rsid w:val="003B106D"/>
    <w:rsid w:val="003B5CE0"/>
    <w:rsid w:val="003B79AF"/>
    <w:rsid w:val="003C3E81"/>
    <w:rsid w:val="003E109F"/>
    <w:rsid w:val="003E2295"/>
    <w:rsid w:val="003F1618"/>
    <w:rsid w:val="003F1A06"/>
    <w:rsid w:val="003F2673"/>
    <w:rsid w:val="003F31A4"/>
    <w:rsid w:val="003F36D1"/>
    <w:rsid w:val="003F448F"/>
    <w:rsid w:val="003F51C9"/>
    <w:rsid w:val="003F6E2E"/>
    <w:rsid w:val="00411000"/>
    <w:rsid w:val="00415A0C"/>
    <w:rsid w:val="00416AA2"/>
    <w:rsid w:val="004205CD"/>
    <w:rsid w:val="004218B7"/>
    <w:rsid w:val="00423126"/>
    <w:rsid w:val="00424599"/>
    <w:rsid w:val="00427030"/>
    <w:rsid w:val="00435F78"/>
    <w:rsid w:val="0043692A"/>
    <w:rsid w:val="0044220D"/>
    <w:rsid w:val="00442E87"/>
    <w:rsid w:val="004445E5"/>
    <w:rsid w:val="00445E02"/>
    <w:rsid w:val="00446F68"/>
    <w:rsid w:val="0045509D"/>
    <w:rsid w:val="00455C82"/>
    <w:rsid w:val="00461147"/>
    <w:rsid w:val="00463700"/>
    <w:rsid w:val="00463771"/>
    <w:rsid w:val="00463A9F"/>
    <w:rsid w:val="0047536B"/>
    <w:rsid w:val="00476938"/>
    <w:rsid w:val="004778F5"/>
    <w:rsid w:val="00484653"/>
    <w:rsid w:val="00484CE2"/>
    <w:rsid w:val="004851B4"/>
    <w:rsid w:val="00487A7A"/>
    <w:rsid w:val="00496AF7"/>
    <w:rsid w:val="004A1263"/>
    <w:rsid w:val="004A28C2"/>
    <w:rsid w:val="004A4AC2"/>
    <w:rsid w:val="004A78FD"/>
    <w:rsid w:val="004A7A58"/>
    <w:rsid w:val="004C1289"/>
    <w:rsid w:val="004C216C"/>
    <w:rsid w:val="004D0B31"/>
    <w:rsid w:val="004D1426"/>
    <w:rsid w:val="004E6BDA"/>
    <w:rsid w:val="004E7C5E"/>
    <w:rsid w:val="004F67B5"/>
    <w:rsid w:val="00502BD8"/>
    <w:rsid w:val="0050310B"/>
    <w:rsid w:val="0050741F"/>
    <w:rsid w:val="00513426"/>
    <w:rsid w:val="0052077C"/>
    <w:rsid w:val="00521518"/>
    <w:rsid w:val="00527920"/>
    <w:rsid w:val="005311ED"/>
    <w:rsid w:val="00551F8B"/>
    <w:rsid w:val="005561F6"/>
    <w:rsid w:val="005603A2"/>
    <w:rsid w:val="0056111D"/>
    <w:rsid w:val="00561942"/>
    <w:rsid w:val="0056322C"/>
    <w:rsid w:val="0056741B"/>
    <w:rsid w:val="0057615A"/>
    <w:rsid w:val="00577105"/>
    <w:rsid w:val="00583CC9"/>
    <w:rsid w:val="005869F0"/>
    <w:rsid w:val="00590847"/>
    <w:rsid w:val="00592C98"/>
    <w:rsid w:val="005942B8"/>
    <w:rsid w:val="005968C6"/>
    <w:rsid w:val="005A0FC5"/>
    <w:rsid w:val="005A6001"/>
    <w:rsid w:val="005A602F"/>
    <w:rsid w:val="005A728F"/>
    <w:rsid w:val="005B496A"/>
    <w:rsid w:val="005B6156"/>
    <w:rsid w:val="005C23F3"/>
    <w:rsid w:val="005C2BA7"/>
    <w:rsid w:val="005C5A36"/>
    <w:rsid w:val="005D07B6"/>
    <w:rsid w:val="005E0D78"/>
    <w:rsid w:val="005E1361"/>
    <w:rsid w:val="005E3338"/>
    <w:rsid w:val="005F25E7"/>
    <w:rsid w:val="005F57BB"/>
    <w:rsid w:val="006023BC"/>
    <w:rsid w:val="0060362D"/>
    <w:rsid w:val="00604842"/>
    <w:rsid w:val="006058DA"/>
    <w:rsid w:val="00605F29"/>
    <w:rsid w:val="00606025"/>
    <w:rsid w:val="006109AB"/>
    <w:rsid w:val="006115AE"/>
    <w:rsid w:val="006139A0"/>
    <w:rsid w:val="00614F83"/>
    <w:rsid w:val="00616080"/>
    <w:rsid w:val="00616616"/>
    <w:rsid w:val="00620531"/>
    <w:rsid w:val="00624A5F"/>
    <w:rsid w:val="00625E44"/>
    <w:rsid w:val="00625FE3"/>
    <w:rsid w:val="00632866"/>
    <w:rsid w:val="00640A42"/>
    <w:rsid w:val="00642157"/>
    <w:rsid w:val="006453BF"/>
    <w:rsid w:val="00650216"/>
    <w:rsid w:val="006519C1"/>
    <w:rsid w:val="00655FCD"/>
    <w:rsid w:val="006571B6"/>
    <w:rsid w:val="00672D48"/>
    <w:rsid w:val="00673C51"/>
    <w:rsid w:val="00680A35"/>
    <w:rsid w:val="00681532"/>
    <w:rsid w:val="006849F1"/>
    <w:rsid w:val="006939FD"/>
    <w:rsid w:val="00694DFC"/>
    <w:rsid w:val="006B0AD6"/>
    <w:rsid w:val="006B62DD"/>
    <w:rsid w:val="006B7B83"/>
    <w:rsid w:val="006C4F68"/>
    <w:rsid w:val="006C5498"/>
    <w:rsid w:val="006C6C66"/>
    <w:rsid w:val="006E06B7"/>
    <w:rsid w:val="006E3288"/>
    <w:rsid w:val="006E3DFE"/>
    <w:rsid w:val="006F2FAC"/>
    <w:rsid w:val="00704F85"/>
    <w:rsid w:val="007067A1"/>
    <w:rsid w:val="007072CA"/>
    <w:rsid w:val="0070748A"/>
    <w:rsid w:val="00710B84"/>
    <w:rsid w:val="00713C38"/>
    <w:rsid w:val="0071744E"/>
    <w:rsid w:val="007274CD"/>
    <w:rsid w:val="00731D5F"/>
    <w:rsid w:val="00743B98"/>
    <w:rsid w:val="00746997"/>
    <w:rsid w:val="00751539"/>
    <w:rsid w:val="007516F7"/>
    <w:rsid w:val="00755772"/>
    <w:rsid w:val="007605B8"/>
    <w:rsid w:val="00770F86"/>
    <w:rsid w:val="00770F8F"/>
    <w:rsid w:val="00771B22"/>
    <w:rsid w:val="00773F02"/>
    <w:rsid w:val="00774E6C"/>
    <w:rsid w:val="00776966"/>
    <w:rsid w:val="00782A9E"/>
    <w:rsid w:val="0078317A"/>
    <w:rsid w:val="00793610"/>
    <w:rsid w:val="007A0E03"/>
    <w:rsid w:val="007A1B61"/>
    <w:rsid w:val="007B0398"/>
    <w:rsid w:val="007C189F"/>
    <w:rsid w:val="007C3333"/>
    <w:rsid w:val="007C5B70"/>
    <w:rsid w:val="007C7085"/>
    <w:rsid w:val="007D069A"/>
    <w:rsid w:val="007E2F26"/>
    <w:rsid w:val="007F243B"/>
    <w:rsid w:val="007F36BE"/>
    <w:rsid w:val="007F7060"/>
    <w:rsid w:val="007F7F2F"/>
    <w:rsid w:val="00805155"/>
    <w:rsid w:val="008135F1"/>
    <w:rsid w:val="008148D3"/>
    <w:rsid w:val="00817D72"/>
    <w:rsid w:val="00824597"/>
    <w:rsid w:val="00841F9A"/>
    <w:rsid w:val="0085350C"/>
    <w:rsid w:val="00856E28"/>
    <w:rsid w:val="00867DEE"/>
    <w:rsid w:val="0087123E"/>
    <w:rsid w:val="00872A48"/>
    <w:rsid w:val="00874428"/>
    <w:rsid w:val="00882DDB"/>
    <w:rsid w:val="008864F6"/>
    <w:rsid w:val="00890A3C"/>
    <w:rsid w:val="008A0B19"/>
    <w:rsid w:val="008A1BA0"/>
    <w:rsid w:val="008A36CD"/>
    <w:rsid w:val="008A4AFE"/>
    <w:rsid w:val="008C35AE"/>
    <w:rsid w:val="008C4B88"/>
    <w:rsid w:val="008C5D5A"/>
    <w:rsid w:val="008D3CDD"/>
    <w:rsid w:val="008D4153"/>
    <w:rsid w:val="008E115D"/>
    <w:rsid w:val="008E6D0D"/>
    <w:rsid w:val="008F152E"/>
    <w:rsid w:val="008F3AF6"/>
    <w:rsid w:val="009017CA"/>
    <w:rsid w:val="00901F53"/>
    <w:rsid w:val="00904FF8"/>
    <w:rsid w:val="00911F32"/>
    <w:rsid w:val="0091213D"/>
    <w:rsid w:val="00915C0E"/>
    <w:rsid w:val="00921237"/>
    <w:rsid w:val="00927A7F"/>
    <w:rsid w:val="00931C33"/>
    <w:rsid w:val="009322CB"/>
    <w:rsid w:val="00932426"/>
    <w:rsid w:val="009357DE"/>
    <w:rsid w:val="0093747C"/>
    <w:rsid w:val="00946F38"/>
    <w:rsid w:val="0094729D"/>
    <w:rsid w:val="0095511C"/>
    <w:rsid w:val="00955946"/>
    <w:rsid w:val="00961055"/>
    <w:rsid w:val="00965074"/>
    <w:rsid w:val="00973AB3"/>
    <w:rsid w:val="009756A8"/>
    <w:rsid w:val="00977915"/>
    <w:rsid w:val="00984495"/>
    <w:rsid w:val="009919A7"/>
    <w:rsid w:val="0099242F"/>
    <w:rsid w:val="00994E7E"/>
    <w:rsid w:val="00995CF3"/>
    <w:rsid w:val="0099780C"/>
    <w:rsid w:val="009A793C"/>
    <w:rsid w:val="009B2B61"/>
    <w:rsid w:val="009B5751"/>
    <w:rsid w:val="009B5759"/>
    <w:rsid w:val="009B72FE"/>
    <w:rsid w:val="009B77AB"/>
    <w:rsid w:val="009C2704"/>
    <w:rsid w:val="009C3A49"/>
    <w:rsid w:val="009D1727"/>
    <w:rsid w:val="009D3492"/>
    <w:rsid w:val="009D5C75"/>
    <w:rsid w:val="009E0027"/>
    <w:rsid w:val="009E2272"/>
    <w:rsid w:val="009E3CD4"/>
    <w:rsid w:val="009E7CD8"/>
    <w:rsid w:val="009F58B2"/>
    <w:rsid w:val="00A020DF"/>
    <w:rsid w:val="00A05F13"/>
    <w:rsid w:val="00A10F10"/>
    <w:rsid w:val="00A17B07"/>
    <w:rsid w:val="00A22E48"/>
    <w:rsid w:val="00A27CC5"/>
    <w:rsid w:val="00A30B63"/>
    <w:rsid w:val="00A35DE1"/>
    <w:rsid w:val="00A36133"/>
    <w:rsid w:val="00A37C78"/>
    <w:rsid w:val="00A43F4C"/>
    <w:rsid w:val="00A45220"/>
    <w:rsid w:val="00A45E3F"/>
    <w:rsid w:val="00A46D16"/>
    <w:rsid w:val="00A50C39"/>
    <w:rsid w:val="00A51093"/>
    <w:rsid w:val="00A56E95"/>
    <w:rsid w:val="00A61778"/>
    <w:rsid w:val="00A61ED4"/>
    <w:rsid w:val="00A6266F"/>
    <w:rsid w:val="00A7077E"/>
    <w:rsid w:val="00A71EE2"/>
    <w:rsid w:val="00A7425A"/>
    <w:rsid w:val="00A7463E"/>
    <w:rsid w:val="00A748F1"/>
    <w:rsid w:val="00A76199"/>
    <w:rsid w:val="00A76584"/>
    <w:rsid w:val="00A824D0"/>
    <w:rsid w:val="00A879C6"/>
    <w:rsid w:val="00A9061F"/>
    <w:rsid w:val="00A95CA5"/>
    <w:rsid w:val="00A96F1F"/>
    <w:rsid w:val="00A9769E"/>
    <w:rsid w:val="00AA4506"/>
    <w:rsid w:val="00AA7598"/>
    <w:rsid w:val="00AB7951"/>
    <w:rsid w:val="00AB7A41"/>
    <w:rsid w:val="00AC54C6"/>
    <w:rsid w:val="00AD2B25"/>
    <w:rsid w:val="00AD600F"/>
    <w:rsid w:val="00AE248F"/>
    <w:rsid w:val="00AE4CE8"/>
    <w:rsid w:val="00AE6D20"/>
    <w:rsid w:val="00AF2D1F"/>
    <w:rsid w:val="00AF4B50"/>
    <w:rsid w:val="00AF5097"/>
    <w:rsid w:val="00B022EC"/>
    <w:rsid w:val="00B03234"/>
    <w:rsid w:val="00B144DC"/>
    <w:rsid w:val="00B149FB"/>
    <w:rsid w:val="00B22BB6"/>
    <w:rsid w:val="00B24268"/>
    <w:rsid w:val="00B24CA0"/>
    <w:rsid w:val="00B25217"/>
    <w:rsid w:val="00B27D8D"/>
    <w:rsid w:val="00B31B85"/>
    <w:rsid w:val="00B4595B"/>
    <w:rsid w:val="00B507B0"/>
    <w:rsid w:val="00B540F4"/>
    <w:rsid w:val="00B701C8"/>
    <w:rsid w:val="00B707D4"/>
    <w:rsid w:val="00B70A66"/>
    <w:rsid w:val="00B72429"/>
    <w:rsid w:val="00B76CDF"/>
    <w:rsid w:val="00B81FCB"/>
    <w:rsid w:val="00B83F5F"/>
    <w:rsid w:val="00B83FE0"/>
    <w:rsid w:val="00B86DE8"/>
    <w:rsid w:val="00B91112"/>
    <w:rsid w:val="00B92E4B"/>
    <w:rsid w:val="00B962BB"/>
    <w:rsid w:val="00B9734C"/>
    <w:rsid w:val="00BA757B"/>
    <w:rsid w:val="00BB1BB2"/>
    <w:rsid w:val="00BB7522"/>
    <w:rsid w:val="00BC34F5"/>
    <w:rsid w:val="00BC563D"/>
    <w:rsid w:val="00BD3923"/>
    <w:rsid w:val="00BE52D7"/>
    <w:rsid w:val="00BF45BB"/>
    <w:rsid w:val="00C00F21"/>
    <w:rsid w:val="00C02988"/>
    <w:rsid w:val="00C11EF7"/>
    <w:rsid w:val="00C124FA"/>
    <w:rsid w:val="00C17147"/>
    <w:rsid w:val="00C17379"/>
    <w:rsid w:val="00C24ADE"/>
    <w:rsid w:val="00C3340B"/>
    <w:rsid w:val="00C37C1B"/>
    <w:rsid w:val="00C45899"/>
    <w:rsid w:val="00C479CA"/>
    <w:rsid w:val="00C51C97"/>
    <w:rsid w:val="00C705FC"/>
    <w:rsid w:val="00C859A8"/>
    <w:rsid w:val="00C93E34"/>
    <w:rsid w:val="00CA4C04"/>
    <w:rsid w:val="00CA5042"/>
    <w:rsid w:val="00CA6003"/>
    <w:rsid w:val="00CB18A0"/>
    <w:rsid w:val="00CC1A26"/>
    <w:rsid w:val="00CC1C4C"/>
    <w:rsid w:val="00CC2635"/>
    <w:rsid w:val="00CC6E85"/>
    <w:rsid w:val="00CD0796"/>
    <w:rsid w:val="00CD156D"/>
    <w:rsid w:val="00CD35CA"/>
    <w:rsid w:val="00CD60C2"/>
    <w:rsid w:val="00CE11F7"/>
    <w:rsid w:val="00CE459E"/>
    <w:rsid w:val="00CF5FCE"/>
    <w:rsid w:val="00CF6C74"/>
    <w:rsid w:val="00D02804"/>
    <w:rsid w:val="00D04269"/>
    <w:rsid w:val="00D046A7"/>
    <w:rsid w:val="00D145BF"/>
    <w:rsid w:val="00D16AE3"/>
    <w:rsid w:val="00D22911"/>
    <w:rsid w:val="00D24A96"/>
    <w:rsid w:val="00D30943"/>
    <w:rsid w:val="00D32E0E"/>
    <w:rsid w:val="00D43632"/>
    <w:rsid w:val="00D514BE"/>
    <w:rsid w:val="00D52AD5"/>
    <w:rsid w:val="00D54769"/>
    <w:rsid w:val="00D567B3"/>
    <w:rsid w:val="00D6094C"/>
    <w:rsid w:val="00D76445"/>
    <w:rsid w:val="00D82FAC"/>
    <w:rsid w:val="00D87205"/>
    <w:rsid w:val="00D91516"/>
    <w:rsid w:val="00DA05C7"/>
    <w:rsid w:val="00DA34D2"/>
    <w:rsid w:val="00DA6AD0"/>
    <w:rsid w:val="00DA7E38"/>
    <w:rsid w:val="00DB1886"/>
    <w:rsid w:val="00DC08C9"/>
    <w:rsid w:val="00DC2FCC"/>
    <w:rsid w:val="00DD0F46"/>
    <w:rsid w:val="00DE4F33"/>
    <w:rsid w:val="00DE7016"/>
    <w:rsid w:val="00DF1FFC"/>
    <w:rsid w:val="00DF26B7"/>
    <w:rsid w:val="00DF2BA6"/>
    <w:rsid w:val="00DF2ED5"/>
    <w:rsid w:val="00DF5F5E"/>
    <w:rsid w:val="00E06F10"/>
    <w:rsid w:val="00E17517"/>
    <w:rsid w:val="00E231D1"/>
    <w:rsid w:val="00E26AA0"/>
    <w:rsid w:val="00E300C0"/>
    <w:rsid w:val="00E51539"/>
    <w:rsid w:val="00E5238D"/>
    <w:rsid w:val="00E76D11"/>
    <w:rsid w:val="00E822EE"/>
    <w:rsid w:val="00E85746"/>
    <w:rsid w:val="00E914A4"/>
    <w:rsid w:val="00E93529"/>
    <w:rsid w:val="00E9399F"/>
    <w:rsid w:val="00E95B65"/>
    <w:rsid w:val="00E973F8"/>
    <w:rsid w:val="00EA21C2"/>
    <w:rsid w:val="00EA3E1F"/>
    <w:rsid w:val="00EA52E9"/>
    <w:rsid w:val="00EA5416"/>
    <w:rsid w:val="00EB3848"/>
    <w:rsid w:val="00EB48B9"/>
    <w:rsid w:val="00EC390D"/>
    <w:rsid w:val="00EC7F55"/>
    <w:rsid w:val="00EC7F8E"/>
    <w:rsid w:val="00ED19CE"/>
    <w:rsid w:val="00ED2152"/>
    <w:rsid w:val="00ED5631"/>
    <w:rsid w:val="00ED6440"/>
    <w:rsid w:val="00EF1380"/>
    <w:rsid w:val="00EF5606"/>
    <w:rsid w:val="00EF6486"/>
    <w:rsid w:val="00F00E70"/>
    <w:rsid w:val="00F01372"/>
    <w:rsid w:val="00F15186"/>
    <w:rsid w:val="00F16FD5"/>
    <w:rsid w:val="00F22C91"/>
    <w:rsid w:val="00F327AD"/>
    <w:rsid w:val="00F41A78"/>
    <w:rsid w:val="00F46F18"/>
    <w:rsid w:val="00F50932"/>
    <w:rsid w:val="00F54CFC"/>
    <w:rsid w:val="00F555C3"/>
    <w:rsid w:val="00F61D11"/>
    <w:rsid w:val="00F64E7A"/>
    <w:rsid w:val="00F65537"/>
    <w:rsid w:val="00F6706F"/>
    <w:rsid w:val="00F711E1"/>
    <w:rsid w:val="00F72716"/>
    <w:rsid w:val="00F73E20"/>
    <w:rsid w:val="00F7655F"/>
    <w:rsid w:val="00F76D12"/>
    <w:rsid w:val="00F76FDC"/>
    <w:rsid w:val="00F770D7"/>
    <w:rsid w:val="00F81CF6"/>
    <w:rsid w:val="00F84A82"/>
    <w:rsid w:val="00F9222A"/>
    <w:rsid w:val="00FA5DD5"/>
    <w:rsid w:val="00FB0FAF"/>
    <w:rsid w:val="00FB60C2"/>
    <w:rsid w:val="00FC1417"/>
    <w:rsid w:val="00FC36D5"/>
    <w:rsid w:val="00FC5106"/>
    <w:rsid w:val="00FD3161"/>
    <w:rsid w:val="00FD46C5"/>
    <w:rsid w:val="00FD4E0F"/>
    <w:rsid w:val="00FD5443"/>
    <w:rsid w:val="00FD5A95"/>
    <w:rsid w:val="00FE4802"/>
    <w:rsid w:val="00FF445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A9B32F"/>
  <w15:docId w15:val="{DB2CEBE7-5119-47BA-9982-72955EF79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A9F"/>
    <w:rPr>
      <w:noProof/>
      <w:lang w:val="fr-CA"/>
    </w:rPr>
  </w:style>
  <w:style w:type="paragraph" w:styleId="Heading1">
    <w:name w:val="heading 1"/>
    <w:basedOn w:val="Normal"/>
    <w:next w:val="Normal"/>
    <w:link w:val="Heading1Char"/>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link w:val="SubtitleChar"/>
    <w:uiPriority w:val="11"/>
    <w:qFormat/>
    <w:pPr>
      <w:keepNext/>
      <w:keepLines/>
      <w:spacing w:after="320"/>
    </w:pPr>
    <w:rPr>
      <w:color w:val="666666"/>
      <w:sz w:val="30"/>
      <w:szCs w:val="30"/>
    </w:rPr>
  </w:style>
  <w:style w:type="character" w:customStyle="1" w:styleId="Heading1Char">
    <w:name w:val="Heading 1 Char"/>
    <w:basedOn w:val="DefaultParagraphFont"/>
    <w:link w:val="Heading1"/>
    <w:uiPriority w:val="9"/>
    <w:rsid w:val="00A22E48"/>
    <w:rPr>
      <w:sz w:val="40"/>
      <w:szCs w:val="40"/>
    </w:rPr>
  </w:style>
  <w:style w:type="character" w:customStyle="1" w:styleId="Heading2Char">
    <w:name w:val="Heading 2 Char"/>
    <w:basedOn w:val="DefaultParagraphFont"/>
    <w:link w:val="Heading2"/>
    <w:uiPriority w:val="9"/>
    <w:rsid w:val="00A22E48"/>
    <w:rPr>
      <w:sz w:val="32"/>
      <w:szCs w:val="32"/>
    </w:rPr>
  </w:style>
  <w:style w:type="character" w:customStyle="1" w:styleId="SubtitleChar">
    <w:name w:val="Subtitle Char"/>
    <w:basedOn w:val="DefaultParagraphFont"/>
    <w:link w:val="Subtitle"/>
    <w:uiPriority w:val="11"/>
    <w:rsid w:val="00A22E48"/>
    <w:rPr>
      <w:color w:val="666666"/>
      <w:sz w:val="30"/>
      <w:szCs w:val="30"/>
    </w:rPr>
  </w:style>
  <w:style w:type="character" w:styleId="CommentReference">
    <w:name w:val="annotation reference"/>
    <w:basedOn w:val="DefaultParagraphFont"/>
    <w:uiPriority w:val="99"/>
    <w:semiHidden/>
    <w:unhideWhenUsed/>
    <w:rsid w:val="00A22E48"/>
    <w:rPr>
      <w:sz w:val="16"/>
      <w:szCs w:val="16"/>
    </w:rPr>
  </w:style>
  <w:style w:type="paragraph" w:styleId="CommentText">
    <w:name w:val="annotation text"/>
    <w:basedOn w:val="Normal"/>
    <w:link w:val="CommentTextChar"/>
    <w:uiPriority w:val="99"/>
    <w:unhideWhenUsed/>
    <w:rsid w:val="00A22E48"/>
    <w:pPr>
      <w:spacing w:line="240" w:lineRule="auto"/>
    </w:pPr>
    <w:rPr>
      <w:sz w:val="20"/>
      <w:szCs w:val="20"/>
    </w:rPr>
  </w:style>
  <w:style w:type="character" w:customStyle="1" w:styleId="CommentTextChar">
    <w:name w:val="Comment Text Char"/>
    <w:basedOn w:val="DefaultParagraphFont"/>
    <w:link w:val="CommentText"/>
    <w:uiPriority w:val="99"/>
    <w:rsid w:val="00A22E48"/>
    <w:rPr>
      <w:sz w:val="20"/>
      <w:szCs w:val="20"/>
    </w:rPr>
  </w:style>
  <w:style w:type="paragraph" w:styleId="CommentSubject">
    <w:name w:val="annotation subject"/>
    <w:basedOn w:val="CommentText"/>
    <w:next w:val="CommentText"/>
    <w:link w:val="CommentSubjectChar"/>
    <w:uiPriority w:val="99"/>
    <w:semiHidden/>
    <w:unhideWhenUsed/>
    <w:rsid w:val="00A22E48"/>
    <w:rPr>
      <w:b/>
      <w:bCs/>
    </w:rPr>
  </w:style>
  <w:style w:type="character" w:customStyle="1" w:styleId="CommentSubjectChar">
    <w:name w:val="Comment Subject Char"/>
    <w:basedOn w:val="CommentTextChar"/>
    <w:link w:val="CommentSubject"/>
    <w:uiPriority w:val="99"/>
    <w:semiHidden/>
    <w:rsid w:val="00A22E48"/>
    <w:rPr>
      <w:b/>
      <w:bCs/>
      <w:sz w:val="20"/>
      <w:szCs w:val="20"/>
    </w:rPr>
  </w:style>
  <w:style w:type="paragraph" w:styleId="Header">
    <w:name w:val="header"/>
    <w:basedOn w:val="Normal"/>
    <w:link w:val="HeaderChar"/>
    <w:uiPriority w:val="99"/>
    <w:unhideWhenUsed/>
    <w:rsid w:val="009756A8"/>
    <w:pPr>
      <w:tabs>
        <w:tab w:val="center" w:pos="4320"/>
        <w:tab w:val="right" w:pos="8640"/>
      </w:tabs>
      <w:spacing w:line="240" w:lineRule="auto"/>
    </w:pPr>
  </w:style>
  <w:style w:type="character" w:customStyle="1" w:styleId="HeaderChar">
    <w:name w:val="Header Char"/>
    <w:basedOn w:val="DefaultParagraphFont"/>
    <w:link w:val="Header"/>
    <w:uiPriority w:val="99"/>
    <w:rsid w:val="009756A8"/>
  </w:style>
  <w:style w:type="paragraph" w:styleId="Footer">
    <w:name w:val="footer"/>
    <w:basedOn w:val="Normal"/>
    <w:link w:val="FooterChar"/>
    <w:uiPriority w:val="99"/>
    <w:unhideWhenUsed/>
    <w:rsid w:val="009756A8"/>
    <w:pPr>
      <w:tabs>
        <w:tab w:val="center" w:pos="4320"/>
        <w:tab w:val="right" w:pos="8640"/>
      </w:tabs>
      <w:spacing w:line="240" w:lineRule="auto"/>
    </w:pPr>
  </w:style>
  <w:style w:type="character" w:customStyle="1" w:styleId="FooterChar">
    <w:name w:val="Footer Char"/>
    <w:basedOn w:val="DefaultParagraphFont"/>
    <w:link w:val="Footer"/>
    <w:uiPriority w:val="99"/>
    <w:rsid w:val="009756A8"/>
  </w:style>
  <w:style w:type="character" w:styleId="Hyperlink">
    <w:name w:val="Hyperlink"/>
    <w:basedOn w:val="DefaultParagraphFont"/>
    <w:uiPriority w:val="99"/>
    <w:unhideWhenUsed/>
    <w:rsid w:val="00CC2635"/>
    <w:rPr>
      <w:color w:val="0000FF" w:themeColor="hyperlink"/>
      <w:u w:val="single"/>
    </w:rPr>
  </w:style>
  <w:style w:type="character" w:styleId="UnresolvedMention">
    <w:name w:val="Unresolved Mention"/>
    <w:basedOn w:val="DefaultParagraphFont"/>
    <w:uiPriority w:val="99"/>
    <w:semiHidden/>
    <w:unhideWhenUsed/>
    <w:rsid w:val="00CC2635"/>
    <w:rPr>
      <w:color w:val="605E5C"/>
      <w:shd w:val="clear" w:color="auto" w:fill="E1DFDD"/>
    </w:rPr>
  </w:style>
  <w:style w:type="paragraph" w:styleId="Revision">
    <w:name w:val="Revision"/>
    <w:hidden/>
    <w:uiPriority w:val="99"/>
    <w:semiHidden/>
    <w:rsid w:val="0085350C"/>
    <w:pPr>
      <w:spacing w:line="240" w:lineRule="auto"/>
    </w:pPr>
    <w:rPr>
      <w:noProof/>
      <w:lang w:val="fr-CA"/>
    </w:rPr>
  </w:style>
  <w:style w:type="paragraph" w:styleId="ListParagraph">
    <w:name w:val="List Paragraph"/>
    <w:basedOn w:val="Normal"/>
    <w:uiPriority w:val="34"/>
    <w:qFormat/>
    <w:rsid w:val="008C35AE"/>
    <w:pPr>
      <w:ind w:left="720"/>
      <w:contextualSpacing/>
    </w:pPr>
  </w:style>
  <w:style w:type="character" w:styleId="FollowedHyperlink">
    <w:name w:val="FollowedHyperlink"/>
    <w:basedOn w:val="DefaultParagraphFont"/>
    <w:uiPriority w:val="99"/>
    <w:semiHidden/>
    <w:unhideWhenUsed/>
    <w:rsid w:val="003E2295"/>
    <w:rPr>
      <w:color w:val="800080" w:themeColor="followedHyperlink"/>
      <w:u w:val="single"/>
    </w:rPr>
  </w:style>
  <w:style w:type="paragraph" w:styleId="TOCHeading">
    <w:name w:val="TOC Heading"/>
    <w:basedOn w:val="Heading1"/>
    <w:next w:val="Normal"/>
    <w:uiPriority w:val="39"/>
    <w:unhideWhenUsed/>
    <w:qFormat/>
    <w:rsid w:val="00901F53"/>
    <w:pPr>
      <w:spacing w:before="240" w:after="0" w:line="259" w:lineRule="auto"/>
      <w:outlineLvl w:val="9"/>
    </w:pPr>
    <w:rPr>
      <w:rFonts w:asciiTheme="majorHAnsi" w:eastAsiaTheme="majorEastAsia" w:hAnsiTheme="majorHAnsi" w:cstheme="majorBidi"/>
      <w:noProof w:val="0"/>
      <w:color w:val="365F91" w:themeColor="accent1" w:themeShade="BF"/>
      <w:sz w:val="32"/>
      <w:szCs w:val="32"/>
      <w:lang w:eastAsia="fr-CA"/>
    </w:rPr>
  </w:style>
  <w:style w:type="paragraph" w:styleId="TOC1">
    <w:name w:val="toc 1"/>
    <w:basedOn w:val="Normal"/>
    <w:next w:val="Normal"/>
    <w:autoRedefine/>
    <w:uiPriority w:val="39"/>
    <w:unhideWhenUsed/>
    <w:rsid w:val="00901F53"/>
    <w:pPr>
      <w:spacing w:after="100"/>
    </w:pPr>
  </w:style>
  <w:style w:type="paragraph" w:styleId="TOC2">
    <w:name w:val="toc 2"/>
    <w:basedOn w:val="Normal"/>
    <w:next w:val="Normal"/>
    <w:autoRedefine/>
    <w:uiPriority w:val="39"/>
    <w:unhideWhenUsed/>
    <w:rsid w:val="00901F53"/>
    <w:pPr>
      <w:spacing w:after="100"/>
      <w:ind w:left="220"/>
    </w:pPr>
  </w:style>
  <w:style w:type="paragraph" w:styleId="TOC3">
    <w:name w:val="toc 3"/>
    <w:basedOn w:val="Normal"/>
    <w:next w:val="Normal"/>
    <w:autoRedefine/>
    <w:uiPriority w:val="39"/>
    <w:unhideWhenUsed/>
    <w:rsid w:val="00901F53"/>
    <w:pPr>
      <w:spacing w:after="100"/>
      <w:ind w:left="440"/>
    </w:pPr>
  </w:style>
  <w:style w:type="character" w:customStyle="1" w:styleId="Heading3Char">
    <w:name w:val="Heading 3 Char"/>
    <w:basedOn w:val="DefaultParagraphFont"/>
    <w:link w:val="Heading3"/>
    <w:uiPriority w:val="9"/>
    <w:rsid w:val="00A9061F"/>
    <w:rPr>
      <w:noProof/>
      <w:color w:val="434343"/>
      <w:sz w:val="28"/>
      <w:szCs w:val="28"/>
      <w:lang w:val="fr-CA"/>
    </w:rPr>
  </w:style>
  <w:style w:type="character" w:customStyle="1" w:styleId="Heading4Char">
    <w:name w:val="Heading 4 Char"/>
    <w:basedOn w:val="DefaultParagraphFont"/>
    <w:link w:val="Heading4"/>
    <w:uiPriority w:val="9"/>
    <w:semiHidden/>
    <w:rsid w:val="00A9061F"/>
    <w:rPr>
      <w:noProof/>
      <w:color w:val="666666"/>
      <w:sz w:val="24"/>
      <w:szCs w:val="24"/>
      <w:lang w:val="fr-CA"/>
    </w:rPr>
  </w:style>
  <w:style w:type="character" w:customStyle="1" w:styleId="Heading5Char">
    <w:name w:val="Heading 5 Char"/>
    <w:basedOn w:val="DefaultParagraphFont"/>
    <w:link w:val="Heading5"/>
    <w:uiPriority w:val="9"/>
    <w:semiHidden/>
    <w:rsid w:val="00A9061F"/>
    <w:rPr>
      <w:noProof/>
      <w:color w:val="666666"/>
      <w:lang w:val="fr-CA"/>
    </w:rPr>
  </w:style>
  <w:style w:type="character" w:customStyle="1" w:styleId="Heading6Char">
    <w:name w:val="Heading 6 Char"/>
    <w:basedOn w:val="DefaultParagraphFont"/>
    <w:link w:val="Heading6"/>
    <w:uiPriority w:val="9"/>
    <w:semiHidden/>
    <w:rsid w:val="00A9061F"/>
    <w:rPr>
      <w:i/>
      <w:noProof/>
      <w:color w:val="666666"/>
      <w:lang w:val="fr-CA"/>
    </w:rPr>
  </w:style>
  <w:style w:type="character" w:customStyle="1" w:styleId="TitleChar">
    <w:name w:val="Title Char"/>
    <w:basedOn w:val="DefaultParagraphFont"/>
    <w:link w:val="Title"/>
    <w:uiPriority w:val="10"/>
    <w:rsid w:val="00A9061F"/>
    <w:rPr>
      <w:noProof/>
      <w:sz w:val="52"/>
      <w:szCs w:val="52"/>
      <w:lang w:val="fr-CA"/>
    </w:rPr>
  </w:style>
  <w:style w:type="paragraph" w:styleId="NormalWeb">
    <w:name w:val="Normal (Web)"/>
    <w:basedOn w:val="Normal"/>
    <w:uiPriority w:val="99"/>
    <w:semiHidden/>
    <w:unhideWhenUsed/>
    <w:rsid w:val="008C4B8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frdr-dfdr.ca/repo/" TargetMode="External"/><Relationship Id="rId18" Type="http://schemas.openxmlformats.org/officeDocument/2006/relationships/hyperlink" Target="https://fnigc.ca/fr/les-principes-de-pcap-des-premieres-nations/" TargetMode="External"/><Relationship Id="rId26" Type="http://schemas.openxmlformats.org/officeDocument/2006/relationships/hyperlink" Target="https://science.gc.ca/site/science/fr/protegez-votre-recherche/lignes-directrices-outils-pour-mise-oeuvre-securite-recherche/lignes-directrices-securite-nationale-pour-partenariats-recherche" TargetMode="External"/><Relationship Id="rId39" Type="http://schemas.openxmlformats.org/officeDocument/2006/relationships/hyperlink" Target="https://privacypatterns.org/" TargetMode="External"/><Relationship Id="rId21" Type="http://schemas.openxmlformats.org/officeDocument/2006/relationships/hyperlink" Target="https://doi.org/10.5281/zenodo.10626170" TargetMode="External"/><Relationship Id="rId34" Type="http://schemas.openxmlformats.org/officeDocument/2006/relationships/hyperlink" Target="https://www.icpsr.umich.edu/web/pages/ICPSR/access/restricted/" TargetMode="External"/><Relationship Id="rId42" Type="http://schemas.openxmlformats.org/officeDocument/2006/relationships/hyperlink" Target="https://doi.org/10.1139/facets-2023-0102" TargetMode="External"/><Relationship Id="rId47" Type="http://schemas.openxmlformats.org/officeDocument/2006/relationships/hyperlink" Target="https://doi.org/10.1093/nar/gkt1211" TargetMode="External"/><Relationship Id="rId50" Type="http://schemas.openxmlformats.org/officeDocument/2006/relationships/hyperlink" Target="https://doi.org/10.1038/s41597-022-01163-2" TargetMode="External"/><Relationship Id="rId55" Type="http://schemas.openxmlformats.org/officeDocument/2006/relationships/fontTable" Target="fontTable.xml"/><Relationship Id="rId7" Type="http://schemas.openxmlformats.org/officeDocument/2006/relationships/hyperlink" Target="https://www.zotero.org/groups/5616282/camrdi" TargetMode="External"/><Relationship Id="rId2" Type="http://schemas.openxmlformats.org/officeDocument/2006/relationships/styles" Target="styles.xml"/><Relationship Id="rId16" Type="http://schemas.openxmlformats.org/officeDocument/2006/relationships/hyperlink" Target="https://www.deceptive.design/types" TargetMode="External"/><Relationship Id="rId29" Type="http://schemas.openxmlformats.org/officeDocument/2006/relationships/hyperlink" Target="https://www.cyber.gc.ca/fr/orientation/protection-linformation-controlee-organisations-systemes-ne-relevant-pas-gouvernement-canada-itsp10171" TargetMode="External"/><Relationship Id="rId11" Type="http://schemas.openxmlformats.org/officeDocument/2006/relationships/hyperlink" Target="https://documentation.cadre.ada.edu.au/" TargetMode="External"/><Relationship Id="rId24" Type="http://schemas.openxmlformats.org/officeDocument/2006/relationships/hyperlink" Target="https://science.gc.ca/site/science/fr/financement-interorganismes-recherche/politiques-lignes-directrices/gestion-donnees-recherche/politique-trois-organismes-gestion-donnees-recherche" TargetMode="External"/><Relationship Id="rId32" Type="http://schemas.openxmlformats.org/officeDocument/2006/relationships/hyperlink" Target="https://ethics.gc.ca/fra/policy-politique_tcps2-eptc2_2022.html" TargetMode="External"/><Relationship Id="rId37" Type="http://schemas.openxmlformats.org/officeDocument/2006/relationships/hyperlink" Target="https://doi.org/10.1016/j.techfore.2023.122515" TargetMode="External"/><Relationship Id="rId40" Type="http://schemas.openxmlformats.org/officeDocument/2006/relationships/hyperlink" Target="https://qdr.syr.edu/about" TargetMode="External"/><Relationship Id="rId45" Type="http://schemas.openxmlformats.org/officeDocument/2006/relationships/hyperlink" Target="https://doi.org/10.3390/cryptography3010003" TargetMode="External"/><Relationship Id="rId53" Type="http://schemas.openxmlformats.org/officeDocument/2006/relationships/hyperlink" Target="https://www.zotero.org/groups/5616282/camrdi" TargetMode="External"/><Relationship Id="rId5" Type="http://schemas.openxmlformats.org/officeDocument/2006/relationships/footnotes" Target="footnotes.xml"/><Relationship Id="rId10" Type="http://schemas.openxmlformats.org/officeDocument/2006/relationships/hyperlink" Target="https://www.bristol.ac.uk/staff/researchers/data/publishing-research-data/" TargetMode="External"/><Relationship Id="rId19" Type="http://schemas.openxmlformats.org/officeDocument/2006/relationships/hyperlink" Target="https://fnigc.ca/wp-content/uploads/2022/09/FNIGC_Discussion_Paper_IM_Regime_Data_Sovereignty_EN.pdf" TargetMode="External"/><Relationship Id="rId31" Type="http://schemas.openxmlformats.org/officeDocument/2006/relationships/hyperlink" Target="https://ethics.gc.ca/eng/depositing_depots.html" TargetMode="External"/><Relationship Id="rId44" Type="http://schemas.openxmlformats.org/officeDocument/2006/relationships/hyperlink" Target="https://doi.org/10.5281/ZENODO.13900843" TargetMode="External"/><Relationship Id="rId52"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qdr.syr.edu/" TargetMode="External"/><Relationship Id="rId14" Type="http://schemas.openxmlformats.org/officeDocument/2006/relationships/hyperlink" Target="https://doi.org/10.1145/3479645.3479699" TargetMode="External"/><Relationship Id="rId22" Type="http://schemas.openxmlformats.org/officeDocument/2006/relationships/hyperlink" Target="https://www.ipc.on.ca/sites/default/files/legacy/2018/01/pbd-1.pdf" TargetMode="External"/><Relationship Id="rId27" Type="http://schemas.openxmlformats.org/officeDocument/2006/relationships/hyperlink" Target="https://science.gc.ca/site/science/fr/protegez-votre-recherche/lignes-directrices-outils-pour-mise-oeuvre-securite-recherche/recherche-technologies-sensibles-affiliations-preoccupantes/politique-recherche-technologies-sensibles-affiliations-preoccupantes" TargetMode="External"/><Relationship Id="rId30" Type="http://schemas.openxmlformats.org/officeDocument/2006/relationships/hyperlink" Target="https://doi.org/10.5281/zenodo.4088946" TargetMode="External"/><Relationship Id="rId35" Type="http://schemas.openxmlformats.org/officeDocument/2006/relationships/hyperlink" Target="file:///C:\Users\user\Downloads\" TargetMode="External"/><Relationship Id="rId43" Type="http://schemas.openxmlformats.org/officeDocument/2006/relationships/hyperlink" Target="https://doi.org/10.7191/jeslib.907" TargetMode="External"/><Relationship Id="rId48" Type="http://schemas.openxmlformats.org/officeDocument/2006/relationships/hyperlink" Target="https://doi.org/10.1108/SCM-11-2023-0585" TargetMode="External"/><Relationship Id="rId56" Type="http://schemas.openxmlformats.org/officeDocument/2006/relationships/theme" Target="theme/theme1.xml"/><Relationship Id="rId8" Type="http://schemas.openxmlformats.org/officeDocument/2006/relationships/hyperlink" Target="https://www.icpsr.umich.edu/" TargetMode="External"/><Relationship Id="rId51" Type="http://schemas.openxmlformats.org/officeDocument/2006/relationships/hyperlink" Target="https://doi.org/10.1038/sdata.2016.18" TargetMode="External"/><Relationship Id="rId3" Type="http://schemas.openxmlformats.org/officeDocument/2006/relationships/settings" Target="settings.xml"/><Relationship Id="rId12" Type="http://schemas.openxmlformats.org/officeDocument/2006/relationships/hyperlink" Target="https://www.ncbi.nlm.nih.gov/gap/" TargetMode="External"/><Relationship Id="rId17" Type="http://schemas.openxmlformats.org/officeDocument/2006/relationships/hyperlink" Target="https://doi.org/10.5334/dsj-2020-043" TargetMode="External"/><Relationship Id="rId25" Type="http://schemas.openxmlformats.org/officeDocument/2006/relationships/hyperlink" Target="https://www.canada.ca/fr/sante-canada/services/essais-cliniques/avis-reduction-periode-conservation-registres-essais-cliniques-medicaments-produits-sante-naturels.html" TargetMode="External"/><Relationship Id="rId33" Type="http://schemas.openxmlformats.org/officeDocument/2006/relationships/hyperlink" Target="https://rcr.ethics.gc.ca/fra/framework-cadre-2021.html" TargetMode="External"/><Relationship Id="rId38" Type="http://schemas.openxmlformats.org/officeDocument/2006/relationships/hyperlink" Target="https://press.anu.edu.au/publications/series/caepr/indigenous-data-sovereignty" TargetMode="External"/><Relationship Id="rId46" Type="http://schemas.openxmlformats.org/officeDocument/2006/relationships/hyperlink" Target="https://doi.org/10.1093/nar/gkae410" TargetMode="External"/><Relationship Id="rId20" Type="http://schemas.openxmlformats.org/officeDocument/2006/relationships/hyperlink" Target="https://git-scm.com/book/en/v2" TargetMode="External"/><Relationship Id="rId41" Type="http://schemas.openxmlformats.org/officeDocument/2006/relationships/hyperlink" Target="https://qdr.syr.edu/guidance/human-participants/access-controls" TargetMode="External"/><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oha.com/Legislative%20and%20Legal%20Issues%20Documents1/Records%20Retention%20Toolkit,%20September%202022.pdf" TargetMode="External"/><Relationship Id="rId23" Type="http://schemas.openxmlformats.org/officeDocument/2006/relationships/hyperlink" Target="https://doi.org/10.1186/1471-2105-12-71" TargetMode="External"/><Relationship Id="rId28" Type="http://schemas.openxmlformats.org/officeDocument/2006/relationships/hyperlink" Target="https://science.gc.ca/site/science/fr/protegez-votre-recherche/lignes-directrices-outils-pour-mise-oeuvre-securite-recherche/recherche-technologies-sensibles-affiliations-preoccupantes/domaines-recherche-technologies-sensibles" TargetMode="External"/><Relationship Id="rId36" Type="http://schemas.openxmlformats.org/officeDocument/2006/relationships/hyperlink" Target="https://www.isber.org/page/BPR" TargetMode="External"/><Relationship Id="rId49" Type="http://schemas.openxmlformats.org/officeDocument/2006/relationships/hyperlink" Target="https://www.bristol.ac.uk/staff/researchers/data/publishing-research-data/publishing-data-under-access-restriction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18772</Words>
  <Characters>107003</Characters>
  <Application>Microsoft Office Word</Application>
  <DocSecurity>0</DocSecurity>
  <Lines>891</Lines>
  <Paragraphs>251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Eugehne</dc:creator>
  <cp:lastModifiedBy>Lucy  Shen</cp:lastModifiedBy>
  <cp:revision>2</cp:revision>
  <dcterms:created xsi:type="dcterms:W3CDTF">2025-09-15T17:00:00Z</dcterms:created>
  <dcterms:modified xsi:type="dcterms:W3CDTF">2025-09-15T17:00:00Z</dcterms:modified>
</cp:coreProperties>
</file>