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9FD5E" w14:textId="4D0D6E4B" w:rsidR="008F6F91" w:rsidRDefault="000B031A" w:rsidP="008F6F91">
      <w:pPr>
        <w:spacing w:after="0"/>
        <w:rPr>
          <w:b/>
          <w:bCs/>
        </w:rPr>
      </w:pPr>
      <w:r>
        <w:rPr>
          <w:b/>
          <w:bCs/>
        </w:rPr>
        <w:t>Cascading Pathways in Autism: A New Clinical Lens on Early Pediatric Intervention</w:t>
      </w:r>
    </w:p>
    <w:p w14:paraId="0509F29E" w14:textId="77777777" w:rsidR="008F6F91" w:rsidRDefault="008F6F91" w:rsidP="008F6F91">
      <w:pPr>
        <w:spacing w:after="0"/>
        <w:rPr>
          <w:b/>
          <w:bCs/>
        </w:rPr>
      </w:pPr>
    </w:p>
    <w:p w14:paraId="64ABF871" w14:textId="77777777" w:rsidR="008F6F91" w:rsidRDefault="008F6F91" w:rsidP="008F6F91">
      <w:pPr>
        <w:spacing w:after="0"/>
      </w:pPr>
      <w:r w:rsidRPr="00EF76A3">
        <w:rPr>
          <w:b/>
          <w:bCs/>
        </w:rPr>
        <w:t>Keywords:</w:t>
      </w:r>
      <w:r w:rsidRPr="00EF76A3">
        <w:t xml:space="preserve"> Autism spectrum disorder; β-casomorphin-7; microbiome; neuroimmune activation; blood–brain barrier; prevention</w:t>
      </w:r>
      <w:r>
        <w:t>; pediatric preventive care</w:t>
      </w:r>
      <w:r w:rsidRPr="00EF76A3">
        <w:t xml:space="preserve"> </w:t>
      </w:r>
    </w:p>
    <w:p w14:paraId="3467053B" w14:textId="2D948B7B" w:rsidR="008F6F91" w:rsidRPr="00EF76A3" w:rsidRDefault="008F6F91" w:rsidP="008F6F91">
      <w:r w:rsidRPr="00EF76A3">
        <w:rPr>
          <w:b/>
          <w:bCs/>
        </w:rPr>
        <w:t>Word count:</w:t>
      </w:r>
      <w:r w:rsidRPr="00EF76A3">
        <w:t xml:space="preserve"> </w:t>
      </w:r>
      <w:r w:rsidR="006C6189">
        <w:t>3002</w:t>
      </w:r>
    </w:p>
    <w:p w14:paraId="14390037" w14:textId="77777777" w:rsidR="008F6F91" w:rsidRDefault="008F6F91" w:rsidP="008F6F91">
      <w:pPr>
        <w:rPr>
          <w:b/>
          <w:bCs/>
        </w:rPr>
      </w:pPr>
    </w:p>
    <w:p w14:paraId="6014EE2D" w14:textId="77777777" w:rsidR="008F6F91" w:rsidRDefault="008F6F91" w:rsidP="008F6F91">
      <w:pPr>
        <w:spacing w:after="0"/>
      </w:pPr>
      <w:r w:rsidRPr="008F6F91">
        <w:rPr>
          <w:b/>
          <w:bCs/>
        </w:rPr>
        <w:t>Abstract</w:t>
      </w:r>
      <w:r w:rsidRPr="008F6F91">
        <w:t xml:space="preserve"> </w:t>
      </w:r>
    </w:p>
    <w:p w14:paraId="626FAA3F" w14:textId="4D8206A0" w:rsidR="008F6F91" w:rsidRDefault="008F6F91" w:rsidP="008F6F91">
      <w:pPr>
        <w:spacing w:after="0"/>
      </w:pPr>
      <w:r w:rsidRPr="008F6F91">
        <w:rPr>
          <w:b/>
          <w:bCs/>
        </w:rPr>
        <w:t>Background:</w:t>
      </w:r>
      <w:r w:rsidRPr="008F6F91">
        <w:t xml:space="preserve"> Autism spectrum disorder (ASD) </w:t>
      </w:r>
      <w:r w:rsidR="00C3104F">
        <w:t>can</w:t>
      </w:r>
      <w:r w:rsidRPr="008F6F91">
        <w:t xml:space="preserve"> arise from interconnected biological pathways linking diet, the gut microbiome, barrier integrity, and neuroimmune activation. </w:t>
      </w:r>
      <w:r w:rsidRPr="008F6F91">
        <w:rPr>
          <w:b/>
          <w:bCs/>
        </w:rPr>
        <w:t>Objective:</w:t>
      </w:r>
      <w:r w:rsidRPr="008F6F91">
        <w:t xml:space="preserve"> We present the autism cascade hypothesis, proposing that </w:t>
      </w:r>
      <w:r w:rsidR="00FC1818">
        <w:t xml:space="preserve">the </w:t>
      </w:r>
      <w:r w:rsidRPr="008F6F91">
        <w:t>digestion of A1 β</w:t>
      </w:r>
      <w:r w:rsidRPr="008F6F91">
        <w:noBreakHyphen/>
        <w:t>casein releases β</w:t>
      </w:r>
      <w:r w:rsidR="00124883">
        <w:t>-</w:t>
      </w:r>
      <w:r w:rsidRPr="008F6F91">
        <w:t>casomorphin7 (BCM</w:t>
      </w:r>
      <w:r w:rsidRPr="008F6F91">
        <w:noBreakHyphen/>
        <w:t>7). Reduced microbial dipeptidyl peptidase IV activity prolongs systemic BCM</w:t>
      </w:r>
      <w:r w:rsidRPr="008F6F91">
        <w:noBreakHyphen/>
        <w:t>7 exposure</w:t>
      </w:r>
      <w:r w:rsidR="00DF0699">
        <w:t>. At the same time,</w:t>
      </w:r>
      <w:r w:rsidRPr="008F6F91">
        <w:t xml:space="preserve"> </w:t>
      </w:r>
      <w:r w:rsidR="00DF0699">
        <w:t>dysbiosis-induced</w:t>
      </w:r>
      <w:r w:rsidRPr="008F6F91">
        <w:t xml:space="preserve"> barrier permeability facilitates the translocation of peptides and cytokines into the developing brain, priming microglial activation and altering neurodevelopmental signaling. </w:t>
      </w:r>
    </w:p>
    <w:p w14:paraId="51BC899F" w14:textId="17BA4A2E" w:rsidR="008F6F91" w:rsidRDefault="008F6F91" w:rsidP="008F6F91">
      <w:pPr>
        <w:spacing w:after="0"/>
      </w:pPr>
      <w:r w:rsidRPr="008F6F91">
        <w:rPr>
          <w:b/>
          <w:bCs/>
        </w:rPr>
        <w:t>Methods:</w:t>
      </w:r>
      <w:r w:rsidRPr="008F6F91">
        <w:t xml:space="preserve"> This commentary synthesizes evidence from pediatric nutrition, microbiology, immunology, and neurology</w:t>
      </w:r>
      <w:r w:rsidR="009E2B99">
        <w:t xml:space="preserve"> studies</w:t>
      </w:r>
      <w:r w:rsidRPr="008F6F91">
        <w:t xml:space="preserve"> to evaluate the mechanistic plausibility and clinical relevance of th</w:t>
      </w:r>
      <w:r w:rsidR="003C0F13">
        <w:t>is</w:t>
      </w:r>
      <w:r w:rsidRPr="008F6F91">
        <w:t xml:space="preserve"> hypothesis. </w:t>
      </w:r>
    </w:p>
    <w:p w14:paraId="7E3A50A6" w14:textId="0FD2109B" w:rsidR="008F6F91" w:rsidRDefault="008F6F91" w:rsidP="008F6F91">
      <w:pPr>
        <w:spacing w:after="0"/>
      </w:pPr>
      <w:r w:rsidRPr="008F6F91">
        <w:rPr>
          <w:b/>
          <w:bCs/>
        </w:rPr>
        <w:t>Results:</w:t>
      </w:r>
      <w:r w:rsidRPr="008F6F91">
        <w:t xml:space="preserve"> The model identifie</w:t>
      </w:r>
      <w:r w:rsidR="006925CA">
        <w:t>d</w:t>
      </w:r>
      <w:r w:rsidRPr="008F6F91">
        <w:t xml:space="preserve"> a </w:t>
      </w:r>
      <w:r w:rsidR="00DF0699">
        <w:t>high-risk</w:t>
      </w:r>
      <w:r w:rsidRPr="008F6F91">
        <w:t xml:space="preserve"> infant profile and outline</w:t>
      </w:r>
      <w:r w:rsidR="009425A9">
        <w:t xml:space="preserve">d </w:t>
      </w:r>
      <w:r w:rsidRPr="008F6F91">
        <w:t>early</w:t>
      </w:r>
      <w:r w:rsidRPr="008F6F91">
        <w:noBreakHyphen/>
        <w:t xml:space="preserve">life strategies, including dietary guidance, gastrointestinal health assessment, and microbiome support, as potential means to modulate neuroimmune responses during critical developmental </w:t>
      </w:r>
      <w:r w:rsidR="008A2AD4">
        <w:t>stages.</w:t>
      </w:r>
    </w:p>
    <w:p w14:paraId="5EB35C36" w14:textId="1E34EAAA" w:rsidR="008F6F91" w:rsidRDefault="008F6F91" w:rsidP="008F6F91">
      <w:pPr>
        <w:spacing w:after="0"/>
      </w:pPr>
      <w:r w:rsidRPr="008F6F91">
        <w:rPr>
          <w:b/>
          <w:bCs/>
        </w:rPr>
        <w:t>Conclusions:</w:t>
      </w:r>
      <w:r w:rsidRPr="008F6F91">
        <w:t xml:space="preserve"> By framing the gut–brain axis as a modifiable pathway, this hypothesis encourages targeted research into nutritional, microbial, and immune</w:t>
      </w:r>
      <w:r w:rsidRPr="008F6F91">
        <w:noBreakHyphen/>
        <w:t>modulatory interventions that could inform preventive strategies for ASD in pediatric practice.</w:t>
      </w:r>
    </w:p>
    <w:p w14:paraId="15DBA841" w14:textId="77777777" w:rsidR="008F6F91" w:rsidRDefault="008F6F91" w:rsidP="008F6F91">
      <w:pPr>
        <w:spacing w:after="0"/>
      </w:pPr>
    </w:p>
    <w:p w14:paraId="6883CC24" w14:textId="77777777" w:rsidR="008F6F91" w:rsidRDefault="008F6F91" w:rsidP="008F6F91">
      <w:pPr>
        <w:spacing w:after="0"/>
      </w:pPr>
    </w:p>
    <w:p w14:paraId="3A7A143F" w14:textId="77777777" w:rsidR="008F6F91" w:rsidRPr="008F6F91" w:rsidRDefault="008F6F91" w:rsidP="008F6F91">
      <w:pPr>
        <w:spacing w:after="0"/>
      </w:pPr>
    </w:p>
    <w:p w14:paraId="0481F959" w14:textId="77777777" w:rsidR="008F6F91" w:rsidRDefault="008F6F91" w:rsidP="008F6F91">
      <w:pPr>
        <w:spacing w:after="0"/>
      </w:pPr>
      <w:r w:rsidRPr="008F6F91">
        <w:rPr>
          <w:b/>
          <w:bCs/>
        </w:rPr>
        <w:t>Introduction</w:t>
      </w:r>
      <w:r w:rsidRPr="008F6F91">
        <w:t xml:space="preserve"> </w:t>
      </w:r>
    </w:p>
    <w:p w14:paraId="21E57C7B" w14:textId="66E054B5" w:rsidR="008F6F91" w:rsidRPr="008F6F91" w:rsidRDefault="008F6F91" w:rsidP="008F6F91">
      <w:pPr>
        <w:spacing w:after="0"/>
      </w:pPr>
      <w:r w:rsidRPr="008F6F91">
        <w:t>Autism spectrum disorder (ASD) is a complex neurodevelopmental condition characterized by persistent deficits in social communication and restricted, repetitive patterns of behavior, with onset in early childhood. Its etiology is multifactorial, involving genetic, epigenetic, environmental, and immunological factors that interact during critical windows of neurodevelopment (1,2). Increasing attention has been paid to the gut–brain axis as a potential mediator between early</w:t>
      </w:r>
      <w:r w:rsidRPr="008F6F91">
        <w:noBreakHyphen/>
        <w:t>life exposures and ASD risk, with the gut microbiome emerging as a key modulator of immune, metabolic, and neurobehavioral processes (3–5).</w:t>
      </w:r>
    </w:p>
    <w:p w14:paraId="7BE52DA2" w14:textId="6E7139CD" w:rsidR="008F6F91" w:rsidRPr="008F6F91" w:rsidRDefault="008F6F91" w:rsidP="008F6F91">
      <w:r w:rsidRPr="008F6F91">
        <w:t xml:space="preserve">Among </w:t>
      </w:r>
      <w:r w:rsidR="00F0384F">
        <w:t xml:space="preserve">the </w:t>
      </w:r>
      <w:r w:rsidRPr="008F6F91">
        <w:t xml:space="preserve">dietary factors, </w:t>
      </w:r>
      <w:r w:rsidR="00CB082A">
        <w:t>β-casomorphin</w:t>
      </w:r>
      <w:r w:rsidRPr="008F6F91">
        <w:noBreakHyphen/>
        <w:t>7 (BCM</w:t>
      </w:r>
      <w:r w:rsidRPr="008F6F91">
        <w:noBreakHyphen/>
        <w:t>7)</w:t>
      </w:r>
      <w:r w:rsidR="0007724B">
        <w:t>,</w:t>
      </w:r>
      <w:r w:rsidR="00C42EE5">
        <w:t xml:space="preserve"> </w:t>
      </w:r>
      <w:r w:rsidRPr="008F6F91">
        <w:t xml:space="preserve">an opioid peptide released during </w:t>
      </w:r>
      <w:r w:rsidR="00CB082A">
        <w:t xml:space="preserve">the </w:t>
      </w:r>
      <w:r w:rsidRPr="008F6F91">
        <w:t>digestion of A1 β</w:t>
      </w:r>
      <w:r w:rsidRPr="008F6F91">
        <w:noBreakHyphen/>
        <w:t>casein in cow milk</w:t>
      </w:r>
      <w:r w:rsidR="00C42EE5">
        <w:t xml:space="preserve">, </w:t>
      </w:r>
      <w:r w:rsidRPr="008F6F91">
        <w:t xml:space="preserve">has been identified as neuroactive and </w:t>
      </w:r>
      <w:r w:rsidRPr="008F6F91">
        <w:lastRenderedPageBreak/>
        <w:t>immunomodulatory, capable of influencing gastrointestinal motility, intestinal permeability, and neuroinflammatory pathways (6–8). Elevated serum BCM</w:t>
      </w:r>
      <w:r w:rsidRPr="008F6F91">
        <w:noBreakHyphen/>
        <w:t>7 levels have been reported in children with ASD (9), and experimental studies suggest that BCM</w:t>
      </w:r>
      <w:r w:rsidRPr="008F6F91">
        <w:noBreakHyphen/>
        <w:t xml:space="preserve">7 can alter tight junction integrity in the gut epithelium and blood–brain barrier (BBB) (10,11). The European Food Safety Authority has noted </w:t>
      </w:r>
      <w:r w:rsidR="00F823D7">
        <w:t xml:space="preserve">the </w:t>
      </w:r>
      <w:r w:rsidRPr="008F6F91">
        <w:t xml:space="preserve">potential health impacts of </w:t>
      </w:r>
      <w:r w:rsidR="00CB082A">
        <w:t>β-casomorphins</w:t>
      </w:r>
      <w:r w:rsidRPr="008F6F91">
        <w:t xml:space="preserve">, particularly in vulnerable populations (12). These findings align with broader evidence linking early nutritional exposures to </w:t>
      </w:r>
      <w:r w:rsidR="00CB082A">
        <w:t>long-term neurodevelopmental outcomes (13, 14</w:t>
      </w:r>
      <w:r w:rsidRPr="008F6F91">
        <w:t>).</w:t>
      </w:r>
    </w:p>
    <w:p w14:paraId="22148D79" w14:textId="6283ED75" w:rsidR="008F6F91" w:rsidRPr="008F6F91" w:rsidRDefault="008F6F91" w:rsidP="008F6F91">
      <w:r w:rsidRPr="008F6F91">
        <w:t>The neonatal period is a critical window for gut microbiome establishment</w:t>
      </w:r>
      <w:r w:rsidR="0068426E">
        <w:t xml:space="preserve"> and is</w:t>
      </w:r>
      <w:r w:rsidRPr="008F6F91">
        <w:t xml:space="preserve"> influenced by </w:t>
      </w:r>
      <w:r w:rsidR="00962A68">
        <w:t xml:space="preserve">the </w:t>
      </w:r>
      <w:r w:rsidRPr="008F6F91">
        <w:t>delivery mode, feeding practices, antibiotic exposure, and environmental contacts (15–17). Exclusive formula feeding has been associated with altered microbial colonization patterns and reduced enzymatic capacity to degrade BCM</w:t>
      </w:r>
      <w:r w:rsidRPr="008F6F91">
        <w:noBreakHyphen/>
        <w:t xml:space="preserve">7, potentially accelerating barrier dysfunction and microglial activation (18). Early antibiotic use can disrupt microbial communities, increase intestinal permeability, and impair BBB integrity, with downstream effects on neuroimmune signaling (19). Certain vaccinations, while essential for preventing infectious diseases, represent controlled immune challenges that may transiently elevate </w:t>
      </w:r>
      <w:r w:rsidR="00CB082A">
        <w:t>pro-inflammatory</w:t>
      </w:r>
      <w:r w:rsidRPr="008F6F91">
        <w:t xml:space="preserve"> mediators; in the context of compromised barriers, these could theoretically amplify neuroinflammatory cascades (20,21). Although large epidemiological studies have found no causal link between vaccination and ASD (22), the interplay </w:t>
      </w:r>
      <w:r w:rsidR="00C11154">
        <w:t xml:space="preserve">between </w:t>
      </w:r>
      <w:r w:rsidRPr="008F6F91">
        <w:t>early immune activation, barrier function, and neurodevelopment remains an area of active investigation (23).</w:t>
      </w:r>
    </w:p>
    <w:p w14:paraId="09842AE9" w14:textId="762360EE" w:rsidR="008F6F91" w:rsidRDefault="008F6F91" w:rsidP="008F6F91">
      <w:r w:rsidRPr="008F6F91">
        <w:t>This article proposes a theoretical autism cascade model linking three early</w:t>
      </w:r>
      <w:r w:rsidRPr="008F6F91">
        <w:noBreakHyphen/>
        <w:t>life exposures—exclusive formula feeding, early antibiotic use, and certain vaccinations—to ASD risk through microbiota alterations, barrier dysfunction, and neuroinflammation. The model integrates evidence from microbiology, immunology, and neuroscience to outline a plausible biological pathway from peripheral exposure to central nervous system effects, with the aim of guiding future longitudinal and interventional research.</w:t>
      </w:r>
    </w:p>
    <w:p w14:paraId="0EB6BA55" w14:textId="77777777" w:rsidR="008F6F91" w:rsidRPr="008F6F91" w:rsidRDefault="008F6F91" w:rsidP="008F6F91"/>
    <w:p w14:paraId="367C9705" w14:textId="77777777" w:rsidR="008F6F91" w:rsidRDefault="008F6F91" w:rsidP="008F6F91">
      <w:pPr>
        <w:spacing w:after="0"/>
        <w:rPr>
          <w:b/>
          <w:bCs/>
        </w:rPr>
      </w:pPr>
      <w:r w:rsidRPr="008F6F91">
        <w:rPr>
          <w:b/>
          <w:bCs/>
        </w:rPr>
        <w:t>Methods</w:t>
      </w:r>
    </w:p>
    <w:p w14:paraId="2E6ED8DB" w14:textId="6547247F" w:rsidR="008F6F91" w:rsidRDefault="008F6F91" w:rsidP="008F6F91">
      <w:pPr>
        <w:spacing w:after="0"/>
      </w:pPr>
      <w:r w:rsidRPr="008F6F91">
        <w:t xml:space="preserve">This study constructs a theoretical autism cascade model by synthesizing </w:t>
      </w:r>
      <w:r w:rsidR="00D700AD">
        <w:t xml:space="preserve">the </w:t>
      </w:r>
      <w:r w:rsidRPr="008F6F91">
        <w:t>existing literature on early</w:t>
      </w:r>
      <w:r w:rsidRPr="008F6F91">
        <w:noBreakHyphen/>
        <w:t>life exposure, gut microbiota development, barrier integrity, and neuroimmune interactions. The approach follow</w:t>
      </w:r>
      <w:r w:rsidR="00B04C23">
        <w:t>ed</w:t>
      </w:r>
      <w:r w:rsidRPr="008F6F91">
        <w:t xml:space="preserve"> </w:t>
      </w:r>
      <w:r w:rsidR="008D16FB">
        <w:t xml:space="preserve">the </w:t>
      </w:r>
      <w:r w:rsidRPr="008F6F91">
        <w:t>established frameworks for conceptual model building in biomedical research (1,2).</w:t>
      </w:r>
    </w:p>
    <w:p w14:paraId="3B4DBBE1" w14:textId="77777777" w:rsidR="008F6F91" w:rsidRPr="008F6F91" w:rsidRDefault="008F6F91" w:rsidP="008F6F91">
      <w:pPr>
        <w:spacing w:after="0"/>
      </w:pPr>
    </w:p>
    <w:p w14:paraId="781AC830" w14:textId="77777777" w:rsidR="008F6F91" w:rsidRDefault="008F6F91" w:rsidP="008F6F91">
      <w:pPr>
        <w:spacing w:after="0"/>
      </w:pPr>
      <w:r w:rsidRPr="008F6F91">
        <w:rPr>
          <w:b/>
          <w:bCs/>
        </w:rPr>
        <w:t>Scope of Literature Review</w:t>
      </w:r>
      <w:r w:rsidRPr="008F6F91">
        <w:t xml:space="preserve"> </w:t>
      </w:r>
    </w:p>
    <w:p w14:paraId="6D82037A" w14:textId="66C1739C" w:rsidR="008F6F91" w:rsidRDefault="008F6F91" w:rsidP="008F6F91">
      <w:pPr>
        <w:spacing w:after="0"/>
      </w:pPr>
      <w:r w:rsidRPr="008F6F91">
        <w:t xml:space="preserve">We searched PubMed, Scopus, and Web of Science for studies published </w:t>
      </w:r>
      <w:r w:rsidR="00DD0E43">
        <w:t xml:space="preserve">from </w:t>
      </w:r>
      <w:r w:rsidRPr="008F6F91">
        <w:t xml:space="preserve">2000 </w:t>
      </w:r>
      <w:r w:rsidR="00DD0E43">
        <w:t xml:space="preserve">to </w:t>
      </w:r>
      <w:r w:rsidRPr="008F6F91">
        <w:t xml:space="preserve">2025 using combinations of keywords including autism spectrum disorder, gut </w:t>
      </w:r>
      <w:r w:rsidRPr="008F6F91">
        <w:lastRenderedPageBreak/>
        <w:t xml:space="preserve">microbiome, </w:t>
      </w:r>
      <w:r w:rsidR="00CB082A">
        <w:t>β-casomorphin</w:t>
      </w:r>
      <w:r w:rsidRPr="008F6F91">
        <w:noBreakHyphen/>
        <w:t>7, blood–brain barrier, formula feeding, antibiotics, and vaccination.</w:t>
      </w:r>
      <w:r w:rsidR="004546EC">
        <w:t xml:space="preserve"> The i</w:t>
      </w:r>
      <w:r w:rsidRPr="008F6F91">
        <w:t>nclusion criteria were</w:t>
      </w:r>
      <w:r w:rsidR="00BC7B83">
        <w:t xml:space="preserve"> as follows</w:t>
      </w:r>
      <w:r w:rsidR="000D683D">
        <w:t xml:space="preserve">: </w:t>
      </w:r>
      <w:r w:rsidRPr="008F6F91">
        <w:t>(i) human or relevant animal studies</w:t>
      </w:r>
      <w:r w:rsidR="007835C3">
        <w:t>,</w:t>
      </w:r>
      <w:r w:rsidRPr="008F6F91">
        <w:t xml:space="preserve"> (ii) exposure</w:t>
      </w:r>
      <w:r w:rsidR="009C1274">
        <w:t xml:space="preserve"> </w:t>
      </w:r>
      <w:r w:rsidRPr="008F6F91">
        <w:t>from birth to 12 months</w:t>
      </w:r>
      <w:r w:rsidR="009C1274">
        <w:t>,</w:t>
      </w:r>
      <w:r w:rsidRPr="008F6F91">
        <w:t xml:space="preserve"> and (iii) outcomes related to gut microbiota composition, barrier function, immune activation, or neurodevelopment. Reviews, </w:t>
      </w:r>
      <w:r w:rsidR="00CB082A">
        <w:t>meta-analyses</w:t>
      </w:r>
      <w:r w:rsidRPr="008F6F91">
        <w:t>, and authoritative reports were included to provide</w:t>
      </w:r>
      <w:r w:rsidR="00C948D3">
        <w:t xml:space="preserve"> a</w:t>
      </w:r>
      <w:r w:rsidR="00CB082A">
        <w:t xml:space="preserve"> </w:t>
      </w:r>
      <w:r w:rsidRPr="008F6F91">
        <w:t>mechanistic context (3–5).</w:t>
      </w:r>
    </w:p>
    <w:p w14:paraId="325883F1" w14:textId="77777777" w:rsidR="008F6F91" w:rsidRPr="008F6F91" w:rsidRDefault="008F6F91" w:rsidP="008F6F91">
      <w:pPr>
        <w:spacing w:after="0"/>
      </w:pPr>
    </w:p>
    <w:p w14:paraId="1E6349D9" w14:textId="77777777" w:rsidR="008F6F91" w:rsidRDefault="008F6F91" w:rsidP="008F6F91">
      <w:pPr>
        <w:spacing w:after="0"/>
        <w:rPr>
          <w:b/>
          <w:bCs/>
        </w:rPr>
      </w:pPr>
      <w:r w:rsidRPr="008F6F91">
        <w:rPr>
          <w:b/>
          <w:bCs/>
        </w:rPr>
        <w:t>Selection of Early</w:t>
      </w:r>
      <w:r w:rsidRPr="008F6F91">
        <w:rPr>
          <w:b/>
          <w:bCs/>
        </w:rPr>
        <w:noBreakHyphen/>
        <w:t>Life Exposures</w:t>
      </w:r>
    </w:p>
    <w:p w14:paraId="2FCC48D2" w14:textId="08CA7DAF" w:rsidR="008F6F91" w:rsidRDefault="008F6F91" w:rsidP="008F6F91">
      <w:pPr>
        <w:spacing w:after="0"/>
      </w:pPr>
      <w:r w:rsidRPr="008F6F91">
        <w:t>Three exposures were selected based on frequency in the literature and biological plausibility:</w:t>
      </w:r>
    </w:p>
    <w:p w14:paraId="6943EFC5" w14:textId="77777777" w:rsidR="008F6F91" w:rsidRPr="008F6F91" w:rsidRDefault="008F6F91" w:rsidP="008F6F91">
      <w:pPr>
        <w:spacing w:after="0"/>
      </w:pPr>
    </w:p>
    <w:p w14:paraId="4B127089" w14:textId="74581729" w:rsidR="008F6F91" w:rsidRPr="008F6F91" w:rsidRDefault="008F6F91" w:rsidP="008F6F91">
      <w:pPr>
        <w:numPr>
          <w:ilvl w:val="0"/>
          <w:numId w:val="1"/>
        </w:numPr>
      </w:pPr>
      <w:r w:rsidRPr="008F6F91">
        <w:rPr>
          <w:b/>
          <w:bCs/>
        </w:rPr>
        <w:t>Exclusive formula feeding</w:t>
      </w:r>
      <w:r w:rsidRPr="008F6F91">
        <w:t xml:space="preserve"> </w:t>
      </w:r>
      <w:r w:rsidR="005038F0">
        <w:t>is</w:t>
      </w:r>
      <w:r w:rsidRPr="008F6F91">
        <w:t xml:space="preserve"> associated with altered microbial colonization patterns, reduced enzymatic degradation of β</w:t>
      </w:r>
      <w:r w:rsidRPr="008F6F91">
        <w:noBreakHyphen/>
      </w:r>
      <w:r w:rsidR="00E44E66">
        <w:t>-</w:t>
      </w:r>
      <w:r w:rsidRPr="008F6F91">
        <w:t>casein to BCM</w:t>
      </w:r>
      <w:r w:rsidRPr="008F6F91">
        <w:noBreakHyphen/>
        <w:t>7, and increased intestinal permeability (6–8).</w:t>
      </w:r>
    </w:p>
    <w:p w14:paraId="1D742637" w14:textId="03E8FFA2" w:rsidR="008F6F91" w:rsidRPr="008F6F91" w:rsidRDefault="008F6F91" w:rsidP="008F6F91">
      <w:pPr>
        <w:numPr>
          <w:ilvl w:val="0"/>
          <w:numId w:val="1"/>
        </w:numPr>
      </w:pPr>
      <w:r w:rsidRPr="008F6F91">
        <w:rPr>
          <w:b/>
          <w:bCs/>
        </w:rPr>
        <w:t>Early antibiotic use</w:t>
      </w:r>
      <w:r w:rsidRPr="008F6F91">
        <w:t xml:space="preserve"> disrupt</w:t>
      </w:r>
      <w:r w:rsidR="00E7185B">
        <w:t>s</w:t>
      </w:r>
      <w:r w:rsidRPr="008F6F91">
        <w:t xml:space="preserve"> microbial communities, impair</w:t>
      </w:r>
      <w:r w:rsidR="00F2058D">
        <w:t>s</w:t>
      </w:r>
      <w:r w:rsidRPr="008F6F91">
        <w:t xml:space="preserve"> gut barrier function, and influence</w:t>
      </w:r>
      <w:r w:rsidR="00D54E77">
        <w:t>s</w:t>
      </w:r>
      <w:r w:rsidRPr="008F6F91">
        <w:t xml:space="preserve"> behavioral outcomes in animal models (9,10).</w:t>
      </w:r>
    </w:p>
    <w:p w14:paraId="0BEADBC8" w14:textId="5FBAB803" w:rsidR="008F6F91" w:rsidRDefault="008F6F91" w:rsidP="008F6F91">
      <w:pPr>
        <w:numPr>
          <w:ilvl w:val="0"/>
          <w:numId w:val="1"/>
        </w:numPr>
      </w:pPr>
      <w:r w:rsidRPr="008F6F91">
        <w:rPr>
          <w:b/>
          <w:bCs/>
        </w:rPr>
        <w:t>Certain vaccinations</w:t>
      </w:r>
      <w:r w:rsidRPr="008F6F91">
        <w:t xml:space="preserve"> — representing controlled immune challenges that may transiently elevate </w:t>
      </w:r>
      <w:r w:rsidR="00CB082A">
        <w:t>pro-inflammatory</w:t>
      </w:r>
      <w:r w:rsidRPr="008F6F91">
        <w:t xml:space="preserve"> mediators</w:t>
      </w:r>
      <w:r w:rsidR="00465757">
        <w:t>-</w:t>
      </w:r>
      <w:r w:rsidR="006D5C51">
        <w:t xml:space="preserve"> are</w:t>
      </w:r>
      <w:r w:rsidRPr="008F6F91">
        <w:t xml:space="preserve"> considered here in the context of concurrent barrier compromise (11–13).</w:t>
      </w:r>
    </w:p>
    <w:p w14:paraId="6C5DEB68" w14:textId="77777777" w:rsidR="008F6F91" w:rsidRPr="008F6F91" w:rsidRDefault="008F6F91" w:rsidP="008F6F91">
      <w:pPr>
        <w:ind w:left="720"/>
      </w:pPr>
    </w:p>
    <w:p w14:paraId="65612F0D" w14:textId="77777777" w:rsidR="008F6F91" w:rsidRDefault="008F6F91" w:rsidP="008F6F91">
      <w:pPr>
        <w:spacing w:after="0"/>
        <w:rPr>
          <w:b/>
          <w:bCs/>
        </w:rPr>
      </w:pPr>
      <w:r w:rsidRPr="008F6F91">
        <w:rPr>
          <w:b/>
          <w:bCs/>
        </w:rPr>
        <w:t>Biological Pathway Mapping</w:t>
      </w:r>
    </w:p>
    <w:p w14:paraId="4BFE4C4A" w14:textId="1516DD86" w:rsidR="008F6F91" w:rsidRDefault="008F6F91" w:rsidP="008F6F91">
      <w:pPr>
        <w:spacing w:after="0"/>
      </w:pPr>
      <w:r w:rsidRPr="008F6F91">
        <w:t xml:space="preserve"> The model integrates gut, immune, blood–brain barrier (BBB), and central nervous system (CNS) components into a sequential cascade. Evidence from neonatal microbiome research indicates that </w:t>
      </w:r>
      <w:r w:rsidR="00CB082A">
        <w:t>skin-to-skin</w:t>
      </w:r>
      <w:r w:rsidRPr="008F6F91">
        <w:t xml:space="preserve"> contact and breastfeeding promote beneficial microbial colonization and immune tolerance (14). Disruption of these processe</w:t>
      </w:r>
      <w:r w:rsidR="006C7C97">
        <w:t xml:space="preserve">s </w:t>
      </w:r>
      <w:r w:rsidRPr="008F6F91">
        <w:t>through formula feeding or antibiotics</w:t>
      </w:r>
      <w:r w:rsidR="006C7C97">
        <w:t xml:space="preserve"> </w:t>
      </w:r>
      <w:r w:rsidRPr="008F6F91">
        <w:t>can alter microbial metabolite profiles, including BCM</w:t>
      </w:r>
      <w:r w:rsidRPr="008F6F91">
        <w:noBreakHyphen/>
        <w:t>7, which in turn may affect tight junction protein expression in both intestinal and BBB tissues (15,16).</w:t>
      </w:r>
    </w:p>
    <w:p w14:paraId="16442A6D" w14:textId="77777777" w:rsidR="008F6F91" w:rsidRDefault="008F6F91" w:rsidP="008F6F91">
      <w:pPr>
        <w:spacing w:after="0"/>
      </w:pPr>
    </w:p>
    <w:p w14:paraId="6BB4C453" w14:textId="77777777" w:rsidR="008F6F91" w:rsidRDefault="008F6F91" w:rsidP="008F6F91">
      <w:pPr>
        <w:spacing w:after="0"/>
      </w:pPr>
    </w:p>
    <w:p w14:paraId="3D0927EB" w14:textId="77777777" w:rsidR="008F6F91" w:rsidRPr="008F6F91" w:rsidRDefault="008F6F91" w:rsidP="008F6F91">
      <w:pPr>
        <w:spacing w:after="0"/>
      </w:pPr>
    </w:p>
    <w:p w14:paraId="100EC514" w14:textId="77777777" w:rsidR="00A2309F" w:rsidRDefault="00A2309F" w:rsidP="008F6F91">
      <w:pPr>
        <w:spacing w:after="0"/>
        <w:rPr>
          <w:b/>
          <w:bCs/>
        </w:rPr>
      </w:pPr>
    </w:p>
    <w:p w14:paraId="42BA1D0A" w14:textId="77777777" w:rsidR="00A2309F" w:rsidRDefault="00A2309F" w:rsidP="008F6F91">
      <w:pPr>
        <w:spacing w:after="0"/>
        <w:rPr>
          <w:b/>
          <w:bCs/>
        </w:rPr>
      </w:pPr>
    </w:p>
    <w:p w14:paraId="627C52C6" w14:textId="21AB4671" w:rsidR="008F6F91" w:rsidRDefault="008F6F91" w:rsidP="008F6F91">
      <w:pPr>
        <w:spacing w:after="0"/>
      </w:pPr>
      <w:r w:rsidRPr="008F6F91">
        <w:rPr>
          <w:b/>
          <w:bCs/>
        </w:rPr>
        <w:t>Data Synthesis</w:t>
      </w:r>
      <w:r w:rsidRPr="008F6F91">
        <w:t xml:space="preserve"> </w:t>
      </w:r>
    </w:p>
    <w:p w14:paraId="75C19B68" w14:textId="1F2672D6" w:rsidR="008F6F91" w:rsidRDefault="008F6F91" w:rsidP="008F6F91">
      <w:pPr>
        <w:spacing w:after="0"/>
      </w:pPr>
      <w:r w:rsidRPr="008F6F91">
        <w:t xml:space="preserve">Mechanistic links </w:t>
      </w:r>
      <w:r w:rsidR="00A2309F">
        <w:t>have been</w:t>
      </w:r>
      <w:r w:rsidRPr="008F6F91">
        <w:t xml:space="preserve"> drawn from studies demonstrating concurrent changes in intestinal and BBB permeability (17), </w:t>
      </w:r>
      <w:r w:rsidR="00CB082A">
        <w:t>astrocyte-mediated</w:t>
      </w:r>
      <w:r w:rsidRPr="008F6F91">
        <w:t xml:space="preserve"> neuroinflammation (18), and modulation of barrier integrity by probiotic or prebiotic–probiotic combinations (19,20). The </w:t>
      </w:r>
      <w:r w:rsidRPr="008F6F91">
        <w:lastRenderedPageBreak/>
        <w:t xml:space="preserve">model was refined iteratively to ensure internal consistency and alignment with current evidence, while acknowledging that it remains </w:t>
      </w:r>
      <w:r w:rsidR="00494C30">
        <w:t xml:space="preserve">a </w:t>
      </w:r>
      <w:r w:rsidRPr="008F6F91">
        <w:t>hypothetical pending validation through longitudinal and interventional studies.</w:t>
      </w:r>
    </w:p>
    <w:p w14:paraId="03302B57" w14:textId="77777777" w:rsidR="003148DB" w:rsidRDefault="003148DB" w:rsidP="008F6F91">
      <w:pPr>
        <w:spacing w:after="0"/>
      </w:pPr>
    </w:p>
    <w:p w14:paraId="2C26F33B" w14:textId="77777777" w:rsidR="003148DB" w:rsidRDefault="003148DB" w:rsidP="003148DB">
      <w:pPr>
        <w:spacing w:after="0"/>
        <w:rPr>
          <w:b/>
          <w:bCs/>
        </w:rPr>
      </w:pPr>
      <w:r w:rsidRPr="003148DB">
        <w:rPr>
          <w:b/>
          <w:bCs/>
        </w:rPr>
        <w:t>Mechanistic Framework</w:t>
      </w:r>
    </w:p>
    <w:p w14:paraId="65D073B0" w14:textId="77777777" w:rsidR="008C234B" w:rsidRPr="003148DB" w:rsidRDefault="008C234B" w:rsidP="003148DB">
      <w:pPr>
        <w:spacing w:after="0"/>
        <w:rPr>
          <w:b/>
          <w:bCs/>
        </w:rPr>
      </w:pPr>
    </w:p>
    <w:p w14:paraId="72094F11" w14:textId="77777777" w:rsidR="008C234B" w:rsidRDefault="003148DB" w:rsidP="003148DB">
      <w:pPr>
        <w:spacing w:after="0"/>
        <w:rPr>
          <w:b/>
          <w:bCs/>
        </w:rPr>
      </w:pPr>
      <w:r w:rsidRPr="003148DB">
        <w:rPr>
          <w:b/>
          <w:bCs/>
        </w:rPr>
        <w:t>Dietary Exposure</w:t>
      </w:r>
    </w:p>
    <w:p w14:paraId="6D4DF13A" w14:textId="74FFD61D" w:rsidR="003148DB" w:rsidRDefault="003148DB" w:rsidP="003148DB">
      <w:pPr>
        <w:spacing w:after="0"/>
      </w:pPr>
      <w:r w:rsidRPr="003148DB">
        <w:t xml:space="preserve"> The autism cascade hypothesis begins with exposure to dietary peptides, particularly </w:t>
      </w:r>
      <w:r w:rsidR="00CB082A">
        <w:t>β-casomorphin</w:t>
      </w:r>
      <w:r w:rsidRPr="003148DB">
        <w:noBreakHyphen/>
        <w:t>7 (BCM</w:t>
      </w:r>
      <w:r w:rsidRPr="003148DB">
        <w:noBreakHyphen/>
        <w:t>7), an opioid peptide released during the digestion of A1 β</w:t>
      </w:r>
      <w:r w:rsidRPr="003148DB">
        <w:noBreakHyphen/>
        <w:t>casein. Under normal physiological conditions, BCM</w:t>
      </w:r>
      <w:r w:rsidRPr="003148DB">
        <w:noBreakHyphen/>
        <w:t>7 is rapidly degraded in the gastrointestinal tract, limiting its systemic bioavailability. However, variations in diet, including high intake of A1 β</w:t>
      </w:r>
      <w:r w:rsidRPr="003148DB">
        <w:noBreakHyphen/>
        <w:t>casein–containing dairy products during early life, may increase the luminal load of BCM</w:t>
      </w:r>
      <w:r w:rsidRPr="003148DB">
        <w:noBreakHyphen/>
        <w:t>7 and other bioactive peptides.</w:t>
      </w:r>
    </w:p>
    <w:p w14:paraId="1878DA92" w14:textId="77777777" w:rsidR="008C234B" w:rsidRPr="003148DB" w:rsidRDefault="008C234B" w:rsidP="003148DB">
      <w:pPr>
        <w:spacing w:after="0"/>
      </w:pPr>
    </w:p>
    <w:p w14:paraId="311589C0" w14:textId="77777777" w:rsidR="008C234B" w:rsidRDefault="003148DB" w:rsidP="003148DB">
      <w:pPr>
        <w:spacing w:after="0"/>
        <w:rPr>
          <w:b/>
          <w:bCs/>
        </w:rPr>
      </w:pPr>
      <w:r w:rsidRPr="003148DB">
        <w:rPr>
          <w:b/>
          <w:bCs/>
        </w:rPr>
        <w:t>Microbiome Modulation and DPP</w:t>
      </w:r>
      <w:r w:rsidRPr="003148DB">
        <w:rPr>
          <w:b/>
          <w:bCs/>
        </w:rPr>
        <w:noBreakHyphen/>
        <w:t>4 Dysfunction</w:t>
      </w:r>
    </w:p>
    <w:p w14:paraId="622C3342" w14:textId="77C30731" w:rsidR="003148DB" w:rsidRDefault="003148DB" w:rsidP="003148DB">
      <w:pPr>
        <w:spacing w:after="0"/>
      </w:pPr>
      <w:r w:rsidRPr="003148DB">
        <w:t xml:space="preserve"> The gut microbiome plays a pivotal role in modulating peptide metabolism </w:t>
      </w:r>
      <w:r w:rsidR="00EF54A8">
        <w:t xml:space="preserve">through </w:t>
      </w:r>
      <w:r w:rsidRPr="003148DB">
        <w:t>its enzymatic repertoire. Dipeptidyl peptidase</w:t>
      </w:r>
      <w:r w:rsidRPr="003148DB">
        <w:noBreakHyphen/>
        <w:t>4 (</w:t>
      </w:r>
      <w:r w:rsidR="00CB082A">
        <w:t>DPP4</w:t>
      </w:r>
      <w:r w:rsidRPr="003148DB">
        <w:t xml:space="preserve">), also known as CD26, is a serine exopeptidase </w:t>
      </w:r>
      <w:r w:rsidR="00386ABC">
        <w:t xml:space="preserve">that is </w:t>
      </w:r>
      <w:r w:rsidRPr="003148DB">
        <w:t xml:space="preserve">expressed </w:t>
      </w:r>
      <w:r w:rsidR="00C311EF">
        <w:t>i</w:t>
      </w:r>
      <w:r w:rsidRPr="003148DB">
        <w:t>n intestinal epithelial cells, endothelial cells, and various immune cell subsets. It cleaves dipeptides from the N</w:t>
      </w:r>
      <w:r w:rsidR="00967C4B">
        <w:t xml:space="preserve"> </w:t>
      </w:r>
      <w:r w:rsidRPr="003148DB">
        <w:t>terminus of proline</w:t>
      </w:r>
      <w:r w:rsidR="00967C4B">
        <w:t xml:space="preserve"> </w:t>
      </w:r>
      <w:r w:rsidRPr="003148DB">
        <w:t xml:space="preserve">or </w:t>
      </w:r>
      <w:r w:rsidR="00CB082A">
        <w:t>alanine-containing</w:t>
      </w:r>
      <w:r w:rsidRPr="003148DB">
        <w:t xml:space="preserve"> peptides, making it a key regulator of BCM</w:t>
      </w:r>
      <w:r w:rsidRPr="003148DB">
        <w:noBreakHyphen/>
        <w:t>7 degradation (Jarmołowska</w:t>
      </w:r>
      <w:r w:rsidRPr="003148DB">
        <w:rPr>
          <w:rFonts w:ascii="Arial" w:hAnsi="Arial" w:cs="Arial"/>
        </w:rPr>
        <w:t> </w:t>
      </w:r>
      <w:r w:rsidRPr="003148DB">
        <w:t>et</w:t>
      </w:r>
      <w:r w:rsidRPr="003148DB">
        <w:rPr>
          <w:rFonts w:ascii="Arial" w:hAnsi="Arial" w:cs="Arial"/>
        </w:rPr>
        <w:t> </w:t>
      </w:r>
      <w:r w:rsidRPr="003148DB">
        <w:t>al.,</w:t>
      </w:r>
      <w:r w:rsidRPr="003148DB">
        <w:rPr>
          <w:rFonts w:ascii="Arial" w:hAnsi="Arial" w:cs="Arial"/>
        </w:rPr>
        <w:t> </w:t>
      </w:r>
      <w:r w:rsidRPr="003148DB">
        <w:t>2019; Bolat</w:t>
      </w:r>
      <w:r w:rsidRPr="003148DB">
        <w:rPr>
          <w:rFonts w:ascii="Arial" w:hAnsi="Arial" w:cs="Arial"/>
        </w:rPr>
        <w:t> </w:t>
      </w:r>
      <w:r w:rsidRPr="003148DB">
        <w:t>et</w:t>
      </w:r>
      <w:r w:rsidRPr="003148DB">
        <w:rPr>
          <w:rFonts w:ascii="Arial" w:hAnsi="Arial" w:cs="Arial"/>
        </w:rPr>
        <w:t> </w:t>
      </w:r>
      <w:r w:rsidRPr="003148DB">
        <w:t>al.,</w:t>
      </w:r>
      <w:r w:rsidRPr="003148DB">
        <w:rPr>
          <w:rFonts w:ascii="Arial" w:hAnsi="Arial" w:cs="Arial"/>
        </w:rPr>
        <w:t> </w:t>
      </w:r>
      <w:r w:rsidRPr="003148DB">
        <w:t>2024).</w:t>
      </w:r>
    </w:p>
    <w:p w14:paraId="790A7CE7" w14:textId="77777777" w:rsidR="00A11BBA" w:rsidRPr="003148DB" w:rsidRDefault="00A11BBA" w:rsidP="003148DB">
      <w:pPr>
        <w:spacing w:after="0"/>
      </w:pPr>
    </w:p>
    <w:p w14:paraId="54B7481D" w14:textId="2B43BB8D" w:rsidR="003148DB" w:rsidRPr="003148DB" w:rsidRDefault="003148DB" w:rsidP="003148DB">
      <w:pPr>
        <w:spacing w:after="0"/>
      </w:pPr>
      <w:r w:rsidRPr="003148DB">
        <w:rPr>
          <w:i/>
          <w:iCs/>
        </w:rPr>
        <w:t>Expanded role of DPP</w:t>
      </w:r>
      <w:r w:rsidRPr="003148DB">
        <w:rPr>
          <w:i/>
          <w:iCs/>
        </w:rPr>
        <w:noBreakHyphen/>
        <w:t>4:</w:t>
      </w:r>
      <w:r w:rsidRPr="003148DB">
        <w:t xml:space="preserve"> Beyond its enzymatic function, DPP</w:t>
      </w:r>
      <w:r w:rsidRPr="003148DB">
        <w:noBreakHyphen/>
        <w:t>4 participates in immune regulation by modulating T</w:t>
      </w:r>
      <w:r w:rsidRPr="003148DB">
        <w:noBreakHyphen/>
        <w:t>cell activation, influencing cytokine secretion profiles, and interacting with extracellular matrix components. Dysbiosis</w:t>
      </w:r>
      <w:r w:rsidR="001D3D0F">
        <w:t xml:space="preserve">, </w:t>
      </w:r>
      <w:r w:rsidRPr="003148DB">
        <w:t>characterized by shifts in microbial taxa and reduced microbial DPP</w:t>
      </w:r>
      <w:r w:rsidRPr="003148DB">
        <w:noBreakHyphen/>
        <w:t xml:space="preserve">4 activity—can prolong </w:t>
      </w:r>
      <w:r w:rsidR="00566E30">
        <w:t xml:space="preserve">the </w:t>
      </w:r>
      <w:r w:rsidRPr="003148DB">
        <w:t>BCM</w:t>
      </w:r>
      <w:r w:rsidRPr="003148DB">
        <w:noBreakHyphen/>
        <w:t>7 persistence in the gut lumen and circulation. Inflammatory conditions, including those associated with microglial activation, may further down</w:t>
      </w:r>
      <w:r w:rsidRPr="003148DB">
        <w:noBreakHyphen/>
        <w:t xml:space="preserve">regulate </w:t>
      </w:r>
      <w:r w:rsidR="00CB082A">
        <w:t>DPP4</w:t>
      </w:r>
      <w:r w:rsidRPr="003148DB">
        <w:t xml:space="preserve"> expression or activity, creating a feedback loop in which reduced peptide degradation amplifies neuroimmune signaling.</w:t>
      </w:r>
    </w:p>
    <w:p w14:paraId="165651E9" w14:textId="260711FF" w:rsidR="003148DB" w:rsidRDefault="003148DB" w:rsidP="003148DB">
      <w:pPr>
        <w:spacing w:after="0"/>
      </w:pPr>
      <w:r w:rsidRPr="003148DB">
        <w:t xml:space="preserve">In the context of the autism cascade hypothesis, diminished DPP4 function extends the </w:t>
      </w:r>
      <w:r w:rsidR="00CB082A">
        <w:t>half-life</w:t>
      </w:r>
      <w:r w:rsidRPr="003148DB">
        <w:t xml:space="preserve"> of BCM</w:t>
      </w:r>
      <w:r w:rsidRPr="003148DB">
        <w:noBreakHyphen/>
        <w:t>7 and similar neuroactive peptides, increasing their likelihood of crossing a compromised blood–brain barrier. Once in</w:t>
      </w:r>
      <w:r w:rsidR="000359FD">
        <w:t xml:space="preserve"> the</w:t>
      </w:r>
      <w:r w:rsidRPr="003148DB">
        <w:t xml:space="preserve"> </w:t>
      </w:r>
      <w:r w:rsidR="00CB082A" w:rsidRPr="003148DB">
        <w:t>CNS</w:t>
      </w:r>
      <w:r w:rsidRPr="003148DB">
        <w:t xml:space="preserve">, these peptides may bind to opioid receptors on neurons and glia, biasing microglia toward a </w:t>
      </w:r>
      <w:r w:rsidR="00CB082A">
        <w:t>pro-inflammatory</w:t>
      </w:r>
      <w:r w:rsidRPr="003148DB">
        <w:t xml:space="preserve"> phenotype and sustaining </w:t>
      </w:r>
      <w:r w:rsidR="00CB082A">
        <w:t>low-grade</w:t>
      </w:r>
      <w:r w:rsidRPr="003148DB">
        <w:t xml:space="preserve"> neuroinflammation (Petrelli</w:t>
      </w:r>
      <w:r w:rsidRPr="003148DB">
        <w:rPr>
          <w:rFonts w:ascii="Arial" w:hAnsi="Arial" w:cs="Arial"/>
        </w:rPr>
        <w:t> </w:t>
      </w:r>
      <w:r w:rsidRPr="003148DB">
        <w:t>et</w:t>
      </w:r>
      <w:r w:rsidRPr="003148DB">
        <w:rPr>
          <w:rFonts w:ascii="Arial" w:hAnsi="Arial" w:cs="Arial"/>
        </w:rPr>
        <w:t> </w:t>
      </w:r>
      <w:r w:rsidRPr="003148DB">
        <w:t>al.,</w:t>
      </w:r>
      <w:r w:rsidRPr="003148DB">
        <w:rPr>
          <w:rFonts w:ascii="Arial" w:hAnsi="Arial" w:cs="Arial"/>
        </w:rPr>
        <w:t> </w:t>
      </w:r>
      <w:r w:rsidRPr="003148DB">
        <w:t>2016; Kwon</w:t>
      </w:r>
      <w:r w:rsidRPr="003148DB">
        <w:rPr>
          <w:rFonts w:ascii="Arial" w:hAnsi="Arial" w:cs="Arial"/>
        </w:rPr>
        <w:t> </w:t>
      </w:r>
      <w:r w:rsidRPr="003148DB">
        <w:t>et</w:t>
      </w:r>
      <w:r w:rsidRPr="003148DB">
        <w:rPr>
          <w:rFonts w:ascii="Arial" w:hAnsi="Arial" w:cs="Arial"/>
        </w:rPr>
        <w:t> </w:t>
      </w:r>
      <w:r w:rsidRPr="003148DB">
        <w:t>al.,</w:t>
      </w:r>
      <w:r w:rsidRPr="003148DB">
        <w:rPr>
          <w:rFonts w:ascii="Arial" w:hAnsi="Arial" w:cs="Arial"/>
        </w:rPr>
        <w:t> </w:t>
      </w:r>
      <w:r w:rsidRPr="003148DB">
        <w:t>2023).</w:t>
      </w:r>
    </w:p>
    <w:p w14:paraId="0678C0E8" w14:textId="77777777" w:rsidR="00B9029F" w:rsidRPr="003148DB" w:rsidRDefault="00B9029F" w:rsidP="003148DB">
      <w:pPr>
        <w:spacing w:after="0"/>
      </w:pPr>
    </w:p>
    <w:p w14:paraId="7FF77249" w14:textId="77777777" w:rsidR="00B9029F" w:rsidRDefault="003148DB" w:rsidP="003148DB">
      <w:pPr>
        <w:spacing w:after="0"/>
        <w:rPr>
          <w:b/>
          <w:bCs/>
        </w:rPr>
      </w:pPr>
      <w:r w:rsidRPr="003148DB">
        <w:rPr>
          <w:b/>
          <w:bCs/>
        </w:rPr>
        <w:t>Barrier Vulnerability and Neuroimmune Activation</w:t>
      </w:r>
    </w:p>
    <w:p w14:paraId="0891152A" w14:textId="46AE8D77" w:rsidR="003148DB" w:rsidRPr="003148DB" w:rsidRDefault="003148DB" w:rsidP="003148DB">
      <w:pPr>
        <w:spacing w:after="0"/>
      </w:pPr>
      <w:r w:rsidRPr="003148DB">
        <w:t xml:space="preserve"> Increased intestinal permeability</w:t>
      </w:r>
      <w:r w:rsidR="00037F9E">
        <w:t xml:space="preserve">, </w:t>
      </w:r>
      <w:r w:rsidRPr="003148DB">
        <w:t>whether due to inflammation, infection, or other insults</w:t>
      </w:r>
      <w:r w:rsidR="004E3223">
        <w:t xml:space="preserve">, </w:t>
      </w:r>
      <w:r w:rsidRPr="003148DB">
        <w:t>compromises barrier integrity, allowing BCM</w:t>
      </w:r>
      <w:r w:rsidRPr="003148DB">
        <w:noBreakHyphen/>
        <w:t xml:space="preserve">7 and </w:t>
      </w:r>
      <w:r w:rsidR="00CB082A">
        <w:t>pro-inflammatory</w:t>
      </w:r>
      <w:r w:rsidRPr="003148DB">
        <w:t xml:space="preserve"> mediators to enter </w:t>
      </w:r>
      <w:r w:rsidRPr="003148DB">
        <w:lastRenderedPageBreak/>
        <w:t>the bloodstream. This barrier vulnerability creates a gateway for systemic exposure to bioactive peptides and immune signals that would otherwise remain compartmentalized.</w:t>
      </w:r>
    </w:p>
    <w:p w14:paraId="40E5A49B" w14:textId="1AA77216" w:rsidR="003148DB" w:rsidRDefault="003148DB" w:rsidP="003148DB">
      <w:pPr>
        <w:spacing w:after="0"/>
      </w:pPr>
      <w:r w:rsidRPr="003148DB">
        <w:t xml:space="preserve">Once in systemic circulation, these molecules may cross a weakened blood–brain barrier and interact with CNS targets, including microglia. Microglial activation toward a </w:t>
      </w:r>
      <w:r w:rsidR="00CB082A">
        <w:t>pro-inflammatory</w:t>
      </w:r>
      <w:r w:rsidRPr="003148DB">
        <w:t xml:space="preserve"> state is characterized by the release of cytokines, chemokines, and reactive oxygen species, which can disrupt synaptic pruning and plasticity during sensitive developmental windows. </w:t>
      </w:r>
      <w:r w:rsidR="009A59AF">
        <w:t>N</w:t>
      </w:r>
      <w:r w:rsidRPr="003148DB">
        <w:t>euroimmune activation represents a critical downstream event in the proposed cascade</w:t>
      </w:r>
      <w:r w:rsidR="000259C9">
        <w:t xml:space="preserve"> that </w:t>
      </w:r>
      <w:r w:rsidRPr="003148DB">
        <w:t>link</w:t>
      </w:r>
      <w:r w:rsidR="000259C9">
        <w:t xml:space="preserve">s </w:t>
      </w:r>
      <w:r w:rsidRPr="003148DB">
        <w:t>peripheral gastrointestinal events to central neurodevelopmental outcomes.</w:t>
      </w:r>
    </w:p>
    <w:p w14:paraId="2673A70D" w14:textId="77777777" w:rsidR="006920FC" w:rsidRDefault="006920FC" w:rsidP="003148DB">
      <w:pPr>
        <w:spacing w:after="0"/>
      </w:pPr>
    </w:p>
    <w:p w14:paraId="36468475" w14:textId="3DDC7264" w:rsidR="00B9029F" w:rsidRDefault="006920FC" w:rsidP="003148DB">
      <w:pPr>
        <w:spacing w:after="0"/>
      </w:pPr>
      <w:r w:rsidRPr="006920FC">
        <w:t xml:space="preserve">Portions of the manuscript text were refined for grammar and clarity using ChatGPT (OpenAI, San Francisco, CA, USA). The tool was not used for data analysis, interpretation, or </w:t>
      </w:r>
      <w:r>
        <w:t xml:space="preserve">the </w:t>
      </w:r>
      <w:r w:rsidRPr="006920FC">
        <w:t>generation of original content. All authors reviewed and approved the final text.</w:t>
      </w:r>
    </w:p>
    <w:p w14:paraId="1D0EC759" w14:textId="77777777" w:rsidR="00B9029F" w:rsidRPr="003148DB" w:rsidRDefault="00B9029F" w:rsidP="003148DB">
      <w:pPr>
        <w:spacing w:after="0"/>
      </w:pPr>
    </w:p>
    <w:p w14:paraId="44E89890" w14:textId="77777777" w:rsidR="003148DB" w:rsidRDefault="003148DB" w:rsidP="003148DB">
      <w:pPr>
        <w:spacing w:after="0"/>
        <w:rPr>
          <w:b/>
          <w:bCs/>
        </w:rPr>
      </w:pPr>
      <w:r w:rsidRPr="003148DB">
        <w:rPr>
          <w:b/>
          <w:bCs/>
        </w:rPr>
        <w:t>Results</w:t>
      </w:r>
    </w:p>
    <w:p w14:paraId="2A31A661" w14:textId="735467D9" w:rsidR="003148DB" w:rsidRDefault="001C30A7" w:rsidP="003148DB">
      <w:pPr>
        <w:spacing w:after="0"/>
      </w:pPr>
      <w:r>
        <w:t>An a</w:t>
      </w:r>
      <w:r w:rsidR="003148DB" w:rsidRPr="003148DB">
        <w:t>nalysis of the literature identified three primary early</w:t>
      </w:r>
      <w:r w:rsidR="003148DB" w:rsidRPr="003148DB">
        <w:noBreakHyphen/>
        <w:t>life exposures—exclusive formula feeding, early antibiotic use, and certain vaccinations—as potential initiators of the proposed autism cascade. In addition, two secondary perinatal factors depicted in the model</w:t>
      </w:r>
      <w:r w:rsidR="005939CB">
        <w:t xml:space="preserve">, </w:t>
      </w:r>
      <w:r w:rsidR="003148DB" w:rsidRPr="003148DB">
        <w:t>Caesarean delivery and advanced maternal age</w:t>
      </w:r>
      <w:r w:rsidR="0036606C">
        <w:t xml:space="preserve">, </w:t>
      </w:r>
      <w:r w:rsidR="003148DB" w:rsidRPr="003148DB">
        <w:t>and one environmental factor</w:t>
      </w:r>
      <w:r w:rsidR="00566373">
        <w:t xml:space="preserve">, </w:t>
      </w:r>
      <w:r w:rsidR="003148DB" w:rsidRPr="003148DB">
        <w:t>limited exposure to diverse microbial environments</w:t>
      </w:r>
      <w:r w:rsidR="00C36E7E">
        <w:t xml:space="preserve">, </w:t>
      </w:r>
      <w:r w:rsidR="003148DB" w:rsidRPr="003148DB">
        <w:t xml:space="preserve">were noted as modulators of gut microbiota development and neurodevelopmental risk. Each factor </w:t>
      </w:r>
      <w:r w:rsidR="00E401FC">
        <w:t>is</w:t>
      </w:r>
      <w:r w:rsidR="003148DB" w:rsidRPr="003148DB">
        <w:t xml:space="preserve"> linked to distinct but converging biological effects on gut microbiota, barrier integrity, and neuroimmune activation.</w:t>
      </w:r>
    </w:p>
    <w:p w14:paraId="579AC2F4" w14:textId="77777777" w:rsidR="00A7037F" w:rsidRPr="003148DB" w:rsidRDefault="00A7037F" w:rsidP="003148DB">
      <w:pPr>
        <w:spacing w:after="0"/>
      </w:pPr>
    </w:p>
    <w:p w14:paraId="1A1DADC3" w14:textId="77777777" w:rsidR="00A7037F" w:rsidRDefault="003148DB" w:rsidP="003148DB">
      <w:pPr>
        <w:spacing w:after="0"/>
        <w:rPr>
          <w:b/>
          <w:bCs/>
        </w:rPr>
      </w:pPr>
      <w:r w:rsidRPr="003148DB">
        <w:rPr>
          <w:b/>
          <w:bCs/>
        </w:rPr>
        <w:t>Exclusive formula feeding</w:t>
      </w:r>
    </w:p>
    <w:p w14:paraId="4DC89774" w14:textId="0046B00D" w:rsidR="003148DB" w:rsidRDefault="003148DB" w:rsidP="003148DB">
      <w:pPr>
        <w:spacing w:after="0"/>
      </w:pPr>
      <w:r w:rsidRPr="003148DB">
        <w:t xml:space="preserve">Multiple studies </w:t>
      </w:r>
      <w:r w:rsidR="00DE6F46">
        <w:t xml:space="preserve">have </w:t>
      </w:r>
      <w:r w:rsidRPr="003148DB">
        <w:t xml:space="preserve">reported that exclusive formula feeding during the neonatal period alters </w:t>
      </w:r>
      <w:r w:rsidR="00E30945">
        <w:t xml:space="preserve">the </w:t>
      </w:r>
      <w:r w:rsidRPr="003148DB">
        <w:t xml:space="preserve">gut microbial composition, reducing </w:t>
      </w:r>
      <w:r w:rsidR="000C084E">
        <w:t xml:space="preserve">the </w:t>
      </w:r>
      <w:r w:rsidRPr="003148DB">
        <w:t xml:space="preserve">populations of </w:t>
      </w:r>
      <w:r w:rsidRPr="003148DB">
        <w:rPr>
          <w:i/>
          <w:iCs/>
        </w:rPr>
        <w:t>Bifidobacterium</w:t>
      </w:r>
      <w:r w:rsidRPr="003148DB">
        <w:t xml:space="preserve"> and other taxa associated with β</w:t>
      </w:r>
      <w:r w:rsidRPr="003148DB">
        <w:noBreakHyphen/>
      </w:r>
      <w:r w:rsidR="00867C6A">
        <w:t>-</w:t>
      </w:r>
      <w:r w:rsidRPr="003148DB">
        <w:t>casein degradation (1,2). This reduction may impair the breakdown of β</w:t>
      </w:r>
      <w:r w:rsidRPr="003148DB">
        <w:noBreakHyphen/>
      </w:r>
      <w:r w:rsidR="00867C6A">
        <w:t>-</w:t>
      </w:r>
      <w:r w:rsidRPr="003148DB">
        <w:t>casein to β</w:t>
      </w:r>
      <w:r w:rsidRPr="003148DB">
        <w:noBreakHyphen/>
      </w:r>
      <w:r w:rsidR="00867C6A">
        <w:t>-</w:t>
      </w:r>
      <w:r w:rsidRPr="003148DB">
        <w:t>casomorphin</w:t>
      </w:r>
      <w:r w:rsidRPr="003148DB">
        <w:noBreakHyphen/>
        <w:t>7 (BCM</w:t>
      </w:r>
      <w:r w:rsidRPr="003148DB">
        <w:noBreakHyphen/>
        <w:t>7)</w:t>
      </w:r>
      <w:r w:rsidR="00C27529">
        <w:t xml:space="preserve"> and </w:t>
      </w:r>
      <w:r w:rsidRPr="003148DB">
        <w:t>increas</w:t>
      </w:r>
      <w:r w:rsidR="0071436B">
        <w:t>e</w:t>
      </w:r>
      <w:r w:rsidRPr="003148DB">
        <w:t xml:space="preserve"> systemic exposure to the peptide (3). In addition, </w:t>
      </w:r>
      <w:r w:rsidR="00CB082A">
        <w:t>formula-fed</w:t>
      </w:r>
      <w:r w:rsidRPr="003148DB">
        <w:t xml:space="preserve"> infants have been shown to exhibit lower intestinal dipeptidyl peptidase</w:t>
      </w:r>
      <w:r w:rsidRPr="003148DB">
        <w:noBreakHyphen/>
        <w:t>4 (DPP</w:t>
      </w:r>
      <w:r w:rsidRPr="003148DB">
        <w:noBreakHyphen/>
        <w:t>4) activity</w:t>
      </w:r>
      <w:r w:rsidR="004D09BA">
        <w:t xml:space="preserve">, </w:t>
      </w:r>
      <w:r w:rsidRPr="003148DB">
        <w:t>the primary enzyme responsible for BCM</w:t>
      </w:r>
      <w:r w:rsidRPr="003148DB">
        <w:noBreakHyphen/>
        <w:t xml:space="preserve">7 degradation—compared </w:t>
      </w:r>
      <w:r w:rsidR="0072771F">
        <w:t>to</w:t>
      </w:r>
      <w:r w:rsidRPr="003148DB">
        <w:t xml:space="preserve"> breastfed infants (4,5). Reduced DPP4 activity may prolong BCM</w:t>
      </w:r>
      <w:r w:rsidRPr="003148DB">
        <w:noBreakHyphen/>
        <w:t xml:space="preserve">7’s </w:t>
      </w:r>
      <w:r w:rsidR="00CB082A">
        <w:t>half-life</w:t>
      </w:r>
      <w:r w:rsidRPr="003148DB">
        <w:t xml:space="preserve"> in the gut and circulation, thereby enhancing its potential effects on intestinal permeability and neuroinflammation (6,7). Elevated BCM</w:t>
      </w:r>
      <w:r w:rsidRPr="003148DB">
        <w:noBreakHyphen/>
        <w:t>7 levels have been associated with increased intestinal permeability and microglial activation in experimental models (8,9). These findings suggest that formula feeding could accelerate progression along the proposed cascade by simultaneously altering microbial metabolism, reducing enzymatic degradation, and weakening barrier function.</w:t>
      </w:r>
    </w:p>
    <w:p w14:paraId="392C3C03" w14:textId="77777777" w:rsidR="00A7037F" w:rsidRPr="003148DB" w:rsidRDefault="00A7037F" w:rsidP="003148DB">
      <w:pPr>
        <w:spacing w:after="0"/>
      </w:pPr>
    </w:p>
    <w:p w14:paraId="3509FA07" w14:textId="77777777" w:rsidR="00A7037F" w:rsidRDefault="003148DB" w:rsidP="003148DB">
      <w:pPr>
        <w:spacing w:after="0"/>
        <w:rPr>
          <w:b/>
          <w:bCs/>
        </w:rPr>
      </w:pPr>
      <w:r w:rsidRPr="003148DB">
        <w:rPr>
          <w:b/>
          <w:bCs/>
        </w:rPr>
        <w:t>Early antibiotic use</w:t>
      </w:r>
    </w:p>
    <w:p w14:paraId="23670A2B" w14:textId="28E12E41" w:rsidR="003148DB" w:rsidRDefault="003148DB" w:rsidP="003148DB">
      <w:pPr>
        <w:spacing w:after="0"/>
      </w:pPr>
      <w:r w:rsidRPr="003148DB">
        <w:t xml:space="preserve">Evidence from both human and animal studies indicates that antibiotic exposure in the first year of life disrupts gut microbial communities, reduces microbial diversity, and promotes overgrowth of opportunistic pathogens (10,11). Such dysbiosis has been linked to increased intestinal permeability and altered </w:t>
      </w:r>
      <w:r w:rsidR="003D38E0">
        <w:t xml:space="preserve">expression of </w:t>
      </w:r>
      <w:r w:rsidRPr="003148DB">
        <w:t>tight junction protein expression (12). In murine models, early antibiotic administration has been shown to impair blood–brain barrier integrity and modify behavioral outcomes relevant to ASD (13). These effects may be mediated by changes in microbial metabolites and immune signaling molecules that cross compromised barriers.</w:t>
      </w:r>
    </w:p>
    <w:p w14:paraId="7F1755C6" w14:textId="77777777" w:rsidR="00A7037F" w:rsidRPr="003148DB" w:rsidRDefault="00A7037F" w:rsidP="003148DB">
      <w:pPr>
        <w:spacing w:after="0"/>
      </w:pPr>
    </w:p>
    <w:p w14:paraId="3D4CC1C0" w14:textId="77777777" w:rsidR="00A7037F" w:rsidRDefault="003148DB" w:rsidP="003148DB">
      <w:pPr>
        <w:spacing w:after="0"/>
        <w:rPr>
          <w:b/>
          <w:bCs/>
        </w:rPr>
      </w:pPr>
      <w:r w:rsidRPr="003148DB">
        <w:rPr>
          <w:b/>
          <w:bCs/>
        </w:rPr>
        <w:t>Certain vaccinations</w:t>
      </w:r>
    </w:p>
    <w:p w14:paraId="42FDE2F8" w14:textId="368BEE7D" w:rsidR="003148DB" w:rsidRDefault="003148DB" w:rsidP="003148DB">
      <w:pPr>
        <w:spacing w:after="0"/>
      </w:pPr>
      <w:r w:rsidRPr="003148DB">
        <w:t xml:space="preserve">While </w:t>
      </w:r>
      <w:r w:rsidR="00CB082A">
        <w:t>large-scale</w:t>
      </w:r>
      <w:r w:rsidRPr="003148DB">
        <w:t xml:space="preserve"> epidemiological studies have found no causal association between vaccination and ASD (14,15), some </w:t>
      </w:r>
      <w:r w:rsidR="00E93945">
        <w:t>studies</w:t>
      </w:r>
      <w:r w:rsidRPr="003148DB">
        <w:t xml:space="preserve"> ha</w:t>
      </w:r>
      <w:r w:rsidR="00E93945">
        <w:t>ve</w:t>
      </w:r>
      <w:r w:rsidRPr="003148DB">
        <w:t xml:space="preserve"> explored transient immune activation  follow</w:t>
      </w:r>
      <w:r w:rsidR="007C36E2">
        <w:t>ing</w:t>
      </w:r>
      <w:r w:rsidRPr="003148DB">
        <w:t xml:space="preserve"> certain immunizations. In the context of </w:t>
      </w:r>
      <w:r w:rsidR="00050065">
        <w:t xml:space="preserve">a </w:t>
      </w:r>
      <w:r w:rsidR="00CB082A">
        <w:t>pre-existing</w:t>
      </w:r>
      <w:r w:rsidRPr="003148DB">
        <w:t xml:space="preserve"> barrier compromise, such immune challenges c</w:t>
      </w:r>
      <w:r w:rsidR="009F42BB">
        <w:t>an</w:t>
      </w:r>
      <w:r w:rsidRPr="003148DB">
        <w:t xml:space="preserve"> theoretically amplify </w:t>
      </w:r>
      <w:r w:rsidR="00674FFD">
        <w:t xml:space="preserve">the </w:t>
      </w:r>
      <w:r w:rsidRPr="003148DB">
        <w:t>neuroinflammatory cascades (16). Experimental data suggest that pro</w:t>
      </w:r>
      <w:r w:rsidRPr="003148DB">
        <w:noBreakHyphen/>
        <w:t xml:space="preserve">inflammatory cytokines generated during systemic immune responses can cross </w:t>
      </w:r>
      <w:r w:rsidR="00A42CA8">
        <w:t>the</w:t>
      </w:r>
      <w:r w:rsidRPr="003148DB">
        <w:t xml:space="preserve"> permeable blood–brain barrier and influence microglial activity (17). This pathway remains hypothetical but is included in the model to reflect the potential interaction between immune activation and barrier dysfunction.</w:t>
      </w:r>
    </w:p>
    <w:p w14:paraId="1F3416EC" w14:textId="77777777" w:rsidR="00A7037F" w:rsidRPr="003148DB" w:rsidRDefault="00A7037F" w:rsidP="003148DB">
      <w:pPr>
        <w:spacing w:after="0"/>
      </w:pPr>
    </w:p>
    <w:p w14:paraId="7F593813" w14:textId="77777777" w:rsidR="00A7037F" w:rsidRDefault="003148DB" w:rsidP="003148DB">
      <w:pPr>
        <w:spacing w:after="0"/>
        <w:rPr>
          <w:b/>
          <w:bCs/>
        </w:rPr>
      </w:pPr>
      <w:r w:rsidRPr="003148DB">
        <w:rPr>
          <w:b/>
          <w:bCs/>
        </w:rPr>
        <w:t>Environmental deprivation</w:t>
      </w:r>
    </w:p>
    <w:p w14:paraId="20F92BA6" w14:textId="03E7C267" w:rsidR="003148DB" w:rsidRDefault="003148DB" w:rsidP="003148DB">
      <w:pPr>
        <w:spacing w:after="0"/>
      </w:pPr>
      <w:r w:rsidRPr="003148DB">
        <w:t>Limited exposure to diverse microbial environments—for example, highly sanitized indoor settings and reduced contact with natural surfaces—can restrict microbial seeding and delay maturation of the infant gut microbiome (18–20). Early</w:t>
      </w:r>
      <w:r w:rsidRPr="003148DB">
        <w:noBreakHyphen/>
        <w:t xml:space="preserve">life practices that increase microbial contact, such as </w:t>
      </w:r>
      <w:r w:rsidR="00CB082A">
        <w:t>skin-to-skin</w:t>
      </w:r>
      <w:r w:rsidRPr="003148DB">
        <w:t xml:space="preserve"> care, have been shown to promote beneficial colonization patterns (21). Delayed or blunted microbiome maturation may reduce functional resilience, including the </w:t>
      </w:r>
      <w:r w:rsidR="0015665C">
        <w:t xml:space="preserve">capacity of the </w:t>
      </w:r>
      <w:r w:rsidRPr="003148DB">
        <w:t>community to support peptide metabolism</w:t>
      </w:r>
      <w:r w:rsidR="002D5518">
        <w:t>. I</w:t>
      </w:r>
      <w:r w:rsidRPr="003148DB">
        <w:t xml:space="preserve">n dysbiosis, reduced </w:t>
      </w:r>
      <w:r w:rsidR="00CB082A">
        <w:t>DPP4</w:t>
      </w:r>
      <w:r w:rsidRPr="003148DB">
        <w:t xml:space="preserve"> availability and activity can prolong BCM</w:t>
      </w:r>
      <w:r w:rsidRPr="003148DB">
        <w:noBreakHyphen/>
        <w:t>7 persistence (4,5). In turn, sustained exposure to BCM</w:t>
      </w:r>
      <w:r w:rsidRPr="003148DB">
        <w:noBreakHyphen/>
        <w:t>7 and related bioactive peptides may exacerbate intestinal permeability and downstream neuroimmune signaling, particularly when</w:t>
      </w:r>
      <w:r w:rsidR="00076CD5">
        <w:t xml:space="preserve"> </w:t>
      </w:r>
      <w:r w:rsidRPr="003148DB">
        <w:t>barrier function is already vulnerable (7,8,22,23).</w:t>
      </w:r>
    </w:p>
    <w:p w14:paraId="528DE2F9" w14:textId="77777777" w:rsidR="00A7037F" w:rsidRPr="003148DB" w:rsidRDefault="00A7037F" w:rsidP="003148DB">
      <w:pPr>
        <w:spacing w:after="0"/>
      </w:pPr>
    </w:p>
    <w:p w14:paraId="25117FB0" w14:textId="77777777" w:rsidR="00A7037F" w:rsidRDefault="00A7037F" w:rsidP="003148DB">
      <w:pPr>
        <w:spacing w:after="0"/>
        <w:rPr>
          <w:b/>
          <w:bCs/>
        </w:rPr>
      </w:pPr>
    </w:p>
    <w:p w14:paraId="6FD22004" w14:textId="77777777" w:rsidR="00CB5E5E" w:rsidRDefault="00CB5E5E" w:rsidP="003148DB">
      <w:pPr>
        <w:spacing w:after="0"/>
        <w:rPr>
          <w:b/>
          <w:bCs/>
        </w:rPr>
      </w:pPr>
    </w:p>
    <w:p w14:paraId="000E9309" w14:textId="77777777" w:rsidR="00A52DF7" w:rsidRDefault="00A52DF7" w:rsidP="003148DB">
      <w:pPr>
        <w:spacing w:after="0"/>
        <w:rPr>
          <w:b/>
          <w:bCs/>
        </w:rPr>
      </w:pPr>
    </w:p>
    <w:p w14:paraId="1E9CDFF9" w14:textId="034910AD" w:rsidR="00A7037F" w:rsidRDefault="003148DB" w:rsidP="003148DB">
      <w:pPr>
        <w:spacing w:after="0"/>
        <w:rPr>
          <w:b/>
          <w:bCs/>
        </w:rPr>
      </w:pPr>
      <w:r w:rsidRPr="003148DB">
        <w:rPr>
          <w:b/>
          <w:bCs/>
        </w:rPr>
        <w:t>Additional perinatal factors</w:t>
      </w:r>
    </w:p>
    <w:p w14:paraId="120C33D5" w14:textId="5330464D" w:rsidR="003148DB" w:rsidRDefault="003148DB" w:rsidP="003148DB">
      <w:pPr>
        <w:spacing w:after="0"/>
      </w:pPr>
      <w:r w:rsidRPr="003148DB">
        <w:lastRenderedPageBreak/>
        <w:t xml:space="preserve">Although not </w:t>
      </w:r>
      <w:r w:rsidR="00026136">
        <w:t xml:space="preserve">the </w:t>
      </w:r>
      <w:r w:rsidRPr="003148DB">
        <w:t>primary exposures in this analysis, Caesarean delivery and advanced maternal age</w:t>
      </w:r>
      <w:r w:rsidR="00692476">
        <w:t xml:space="preserve">, </w:t>
      </w:r>
      <w:r w:rsidRPr="003148DB">
        <w:t>both included in the cascade diagram</w:t>
      </w:r>
      <w:r w:rsidR="00692476">
        <w:t xml:space="preserve">, </w:t>
      </w:r>
      <w:r w:rsidRPr="003148DB">
        <w:t>have been associated with altered neonatal microbiota composition and increased ASD risk in some studies (24–26). Caesarean delivery bypasses exposure to maternal vaginal and intestinal microbiota, potentially delaying colonization by beneficial taxa (24,25). Advanced maternal age has been linked to increased obstetric complications and epigenetic changes that may influence neurodevelopment (26). These factors may act synergistically with primary and environmental exposure</w:t>
      </w:r>
      <w:r w:rsidR="0014436C">
        <w:t>s</w:t>
      </w:r>
      <w:r w:rsidRPr="003148DB">
        <w:t xml:space="preserve"> to modulate the trajectory of the proposed cascade.</w:t>
      </w:r>
    </w:p>
    <w:p w14:paraId="4F3CF716" w14:textId="77777777" w:rsidR="00A7037F" w:rsidRPr="003148DB" w:rsidRDefault="00A7037F" w:rsidP="003148DB">
      <w:pPr>
        <w:spacing w:after="0"/>
      </w:pPr>
    </w:p>
    <w:p w14:paraId="56CFA7EA" w14:textId="77777777" w:rsidR="00A7037F" w:rsidRDefault="003148DB" w:rsidP="003148DB">
      <w:pPr>
        <w:spacing w:after="0"/>
        <w:rPr>
          <w:b/>
          <w:bCs/>
        </w:rPr>
      </w:pPr>
      <w:r w:rsidRPr="003148DB">
        <w:rPr>
          <w:b/>
          <w:bCs/>
        </w:rPr>
        <w:t>Converging pathways</w:t>
      </w:r>
    </w:p>
    <w:p w14:paraId="792D3284" w14:textId="77699671" w:rsidR="003148DB" w:rsidRDefault="003148DB" w:rsidP="003148DB">
      <w:pPr>
        <w:spacing w:after="0"/>
      </w:pPr>
      <w:r w:rsidRPr="003148DB">
        <w:t>Across all exposures and modulators, a common sequence emerged:</w:t>
      </w:r>
    </w:p>
    <w:p w14:paraId="20CBD005" w14:textId="77777777" w:rsidR="00193040" w:rsidRPr="003148DB" w:rsidRDefault="00193040" w:rsidP="003148DB">
      <w:pPr>
        <w:spacing w:after="0"/>
      </w:pPr>
    </w:p>
    <w:p w14:paraId="7EF3D85A" w14:textId="6159C941" w:rsidR="007652CF" w:rsidRPr="003148DB" w:rsidRDefault="003148DB" w:rsidP="0086204A">
      <w:pPr>
        <w:numPr>
          <w:ilvl w:val="0"/>
          <w:numId w:val="2"/>
        </w:numPr>
        <w:spacing w:after="0"/>
      </w:pPr>
      <w:r w:rsidRPr="003148DB">
        <w:rPr>
          <w:b/>
          <w:bCs/>
        </w:rPr>
        <w:t>Gut microbiota disruption:</w:t>
      </w:r>
      <w:r w:rsidRPr="003148DB">
        <w:t xml:space="preserve"> Reduced diversity and altered metabolic capacity.</w:t>
      </w:r>
    </w:p>
    <w:p w14:paraId="54DD1FEA" w14:textId="4E759E24" w:rsidR="007652CF" w:rsidRPr="003148DB" w:rsidRDefault="003148DB" w:rsidP="007652CF">
      <w:pPr>
        <w:numPr>
          <w:ilvl w:val="0"/>
          <w:numId w:val="2"/>
        </w:numPr>
        <w:spacing w:after="0"/>
      </w:pPr>
      <w:r w:rsidRPr="003148DB">
        <w:rPr>
          <w:b/>
          <w:bCs/>
        </w:rPr>
        <w:t>Barrier dysfunction:</w:t>
      </w:r>
      <w:r w:rsidRPr="003148DB">
        <w:t xml:space="preserve"> Increased intestinal permeability and compromised blood–brain barrier integrity.</w:t>
      </w:r>
    </w:p>
    <w:p w14:paraId="1E86E305" w14:textId="1E43DF03" w:rsidR="003148DB" w:rsidRDefault="003148DB" w:rsidP="003148DB">
      <w:pPr>
        <w:numPr>
          <w:ilvl w:val="0"/>
          <w:numId w:val="2"/>
        </w:numPr>
        <w:spacing w:after="0"/>
      </w:pPr>
      <w:r w:rsidRPr="003148DB">
        <w:rPr>
          <w:b/>
          <w:bCs/>
        </w:rPr>
        <w:t>Neuroimmune activation:</w:t>
      </w:r>
      <w:r w:rsidRPr="003148DB">
        <w:t xml:space="preserve"> Microglial priming and </w:t>
      </w:r>
      <w:r w:rsidR="00CB082A">
        <w:t>astrocyte-mediated</w:t>
      </w:r>
      <w:r w:rsidRPr="003148DB">
        <w:t xml:space="preserve"> inflammation (27,28).</w:t>
      </w:r>
    </w:p>
    <w:p w14:paraId="7790A237" w14:textId="77777777" w:rsidR="0086204A" w:rsidRPr="003148DB" w:rsidRDefault="0086204A" w:rsidP="0086204A">
      <w:pPr>
        <w:spacing w:after="0"/>
        <w:ind w:left="720"/>
      </w:pPr>
    </w:p>
    <w:p w14:paraId="37BFEABE" w14:textId="649821D5" w:rsidR="003148DB" w:rsidRDefault="003148DB" w:rsidP="003148DB">
      <w:pPr>
        <w:spacing w:after="0"/>
      </w:pPr>
      <w:r w:rsidRPr="003148DB">
        <w:t>These converging risk factors can be understood within a unified mechanistic framework, in which early</w:t>
      </w:r>
      <w:r w:rsidRPr="003148DB">
        <w:noBreakHyphen/>
        <w:t>life exposure</w:t>
      </w:r>
      <w:r w:rsidR="00A84128">
        <w:t xml:space="preserve"> </w:t>
      </w:r>
      <w:r w:rsidRPr="003148DB">
        <w:t>influence</w:t>
      </w:r>
      <w:r w:rsidR="00A84128">
        <w:t>s</w:t>
      </w:r>
      <w:r w:rsidRPr="003148DB">
        <w:t xml:space="preserve"> dietary peptide load, microbiome composition</w:t>
      </w:r>
      <w:r w:rsidR="00CB082A">
        <w:t>,</w:t>
      </w:r>
      <w:r w:rsidR="006A53EB">
        <w:t xml:space="preserve"> </w:t>
      </w:r>
      <w:r w:rsidRPr="003148DB">
        <w:t>enzymatic capacity, and barrier integrity. Figure</w:t>
      </w:r>
      <w:r w:rsidRPr="003148DB">
        <w:rPr>
          <w:rFonts w:ascii="Arial" w:hAnsi="Arial" w:cs="Arial"/>
        </w:rPr>
        <w:t> </w:t>
      </w:r>
      <w:r w:rsidRPr="003148DB">
        <w:t>1 integrates these elements, showing how upstream exposures (Panel</w:t>
      </w:r>
      <w:r w:rsidRPr="003148DB">
        <w:rPr>
          <w:rFonts w:ascii="Arial" w:hAnsi="Arial" w:cs="Arial"/>
        </w:rPr>
        <w:t> </w:t>
      </w:r>
      <w:r w:rsidRPr="003148DB">
        <w:t>B) and protective levers (Panel</w:t>
      </w:r>
      <w:r w:rsidRPr="003148DB">
        <w:rPr>
          <w:rFonts w:ascii="Arial" w:hAnsi="Arial" w:cs="Arial"/>
        </w:rPr>
        <w:t> </w:t>
      </w:r>
      <w:r w:rsidRPr="003148DB">
        <w:t>C) map onto the central cascade (Panel</w:t>
      </w:r>
      <w:r w:rsidRPr="003148DB">
        <w:rPr>
          <w:rFonts w:ascii="Arial" w:hAnsi="Arial" w:cs="Arial"/>
        </w:rPr>
        <w:t> </w:t>
      </w:r>
      <w:r w:rsidRPr="003148DB">
        <w:t xml:space="preserve">A) from </w:t>
      </w:r>
      <w:r w:rsidR="00825B5D">
        <w:t xml:space="preserve">the </w:t>
      </w:r>
      <w:r w:rsidRPr="003148DB">
        <w:t>BCM</w:t>
      </w:r>
      <w:r w:rsidRPr="003148DB">
        <w:noBreakHyphen/>
        <w:t>7 generation to neuroimmune activation.</w:t>
      </w:r>
    </w:p>
    <w:p w14:paraId="0C9ABA68" w14:textId="77777777" w:rsidR="00530B25" w:rsidRDefault="00530B25" w:rsidP="003148DB">
      <w:pPr>
        <w:spacing w:after="0"/>
      </w:pPr>
    </w:p>
    <w:p w14:paraId="5B824D13" w14:textId="77777777" w:rsidR="00530B25" w:rsidRDefault="00530B25" w:rsidP="00530B25">
      <w:pPr>
        <w:rPr>
          <w:b/>
          <w:bCs/>
        </w:rPr>
      </w:pPr>
      <w:r>
        <w:rPr>
          <w:b/>
          <w:bCs/>
        </w:rPr>
        <w:t>(Figure 1 here)</w:t>
      </w:r>
    </w:p>
    <w:p w14:paraId="2AABB29C" w14:textId="77777777" w:rsidR="00A52DF7" w:rsidRDefault="00A52DF7" w:rsidP="00530B25">
      <w:pPr>
        <w:rPr>
          <w:b/>
          <w:bCs/>
        </w:rPr>
      </w:pPr>
    </w:p>
    <w:p w14:paraId="66C2A26B" w14:textId="77777777" w:rsidR="00A52DF7" w:rsidRDefault="00A52DF7" w:rsidP="00530B25">
      <w:pPr>
        <w:rPr>
          <w:b/>
          <w:bCs/>
        </w:rPr>
      </w:pPr>
    </w:p>
    <w:p w14:paraId="7FC23F93" w14:textId="77777777" w:rsidR="00A52DF7" w:rsidRDefault="00A52DF7" w:rsidP="00530B25">
      <w:pPr>
        <w:rPr>
          <w:b/>
          <w:bCs/>
        </w:rPr>
      </w:pPr>
    </w:p>
    <w:p w14:paraId="6269D401" w14:textId="77777777" w:rsidR="00A52DF7" w:rsidRDefault="00A52DF7" w:rsidP="00530B25">
      <w:pPr>
        <w:rPr>
          <w:b/>
          <w:bCs/>
        </w:rPr>
      </w:pPr>
    </w:p>
    <w:p w14:paraId="700CE930" w14:textId="77777777" w:rsidR="00A52DF7" w:rsidRDefault="00A52DF7" w:rsidP="00530B25">
      <w:pPr>
        <w:rPr>
          <w:b/>
          <w:bCs/>
        </w:rPr>
      </w:pPr>
    </w:p>
    <w:p w14:paraId="4922CC53" w14:textId="77777777" w:rsidR="00A52DF7" w:rsidRDefault="00A52DF7" w:rsidP="00530B25">
      <w:pPr>
        <w:rPr>
          <w:b/>
          <w:bCs/>
        </w:rPr>
      </w:pPr>
    </w:p>
    <w:p w14:paraId="03CAC299" w14:textId="77777777" w:rsidR="00A52DF7" w:rsidRDefault="00A52DF7" w:rsidP="00530B25">
      <w:pPr>
        <w:rPr>
          <w:b/>
          <w:bCs/>
        </w:rPr>
      </w:pPr>
    </w:p>
    <w:p w14:paraId="3E9EB7A4" w14:textId="77777777" w:rsidR="00CB082A" w:rsidRDefault="00CB082A" w:rsidP="00530B25">
      <w:pPr>
        <w:rPr>
          <w:b/>
          <w:bCs/>
        </w:rPr>
      </w:pPr>
    </w:p>
    <w:p w14:paraId="2A3EC107" w14:textId="77777777" w:rsidR="00A52DF7" w:rsidRDefault="00A52DF7" w:rsidP="00530B25">
      <w:pPr>
        <w:rPr>
          <w:b/>
          <w:bCs/>
        </w:rPr>
      </w:pPr>
    </w:p>
    <w:p w14:paraId="65CE1D8F" w14:textId="77777777" w:rsidR="00890C59" w:rsidRDefault="00890C59" w:rsidP="00890C59">
      <w:pPr>
        <w:spacing w:after="0"/>
        <w:rPr>
          <w:b/>
          <w:bCs/>
        </w:rPr>
      </w:pPr>
      <w:r w:rsidRPr="00890C59">
        <w:rPr>
          <w:b/>
          <w:bCs/>
        </w:rPr>
        <w:lastRenderedPageBreak/>
        <w:t>Clinical Implications for Pediatricians</w:t>
      </w:r>
    </w:p>
    <w:p w14:paraId="2F50EE76" w14:textId="033CED50" w:rsidR="00890C59" w:rsidRDefault="00890C59" w:rsidP="00890C59">
      <w:pPr>
        <w:spacing w:after="0"/>
      </w:pPr>
      <w:r w:rsidRPr="00890C59">
        <w:t xml:space="preserve">The integration of these risk factors into a coherent mechanistic framework offers practical guidance </w:t>
      </w:r>
      <w:r w:rsidR="00D04F5E">
        <w:t xml:space="preserve">in </w:t>
      </w:r>
      <w:r w:rsidRPr="00890C59">
        <w:t>pediatric care</w:t>
      </w:r>
      <w:r w:rsidR="00D04F5E">
        <w:t>.</w:t>
      </w:r>
    </w:p>
    <w:p w14:paraId="1A1B3AF7" w14:textId="77777777" w:rsidR="00CC6FB6" w:rsidRPr="00890C59" w:rsidRDefault="00CC6FB6" w:rsidP="00890C59">
      <w:pPr>
        <w:spacing w:after="0"/>
      </w:pPr>
    </w:p>
    <w:p w14:paraId="4ED8F3D7" w14:textId="2F3AE1AF" w:rsidR="00890C59" w:rsidRDefault="00890C59" w:rsidP="00890C59">
      <w:pPr>
        <w:numPr>
          <w:ilvl w:val="0"/>
          <w:numId w:val="3"/>
        </w:numPr>
        <w:spacing w:after="0"/>
      </w:pPr>
      <w:r w:rsidRPr="00890C59">
        <w:rPr>
          <w:b/>
          <w:bCs/>
        </w:rPr>
        <w:t>Comprehensive risk screening</w:t>
      </w:r>
      <w:r w:rsidRPr="00890C59">
        <w:t xml:space="preserve"> </w:t>
      </w:r>
      <w:r w:rsidR="00981BF0">
        <w:t xml:space="preserve">: </w:t>
      </w:r>
      <w:r w:rsidRPr="00890C59">
        <w:t xml:space="preserve">Pediatricians should systematically record delivery mode, feeding history, maternal age, antibiotic exposure, and environmental context during early </w:t>
      </w:r>
      <w:r w:rsidR="00C13253">
        <w:t>well-child</w:t>
      </w:r>
      <w:r w:rsidRPr="00890C59">
        <w:t xml:space="preserve"> visits. This information can help identify infants at elevated risk for the cascade described in Figure</w:t>
      </w:r>
      <w:r w:rsidRPr="00890C59">
        <w:rPr>
          <w:rFonts w:ascii="Arial" w:hAnsi="Arial" w:cs="Arial"/>
        </w:rPr>
        <w:t> </w:t>
      </w:r>
      <w:r w:rsidRPr="00890C59">
        <w:t>1.</w:t>
      </w:r>
    </w:p>
    <w:p w14:paraId="139C913D" w14:textId="77777777" w:rsidR="00C60075" w:rsidRPr="00890C59" w:rsidRDefault="00C60075" w:rsidP="00C60075">
      <w:pPr>
        <w:spacing w:after="0"/>
        <w:ind w:left="720"/>
      </w:pPr>
    </w:p>
    <w:p w14:paraId="5B98E738" w14:textId="11D05B85" w:rsidR="00C60075" w:rsidRDefault="00890C59" w:rsidP="00C60075">
      <w:pPr>
        <w:numPr>
          <w:ilvl w:val="0"/>
          <w:numId w:val="3"/>
        </w:numPr>
        <w:spacing w:after="0"/>
      </w:pPr>
      <w:r w:rsidRPr="00890C59">
        <w:rPr>
          <w:b/>
          <w:bCs/>
        </w:rPr>
        <w:t>Dietary recommendations</w:t>
      </w:r>
      <w:r w:rsidR="00981BF0">
        <w:t>:</w:t>
      </w:r>
      <w:r w:rsidRPr="00890C59">
        <w:t xml:space="preserve"> Promoting breastfeeding or the use of A2 milk–based products can reduce </w:t>
      </w:r>
      <w:r w:rsidR="00C13253">
        <w:t>β-casomorphin</w:t>
      </w:r>
      <w:r w:rsidRPr="00890C59">
        <w:noBreakHyphen/>
        <w:t>7 (BCM</w:t>
      </w:r>
      <w:r w:rsidRPr="00890C59">
        <w:noBreakHyphen/>
        <w:t xml:space="preserve">7) exposure. These strategies directly target the </w:t>
      </w:r>
      <w:r w:rsidRPr="00890C59">
        <w:rPr>
          <w:i/>
          <w:iCs/>
        </w:rPr>
        <w:t>Dietary Exposure</w:t>
      </w:r>
      <w:r w:rsidRPr="00890C59">
        <w:t xml:space="preserve"> stage of the cascade, potentially preventing the initial trigger</w:t>
      </w:r>
      <w:r w:rsidR="00DE53C4">
        <w:t>ing</w:t>
      </w:r>
      <w:r w:rsidRPr="00890C59">
        <w:t xml:space="preserve"> of downstream barrier</w:t>
      </w:r>
      <w:r w:rsidR="009B329F">
        <w:t>s</w:t>
      </w:r>
      <w:r w:rsidRPr="00890C59">
        <w:t xml:space="preserve"> and neuroimmune changes.</w:t>
      </w:r>
    </w:p>
    <w:p w14:paraId="4319A7A7" w14:textId="77777777" w:rsidR="00C60075" w:rsidRPr="00890C59" w:rsidRDefault="00C60075" w:rsidP="00C60075">
      <w:pPr>
        <w:spacing w:after="0"/>
      </w:pPr>
    </w:p>
    <w:p w14:paraId="0E692FD8" w14:textId="42E77ADF" w:rsidR="00890C59" w:rsidRDefault="00890C59" w:rsidP="00890C59">
      <w:pPr>
        <w:numPr>
          <w:ilvl w:val="0"/>
          <w:numId w:val="3"/>
        </w:numPr>
        <w:spacing w:after="0"/>
      </w:pPr>
      <w:r w:rsidRPr="00890C59">
        <w:rPr>
          <w:b/>
          <w:bCs/>
        </w:rPr>
        <w:t>Microbiome support</w:t>
      </w:r>
      <w:r w:rsidR="00981BF0">
        <w:t xml:space="preserve">: </w:t>
      </w:r>
      <w:r w:rsidRPr="00890C59">
        <w:t xml:space="preserve">Encouraging </w:t>
      </w:r>
      <w:r w:rsidR="00C13253">
        <w:t>skin-to-skin</w:t>
      </w:r>
      <w:r w:rsidRPr="00890C59">
        <w:t xml:space="preserve"> contact, breastfeeding, and targeted probiotic or prebiotic supplementation can help restore or maintain microbial diversity and dipeptidyl peptidase</w:t>
      </w:r>
      <w:r w:rsidRPr="00890C59">
        <w:noBreakHyphen/>
        <w:t>4 (DPP</w:t>
      </w:r>
      <w:r w:rsidRPr="00890C59">
        <w:noBreakHyphen/>
        <w:t xml:space="preserve">4) activity. Such interventions address the </w:t>
      </w:r>
      <w:r w:rsidRPr="00890C59">
        <w:rPr>
          <w:i/>
          <w:iCs/>
        </w:rPr>
        <w:t>Microbiome Modulation &amp; DPP</w:t>
      </w:r>
      <w:r w:rsidRPr="00890C59">
        <w:rPr>
          <w:i/>
          <w:iCs/>
        </w:rPr>
        <w:noBreakHyphen/>
        <w:t>4 Dysfunction</w:t>
      </w:r>
      <w:r w:rsidRPr="00890C59">
        <w:t xml:space="preserve"> stage, enhancing the infant’s capacity to degrade BCM</w:t>
      </w:r>
      <w:r w:rsidRPr="00890C59">
        <w:noBreakHyphen/>
        <w:t>7 effectively.</w:t>
      </w:r>
    </w:p>
    <w:p w14:paraId="3D0E8156" w14:textId="77777777" w:rsidR="00C60075" w:rsidRPr="00890C59" w:rsidRDefault="00C60075" w:rsidP="00C60075">
      <w:pPr>
        <w:spacing w:after="0"/>
      </w:pPr>
    </w:p>
    <w:p w14:paraId="745D2FBB" w14:textId="6940726B" w:rsidR="00890C59" w:rsidRDefault="00890C59" w:rsidP="00890C59">
      <w:pPr>
        <w:numPr>
          <w:ilvl w:val="0"/>
          <w:numId w:val="3"/>
        </w:numPr>
        <w:spacing w:after="0"/>
      </w:pPr>
      <w:r w:rsidRPr="00890C59">
        <w:rPr>
          <w:b/>
          <w:bCs/>
        </w:rPr>
        <w:t>Timing of immune challenges</w:t>
      </w:r>
      <w:r w:rsidR="00660F92">
        <w:t xml:space="preserve">: </w:t>
      </w:r>
      <w:r w:rsidRPr="00890C59">
        <w:t>In infants identified as high</w:t>
      </w:r>
      <w:r w:rsidRPr="00890C59">
        <w:noBreakHyphen/>
        <w:t xml:space="preserve">risk, </w:t>
      </w:r>
      <w:r w:rsidR="00C13253">
        <w:t>non-essential</w:t>
      </w:r>
      <w:r w:rsidRPr="00890C59">
        <w:t xml:space="preserve"> immune interventions should be timed with awareness of early blood–brain barrier (BBB) permeability patterns. This approach aims to avoid compounding barrier vulnerability during sensitive neurodevelopmental periods, thereby mitigating  </w:t>
      </w:r>
      <w:r w:rsidRPr="00890C59">
        <w:rPr>
          <w:i/>
          <w:iCs/>
        </w:rPr>
        <w:t>Barrier Vulnerability &amp; Neuroimmune Activation</w:t>
      </w:r>
      <w:r w:rsidRPr="00890C59">
        <w:t xml:space="preserve"> stage</w:t>
      </w:r>
      <w:r w:rsidR="00701329">
        <w:t>s</w:t>
      </w:r>
      <w:r w:rsidRPr="00890C59">
        <w:t xml:space="preserve"> of the cascade.</w:t>
      </w:r>
    </w:p>
    <w:p w14:paraId="4A180A9E" w14:textId="77777777" w:rsidR="005A042B" w:rsidRPr="00890C59" w:rsidRDefault="005A042B" w:rsidP="005A042B">
      <w:pPr>
        <w:spacing w:after="0"/>
      </w:pPr>
    </w:p>
    <w:p w14:paraId="35FD16F7" w14:textId="2F772226" w:rsidR="00890C59" w:rsidRDefault="00890C59" w:rsidP="00890C59">
      <w:pPr>
        <w:spacing w:after="0"/>
      </w:pPr>
      <w:r w:rsidRPr="00890C59">
        <w:t>By mapping these clinical strategies to the mechanistic stages</w:t>
      </w:r>
      <w:r w:rsidR="00711167">
        <w:t xml:space="preserve"> shown</w:t>
      </w:r>
      <w:r w:rsidRPr="00890C59">
        <w:t xml:space="preserve"> in Figure</w:t>
      </w:r>
      <w:r w:rsidRPr="00890C59">
        <w:rPr>
          <w:rFonts w:ascii="Arial" w:hAnsi="Arial" w:cs="Arial"/>
        </w:rPr>
        <w:t> </w:t>
      </w:r>
      <w:r w:rsidRPr="00890C59">
        <w:t>1, pediatricians can adopt a targeted, preventive approach that addresses both upstream exposures and downstream vulnerabilities.</w:t>
      </w:r>
    </w:p>
    <w:p w14:paraId="3AD57BAF" w14:textId="77777777" w:rsidR="005A042B" w:rsidRPr="00890C59" w:rsidRDefault="005A042B" w:rsidP="00890C59">
      <w:pPr>
        <w:spacing w:after="0"/>
      </w:pPr>
    </w:p>
    <w:p w14:paraId="4966C949" w14:textId="77777777" w:rsidR="00890C59" w:rsidRDefault="00890C59" w:rsidP="00890C59">
      <w:pPr>
        <w:spacing w:after="0"/>
        <w:rPr>
          <w:b/>
          <w:bCs/>
        </w:rPr>
      </w:pPr>
      <w:r w:rsidRPr="00890C59">
        <w:rPr>
          <w:b/>
          <w:bCs/>
        </w:rPr>
        <w:t>Discussion</w:t>
      </w:r>
    </w:p>
    <w:p w14:paraId="0744E145" w14:textId="196DEEE4" w:rsidR="00890C59" w:rsidRDefault="00890C59" w:rsidP="00890C59">
      <w:pPr>
        <w:spacing w:after="0"/>
      </w:pPr>
      <w:r w:rsidRPr="00890C59">
        <w:t xml:space="preserve">The proposed autism cascade hypothesis integrates dietary peptides, gut microbiome dynamics, barrier permeability, and neuroimmune activation into a unified explanatory model for a subset of autism spectrum disorder (ASD) cases. Our findings suggest that altered </w:t>
      </w:r>
      <w:r w:rsidR="00C13253">
        <w:t>β-casomorphin</w:t>
      </w:r>
      <w:r w:rsidRPr="00890C59">
        <w:noBreakHyphen/>
        <w:t>7 (BCM</w:t>
      </w:r>
      <w:r w:rsidRPr="00890C59">
        <w:noBreakHyphen/>
        <w:t>7) metabolism, secondary to microbial dipeptidyl peptidase</w:t>
      </w:r>
      <w:r w:rsidRPr="00890C59">
        <w:noBreakHyphen/>
        <w:t>4 (DPP</w:t>
      </w:r>
      <w:r w:rsidRPr="00890C59">
        <w:noBreakHyphen/>
        <w:t>4) activity, may permit prolonged systemic exposure to bioactive peptides during critical periods of neurodevelopment (Jarmołowska</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2019; Bolat</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 xml:space="preserve">2024). </w:t>
      </w:r>
      <w:r w:rsidR="00C13253">
        <w:t>Dysbiosis-associated</w:t>
      </w:r>
      <w:r w:rsidRPr="00890C59">
        <w:t xml:space="preserve"> increases in barrier permeability could facilitate </w:t>
      </w:r>
      <w:r w:rsidRPr="00890C59">
        <w:lastRenderedPageBreak/>
        <w:t xml:space="preserve">the translocation of these peptides, along with </w:t>
      </w:r>
      <w:r w:rsidR="00C13253">
        <w:t>pro-inflammatory</w:t>
      </w:r>
      <w:r w:rsidRPr="00890C59">
        <w:t xml:space="preserve"> cytokines, into the central nervous system, thereby priming microglial activation and altering synaptic signaling (Petrelli</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2016; Kwon</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2023).</w:t>
      </w:r>
    </w:p>
    <w:p w14:paraId="5AC2960D" w14:textId="77777777" w:rsidR="0001106A" w:rsidRPr="00890C59" w:rsidRDefault="0001106A" w:rsidP="00890C59">
      <w:pPr>
        <w:spacing w:after="0"/>
      </w:pPr>
    </w:p>
    <w:p w14:paraId="7882CF2F" w14:textId="6471B994" w:rsidR="00890C59" w:rsidRDefault="00890C59" w:rsidP="00890C59">
      <w:pPr>
        <w:spacing w:after="0"/>
      </w:pPr>
      <w:r w:rsidRPr="00890C59">
        <w:t xml:space="preserve">These findings contribute to </w:t>
      </w:r>
      <w:r w:rsidR="001B6A99">
        <w:t>the</w:t>
      </w:r>
      <w:r w:rsidRPr="00890C59">
        <w:t xml:space="preserve"> growing recognition of the gut–brain axis as a modifiable pathway in early</w:t>
      </w:r>
      <w:r w:rsidRPr="00890C59">
        <w:noBreakHyphen/>
        <w:t xml:space="preserve">life neurodevelopment. By linking dietary peptides and microbiome composition to neuroimmune activation, our </w:t>
      </w:r>
      <w:r w:rsidR="00C936CB">
        <w:t>study</w:t>
      </w:r>
      <w:r w:rsidRPr="00890C59">
        <w:t xml:space="preserve"> aligns with</w:t>
      </w:r>
      <w:r w:rsidR="00115DD0">
        <w:t xml:space="preserve"> the</w:t>
      </w:r>
      <w:r w:rsidRPr="00890C59">
        <w:t xml:space="preserve"> emerging pediatric guid</w:t>
      </w:r>
      <w:r w:rsidR="00D1605A">
        <w:t>elines</w:t>
      </w:r>
      <w:r w:rsidRPr="00890C59">
        <w:t xml:space="preserve"> that emphasize early nutritional and microbial health interventions. This perspective underscores the importance of incorporating diet</w:t>
      </w:r>
      <w:r w:rsidR="00E0743D">
        <w:t>ary</w:t>
      </w:r>
      <w:r w:rsidR="00FB0B88">
        <w:t>,</w:t>
      </w:r>
      <w:r w:rsidR="00FD618A">
        <w:t xml:space="preserve"> </w:t>
      </w:r>
      <w:r w:rsidRPr="00890C59">
        <w:t>microbiome</w:t>
      </w:r>
      <w:r w:rsidR="00FB0B88">
        <w:t>,</w:t>
      </w:r>
      <w:r w:rsidR="00731C8F">
        <w:t xml:space="preserve"> and </w:t>
      </w:r>
      <w:r w:rsidRPr="00890C59">
        <w:t>immune considerations into the broader framework of developmental pediatrics.</w:t>
      </w:r>
    </w:p>
    <w:p w14:paraId="1C0DBBAD" w14:textId="77777777" w:rsidR="004A20C5" w:rsidRPr="00890C59" w:rsidRDefault="004A20C5" w:rsidP="00890C59">
      <w:pPr>
        <w:spacing w:after="0"/>
      </w:pPr>
    </w:p>
    <w:p w14:paraId="4D5323FA" w14:textId="6E56AE99" w:rsidR="00890C59" w:rsidRDefault="00890C59" w:rsidP="00890C59">
      <w:pPr>
        <w:spacing w:after="0"/>
      </w:pPr>
      <w:r w:rsidRPr="00890C59">
        <w:t>Building on the gut–brain axis framework, it is also important to consider central immune mechanisms</w:t>
      </w:r>
      <w:r w:rsidR="00296E85">
        <w:t xml:space="preserve">, </w:t>
      </w:r>
      <w:r w:rsidRPr="00890C59">
        <w:t>particularly microglial responses</w:t>
      </w:r>
      <w:r w:rsidR="00296E85">
        <w:t xml:space="preserve">, </w:t>
      </w:r>
      <w:r w:rsidRPr="00890C59">
        <w:t xml:space="preserve">that may mediate the downstream effects of gastrointestinal events. Beyond peripheral immune activation, microglia, the resident macrophages of the central nervous system, are increasingly </w:t>
      </w:r>
      <w:r w:rsidR="005B170C">
        <w:t xml:space="preserve">being </w:t>
      </w:r>
      <w:r w:rsidRPr="00890C59">
        <w:t xml:space="preserve">recognized as key mediators </w:t>
      </w:r>
      <w:r w:rsidR="001D0905">
        <w:t xml:space="preserve">that link </w:t>
      </w:r>
      <w:r w:rsidRPr="00890C59">
        <w:t>systemic signals to neurodevelopmental outcomes (Petrelli</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2016). In the context of the autism cascade hypothesis, prolonged exposure to bioactive peptides such as BCM</w:t>
      </w:r>
      <w:r w:rsidRPr="00890C59">
        <w:noBreakHyphen/>
        <w:t xml:space="preserve">7 may bias microglia toward a </w:t>
      </w:r>
      <w:r w:rsidR="00C13253">
        <w:t>pro-inflammatory</w:t>
      </w:r>
      <w:r w:rsidRPr="00890C59">
        <w:t xml:space="preserve"> phenotype (Kwon</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 xml:space="preserve">2023). This shift promotes the release of cytokines, chemokines, and reactive oxygen species, which can interfere with synaptic pruning and plasticity during critical developmental </w:t>
      </w:r>
      <w:r w:rsidR="00540D9B">
        <w:t>stages.</w:t>
      </w:r>
    </w:p>
    <w:p w14:paraId="64534254" w14:textId="77777777" w:rsidR="004A20C5" w:rsidRPr="00890C59" w:rsidRDefault="004A20C5" w:rsidP="00890C59">
      <w:pPr>
        <w:spacing w:after="0"/>
      </w:pPr>
    </w:p>
    <w:p w14:paraId="099808DD" w14:textId="4B008861" w:rsidR="00890C59" w:rsidRDefault="00890C59" w:rsidP="00890C59">
      <w:pPr>
        <w:spacing w:after="0"/>
      </w:pPr>
      <w:r w:rsidRPr="00890C59">
        <w:t>DPP</w:t>
      </w:r>
      <w:r w:rsidRPr="00890C59">
        <w:noBreakHyphen/>
        <w:t xml:space="preserve">4 is </w:t>
      </w:r>
      <w:r w:rsidR="00EC5F0B">
        <w:t>the</w:t>
      </w:r>
      <w:r w:rsidRPr="00890C59">
        <w:t xml:space="preserve"> principal enzyme responsible for degrading BCM</w:t>
      </w:r>
      <w:r w:rsidRPr="00890C59">
        <w:noBreakHyphen/>
        <w:t>7 (Jarmołowska</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2019). Reduced DPP</w:t>
      </w:r>
      <w:r w:rsidRPr="00890C59">
        <w:noBreakHyphen/>
        <w:t>4 activity</w:t>
      </w:r>
      <w:r w:rsidRPr="00890C59">
        <w:rPr>
          <w:rFonts w:ascii="Aptos" w:hAnsi="Aptos" w:cs="Aptos"/>
        </w:rPr>
        <w:t>—</w:t>
      </w:r>
      <w:r w:rsidRPr="00890C59">
        <w:t xml:space="preserve">whether due to genetic variation, altered microbiota composition, or </w:t>
      </w:r>
      <w:r w:rsidR="00C13253">
        <w:t>inflammation-induced</w:t>
      </w:r>
      <w:r w:rsidRPr="00890C59">
        <w:t xml:space="preserve"> down</w:t>
      </w:r>
      <w:r w:rsidR="00100802">
        <w:t xml:space="preserve"> </w:t>
      </w:r>
      <w:r w:rsidRPr="00890C59">
        <w:t>regulation</w:t>
      </w:r>
      <w:r w:rsidR="00C24144">
        <w:rPr>
          <w:rFonts w:ascii="Aptos" w:hAnsi="Aptos" w:cs="Aptos"/>
        </w:rPr>
        <w:t xml:space="preserve"> </w:t>
      </w:r>
      <w:r w:rsidRPr="00890C59">
        <w:t xml:space="preserve">could prolong the </w:t>
      </w:r>
      <w:r w:rsidR="00C13253">
        <w:t>half-life</w:t>
      </w:r>
      <w:r w:rsidRPr="00890C59">
        <w:t xml:space="preserve"> of BCM</w:t>
      </w:r>
      <w:r w:rsidRPr="00890C59">
        <w:noBreakHyphen/>
        <w:t>7 in circulation (Bolat</w:t>
      </w:r>
      <w:r w:rsidRPr="00890C59">
        <w:rPr>
          <w:rFonts w:ascii="Arial" w:hAnsi="Arial" w:cs="Arial"/>
        </w:rPr>
        <w:t> </w:t>
      </w:r>
      <w:r w:rsidRPr="00890C59">
        <w:t>et</w:t>
      </w:r>
      <w:r w:rsidRPr="00890C59">
        <w:rPr>
          <w:rFonts w:ascii="Arial" w:hAnsi="Arial" w:cs="Arial"/>
        </w:rPr>
        <w:t> </w:t>
      </w:r>
      <w:r w:rsidRPr="00890C59">
        <w:t>al.,</w:t>
      </w:r>
      <w:r w:rsidRPr="00890C59">
        <w:rPr>
          <w:rFonts w:ascii="Arial" w:hAnsi="Arial" w:cs="Arial"/>
        </w:rPr>
        <w:t> </w:t>
      </w:r>
      <w:r w:rsidRPr="00890C59">
        <w:t>2024). This may heighten microglial exposure to neuroactive peptides, amplify neuroimmune signaling cascades and potentially sustain</w:t>
      </w:r>
      <w:r w:rsidR="0029502D">
        <w:t xml:space="preserve"> </w:t>
      </w:r>
      <w:r w:rsidR="00C13253">
        <w:t>low-grade</w:t>
      </w:r>
      <w:r w:rsidRPr="00890C59">
        <w:t xml:space="preserve"> neuroinflammation.</w:t>
      </w:r>
    </w:p>
    <w:p w14:paraId="5EF9E81D" w14:textId="77777777" w:rsidR="00CF4258" w:rsidRPr="00890C59" w:rsidRDefault="00CF4258" w:rsidP="00890C59">
      <w:pPr>
        <w:spacing w:after="0"/>
      </w:pPr>
    </w:p>
    <w:p w14:paraId="2898AE00" w14:textId="0619701F" w:rsidR="00890C59" w:rsidRDefault="00960D36" w:rsidP="00890C59">
      <w:pPr>
        <w:spacing w:after="0"/>
      </w:pPr>
      <w:r>
        <w:t>T</w:t>
      </w:r>
      <w:r w:rsidR="00890C59" w:rsidRPr="00890C59">
        <w:t xml:space="preserve">he interplay between diminished </w:t>
      </w:r>
      <w:r w:rsidR="00C13253">
        <w:t>DPP4</w:t>
      </w:r>
      <w:r w:rsidR="00890C59" w:rsidRPr="00890C59">
        <w:t xml:space="preserve"> function and microglial reactivity offers a plausible mechanistic bridge between gastrointestinal events and central nervous system changes. This perspective underscores the value of therapeutic strategies aimed at modulating enzymatic activity or microglial activation to mitigate </w:t>
      </w:r>
      <w:r w:rsidR="00C465AA">
        <w:t xml:space="preserve">the </w:t>
      </w:r>
      <w:r w:rsidR="00890C59" w:rsidRPr="00890C59">
        <w:t>downstream neurodevelopmental effects.</w:t>
      </w:r>
    </w:p>
    <w:p w14:paraId="282E8795" w14:textId="77777777" w:rsidR="00CF4258" w:rsidRPr="00890C59" w:rsidRDefault="00CF4258" w:rsidP="00890C59">
      <w:pPr>
        <w:spacing w:after="0"/>
      </w:pPr>
    </w:p>
    <w:p w14:paraId="0457F3D2" w14:textId="68E02FCC" w:rsidR="00890C59" w:rsidRDefault="00890C59" w:rsidP="00890C59">
      <w:pPr>
        <w:spacing w:after="0"/>
      </w:pPr>
      <w:r w:rsidRPr="00890C59">
        <w:t xml:space="preserve">These mechanistic insights further support the exploration of targeted interventions, </w:t>
      </w:r>
      <w:r w:rsidR="00314EC7">
        <w:t>as</w:t>
      </w:r>
      <w:r w:rsidRPr="00890C59">
        <w:t xml:space="preserve"> discussed in the following section. Our synthesis also highlights </w:t>
      </w:r>
      <w:r w:rsidR="00ED3EAC">
        <w:t xml:space="preserve">the </w:t>
      </w:r>
      <w:r w:rsidRPr="00890C59">
        <w:t xml:space="preserve">opportunities for clinical translation. For pediatricians, this hypothesis points to the value of integrating </w:t>
      </w:r>
      <w:r w:rsidRPr="00890C59">
        <w:lastRenderedPageBreak/>
        <w:t xml:space="preserve">dietary history, gastrointestinal health assessments, and microbiome profiles into routine risk evaluations </w:t>
      </w:r>
      <w:r w:rsidR="0081138A">
        <w:t>of</w:t>
      </w:r>
      <w:r w:rsidRPr="00890C59">
        <w:t xml:space="preserve"> infants with a family history of ASD. While causal relationships require further validation through longitudinal and interventional studies, such </w:t>
      </w:r>
      <w:r w:rsidR="00C13253">
        <w:t>low-risk</w:t>
      </w:r>
      <w:r w:rsidRPr="00890C59">
        <w:t xml:space="preserve"> measures could form part of preventive care strategies aimed at modulating neuroimmune responses during critical developmental </w:t>
      </w:r>
      <w:r w:rsidR="00A1608A">
        <w:t>periods.</w:t>
      </w:r>
    </w:p>
    <w:p w14:paraId="4DFA1DDA" w14:textId="77777777" w:rsidR="00CF4258" w:rsidRPr="00890C59" w:rsidRDefault="00CF4258" w:rsidP="00890C59">
      <w:pPr>
        <w:spacing w:after="0"/>
      </w:pPr>
    </w:p>
    <w:p w14:paraId="3D316D25" w14:textId="47FC7886" w:rsidR="00890C59" w:rsidRDefault="00890C59" w:rsidP="00890C59">
      <w:pPr>
        <w:spacing w:after="0"/>
      </w:pPr>
      <w:r w:rsidRPr="00890C59">
        <w:t xml:space="preserve">The potential for clinical application warrants systematic investigation, including </w:t>
      </w:r>
      <w:r w:rsidR="00C51108">
        <w:t xml:space="preserve">the </w:t>
      </w:r>
      <w:r w:rsidRPr="00890C59">
        <w:t>refinement of risk</w:t>
      </w:r>
      <w:r w:rsidRPr="00890C59">
        <w:noBreakHyphen/>
        <w:t>stratification tools and early</w:t>
      </w:r>
      <w:r w:rsidRPr="00890C59">
        <w:noBreakHyphen/>
        <w:t xml:space="preserve">life intervention protocols. Future research should examine </w:t>
      </w:r>
      <w:r w:rsidR="006D546E">
        <w:t xml:space="preserve">the </w:t>
      </w:r>
      <w:r w:rsidRPr="00890C59">
        <w:t xml:space="preserve">longitudinal microbiome dynamics in </w:t>
      </w:r>
      <w:r w:rsidR="00C13253">
        <w:t>high-risk</w:t>
      </w:r>
      <w:r w:rsidRPr="00890C59">
        <w:t xml:space="preserve"> infants, accounting for diverse dietary exposures and immune biomarkers. Interventional trials focused on tailored nutrition, targeted probiotics, and immun</w:t>
      </w:r>
      <w:r w:rsidR="00021BA3">
        <w:t>o</w:t>
      </w:r>
      <w:r w:rsidRPr="00890C59">
        <w:t>modulatory strategies may clarify the feasibility and efficacy of disrupting the proposed autism cascade before symptom onset.</w:t>
      </w:r>
    </w:p>
    <w:p w14:paraId="45C68C7D" w14:textId="77777777" w:rsidR="00860B30" w:rsidRPr="00890C59" w:rsidRDefault="00860B30" w:rsidP="00890C59">
      <w:pPr>
        <w:spacing w:after="0"/>
      </w:pPr>
    </w:p>
    <w:p w14:paraId="2C350493" w14:textId="66E621BF" w:rsidR="00890C59" w:rsidRDefault="00890C59" w:rsidP="00890C59">
      <w:pPr>
        <w:spacing w:after="0"/>
      </w:pPr>
      <w:r w:rsidRPr="00890C59">
        <w:t xml:space="preserve">In conclusion, this conceptual framework offers a testable, mechanistic account that bridges </w:t>
      </w:r>
      <w:r w:rsidR="00AC427A">
        <w:t xml:space="preserve">the </w:t>
      </w:r>
      <w:r w:rsidRPr="00890C59">
        <w:t>molecular pathways and clinical practice. It expands the field’s capacity to identify modifiable early</w:t>
      </w:r>
      <w:r w:rsidRPr="00890C59">
        <w:noBreakHyphen/>
        <w:t>life factors and</w:t>
      </w:r>
      <w:r w:rsidR="00B053E4">
        <w:t xml:space="preserve"> could </w:t>
      </w:r>
      <w:r w:rsidRPr="00890C59">
        <w:t>ultimately</w:t>
      </w:r>
      <w:r w:rsidR="00B053E4">
        <w:t xml:space="preserve"> </w:t>
      </w:r>
      <w:r w:rsidRPr="00890C59">
        <w:t xml:space="preserve">inform the development of novel preventive strategies </w:t>
      </w:r>
      <w:r w:rsidR="004F0F76">
        <w:t xml:space="preserve">for </w:t>
      </w:r>
      <w:r w:rsidRPr="00890C59">
        <w:t>pediatric neurodevelopmental disorders.</w:t>
      </w:r>
    </w:p>
    <w:p w14:paraId="423BA8A1" w14:textId="77777777" w:rsidR="00CF4258" w:rsidRPr="00890C59" w:rsidRDefault="00CF4258" w:rsidP="00890C59">
      <w:pPr>
        <w:spacing w:after="0"/>
      </w:pPr>
    </w:p>
    <w:p w14:paraId="08FD56F8" w14:textId="77777777" w:rsidR="00890C59" w:rsidRDefault="00890C59" w:rsidP="00890C59">
      <w:pPr>
        <w:spacing w:after="0"/>
        <w:rPr>
          <w:b/>
          <w:bCs/>
        </w:rPr>
      </w:pPr>
      <w:r w:rsidRPr="00890C59">
        <w:rPr>
          <w:b/>
          <w:bCs/>
        </w:rPr>
        <w:t>Limitations</w:t>
      </w:r>
    </w:p>
    <w:p w14:paraId="79FE1A38" w14:textId="7F114999" w:rsidR="00890C59" w:rsidRDefault="00890C59" w:rsidP="00890C59">
      <w:pPr>
        <w:spacing w:after="0"/>
      </w:pPr>
      <w:r w:rsidRPr="00890C59">
        <w:t xml:space="preserve">This work presents a conceptual synthesis rather than </w:t>
      </w:r>
      <w:r w:rsidR="00DD1835">
        <w:t xml:space="preserve">the </w:t>
      </w:r>
      <w:r w:rsidRPr="00890C59">
        <w:t xml:space="preserve">original empirical data; as such, the proposed autism cascade hypothesis remains theoretical. The literature integrated into this framework is heterogeneous in </w:t>
      </w:r>
      <w:r w:rsidR="003F72B1">
        <w:t xml:space="preserve">terms of </w:t>
      </w:r>
      <w:r w:rsidRPr="00890C59">
        <w:t>design</w:t>
      </w:r>
      <w:r w:rsidR="00CB607C">
        <w:t xml:space="preserve"> and </w:t>
      </w:r>
      <w:r w:rsidRPr="00890C59">
        <w:t xml:space="preserve">population characteristics, which may limit the generalizability of the conclusions. Mechanistic links between dietary peptides, microbiome composition, barrier permeability, and microglial activation </w:t>
      </w:r>
      <w:r w:rsidR="00FE4859">
        <w:t>were</w:t>
      </w:r>
      <w:r w:rsidRPr="00890C59">
        <w:t xml:space="preserve"> inferred from separate lines of evidence rather than demonstrated within a single longitudinal cohort.</w:t>
      </w:r>
    </w:p>
    <w:p w14:paraId="7A9C7702" w14:textId="77777777" w:rsidR="00860B30" w:rsidRPr="00890C59" w:rsidRDefault="00860B30" w:rsidP="00890C59">
      <w:pPr>
        <w:spacing w:after="0"/>
      </w:pPr>
    </w:p>
    <w:p w14:paraId="2440C40A" w14:textId="47B73C8C" w:rsidR="00890C59" w:rsidRDefault="00890C59" w:rsidP="00890C59">
      <w:pPr>
        <w:spacing w:after="0"/>
      </w:pPr>
      <w:r w:rsidRPr="00890C59">
        <w:t>Furthermore, much of the evidence</w:t>
      </w:r>
      <w:r w:rsidR="00207722">
        <w:t xml:space="preserve"> is</w:t>
      </w:r>
      <w:r w:rsidRPr="00890C59">
        <w:t xml:space="preserve"> derive</w:t>
      </w:r>
      <w:r w:rsidR="00207722">
        <w:t>d</w:t>
      </w:r>
      <w:r w:rsidRPr="00890C59">
        <w:t xml:space="preserve"> from animal models or small human studies, which may not fully capture the complexity of neurodevelopment in diverse pediatric populations. Potential confounding factors</w:t>
      </w:r>
      <w:r w:rsidR="00616B3F">
        <w:t xml:space="preserve"> </w:t>
      </w:r>
      <w:r w:rsidRPr="00890C59">
        <w:t xml:space="preserve">such as genetic variability, environmental exposure, </w:t>
      </w:r>
      <w:r w:rsidR="00F117B4" w:rsidRPr="00890C59">
        <w:t>and concurr</w:t>
      </w:r>
      <w:r w:rsidR="00C711F3">
        <w:t>ent</w:t>
      </w:r>
      <w:r w:rsidR="00F117B4" w:rsidRPr="00890C59">
        <w:t xml:space="preserve"> medical conditions</w:t>
      </w:r>
      <w:r w:rsidR="0047714B">
        <w:t>,</w:t>
      </w:r>
      <w:r w:rsidR="00F117B4" w:rsidRPr="00890C59">
        <w:t xml:space="preserve"> </w:t>
      </w:r>
      <w:r w:rsidRPr="00890C59">
        <w:t>were not systematically addressed in the reviewed studies.</w:t>
      </w:r>
    </w:p>
    <w:p w14:paraId="5A1ED977" w14:textId="77777777" w:rsidR="007E0A39" w:rsidRPr="00890C59" w:rsidRDefault="007E0A39" w:rsidP="00890C59">
      <w:pPr>
        <w:spacing w:after="0"/>
      </w:pPr>
    </w:p>
    <w:p w14:paraId="63AD8A79" w14:textId="4B1EFF46" w:rsidR="00890C59" w:rsidRDefault="00890C59" w:rsidP="00890C59">
      <w:pPr>
        <w:spacing w:after="0"/>
      </w:pPr>
      <w:r w:rsidRPr="00890C59">
        <w:t xml:space="preserve">Finally, the absence of standardized measures for </w:t>
      </w:r>
      <w:r w:rsidR="00C13253">
        <w:t>β-casomorphin</w:t>
      </w:r>
      <w:r w:rsidRPr="00890C59">
        <w:noBreakHyphen/>
        <w:t>7 (BCM</w:t>
      </w:r>
      <w:r w:rsidRPr="00890C59">
        <w:noBreakHyphen/>
        <w:t>7) metabolism, dipeptidyl peptidase</w:t>
      </w:r>
      <w:r w:rsidRPr="00890C59">
        <w:noBreakHyphen/>
        <w:t>4 (DPP</w:t>
      </w:r>
      <w:r w:rsidRPr="00890C59">
        <w:noBreakHyphen/>
        <w:t xml:space="preserve">4) activity, and microglial phenotyping in clinical contexts </w:t>
      </w:r>
      <w:r w:rsidR="00910426">
        <w:t>limits</w:t>
      </w:r>
      <w:r w:rsidRPr="00890C59">
        <w:t xml:space="preserve"> the ability to directly translate these concepts into practice. These limitations underscore the need for </w:t>
      </w:r>
      <w:r w:rsidR="00C13253">
        <w:t>well-designed</w:t>
      </w:r>
      <w:r w:rsidRPr="00890C59">
        <w:t>, prospective studies that integrate dietary, microbial, immune, and neurodevelopmental assessments over time.</w:t>
      </w:r>
    </w:p>
    <w:p w14:paraId="71EA403A" w14:textId="77777777" w:rsidR="007E0A39" w:rsidRPr="00890C59" w:rsidRDefault="007E0A39" w:rsidP="00890C59">
      <w:pPr>
        <w:spacing w:after="0"/>
      </w:pPr>
    </w:p>
    <w:p w14:paraId="13A631CE" w14:textId="77777777" w:rsidR="00890C59" w:rsidRDefault="00890C59" w:rsidP="00890C59">
      <w:pPr>
        <w:spacing w:after="0"/>
        <w:rPr>
          <w:b/>
          <w:bCs/>
        </w:rPr>
      </w:pPr>
      <w:r w:rsidRPr="00890C59">
        <w:rPr>
          <w:b/>
          <w:bCs/>
        </w:rPr>
        <w:t>Conclusion</w:t>
      </w:r>
    </w:p>
    <w:p w14:paraId="69D16A40" w14:textId="6BBE8D98" w:rsidR="00890C59" w:rsidRDefault="00890C59" w:rsidP="00890C59">
      <w:pPr>
        <w:spacing w:after="0"/>
      </w:pPr>
      <w:r w:rsidRPr="00890C59">
        <w:t xml:space="preserve">The autism cascade hypothesis </w:t>
      </w:r>
      <w:r w:rsidR="00C13A76">
        <w:t>provides a clear</w:t>
      </w:r>
      <w:r w:rsidRPr="00890C59">
        <w:t xml:space="preserve">, mechanistic framework linking dietary peptides, gut microbiome dysregulation, barrier dysfunction, and neuroimmune activation in a subset of autism spectrum disorder (ASD) cases. </w:t>
      </w:r>
      <w:r w:rsidR="0002370B">
        <w:t>S</w:t>
      </w:r>
      <w:r w:rsidRPr="00890C59">
        <w:t>ituating these pathways within the context of pediatric preventive care underscores the value of incorporating diet–microbiome–immune considerations into early risk assessments, particularly for infants with a family history of ASD.</w:t>
      </w:r>
    </w:p>
    <w:p w14:paraId="1166A75D" w14:textId="77777777" w:rsidR="007E0A39" w:rsidRPr="00890C59" w:rsidRDefault="007E0A39" w:rsidP="00890C59">
      <w:pPr>
        <w:spacing w:after="0"/>
      </w:pPr>
    </w:p>
    <w:p w14:paraId="21E5FEDB" w14:textId="012AB43A" w:rsidR="00890C59" w:rsidRDefault="00890C59" w:rsidP="00890C59">
      <w:pPr>
        <w:spacing w:after="0"/>
      </w:pPr>
      <w:r w:rsidRPr="00890C59">
        <w:t>Th</w:t>
      </w:r>
      <w:r w:rsidR="00D227AA">
        <w:t>is</w:t>
      </w:r>
      <w:r w:rsidRPr="00890C59">
        <w:t xml:space="preserve"> hypothesis supports </w:t>
      </w:r>
      <w:r w:rsidR="00C13253">
        <w:t>low-risk</w:t>
      </w:r>
      <w:r w:rsidRPr="00890C59">
        <w:t>, potentially protective strategies</w:t>
      </w:r>
      <w:r w:rsidR="00FC1959">
        <w:t xml:space="preserve">, </w:t>
      </w:r>
      <w:r w:rsidRPr="00890C59">
        <w:t>from tailored nutrition to microbiome support</w:t>
      </w:r>
      <w:r w:rsidR="00291724">
        <w:t xml:space="preserve">, </w:t>
      </w:r>
      <w:r w:rsidRPr="00890C59">
        <w:t xml:space="preserve">while recognizing the need for rigorous longitudinal and interventional research to clarify causality and feasibility. Ultimately, this </w:t>
      </w:r>
      <w:r w:rsidR="00E36068" w:rsidRPr="00890C59">
        <w:t>integrates</w:t>
      </w:r>
      <w:r w:rsidRPr="00890C59">
        <w:t xml:space="preserve"> molecular mechanisms and clinical application</w:t>
      </w:r>
      <w:r w:rsidR="00C1526E">
        <w:t>s</w:t>
      </w:r>
      <w:r w:rsidRPr="00890C59">
        <w:t>, expanding opportunities to identify and modify early</w:t>
      </w:r>
      <w:r w:rsidRPr="00890C59">
        <w:noBreakHyphen/>
        <w:t>life risk factors and charting a path toward preventive approaches in pediatric neurodevelopmental disorders.</w:t>
      </w:r>
    </w:p>
    <w:p w14:paraId="74CE8704" w14:textId="77777777" w:rsidR="007E0A39" w:rsidRDefault="007E0A39" w:rsidP="00890C59">
      <w:pPr>
        <w:spacing w:after="0"/>
      </w:pPr>
    </w:p>
    <w:p w14:paraId="3C0E7F9F" w14:textId="77777777" w:rsidR="00243ABB" w:rsidRPr="00890C59" w:rsidRDefault="00243ABB" w:rsidP="00890C59">
      <w:pPr>
        <w:spacing w:after="0"/>
      </w:pPr>
    </w:p>
    <w:p w14:paraId="06016D58" w14:textId="683631F2" w:rsidR="00243ABB" w:rsidRDefault="00890C59" w:rsidP="00890C59">
      <w:pPr>
        <w:spacing w:after="0"/>
        <w:rPr>
          <w:b/>
          <w:bCs/>
        </w:rPr>
      </w:pPr>
      <w:r w:rsidRPr="00890C59">
        <w:rPr>
          <w:b/>
          <w:bCs/>
        </w:rPr>
        <w:t>Disclosures</w:t>
      </w:r>
    </w:p>
    <w:p w14:paraId="3D3FC80C" w14:textId="77777777" w:rsidR="00387F07" w:rsidRPr="00890C59" w:rsidRDefault="00387F07" w:rsidP="00890C59">
      <w:pPr>
        <w:spacing w:after="0"/>
        <w:rPr>
          <w:b/>
          <w:bCs/>
        </w:rPr>
      </w:pPr>
    </w:p>
    <w:p w14:paraId="2A3055C5" w14:textId="122DF5AF" w:rsidR="00890C59" w:rsidRDefault="00890C59" w:rsidP="00890C59">
      <w:pPr>
        <w:numPr>
          <w:ilvl w:val="0"/>
          <w:numId w:val="4"/>
        </w:numPr>
        <w:spacing w:after="0"/>
      </w:pPr>
      <w:r w:rsidRPr="00890C59">
        <w:rPr>
          <w:b/>
          <w:bCs/>
        </w:rPr>
        <w:t>Conflict of Interest:</w:t>
      </w:r>
      <w:r w:rsidRPr="00890C59">
        <w:t xml:space="preserve"> The author</w:t>
      </w:r>
      <w:r w:rsidR="00561FBD">
        <w:t>s</w:t>
      </w:r>
      <w:r w:rsidRPr="00890C59">
        <w:t xml:space="preserve"> declare no conflict of interest.</w:t>
      </w:r>
    </w:p>
    <w:p w14:paraId="446B7D5C" w14:textId="0DFE62DB" w:rsidR="00387F07" w:rsidRDefault="00890C59" w:rsidP="00387F07">
      <w:pPr>
        <w:numPr>
          <w:ilvl w:val="0"/>
          <w:numId w:val="4"/>
        </w:numPr>
        <w:spacing w:after="0"/>
      </w:pPr>
      <w:r w:rsidRPr="00890C59">
        <w:rPr>
          <w:b/>
          <w:bCs/>
        </w:rPr>
        <w:t>Data Access Statement:</w:t>
      </w:r>
      <w:r w:rsidRPr="00890C59">
        <w:t xml:space="preserve"> Data supporting this commentary are available from the author</w:t>
      </w:r>
      <w:r w:rsidR="003E4347">
        <w:t>s</w:t>
      </w:r>
      <w:r w:rsidRPr="00890C59">
        <w:t xml:space="preserve"> </w:t>
      </w:r>
      <w:r w:rsidR="003E4347">
        <w:t>up</w:t>
      </w:r>
      <w:r w:rsidRPr="00890C59">
        <w:t>on reasonable request.</w:t>
      </w:r>
    </w:p>
    <w:p w14:paraId="78E21A68" w14:textId="5CDF1B38" w:rsidR="00890C59" w:rsidRPr="00890C59" w:rsidRDefault="00890C59" w:rsidP="00387F07">
      <w:pPr>
        <w:numPr>
          <w:ilvl w:val="0"/>
          <w:numId w:val="4"/>
        </w:numPr>
        <w:spacing w:after="0"/>
      </w:pPr>
      <w:r w:rsidRPr="00890C59">
        <w:rPr>
          <w:b/>
          <w:bCs/>
        </w:rPr>
        <w:t>Funding Statement:</w:t>
      </w:r>
      <w:r w:rsidRPr="00890C59">
        <w:t xml:space="preserve"> This research received no specific grant from any funding agency in the public, commercial, or </w:t>
      </w:r>
      <w:r w:rsidR="00C13253">
        <w:t>non-profit</w:t>
      </w:r>
      <w:r w:rsidRPr="00890C59">
        <w:t xml:space="preserve"> sectors.</w:t>
      </w:r>
    </w:p>
    <w:p w14:paraId="0FB630FF" w14:textId="77777777" w:rsidR="00530B25" w:rsidRPr="003148DB" w:rsidRDefault="00530B25" w:rsidP="003148DB">
      <w:pPr>
        <w:spacing w:after="0"/>
      </w:pPr>
    </w:p>
    <w:p w14:paraId="75AC8D5A" w14:textId="77777777" w:rsidR="0079643A" w:rsidRPr="0079643A" w:rsidRDefault="0079643A" w:rsidP="0079643A">
      <w:pPr>
        <w:spacing w:after="0"/>
      </w:pPr>
      <w:r w:rsidRPr="0079643A">
        <w:rPr>
          <w:b/>
          <w:bCs/>
        </w:rPr>
        <w:t>Acknowledgments</w:t>
      </w:r>
    </w:p>
    <w:p w14:paraId="77B7BDC3" w14:textId="7C67D790" w:rsidR="0079643A" w:rsidRPr="0079643A" w:rsidRDefault="0079643A" w:rsidP="0079643A">
      <w:pPr>
        <w:spacing w:after="0"/>
      </w:pPr>
      <w:r w:rsidRPr="0079643A">
        <w:t>The authors used ChatGPT (OpenAI, San Francisco, CA, USA) to assist with grammar</w:t>
      </w:r>
      <w:r w:rsidR="00515244">
        <w:t xml:space="preserve">, </w:t>
      </w:r>
      <w:r w:rsidRPr="0079643A">
        <w:t>paragraph formatting</w:t>
      </w:r>
      <w:r w:rsidR="00515244">
        <w:t>, and figure creation</w:t>
      </w:r>
      <w:r w:rsidRPr="0079643A">
        <w:t>. The authors are fully responsible for the accuracy and integrity of the manuscript.</w:t>
      </w:r>
    </w:p>
    <w:p w14:paraId="69FD0F54" w14:textId="77777777" w:rsidR="003148DB" w:rsidRPr="008F6F91" w:rsidRDefault="003148DB" w:rsidP="008F6F91">
      <w:pPr>
        <w:spacing w:after="0"/>
      </w:pPr>
    </w:p>
    <w:p w14:paraId="5340149C" w14:textId="77777777" w:rsidR="009C04D3" w:rsidRPr="00954C27" w:rsidRDefault="009C04D3" w:rsidP="009C04D3">
      <w:pPr>
        <w:rPr>
          <w:b/>
          <w:bCs/>
        </w:rPr>
      </w:pPr>
      <w:r w:rsidRPr="002D5472">
        <w:rPr>
          <w:b/>
          <w:bCs/>
        </w:rPr>
        <w:t>References</w:t>
      </w:r>
    </w:p>
    <w:p w14:paraId="5C63839B" w14:textId="77777777" w:rsidR="009C04D3" w:rsidRPr="00954C27" w:rsidRDefault="009C04D3" w:rsidP="009C04D3">
      <w:pPr>
        <w:numPr>
          <w:ilvl w:val="0"/>
          <w:numId w:val="5"/>
        </w:numPr>
      </w:pPr>
      <w:r w:rsidRPr="00954C27">
        <w:t>Bolat R, Mach N, Vasic V, et</w:t>
      </w:r>
      <w:r w:rsidRPr="00954C27">
        <w:rPr>
          <w:rFonts w:ascii="Arial" w:hAnsi="Arial" w:cs="Arial"/>
        </w:rPr>
        <w:t> </w:t>
      </w:r>
      <w:r w:rsidRPr="00954C27">
        <w:t>al. BCM</w:t>
      </w:r>
      <w:r w:rsidRPr="00954C27">
        <w:noBreakHyphen/>
        <w:t>7: Opioid</w:t>
      </w:r>
      <w:r w:rsidRPr="00954C27">
        <w:noBreakHyphen/>
        <w:t xml:space="preserve">like peptide with potential role in disease mechanisms. </w:t>
      </w:r>
      <w:r w:rsidRPr="00954C27">
        <w:rPr>
          <w:i/>
          <w:iCs/>
        </w:rPr>
        <w:t>Molecules.</w:t>
      </w:r>
      <w:r w:rsidRPr="00954C27">
        <w:t xml:space="preserve"> 2024;29(9):2161. doi:10.3390/molecules29092161</w:t>
      </w:r>
    </w:p>
    <w:p w14:paraId="70BCB077" w14:textId="77777777" w:rsidR="009C04D3" w:rsidRPr="00954C27" w:rsidRDefault="009C04D3" w:rsidP="009C04D3">
      <w:pPr>
        <w:numPr>
          <w:ilvl w:val="0"/>
          <w:numId w:val="5"/>
        </w:numPr>
      </w:pPr>
      <w:r w:rsidRPr="00954C27">
        <w:t>Brownell JN, Bokulich NA, Parmar A, et</w:t>
      </w:r>
      <w:r w:rsidRPr="00954C27">
        <w:rPr>
          <w:rFonts w:ascii="Arial" w:hAnsi="Arial" w:cs="Arial"/>
        </w:rPr>
        <w:t> </w:t>
      </w:r>
      <w:r w:rsidRPr="00954C27">
        <w:t xml:space="preserve">al. Exclusive formula feeding is associated with greater gut permeability compared to breastfeeding. </w:t>
      </w:r>
      <w:r w:rsidRPr="00954C27">
        <w:rPr>
          <w:i/>
          <w:iCs/>
        </w:rPr>
        <w:t>J Pediatr Gastroenterol Nutr.</w:t>
      </w:r>
      <w:r w:rsidRPr="00954C27">
        <w:t xml:space="preserve"> 2020;71(2):238</w:t>
      </w:r>
      <w:r w:rsidRPr="00954C27">
        <w:noBreakHyphen/>
        <w:t>245.</w:t>
      </w:r>
    </w:p>
    <w:p w14:paraId="11CAB94C" w14:textId="77777777" w:rsidR="009C04D3" w:rsidRPr="00954C27" w:rsidRDefault="009C04D3" w:rsidP="009C04D3">
      <w:pPr>
        <w:numPr>
          <w:ilvl w:val="0"/>
          <w:numId w:val="5"/>
        </w:numPr>
      </w:pPr>
      <w:r w:rsidRPr="00954C27">
        <w:lastRenderedPageBreak/>
        <w:t>Cano ACS, Santos D, Beltrão</w:t>
      </w:r>
      <w:r w:rsidRPr="00954C27">
        <w:noBreakHyphen/>
        <w:t xml:space="preserve">Braga PCB. The interplay of astrocytes and neurons in autism spectrum disorder. In: </w:t>
      </w:r>
      <w:r w:rsidRPr="00954C27">
        <w:rPr>
          <w:i/>
          <w:iCs/>
        </w:rPr>
        <w:t>Advances in Neurobiology.</w:t>
      </w:r>
      <w:r w:rsidRPr="00954C27">
        <w:t xml:space="preserve"> Vol</w:t>
      </w:r>
      <w:r w:rsidRPr="00954C27">
        <w:rPr>
          <w:rFonts w:ascii="Arial" w:hAnsi="Arial" w:cs="Arial"/>
        </w:rPr>
        <w:t> </w:t>
      </w:r>
      <w:r w:rsidRPr="00954C27">
        <w:t>39. Springer; 2024:269</w:t>
      </w:r>
      <w:r w:rsidRPr="00954C27">
        <w:noBreakHyphen/>
        <w:t>284. doi:10.1007/978-3-031-64839-7_11</w:t>
      </w:r>
    </w:p>
    <w:p w14:paraId="29335A06" w14:textId="77777777" w:rsidR="009C04D3" w:rsidRPr="00954C27" w:rsidRDefault="009C04D3" w:rsidP="009C04D3">
      <w:pPr>
        <w:numPr>
          <w:ilvl w:val="0"/>
          <w:numId w:val="5"/>
        </w:numPr>
      </w:pPr>
      <w:r w:rsidRPr="00954C27">
        <w:t xml:space="preserve">Çatlı NE, Özyurt G. The relationship between autism spectrum disorders and vaccination: Review of current literature. </w:t>
      </w:r>
      <w:r w:rsidRPr="00954C27">
        <w:rPr>
          <w:i/>
          <w:iCs/>
        </w:rPr>
        <w:t>Trends Pediatr.</w:t>
      </w:r>
      <w:r w:rsidRPr="00954C27">
        <w:t xml:space="preserve"> 2025;6(2):76</w:t>
      </w:r>
      <w:r w:rsidRPr="00954C27">
        <w:noBreakHyphen/>
        <w:t>81. doi:10.59213/TP.2025.222</w:t>
      </w:r>
    </w:p>
    <w:p w14:paraId="3211619C" w14:textId="77777777" w:rsidR="009C04D3" w:rsidRPr="00954C27" w:rsidRDefault="009C04D3" w:rsidP="009C04D3">
      <w:pPr>
        <w:numPr>
          <w:ilvl w:val="0"/>
          <w:numId w:val="5"/>
        </w:numPr>
      </w:pPr>
      <w:r w:rsidRPr="00954C27">
        <w:t xml:space="preserve">Children’s Hospital of Philadelphia Vaccine Education Center. </w:t>
      </w:r>
      <w:r w:rsidRPr="00954C27">
        <w:rPr>
          <w:i/>
          <w:iCs/>
        </w:rPr>
        <w:t>Vaccines and the Blood–Brain Barrier.</w:t>
      </w:r>
      <w:r w:rsidRPr="00954C27">
        <w:t xml:space="preserve"> Philadelphia, PA: Children’s Hospital of Philadelphia; 2024.</w:t>
      </w:r>
    </w:p>
    <w:p w14:paraId="5FDA77CF" w14:textId="7BA92B58" w:rsidR="009C04D3" w:rsidRPr="00954C27" w:rsidRDefault="009C04D3" w:rsidP="009C04D3">
      <w:pPr>
        <w:numPr>
          <w:ilvl w:val="0"/>
          <w:numId w:val="5"/>
        </w:numPr>
      </w:pPr>
      <w:r w:rsidRPr="00954C27">
        <w:t xml:space="preserve">Clemente JC, Ursell LK, Parfrey LW, Knight R. The impact of </w:t>
      </w:r>
      <w:r w:rsidR="00E36068" w:rsidRPr="00954C27">
        <w:t>gut</w:t>
      </w:r>
      <w:r w:rsidRPr="00954C27">
        <w:t xml:space="preserve"> microbiota on human health: An integrative view. </w:t>
      </w:r>
      <w:r w:rsidRPr="00954C27">
        <w:rPr>
          <w:i/>
          <w:iCs/>
        </w:rPr>
        <w:t>Cell.</w:t>
      </w:r>
      <w:r w:rsidRPr="00954C27">
        <w:t xml:space="preserve"> 2012;148(6):1258</w:t>
      </w:r>
      <w:r w:rsidRPr="00954C27">
        <w:noBreakHyphen/>
        <w:t>1271.</w:t>
      </w:r>
    </w:p>
    <w:p w14:paraId="5B332DBE" w14:textId="7D53226E" w:rsidR="009C04D3" w:rsidRPr="00954C27" w:rsidRDefault="009C04D3" w:rsidP="009C04D3">
      <w:pPr>
        <w:numPr>
          <w:ilvl w:val="0"/>
          <w:numId w:val="5"/>
        </w:numPr>
      </w:pPr>
      <w:r w:rsidRPr="00954C27">
        <w:rPr>
          <w:lang w:val="fr-FR"/>
        </w:rPr>
        <w:t>Dogra S, Sakwinska O, Soh SE, et</w:t>
      </w:r>
      <w:r w:rsidRPr="00954C27">
        <w:rPr>
          <w:rFonts w:ascii="Arial" w:hAnsi="Arial" w:cs="Arial"/>
          <w:lang w:val="fr-FR"/>
        </w:rPr>
        <w:t> </w:t>
      </w:r>
      <w:r w:rsidRPr="00954C27">
        <w:rPr>
          <w:lang w:val="fr-FR"/>
        </w:rPr>
        <w:t xml:space="preserve">al. </w:t>
      </w:r>
      <w:r w:rsidRPr="00954C27">
        <w:t xml:space="preserve">Dynamics of the gut microbiome in early life: Longitudinal associations with breastfeeding and formula feeding. </w:t>
      </w:r>
      <w:r w:rsidRPr="00954C27">
        <w:rPr>
          <w:i/>
          <w:iCs/>
        </w:rPr>
        <w:t>Microbiome.</w:t>
      </w:r>
      <w:r w:rsidRPr="00954C27">
        <w:t xml:space="preserve"> </w:t>
      </w:r>
      <w:r w:rsidR="00AD1F19" w:rsidRPr="00954C27">
        <w:t>2015; 3:3</w:t>
      </w:r>
      <w:r w:rsidRPr="00954C27">
        <w:t>.</w:t>
      </w:r>
    </w:p>
    <w:p w14:paraId="556EC14A" w14:textId="7B470B96" w:rsidR="009C04D3" w:rsidRPr="00954C27" w:rsidRDefault="009C04D3" w:rsidP="009C04D3">
      <w:pPr>
        <w:numPr>
          <w:ilvl w:val="0"/>
          <w:numId w:val="5"/>
        </w:numPr>
      </w:pPr>
      <w:r w:rsidRPr="00954C27">
        <w:t>European Food Safety Authority (EFSA). Review of the potential health impact of β</w:t>
      </w:r>
      <w:r w:rsidRPr="00954C27">
        <w:noBreakHyphen/>
        <w:t xml:space="preserve">casomorphins and related peptides. </w:t>
      </w:r>
      <w:r w:rsidRPr="00954C27">
        <w:rPr>
          <w:i/>
          <w:iCs/>
        </w:rPr>
        <w:t>EFSA Sci Rep.</w:t>
      </w:r>
      <w:r w:rsidRPr="00954C27">
        <w:t xml:space="preserve"> </w:t>
      </w:r>
      <w:r w:rsidR="00AD1F19" w:rsidRPr="00954C27">
        <w:t>2009; 231:1</w:t>
      </w:r>
      <w:r w:rsidRPr="00954C27">
        <w:noBreakHyphen/>
        <w:t xml:space="preserve">107. </w:t>
      </w:r>
      <w:r w:rsidR="00AD1F19" w:rsidRPr="00954C27">
        <w:t>doi: 10.2903/j.efsa</w:t>
      </w:r>
      <w:r w:rsidRPr="00954C27">
        <w:t>.2009.231r</w:t>
      </w:r>
    </w:p>
    <w:p w14:paraId="14FA29F9" w14:textId="77777777" w:rsidR="009C04D3" w:rsidRPr="00954C27" w:rsidRDefault="009C04D3" w:rsidP="009C04D3">
      <w:pPr>
        <w:numPr>
          <w:ilvl w:val="0"/>
          <w:numId w:val="5"/>
        </w:numPr>
      </w:pPr>
      <w:r w:rsidRPr="00954C27">
        <w:rPr>
          <w:lang w:val="fr-FR"/>
        </w:rPr>
        <w:t>Fiorentino M, Camhi SM, Cascella N, et</w:t>
      </w:r>
      <w:r w:rsidRPr="00954C27">
        <w:rPr>
          <w:rFonts w:ascii="Arial" w:hAnsi="Arial" w:cs="Arial"/>
          <w:lang w:val="fr-FR"/>
        </w:rPr>
        <w:t> </w:t>
      </w:r>
      <w:r w:rsidRPr="00954C27">
        <w:rPr>
          <w:lang w:val="fr-FR"/>
        </w:rPr>
        <w:t xml:space="preserve">al. </w:t>
      </w:r>
      <w:r w:rsidRPr="00954C27">
        <w:t>Changes in blood</w:t>
      </w:r>
      <w:r w:rsidRPr="00954C27">
        <w:rPr>
          <w:rFonts w:ascii="Aptos" w:hAnsi="Aptos" w:cs="Aptos"/>
        </w:rPr>
        <w:t>–</w:t>
      </w:r>
      <w:r w:rsidRPr="00954C27">
        <w:t xml:space="preserve">brain barrier and intestinal permeability in people with autism. </w:t>
      </w:r>
      <w:r w:rsidRPr="00954C27">
        <w:rPr>
          <w:i/>
          <w:iCs/>
        </w:rPr>
        <w:t>Neuroscience News.</w:t>
      </w:r>
      <w:r w:rsidRPr="00954C27">
        <w:t xml:space="preserve"> January</w:t>
      </w:r>
      <w:r w:rsidRPr="00954C27">
        <w:rPr>
          <w:rFonts w:ascii="Arial" w:hAnsi="Arial" w:cs="Arial"/>
        </w:rPr>
        <w:t> </w:t>
      </w:r>
      <w:r w:rsidRPr="00954C27">
        <w:t>21,</w:t>
      </w:r>
      <w:r w:rsidRPr="00954C27">
        <w:rPr>
          <w:rFonts w:ascii="Arial" w:hAnsi="Arial" w:cs="Arial"/>
        </w:rPr>
        <w:t> </w:t>
      </w:r>
      <w:r w:rsidRPr="00954C27">
        <w:t>2017. Accessed August</w:t>
      </w:r>
      <w:r w:rsidRPr="00954C27">
        <w:rPr>
          <w:rFonts w:ascii="Arial" w:hAnsi="Arial" w:cs="Arial"/>
        </w:rPr>
        <w:t> </w:t>
      </w:r>
      <w:r w:rsidRPr="00954C27">
        <w:t>29,</w:t>
      </w:r>
      <w:r w:rsidRPr="00954C27">
        <w:rPr>
          <w:rFonts w:ascii="Arial" w:hAnsi="Arial" w:cs="Arial"/>
        </w:rPr>
        <w:t> </w:t>
      </w:r>
      <w:r w:rsidRPr="00954C27">
        <w:t>2025. https://neurosciencenews.com/autism-blood-brain-barrier-5979/</w:t>
      </w:r>
    </w:p>
    <w:p w14:paraId="5C28F31F" w14:textId="4706787D" w:rsidR="009C04D3" w:rsidRPr="00954C27" w:rsidRDefault="009C04D3" w:rsidP="009C04D3">
      <w:pPr>
        <w:numPr>
          <w:ilvl w:val="0"/>
          <w:numId w:val="5"/>
        </w:numPr>
      </w:pPr>
      <w:r w:rsidRPr="00954C27">
        <w:t>Fiorentino M, Sapone A, Senger S, et</w:t>
      </w:r>
      <w:r w:rsidRPr="00954C27">
        <w:rPr>
          <w:rFonts w:ascii="Arial" w:hAnsi="Arial" w:cs="Arial"/>
        </w:rPr>
        <w:t> </w:t>
      </w:r>
      <w:r w:rsidRPr="00954C27">
        <w:t>al. Blood</w:t>
      </w:r>
      <w:r w:rsidRPr="00954C27">
        <w:rPr>
          <w:rFonts w:ascii="Aptos" w:hAnsi="Aptos" w:cs="Aptos"/>
        </w:rPr>
        <w:t>–</w:t>
      </w:r>
      <w:r w:rsidRPr="00954C27">
        <w:t xml:space="preserve">brain barrier and intestinal epithelial barrier alterations in autism spectrum disorders. </w:t>
      </w:r>
      <w:r w:rsidRPr="00954C27">
        <w:rPr>
          <w:i/>
          <w:iCs/>
        </w:rPr>
        <w:t>Mol Autism.</w:t>
      </w:r>
      <w:r w:rsidRPr="00954C27">
        <w:t xml:space="preserve"> </w:t>
      </w:r>
      <w:r w:rsidR="00AD1F19" w:rsidRPr="00954C27">
        <w:t>2016; 7:49</w:t>
      </w:r>
      <w:r w:rsidRPr="00954C27">
        <w:t>. doi:10.1186/s13229-016-0110-z</w:t>
      </w:r>
    </w:p>
    <w:p w14:paraId="2A03D8E9" w14:textId="2D388F75" w:rsidR="009C04D3" w:rsidRPr="00954C27" w:rsidRDefault="009C04D3" w:rsidP="009C04D3">
      <w:pPr>
        <w:numPr>
          <w:ilvl w:val="0"/>
          <w:numId w:val="5"/>
        </w:numPr>
      </w:pPr>
      <w:r w:rsidRPr="00954C27">
        <w:t>Fortunato G, Proietti I, Tanassi J, et</w:t>
      </w:r>
      <w:r w:rsidRPr="00954C27">
        <w:rPr>
          <w:rFonts w:ascii="Arial" w:hAnsi="Arial" w:cs="Arial"/>
        </w:rPr>
        <w:t> </w:t>
      </w:r>
      <w:r w:rsidRPr="00954C27">
        <w:t xml:space="preserve">al. Elevated serum </w:t>
      </w:r>
      <w:r w:rsidRPr="00954C27">
        <w:rPr>
          <w:rFonts w:ascii="Aptos" w:hAnsi="Aptos" w:cs="Aptos"/>
        </w:rPr>
        <w:t>β</w:t>
      </w:r>
      <w:r w:rsidRPr="00954C27">
        <w:noBreakHyphen/>
        <w:t>casomorphin</w:t>
      </w:r>
      <w:r w:rsidRPr="00954C27">
        <w:noBreakHyphen/>
        <w:t xml:space="preserve">7 levels in children with autism spectrum disorder. </w:t>
      </w:r>
      <w:r w:rsidRPr="00954C27">
        <w:rPr>
          <w:i/>
          <w:iCs/>
        </w:rPr>
        <w:t>J Pediatr Gastroenterol Nutr.</w:t>
      </w:r>
      <w:r w:rsidRPr="00954C27">
        <w:t xml:space="preserve"> 2021;72(3</w:t>
      </w:r>
      <w:r w:rsidR="00AD1F19" w:rsidRPr="00954C27">
        <w:t>): e</w:t>
      </w:r>
      <w:r w:rsidRPr="00954C27">
        <w:t>86</w:t>
      </w:r>
      <w:r w:rsidRPr="00954C27">
        <w:noBreakHyphen/>
        <w:t>e90. doi:10.1097/MPG.0000000000003074</w:t>
      </w:r>
    </w:p>
    <w:p w14:paraId="70A524A7" w14:textId="2633CA8D" w:rsidR="009C04D3" w:rsidRPr="00954C27" w:rsidRDefault="009C04D3" w:rsidP="009C04D3">
      <w:pPr>
        <w:numPr>
          <w:ilvl w:val="0"/>
          <w:numId w:val="5"/>
        </w:numPr>
      </w:pPr>
      <w:r w:rsidRPr="00954C27">
        <w:rPr>
          <w:lang w:val="fr-FR"/>
        </w:rPr>
        <w:t>Grimaldi R, Gibson GR, Vulevic J, et</w:t>
      </w:r>
      <w:r w:rsidRPr="00954C27">
        <w:rPr>
          <w:rFonts w:ascii="Arial" w:hAnsi="Arial" w:cs="Arial"/>
          <w:lang w:val="fr-FR"/>
        </w:rPr>
        <w:t> </w:t>
      </w:r>
      <w:r w:rsidRPr="00954C27">
        <w:rPr>
          <w:lang w:val="fr-FR"/>
        </w:rPr>
        <w:t xml:space="preserve">al. </w:t>
      </w:r>
      <w:r w:rsidRPr="00954C27">
        <w:t xml:space="preserve">Oligofructose and </w:t>
      </w:r>
      <w:r w:rsidRPr="00954C27">
        <w:rPr>
          <w:i/>
          <w:iCs/>
        </w:rPr>
        <w:t>Bifidobacterium</w:t>
      </w:r>
      <w:r w:rsidRPr="00954C27">
        <w:t xml:space="preserve"> improve intestinal barrier integrity in infants: A randomized crossover study. </w:t>
      </w:r>
      <w:r w:rsidRPr="00954C27">
        <w:rPr>
          <w:i/>
          <w:iCs/>
        </w:rPr>
        <w:t>J Pediatr Gastroenterol Nutr.</w:t>
      </w:r>
      <w:r w:rsidRPr="00954C27">
        <w:t xml:space="preserve"> 2021;72(6</w:t>
      </w:r>
      <w:r w:rsidR="00AD1F19" w:rsidRPr="00954C27">
        <w:t>): e</w:t>
      </w:r>
      <w:r w:rsidRPr="00954C27">
        <w:t>89</w:t>
      </w:r>
      <w:r w:rsidRPr="00954C27">
        <w:noBreakHyphen/>
        <w:t>e95.</w:t>
      </w:r>
    </w:p>
    <w:p w14:paraId="0A7C1BD9" w14:textId="77777777" w:rsidR="009C04D3" w:rsidRPr="00954C27" w:rsidRDefault="009C04D3" w:rsidP="009C04D3">
      <w:pPr>
        <w:numPr>
          <w:ilvl w:val="0"/>
          <w:numId w:val="5"/>
        </w:numPr>
      </w:pPr>
      <w:r w:rsidRPr="00954C27">
        <w:t>Jarmołowska B, Bukało M, Fiedorowicz E, et</w:t>
      </w:r>
      <w:r w:rsidRPr="00954C27">
        <w:rPr>
          <w:rFonts w:ascii="Arial" w:hAnsi="Arial" w:cs="Arial"/>
        </w:rPr>
        <w:t> </w:t>
      </w:r>
      <w:r w:rsidRPr="00954C27">
        <w:t>al. Role of milk</w:t>
      </w:r>
      <w:r w:rsidRPr="00954C27">
        <w:noBreakHyphen/>
        <w:t>derived opioid peptides and proline dipeptidyl peptidase</w:t>
      </w:r>
      <w:r w:rsidRPr="00954C27">
        <w:noBreakHyphen/>
        <w:t xml:space="preserve">4 in autism spectrum disorders. </w:t>
      </w:r>
      <w:r w:rsidRPr="00954C27">
        <w:rPr>
          <w:i/>
          <w:iCs/>
        </w:rPr>
        <w:t>Nutrients.</w:t>
      </w:r>
      <w:r w:rsidRPr="00954C27">
        <w:t xml:space="preserve"> 2019;11(1):87. doi:10.3390/nu11010087</w:t>
      </w:r>
    </w:p>
    <w:p w14:paraId="56450D00" w14:textId="41A0FB58" w:rsidR="009C04D3" w:rsidRPr="00954C27" w:rsidRDefault="009C04D3" w:rsidP="009C04D3">
      <w:pPr>
        <w:numPr>
          <w:ilvl w:val="0"/>
          <w:numId w:val="5"/>
        </w:numPr>
      </w:pPr>
      <w:r w:rsidRPr="00954C27">
        <w:lastRenderedPageBreak/>
        <w:t>Kwon HJ, Park JH, Lee JY, et</w:t>
      </w:r>
      <w:r w:rsidRPr="00954C27">
        <w:rPr>
          <w:rFonts w:ascii="Arial" w:hAnsi="Arial" w:cs="Arial"/>
        </w:rPr>
        <w:t> </w:t>
      </w:r>
      <w:r w:rsidRPr="00954C27">
        <w:t>al. Aluminum adjuvants disrupt blood</w:t>
      </w:r>
      <w:r w:rsidRPr="00954C27">
        <w:rPr>
          <w:rFonts w:ascii="Aptos" w:hAnsi="Aptos" w:cs="Aptos"/>
        </w:rPr>
        <w:t>–</w:t>
      </w:r>
      <w:r w:rsidRPr="00954C27">
        <w:t xml:space="preserve">brain barrier integrity and induce microglial activation in neonatal mice. </w:t>
      </w:r>
      <w:r w:rsidRPr="00954C27">
        <w:rPr>
          <w:i/>
          <w:iCs/>
        </w:rPr>
        <w:t>J Neuroinflammation.</w:t>
      </w:r>
      <w:r w:rsidRPr="00954C27">
        <w:t xml:space="preserve"> </w:t>
      </w:r>
      <w:r w:rsidR="00AD1F19" w:rsidRPr="00954C27">
        <w:t>2023; 20:85</w:t>
      </w:r>
      <w:r w:rsidRPr="00954C27">
        <w:t>. doi:10.1186/s12974-023-02845-0</w:t>
      </w:r>
    </w:p>
    <w:p w14:paraId="3210A98B" w14:textId="12E1BDF5" w:rsidR="009C04D3" w:rsidRPr="00954C27" w:rsidRDefault="009C04D3" w:rsidP="009C04D3">
      <w:pPr>
        <w:numPr>
          <w:ilvl w:val="0"/>
          <w:numId w:val="5"/>
        </w:numPr>
      </w:pPr>
      <w:r w:rsidRPr="00954C27">
        <w:t>Mawson AR, Jacob B. Vaccination and neurodevelopmental disorders: A study of nine</w:t>
      </w:r>
      <w:r w:rsidRPr="00954C27">
        <w:noBreakHyphen/>
        <w:t>year</w:t>
      </w:r>
      <w:r w:rsidRPr="00954C27">
        <w:noBreakHyphen/>
        <w:t xml:space="preserve">old children enrolled in Medicaid. </w:t>
      </w:r>
      <w:r w:rsidRPr="00954C27">
        <w:rPr>
          <w:i/>
          <w:iCs/>
        </w:rPr>
        <w:t>Sci Public Health Policy Law.</w:t>
      </w:r>
      <w:r w:rsidRPr="00954C27">
        <w:t xml:space="preserve"> </w:t>
      </w:r>
      <w:r w:rsidR="00AD1F19" w:rsidRPr="00954C27">
        <w:t>2025; 6:55</w:t>
      </w:r>
      <w:r w:rsidRPr="00954C27">
        <w:noBreakHyphen/>
        <w:t>61.</w:t>
      </w:r>
    </w:p>
    <w:p w14:paraId="44450C97" w14:textId="12A21E1D" w:rsidR="009C04D3" w:rsidRPr="00954C27" w:rsidRDefault="009C04D3" w:rsidP="009C04D3">
      <w:pPr>
        <w:numPr>
          <w:ilvl w:val="0"/>
          <w:numId w:val="5"/>
        </w:numPr>
      </w:pPr>
      <w:r w:rsidRPr="00954C27">
        <w:t>Nguyen TL, Vieira</w:t>
      </w:r>
      <w:r w:rsidRPr="00954C27">
        <w:noBreakHyphen/>
        <w:t>Silva S, Liston A, Raes J. Skin</w:t>
      </w:r>
      <w:r w:rsidRPr="00954C27">
        <w:noBreakHyphen/>
        <w:t>to</w:t>
      </w:r>
      <w:r w:rsidRPr="00954C27">
        <w:noBreakHyphen/>
        <w:t xml:space="preserve">skin contact promotes microbial colonization: A metagenomic analysis. </w:t>
      </w:r>
      <w:r w:rsidRPr="00954C27">
        <w:rPr>
          <w:i/>
          <w:iCs/>
        </w:rPr>
        <w:t>PLoS One.</w:t>
      </w:r>
      <w:r w:rsidRPr="00954C27">
        <w:t xml:space="preserve"> 2021;16(5</w:t>
      </w:r>
      <w:r w:rsidR="00AD1F19" w:rsidRPr="00954C27">
        <w:t>): e</w:t>
      </w:r>
      <w:r w:rsidRPr="00954C27">
        <w:t>0251299.</w:t>
      </w:r>
    </w:p>
    <w:p w14:paraId="2800E78E" w14:textId="623F3489" w:rsidR="009C04D3" w:rsidRPr="00954C27" w:rsidRDefault="009C04D3" w:rsidP="009C04D3">
      <w:pPr>
        <w:numPr>
          <w:ilvl w:val="0"/>
          <w:numId w:val="5"/>
        </w:numPr>
      </w:pPr>
      <w:r w:rsidRPr="00954C27">
        <w:t xml:space="preserve">Petrelli F, Pucci L, Bezzi P. Astrocytes, microglia and their potential link with autism spectrum disorders. </w:t>
      </w:r>
      <w:r w:rsidRPr="00954C27">
        <w:rPr>
          <w:i/>
          <w:iCs/>
        </w:rPr>
        <w:t>Front Cell Neurosci.</w:t>
      </w:r>
      <w:r w:rsidRPr="00954C27">
        <w:t xml:space="preserve"> </w:t>
      </w:r>
      <w:r w:rsidR="00AD1F19" w:rsidRPr="00954C27">
        <w:t>2016; 10:21</w:t>
      </w:r>
      <w:r w:rsidRPr="00954C27">
        <w:t>. doi:10.3389/fncel.2016.00021</w:t>
      </w:r>
    </w:p>
    <w:p w14:paraId="45BFFF3D" w14:textId="62BCA051" w:rsidR="009C04D3" w:rsidRPr="00954C27" w:rsidRDefault="009C04D3" w:rsidP="009C04D3">
      <w:pPr>
        <w:numPr>
          <w:ilvl w:val="0"/>
          <w:numId w:val="5"/>
        </w:numPr>
      </w:pPr>
      <w:r w:rsidRPr="00954C27">
        <w:t xml:space="preserve">Smith M, Wood L, Nichols M. Claudin and occludin expression in the blood–brain barrier: Role of probiotics. </w:t>
      </w:r>
      <w:r w:rsidRPr="00954C27">
        <w:rPr>
          <w:i/>
          <w:iCs/>
        </w:rPr>
        <w:t>Brain Res.</w:t>
      </w:r>
      <w:r w:rsidRPr="00954C27">
        <w:t xml:space="preserve"> </w:t>
      </w:r>
      <w:r w:rsidR="00AD1F19" w:rsidRPr="00954C27">
        <w:t>2019; 1721:146312</w:t>
      </w:r>
      <w:r w:rsidRPr="00954C27">
        <w:t>.</w:t>
      </w:r>
    </w:p>
    <w:p w14:paraId="71AF9A07" w14:textId="77777777" w:rsidR="009C04D3" w:rsidRPr="00954C27" w:rsidRDefault="009C04D3" w:rsidP="009C04D3">
      <w:pPr>
        <w:numPr>
          <w:ilvl w:val="0"/>
          <w:numId w:val="5"/>
        </w:numPr>
      </w:pPr>
      <w:r w:rsidRPr="00954C27">
        <w:rPr>
          <w:lang w:val="fr-FR"/>
        </w:rPr>
        <w:t>Stewart CJ, Ajami NJ, O’Brien JL, et</w:t>
      </w:r>
      <w:r w:rsidRPr="00954C27">
        <w:rPr>
          <w:rFonts w:ascii="Arial" w:hAnsi="Arial" w:cs="Arial"/>
          <w:lang w:val="fr-FR"/>
        </w:rPr>
        <w:t> </w:t>
      </w:r>
      <w:r w:rsidRPr="00954C27">
        <w:rPr>
          <w:lang w:val="fr-FR"/>
        </w:rPr>
        <w:t xml:space="preserve">al. </w:t>
      </w:r>
      <w:r w:rsidRPr="00954C27">
        <w:t xml:space="preserve">Temporal development of the gut microbiome in early childhood from the TEDDY study. </w:t>
      </w:r>
      <w:r w:rsidRPr="00954C27">
        <w:rPr>
          <w:i/>
          <w:iCs/>
        </w:rPr>
        <w:t>Cell.</w:t>
      </w:r>
      <w:r w:rsidRPr="00954C27">
        <w:t xml:space="preserve"> 2018;173(4):963</w:t>
      </w:r>
      <w:r w:rsidRPr="00954C27">
        <w:noBreakHyphen/>
        <w:t>974.e13.</w:t>
      </w:r>
    </w:p>
    <w:p w14:paraId="78B4FAB2" w14:textId="77777777" w:rsidR="009C04D3" w:rsidRPr="00954C27" w:rsidRDefault="009C04D3" w:rsidP="009C04D3">
      <w:pPr>
        <w:numPr>
          <w:ilvl w:val="0"/>
          <w:numId w:val="5"/>
        </w:numPr>
      </w:pPr>
      <w:r w:rsidRPr="00954C27">
        <w:t>Van den Elsen LWJ, Vivanco Calvo F, Nylund G, et</w:t>
      </w:r>
      <w:r w:rsidRPr="00954C27">
        <w:rPr>
          <w:rFonts w:ascii="Arial" w:hAnsi="Arial" w:cs="Arial"/>
        </w:rPr>
        <w:t> </w:t>
      </w:r>
      <w:r w:rsidRPr="00954C27">
        <w:t>al. Impact of early</w:t>
      </w:r>
      <w:r w:rsidRPr="00954C27">
        <w:noBreakHyphen/>
        <w:t xml:space="preserve">life antibiotics on the gut microbiota and behavioral outcomes in rodents. </w:t>
      </w:r>
      <w:r w:rsidRPr="00954C27">
        <w:rPr>
          <w:i/>
          <w:iCs/>
        </w:rPr>
        <w:t>Gut Microbes.</w:t>
      </w:r>
      <w:r w:rsidRPr="00954C27">
        <w:t xml:space="preserve"> 2020;11(5):1184</w:t>
      </w:r>
      <w:r w:rsidRPr="00954C27">
        <w:noBreakHyphen/>
        <w:t>1194.</w:t>
      </w:r>
    </w:p>
    <w:p w14:paraId="52027E1E" w14:textId="77777777" w:rsidR="009C04D3" w:rsidRPr="00954C27" w:rsidRDefault="009C04D3" w:rsidP="009C04D3">
      <w:pPr>
        <w:numPr>
          <w:ilvl w:val="0"/>
          <w:numId w:val="5"/>
        </w:numPr>
      </w:pPr>
      <w:r w:rsidRPr="00954C27">
        <w:t>Vasconcelos ML, Oliveira LMFS, Hill JP, Vidal AMC. Difficulties in establishing the adverse effects of β</w:t>
      </w:r>
      <w:r w:rsidRPr="00954C27">
        <w:noBreakHyphen/>
        <w:t>casomorphin</w:t>
      </w:r>
      <w:r w:rsidRPr="00954C27">
        <w:noBreakHyphen/>
        <w:t>7 released from β</w:t>
      </w:r>
      <w:r w:rsidRPr="00954C27">
        <w:noBreakHyphen/>
        <w:t xml:space="preserve">casein variants: A review. </w:t>
      </w:r>
      <w:r w:rsidRPr="00954C27">
        <w:rPr>
          <w:i/>
          <w:iCs/>
        </w:rPr>
        <w:t>Foods.</w:t>
      </w:r>
      <w:r w:rsidRPr="00954C27">
        <w:t xml:space="preserve"> 2023;12(17):3151. doi:10.3390/foods12173151</w:t>
      </w:r>
    </w:p>
    <w:p w14:paraId="44AD1DB0" w14:textId="77777777" w:rsidR="009C04D3" w:rsidRPr="00954C27" w:rsidRDefault="009C04D3" w:rsidP="009C04D3">
      <w:pPr>
        <w:numPr>
          <w:ilvl w:val="0"/>
          <w:numId w:val="5"/>
        </w:numPr>
      </w:pPr>
      <w:r w:rsidRPr="00954C27">
        <w:t>Zhao Y, Huang Y, Cao Y, Yang J. Astrocyte</w:t>
      </w:r>
      <w:r w:rsidRPr="00954C27">
        <w:noBreakHyphen/>
        <w:t xml:space="preserve">mediated neuroinflammation in neurological conditions. </w:t>
      </w:r>
      <w:r w:rsidRPr="00954C27">
        <w:rPr>
          <w:i/>
          <w:iCs/>
        </w:rPr>
        <w:t>Biomolecules.</w:t>
      </w:r>
      <w:r w:rsidRPr="00954C27">
        <w:t xml:space="preserve"> 2024;14(10):1204. doi:10.3390/biom14101204</w:t>
      </w:r>
    </w:p>
    <w:p w14:paraId="4058CC25" w14:textId="77777777" w:rsidR="009C04D3" w:rsidRPr="00954C27" w:rsidRDefault="009C04D3" w:rsidP="009C04D3">
      <w:pPr>
        <w:numPr>
          <w:ilvl w:val="0"/>
          <w:numId w:val="5"/>
        </w:numPr>
      </w:pPr>
      <w:r w:rsidRPr="00954C27">
        <w:t xml:space="preserve">Zhu L, Baker RD, Baker SS. Opioid peptides influence intestinal motility and permeability in adults: Implications for infants. </w:t>
      </w:r>
      <w:r w:rsidRPr="00954C27">
        <w:rPr>
          <w:i/>
          <w:iCs/>
        </w:rPr>
        <w:t>J Pediatr Gastroenterol Nutr.</w:t>
      </w:r>
      <w:r w:rsidRPr="00954C27">
        <w:t xml:space="preserve"> 2018;66(3):477</w:t>
      </w:r>
      <w:r w:rsidRPr="00954C27">
        <w:noBreakHyphen/>
        <w:t>484.</w:t>
      </w:r>
    </w:p>
    <w:p w14:paraId="299C6DCD" w14:textId="77777777" w:rsidR="009C04D3" w:rsidRDefault="009C04D3" w:rsidP="009C04D3"/>
    <w:p w14:paraId="4D4A6756" w14:textId="77777777" w:rsidR="00AB03B0" w:rsidRDefault="00AB03B0" w:rsidP="009C04D3"/>
    <w:p w14:paraId="3F6E56F4" w14:textId="77777777" w:rsidR="00AB03B0" w:rsidRDefault="00AB03B0" w:rsidP="009C04D3"/>
    <w:p w14:paraId="1E66BE8F" w14:textId="77777777" w:rsidR="002D4B57" w:rsidRPr="002D5472" w:rsidRDefault="002D4B57" w:rsidP="009C04D3"/>
    <w:p w14:paraId="618DFCD5" w14:textId="77777777" w:rsidR="00BB47FE" w:rsidRPr="00FE18D8" w:rsidRDefault="00BB47FE" w:rsidP="00BB47FE">
      <w:pPr>
        <w:rPr>
          <w:b/>
          <w:bCs/>
        </w:rPr>
      </w:pPr>
      <w:r w:rsidRPr="00FE18D8">
        <w:rPr>
          <w:b/>
          <w:bCs/>
        </w:rPr>
        <w:lastRenderedPageBreak/>
        <w:t>Figure Legend</w:t>
      </w:r>
    </w:p>
    <w:p w14:paraId="1F29629B" w14:textId="77777777" w:rsidR="00BB47FE" w:rsidRDefault="00BB47FE" w:rsidP="00BB47FE">
      <w:pPr>
        <w:spacing w:after="0"/>
        <w:rPr>
          <w:b/>
          <w:bCs/>
        </w:rPr>
      </w:pPr>
      <w:r w:rsidRPr="00FB1A41">
        <w:rPr>
          <w:b/>
          <w:bCs/>
        </w:rPr>
        <w:t>Figure</w:t>
      </w:r>
      <w:r w:rsidRPr="00FB1A41">
        <w:rPr>
          <w:rFonts w:ascii="Arial" w:hAnsi="Arial" w:cs="Arial"/>
          <w:b/>
          <w:bCs/>
        </w:rPr>
        <w:t> </w:t>
      </w:r>
      <w:r w:rsidRPr="00FB1A41">
        <w:rPr>
          <w:b/>
          <w:bCs/>
        </w:rPr>
        <w:t xml:space="preserve">1. </w:t>
      </w:r>
      <w:r w:rsidRPr="00FB1A41">
        <w:rPr>
          <w:i/>
          <w:iCs/>
        </w:rPr>
        <w:t>Expanded autism cascade hypothesis.</w:t>
      </w:r>
      <w:r w:rsidRPr="00FB1A41">
        <w:rPr>
          <w:b/>
          <w:bCs/>
        </w:rPr>
        <w:t xml:space="preserve"> </w:t>
      </w:r>
    </w:p>
    <w:p w14:paraId="11B88504" w14:textId="3CA2A4B9" w:rsidR="00BB47FE" w:rsidRPr="00FB1A41" w:rsidRDefault="00BB47FE" w:rsidP="00BB47FE">
      <w:pPr>
        <w:spacing w:after="0"/>
      </w:pPr>
      <w:r w:rsidRPr="00FB1A41">
        <w:rPr>
          <w:b/>
          <w:bCs/>
        </w:rPr>
        <w:t>Panel</w:t>
      </w:r>
      <w:r w:rsidRPr="00FB1A41">
        <w:rPr>
          <w:rFonts w:ascii="Arial" w:hAnsi="Arial" w:cs="Arial"/>
          <w:b/>
          <w:bCs/>
        </w:rPr>
        <w:t> </w:t>
      </w:r>
      <w:r w:rsidRPr="00FB1A41">
        <w:rPr>
          <w:b/>
          <w:bCs/>
        </w:rPr>
        <w:t xml:space="preserve">A </w:t>
      </w:r>
      <w:r w:rsidRPr="00FB1A41">
        <w:t>(</w:t>
      </w:r>
      <w:r w:rsidRPr="00FB1A41">
        <w:rPr>
          <w:i/>
          <w:iCs/>
        </w:rPr>
        <w:t>Dietary Exposure; Microbiome Modulation and Dipeptidyl Peptidase</w:t>
      </w:r>
      <w:r w:rsidRPr="00FB1A41">
        <w:rPr>
          <w:i/>
          <w:iCs/>
        </w:rPr>
        <w:noBreakHyphen/>
        <w:t>4 [DPP</w:t>
      </w:r>
      <w:r w:rsidRPr="00FB1A41">
        <w:rPr>
          <w:i/>
          <w:iCs/>
        </w:rPr>
        <w:noBreakHyphen/>
        <w:t>4] Dysfunction; Barrier Vulnerability and Neuroimmune Activation</w:t>
      </w:r>
      <w:r w:rsidRPr="00FB1A41">
        <w:t>) illustrates the proposed mechanistic cascade: ingestion of A1</w:t>
      </w:r>
      <w:r w:rsidRPr="00FB1A41">
        <w:rPr>
          <w:rFonts w:ascii="Arial" w:hAnsi="Arial" w:cs="Arial"/>
        </w:rPr>
        <w:t> </w:t>
      </w:r>
      <w:r w:rsidRPr="00FB1A41">
        <w:rPr>
          <w:rFonts w:ascii="Aptos" w:hAnsi="Aptos" w:cs="Aptos"/>
        </w:rPr>
        <w:t>β</w:t>
      </w:r>
      <w:r w:rsidRPr="00FB1A41">
        <w:noBreakHyphen/>
        <w:t xml:space="preserve">casein leads to </w:t>
      </w:r>
      <w:r w:rsidRPr="00FB1A41">
        <w:rPr>
          <w:rFonts w:ascii="Aptos" w:hAnsi="Aptos" w:cs="Aptos"/>
        </w:rPr>
        <w:t>β</w:t>
      </w:r>
      <w:r w:rsidRPr="00FB1A41">
        <w:noBreakHyphen/>
        <w:t>casomorphin</w:t>
      </w:r>
      <w:r w:rsidRPr="00FB1A41">
        <w:noBreakHyphen/>
        <w:t>7 (BCM</w:t>
      </w:r>
      <w:r w:rsidRPr="00FB1A41">
        <w:noBreakHyphen/>
        <w:t>7) release; under dysbiosis, microbial DPP</w:t>
      </w:r>
      <w:r w:rsidRPr="00FB1A41">
        <w:noBreakHyphen/>
        <w:t>4 degradation is impaired (dashed arrow), causing BCM</w:t>
      </w:r>
      <w:r w:rsidRPr="00FB1A41">
        <w:noBreakHyphen/>
        <w:t xml:space="preserve">7 accumulation. This increases </w:t>
      </w:r>
      <w:r w:rsidR="001A2F27">
        <w:t>permeability of the gut</w:t>
      </w:r>
      <w:r w:rsidRPr="00FB1A41">
        <w:t>, enabling neuroactive and inflammatory molecules to reach the brain. Microglial activation disrupt</w:t>
      </w:r>
      <w:r w:rsidR="00DE4C50">
        <w:t xml:space="preserve">s </w:t>
      </w:r>
      <w:r w:rsidRPr="00FB1A41">
        <w:t>neurodevelopment. A feedback loop from BCM</w:t>
      </w:r>
      <w:r w:rsidRPr="00FB1A41">
        <w:noBreakHyphen/>
        <w:t>7 to DPP</w:t>
      </w:r>
      <w:r w:rsidRPr="00FB1A41">
        <w:noBreakHyphen/>
        <w:t>4 transcription is shown, highlighting a compensatory but insufficient enzymatic response.</w:t>
      </w:r>
    </w:p>
    <w:p w14:paraId="43BFAD31" w14:textId="3AB81F0F" w:rsidR="00BB21E2" w:rsidRDefault="00BB47FE" w:rsidP="00BB21E2">
      <w:pPr>
        <w:spacing w:after="0"/>
      </w:pPr>
      <w:r w:rsidRPr="00FB1A41">
        <w:rPr>
          <w:b/>
          <w:bCs/>
        </w:rPr>
        <w:t>Panel</w:t>
      </w:r>
      <w:r w:rsidRPr="00FB1A41">
        <w:rPr>
          <w:rFonts w:ascii="Arial" w:hAnsi="Arial" w:cs="Arial"/>
          <w:b/>
          <w:bCs/>
        </w:rPr>
        <w:t> </w:t>
      </w:r>
      <w:r w:rsidRPr="00FB1A41">
        <w:rPr>
          <w:b/>
          <w:bCs/>
        </w:rPr>
        <w:t xml:space="preserve">B </w:t>
      </w:r>
      <w:r w:rsidRPr="00FB1A41">
        <w:t>depicts early</w:t>
      </w:r>
      <w:r w:rsidRPr="00FB1A41">
        <w:noBreakHyphen/>
        <w:t>life risk factors that may exacerbate the cascade</w:t>
      </w:r>
      <w:r w:rsidR="00697ED8">
        <w:t xml:space="preserve"> of </w:t>
      </w:r>
      <w:r w:rsidRPr="00FB1A41">
        <w:t>Caesarean delivery, advanced maternal age, sterile environments, early antibiotic use, and exclusive formula feeding with A1 milk</w:t>
      </w:r>
      <w:r w:rsidR="002E458B">
        <w:t xml:space="preserve">, </w:t>
      </w:r>
      <w:r w:rsidRPr="00FB1A41">
        <w:t>as outlined in the Results section.</w:t>
      </w:r>
    </w:p>
    <w:p w14:paraId="47C040BC" w14:textId="691874BD" w:rsidR="00BB47FE" w:rsidRPr="00FB1A41" w:rsidRDefault="00BB47FE" w:rsidP="00BB21E2">
      <w:pPr>
        <w:spacing w:after="0"/>
      </w:pPr>
      <w:r w:rsidRPr="00FB1A41">
        <w:rPr>
          <w:b/>
          <w:bCs/>
        </w:rPr>
        <w:t>Panel</w:t>
      </w:r>
      <w:r w:rsidRPr="00FB1A41">
        <w:rPr>
          <w:rFonts w:ascii="Arial" w:hAnsi="Arial" w:cs="Arial"/>
          <w:b/>
          <w:bCs/>
        </w:rPr>
        <w:t> </w:t>
      </w:r>
      <w:r w:rsidRPr="00FB1A41">
        <w:rPr>
          <w:b/>
          <w:bCs/>
        </w:rPr>
        <w:t xml:space="preserve">C </w:t>
      </w:r>
      <w:r w:rsidRPr="00FB1A41">
        <w:t>shows protective levers to interrupt the cascade, corresponding to the Clinical Implications</w:t>
      </w:r>
      <w:r w:rsidR="00A876CA">
        <w:t xml:space="preserve"> of</w:t>
      </w:r>
      <w:r w:rsidRPr="00FB1A41">
        <w:t xml:space="preserve"> dietary strategies (A2 milk, breastfeeding), microbial interventions (probiotics, </w:t>
      </w:r>
      <w:r w:rsidR="00C13253">
        <w:t>skin-to-skin</w:t>
      </w:r>
      <w:r w:rsidRPr="00FB1A41">
        <w:t xml:space="preserve"> contact), and </w:t>
      </w:r>
      <w:r w:rsidR="00C13253">
        <w:t>timing-based</w:t>
      </w:r>
      <w:r w:rsidRPr="00FB1A41">
        <w:t xml:space="preserve"> approaches (e.g., vaginal delivery).</w:t>
      </w:r>
    </w:p>
    <w:p w14:paraId="1F73CD89" w14:textId="77777777" w:rsidR="008F6F91" w:rsidRDefault="008F6F91"/>
    <w:sectPr w:rsidR="008F6F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D35EE"/>
    <w:multiLevelType w:val="multilevel"/>
    <w:tmpl w:val="3B4C4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4D0EA9"/>
    <w:multiLevelType w:val="multilevel"/>
    <w:tmpl w:val="4886D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D4151F"/>
    <w:multiLevelType w:val="multilevel"/>
    <w:tmpl w:val="08B0C8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576DF6"/>
    <w:multiLevelType w:val="multilevel"/>
    <w:tmpl w:val="77B27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5851FB"/>
    <w:multiLevelType w:val="multilevel"/>
    <w:tmpl w:val="835C0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85161647">
    <w:abstractNumId w:val="2"/>
  </w:num>
  <w:num w:numId="2" w16cid:durableId="1884637006">
    <w:abstractNumId w:val="1"/>
  </w:num>
  <w:num w:numId="3" w16cid:durableId="941034541">
    <w:abstractNumId w:val="0"/>
  </w:num>
  <w:num w:numId="4" w16cid:durableId="116874000">
    <w:abstractNumId w:val="3"/>
  </w:num>
  <w:num w:numId="5" w16cid:durableId="11367993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F91"/>
    <w:rsid w:val="0001106A"/>
    <w:rsid w:val="00021BA3"/>
    <w:rsid w:val="0002370B"/>
    <w:rsid w:val="000259C9"/>
    <w:rsid w:val="00026136"/>
    <w:rsid w:val="000359FD"/>
    <w:rsid w:val="00037F9E"/>
    <w:rsid w:val="000457D9"/>
    <w:rsid w:val="00050065"/>
    <w:rsid w:val="00076CD5"/>
    <w:rsid w:val="0007724B"/>
    <w:rsid w:val="000B031A"/>
    <w:rsid w:val="000C084E"/>
    <w:rsid w:val="000D683D"/>
    <w:rsid w:val="00100802"/>
    <w:rsid w:val="00115DD0"/>
    <w:rsid w:val="00124883"/>
    <w:rsid w:val="001301DF"/>
    <w:rsid w:val="001364CA"/>
    <w:rsid w:val="0014436C"/>
    <w:rsid w:val="0015665C"/>
    <w:rsid w:val="00193040"/>
    <w:rsid w:val="001A2F27"/>
    <w:rsid w:val="001B1272"/>
    <w:rsid w:val="001B6A99"/>
    <w:rsid w:val="001C30A7"/>
    <w:rsid w:val="001D0905"/>
    <w:rsid w:val="001D144C"/>
    <w:rsid w:val="001D3D0F"/>
    <w:rsid w:val="001F5365"/>
    <w:rsid w:val="00207722"/>
    <w:rsid w:val="00243ABB"/>
    <w:rsid w:val="00291724"/>
    <w:rsid w:val="0029502D"/>
    <w:rsid w:val="00296E85"/>
    <w:rsid w:val="002D0B4A"/>
    <w:rsid w:val="002D4B57"/>
    <w:rsid w:val="002D5518"/>
    <w:rsid w:val="002E458B"/>
    <w:rsid w:val="002E7758"/>
    <w:rsid w:val="003148DB"/>
    <w:rsid w:val="00314EC7"/>
    <w:rsid w:val="00315812"/>
    <w:rsid w:val="003173D6"/>
    <w:rsid w:val="003641F2"/>
    <w:rsid w:val="0036606C"/>
    <w:rsid w:val="00381C64"/>
    <w:rsid w:val="00386ABC"/>
    <w:rsid w:val="00387F07"/>
    <w:rsid w:val="003C0F13"/>
    <w:rsid w:val="003C24B4"/>
    <w:rsid w:val="003D0E22"/>
    <w:rsid w:val="003D38E0"/>
    <w:rsid w:val="003E4347"/>
    <w:rsid w:val="003E49F7"/>
    <w:rsid w:val="003F72B1"/>
    <w:rsid w:val="00426E09"/>
    <w:rsid w:val="004546EC"/>
    <w:rsid w:val="0045799A"/>
    <w:rsid w:val="00461FD8"/>
    <w:rsid w:val="00465757"/>
    <w:rsid w:val="00467A26"/>
    <w:rsid w:val="0047714B"/>
    <w:rsid w:val="00482BBD"/>
    <w:rsid w:val="00494C30"/>
    <w:rsid w:val="004A20C5"/>
    <w:rsid w:val="004A3C29"/>
    <w:rsid w:val="004D09BA"/>
    <w:rsid w:val="004E3223"/>
    <w:rsid w:val="004F0F76"/>
    <w:rsid w:val="005038F0"/>
    <w:rsid w:val="00515244"/>
    <w:rsid w:val="00526E49"/>
    <w:rsid w:val="00530B25"/>
    <w:rsid w:val="00540D9B"/>
    <w:rsid w:val="00561FB5"/>
    <w:rsid w:val="00561FBD"/>
    <w:rsid w:val="00566373"/>
    <w:rsid w:val="00566E30"/>
    <w:rsid w:val="0058348D"/>
    <w:rsid w:val="005939CB"/>
    <w:rsid w:val="005A042B"/>
    <w:rsid w:val="005B01EE"/>
    <w:rsid w:val="005B170C"/>
    <w:rsid w:val="00616B3F"/>
    <w:rsid w:val="006410E5"/>
    <w:rsid w:val="00650197"/>
    <w:rsid w:val="00660F92"/>
    <w:rsid w:val="00667A85"/>
    <w:rsid w:val="00674FFD"/>
    <w:rsid w:val="006779B4"/>
    <w:rsid w:val="0068426E"/>
    <w:rsid w:val="006920FC"/>
    <w:rsid w:val="00692476"/>
    <w:rsid w:val="006925CA"/>
    <w:rsid w:val="00697ED8"/>
    <w:rsid w:val="006A53EB"/>
    <w:rsid w:val="006B7368"/>
    <w:rsid w:val="006C6189"/>
    <w:rsid w:val="006C7C97"/>
    <w:rsid w:val="006D546E"/>
    <w:rsid w:val="006D5C51"/>
    <w:rsid w:val="00701329"/>
    <w:rsid w:val="00711167"/>
    <w:rsid w:val="0071436B"/>
    <w:rsid w:val="0072771F"/>
    <w:rsid w:val="00731C8F"/>
    <w:rsid w:val="00757699"/>
    <w:rsid w:val="00761D73"/>
    <w:rsid w:val="007652CF"/>
    <w:rsid w:val="007835C3"/>
    <w:rsid w:val="0079643A"/>
    <w:rsid w:val="007C36E2"/>
    <w:rsid w:val="007D265E"/>
    <w:rsid w:val="007E0A39"/>
    <w:rsid w:val="0081138A"/>
    <w:rsid w:val="00814504"/>
    <w:rsid w:val="00825B5D"/>
    <w:rsid w:val="00832D16"/>
    <w:rsid w:val="00860B30"/>
    <w:rsid w:val="0086204A"/>
    <w:rsid w:val="00867C6A"/>
    <w:rsid w:val="00890C59"/>
    <w:rsid w:val="00891627"/>
    <w:rsid w:val="008A2AD4"/>
    <w:rsid w:val="008C234B"/>
    <w:rsid w:val="008D16FB"/>
    <w:rsid w:val="008F6F91"/>
    <w:rsid w:val="00910426"/>
    <w:rsid w:val="009425A9"/>
    <w:rsid w:val="00947B6D"/>
    <w:rsid w:val="00960D36"/>
    <w:rsid w:val="00962A68"/>
    <w:rsid w:val="00967C4B"/>
    <w:rsid w:val="00981BF0"/>
    <w:rsid w:val="00982EDA"/>
    <w:rsid w:val="009A59AF"/>
    <w:rsid w:val="009B329F"/>
    <w:rsid w:val="009C04D3"/>
    <w:rsid w:val="009C1274"/>
    <w:rsid w:val="009E2B99"/>
    <w:rsid w:val="009F42BB"/>
    <w:rsid w:val="00A11BBA"/>
    <w:rsid w:val="00A1608A"/>
    <w:rsid w:val="00A2309F"/>
    <w:rsid w:val="00A42CA8"/>
    <w:rsid w:val="00A52DF7"/>
    <w:rsid w:val="00A7037F"/>
    <w:rsid w:val="00A84128"/>
    <w:rsid w:val="00A876CA"/>
    <w:rsid w:val="00AB03B0"/>
    <w:rsid w:val="00AB18BE"/>
    <w:rsid w:val="00AC427A"/>
    <w:rsid w:val="00AD0A2D"/>
    <w:rsid w:val="00AD1F19"/>
    <w:rsid w:val="00B04C23"/>
    <w:rsid w:val="00B053E4"/>
    <w:rsid w:val="00B233EA"/>
    <w:rsid w:val="00B33435"/>
    <w:rsid w:val="00B9029F"/>
    <w:rsid w:val="00BB21E2"/>
    <w:rsid w:val="00BB47FE"/>
    <w:rsid w:val="00BC1614"/>
    <w:rsid w:val="00BC7B83"/>
    <w:rsid w:val="00BE2F73"/>
    <w:rsid w:val="00BE4B70"/>
    <w:rsid w:val="00C11154"/>
    <w:rsid w:val="00C13253"/>
    <w:rsid w:val="00C13A76"/>
    <w:rsid w:val="00C1526E"/>
    <w:rsid w:val="00C24144"/>
    <w:rsid w:val="00C27529"/>
    <w:rsid w:val="00C3104F"/>
    <w:rsid w:val="00C311EF"/>
    <w:rsid w:val="00C36E7E"/>
    <w:rsid w:val="00C42EE5"/>
    <w:rsid w:val="00C465AA"/>
    <w:rsid w:val="00C51108"/>
    <w:rsid w:val="00C53668"/>
    <w:rsid w:val="00C60075"/>
    <w:rsid w:val="00C711F3"/>
    <w:rsid w:val="00C936CB"/>
    <w:rsid w:val="00C948D3"/>
    <w:rsid w:val="00CB082A"/>
    <w:rsid w:val="00CB3702"/>
    <w:rsid w:val="00CB5E5E"/>
    <w:rsid w:val="00CB607C"/>
    <w:rsid w:val="00CC6FB6"/>
    <w:rsid w:val="00CF4258"/>
    <w:rsid w:val="00D04F5E"/>
    <w:rsid w:val="00D1605A"/>
    <w:rsid w:val="00D227AA"/>
    <w:rsid w:val="00D30785"/>
    <w:rsid w:val="00D46ADD"/>
    <w:rsid w:val="00D54E77"/>
    <w:rsid w:val="00D700AD"/>
    <w:rsid w:val="00DD0E43"/>
    <w:rsid w:val="00DD1835"/>
    <w:rsid w:val="00DE40B3"/>
    <w:rsid w:val="00DE4C50"/>
    <w:rsid w:val="00DE53C4"/>
    <w:rsid w:val="00DE6F46"/>
    <w:rsid w:val="00DF0699"/>
    <w:rsid w:val="00E0743D"/>
    <w:rsid w:val="00E07DCD"/>
    <w:rsid w:val="00E30945"/>
    <w:rsid w:val="00E36068"/>
    <w:rsid w:val="00E401FC"/>
    <w:rsid w:val="00E44E66"/>
    <w:rsid w:val="00E7185B"/>
    <w:rsid w:val="00E93945"/>
    <w:rsid w:val="00EC5F0B"/>
    <w:rsid w:val="00ED3EAC"/>
    <w:rsid w:val="00EF54A8"/>
    <w:rsid w:val="00EF706C"/>
    <w:rsid w:val="00F0384F"/>
    <w:rsid w:val="00F117B4"/>
    <w:rsid w:val="00F2058D"/>
    <w:rsid w:val="00F823D7"/>
    <w:rsid w:val="00FB0B88"/>
    <w:rsid w:val="00FC1818"/>
    <w:rsid w:val="00FC1959"/>
    <w:rsid w:val="00FD618A"/>
    <w:rsid w:val="00FE4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E469B0"/>
  <w15:chartTrackingRefBased/>
  <w15:docId w15:val="{80C0B7D1-4D4D-41E7-A708-16C7857B9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6F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6F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6F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6F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6F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6F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6F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6F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6F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F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6F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6F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6F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6F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6F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6F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6F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6F91"/>
    <w:rPr>
      <w:rFonts w:eastAsiaTheme="majorEastAsia" w:cstheme="majorBidi"/>
      <w:color w:val="272727" w:themeColor="text1" w:themeTint="D8"/>
    </w:rPr>
  </w:style>
  <w:style w:type="paragraph" w:styleId="Title">
    <w:name w:val="Title"/>
    <w:basedOn w:val="Normal"/>
    <w:next w:val="Normal"/>
    <w:link w:val="TitleChar"/>
    <w:uiPriority w:val="10"/>
    <w:qFormat/>
    <w:rsid w:val="008F6F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F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6F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6F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6F91"/>
    <w:pPr>
      <w:spacing w:before="160"/>
      <w:jc w:val="center"/>
    </w:pPr>
    <w:rPr>
      <w:i/>
      <w:iCs/>
      <w:color w:val="404040" w:themeColor="text1" w:themeTint="BF"/>
    </w:rPr>
  </w:style>
  <w:style w:type="character" w:customStyle="1" w:styleId="QuoteChar">
    <w:name w:val="Quote Char"/>
    <w:basedOn w:val="DefaultParagraphFont"/>
    <w:link w:val="Quote"/>
    <w:uiPriority w:val="29"/>
    <w:rsid w:val="008F6F91"/>
    <w:rPr>
      <w:i/>
      <w:iCs/>
      <w:color w:val="404040" w:themeColor="text1" w:themeTint="BF"/>
    </w:rPr>
  </w:style>
  <w:style w:type="paragraph" w:styleId="ListParagraph">
    <w:name w:val="List Paragraph"/>
    <w:basedOn w:val="Normal"/>
    <w:uiPriority w:val="34"/>
    <w:qFormat/>
    <w:rsid w:val="008F6F91"/>
    <w:pPr>
      <w:ind w:left="720"/>
      <w:contextualSpacing/>
    </w:pPr>
  </w:style>
  <w:style w:type="character" w:styleId="IntenseEmphasis">
    <w:name w:val="Intense Emphasis"/>
    <w:basedOn w:val="DefaultParagraphFont"/>
    <w:uiPriority w:val="21"/>
    <w:qFormat/>
    <w:rsid w:val="008F6F91"/>
    <w:rPr>
      <w:i/>
      <w:iCs/>
      <w:color w:val="0F4761" w:themeColor="accent1" w:themeShade="BF"/>
    </w:rPr>
  </w:style>
  <w:style w:type="paragraph" w:styleId="IntenseQuote">
    <w:name w:val="Intense Quote"/>
    <w:basedOn w:val="Normal"/>
    <w:next w:val="Normal"/>
    <w:link w:val="IntenseQuoteChar"/>
    <w:uiPriority w:val="30"/>
    <w:qFormat/>
    <w:rsid w:val="008F6F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6F91"/>
    <w:rPr>
      <w:i/>
      <w:iCs/>
      <w:color w:val="0F4761" w:themeColor="accent1" w:themeShade="BF"/>
    </w:rPr>
  </w:style>
  <w:style w:type="character" w:styleId="IntenseReference">
    <w:name w:val="Intense Reference"/>
    <w:basedOn w:val="DefaultParagraphFont"/>
    <w:uiPriority w:val="32"/>
    <w:qFormat/>
    <w:rsid w:val="008F6F91"/>
    <w:rPr>
      <w:b/>
      <w:bCs/>
      <w:smallCaps/>
      <w:color w:val="0F4761" w:themeColor="accent1" w:themeShade="BF"/>
      <w:spacing w:val="5"/>
    </w:rPr>
  </w:style>
  <w:style w:type="character" w:styleId="Hyperlink">
    <w:name w:val="Hyperlink"/>
    <w:basedOn w:val="DefaultParagraphFont"/>
    <w:uiPriority w:val="99"/>
    <w:unhideWhenUsed/>
    <w:rsid w:val="008F6F9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 dockstate="right" visibility="0" width="525"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0A0770D6-8B95-4DFF-9FC3-A32B9E373F55}">
  <we:reference id="wa200001482" version="1.0.5.0" store="en-US" storeType="OMEX"/>
  <we:alternateReferences>
    <we:reference id="WA200001482" version="1.0.5.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AF9B5214-CE83-4BAF-9353-551D0EF9603D}">
  <we:reference id="wa104381727" version="1.0.1.0" store="en-US" storeType="OMEX"/>
  <we:alternateReferences>
    <we:reference id="wa104381727" version="1.0.1.0" store="wa104381727" storeType="OMEX"/>
  </we:alternateReferences>
  <we:properties>
    <we:property name="documentId" value="&quot;8ea0b023b0b180dc&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123</TotalTime>
  <Pages>14</Pages>
  <Words>3878</Words>
  <Characters>26568</Characters>
  <Application>Microsoft Office Word</Application>
  <DocSecurity>0</DocSecurity>
  <Lines>492</Lines>
  <Paragraphs>130</Paragraphs>
  <ScaleCrop>false</ScaleCrop>
  <Company/>
  <LinksUpToDate>false</LinksUpToDate>
  <CharactersWithSpaces>30316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Sinem BERTHIER</dc:creator>
  <cp:keywords/>
  <dc:description/>
  <cp:lastModifiedBy>Sinem BERTHIER</cp:lastModifiedBy>
  <cp:revision>215</cp:revision>
  <dcterms:created xsi:type="dcterms:W3CDTF">2025-08-29T16:19:00Z</dcterms:created>
  <dcterms:modified xsi:type="dcterms:W3CDTF">2025-08-29T22:00:00Z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23129256-ed86-4535-bdd8-d5d39c8b1bd2</vt:lpwstr>
  </property>
</Properties>
</file>