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FC2745" w14:textId="34351AA7" w:rsidR="00B9121B" w:rsidRPr="00B9121B" w:rsidRDefault="00B9121B" w:rsidP="00B9121B">
      <w:pPr>
        <w:spacing w:line="480" w:lineRule="auto"/>
        <w:jc w:val="center"/>
        <w:rPr>
          <w:rFonts w:cstheme="minorHAnsi"/>
          <w:sz w:val="32"/>
        </w:rPr>
      </w:pPr>
      <w:r w:rsidRPr="00B9121B">
        <w:rPr>
          <w:rFonts w:cstheme="minorHAnsi"/>
          <w:bCs/>
          <w:sz w:val="32"/>
        </w:rPr>
        <w:t xml:space="preserve">Navigating the Safety Profile of Actinium-225 Targeted Alpha Therapy: A </w:t>
      </w:r>
      <w:r w:rsidR="00CE4740">
        <w:rPr>
          <w:rFonts w:cstheme="minorHAnsi"/>
          <w:bCs/>
          <w:sz w:val="32"/>
        </w:rPr>
        <w:t>Comprehensive</w:t>
      </w:r>
      <w:r w:rsidR="002B7349">
        <w:rPr>
          <w:rFonts w:cstheme="minorHAnsi"/>
          <w:bCs/>
          <w:sz w:val="32"/>
        </w:rPr>
        <w:t xml:space="preserve"> </w:t>
      </w:r>
      <w:r w:rsidRPr="00B9121B">
        <w:rPr>
          <w:rFonts w:cstheme="minorHAnsi"/>
          <w:bCs/>
          <w:sz w:val="32"/>
        </w:rPr>
        <w:t>Review</w:t>
      </w:r>
    </w:p>
    <w:p w14:paraId="3D7B4DE5" w14:textId="77777777" w:rsidR="00B9121B" w:rsidRPr="00B9121B" w:rsidRDefault="00B9121B" w:rsidP="00B9121B">
      <w:pPr>
        <w:spacing w:line="480" w:lineRule="auto"/>
        <w:rPr>
          <w:rFonts w:cstheme="minorHAnsi"/>
        </w:rPr>
      </w:pPr>
    </w:p>
    <w:p w14:paraId="3E681D23" w14:textId="77777777" w:rsidR="00B9121B" w:rsidRPr="00B9121B" w:rsidRDefault="00B9121B" w:rsidP="00B9121B">
      <w:pPr>
        <w:spacing w:line="480" w:lineRule="auto"/>
        <w:jc w:val="center"/>
        <w:rPr>
          <w:rFonts w:cstheme="minorHAnsi"/>
          <w:i/>
          <w:iCs/>
          <w:sz w:val="20"/>
          <w:szCs w:val="20"/>
        </w:rPr>
      </w:pPr>
      <w:r w:rsidRPr="00B9121B">
        <w:rPr>
          <w:rFonts w:cstheme="minorHAnsi"/>
          <w:i/>
          <w:iCs/>
          <w:sz w:val="20"/>
          <w:szCs w:val="20"/>
        </w:rPr>
        <w:t>Hessamoddin Roustaei</w:t>
      </w:r>
      <w:r w:rsidRPr="00B9121B">
        <w:rPr>
          <w:rFonts w:cstheme="minorHAnsi"/>
          <w:i/>
          <w:iCs/>
          <w:sz w:val="20"/>
          <w:szCs w:val="20"/>
          <w:vertAlign w:val="superscript"/>
        </w:rPr>
        <w:t>1</w:t>
      </w:r>
      <w:r w:rsidRPr="00B9121B">
        <w:rPr>
          <w:rFonts w:cstheme="minorHAnsi"/>
          <w:i/>
          <w:iCs/>
          <w:noProof/>
          <w:sz w:val="20"/>
          <w:szCs w:val="20"/>
          <w:vertAlign w:val="superscript"/>
        </w:rPr>
        <w:t xml:space="preserve"> </w:t>
      </w:r>
      <w:r w:rsidRPr="00B9121B">
        <w:rPr>
          <w:rFonts w:cstheme="minorHAnsi"/>
          <w:i/>
          <w:iCs/>
          <w:noProof/>
          <w:sz w:val="20"/>
          <w:szCs w:val="20"/>
          <w:vertAlign w:val="superscript"/>
          <w:lang w:val="de-DE" w:eastAsia="de-DE" w:bidi="ar-SA"/>
        </w:rPr>
        <w:drawing>
          <wp:inline distT="0" distB="0" distL="0" distR="0" wp14:anchorId="47ABAC67" wp14:editId="2001C7CF">
            <wp:extent cx="119575" cy="119575"/>
            <wp:effectExtent l="0" t="0" r="0" b="0"/>
            <wp:docPr id="1"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8"/>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450" cy="157450"/>
                    </a:xfrm>
                    <a:prstGeom prst="rect">
                      <a:avLst/>
                    </a:prstGeom>
                  </pic:spPr>
                </pic:pic>
              </a:graphicData>
            </a:graphic>
          </wp:inline>
        </w:drawing>
      </w:r>
      <w:r w:rsidRPr="00B9121B">
        <w:rPr>
          <w:rFonts w:cstheme="minorHAnsi"/>
          <w:i/>
          <w:iCs/>
          <w:sz w:val="20"/>
          <w:szCs w:val="20"/>
        </w:rPr>
        <w:t xml:space="preserve"> </w:t>
      </w:r>
    </w:p>
    <w:p w14:paraId="3040C628" w14:textId="77777777" w:rsidR="00892070" w:rsidRPr="00A47941" w:rsidRDefault="00892070" w:rsidP="00892070">
      <w:pPr>
        <w:spacing w:line="480" w:lineRule="auto"/>
        <w:jc w:val="center"/>
        <w:rPr>
          <w:rFonts w:cstheme="minorHAnsi"/>
          <w:i/>
          <w:iCs/>
          <w:sz w:val="20"/>
          <w:szCs w:val="20"/>
        </w:rPr>
      </w:pPr>
      <w:r w:rsidRPr="00A47941">
        <w:rPr>
          <w:rFonts w:cstheme="minorHAnsi"/>
          <w:i/>
          <w:iCs/>
          <w:sz w:val="20"/>
          <w:szCs w:val="20"/>
        </w:rPr>
        <w:t>Calogero D’Alessandria</w:t>
      </w:r>
      <w:r w:rsidRPr="00A47941">
        <w:rPr>
          <w:rFonts w:cstheme="minorHAnsi"/>
          <w:i/>
          <w:iCs/>
          <w:sz w:val="20"/>
          <w:szCs w:val="20"/>
          <w:vertAlign w:val="superscript"/>
        </w:rPr>
        <w:t>2</w:t>
      </w:r>
    </w:p>
    <w:p w14:paraId="3B32A47A" w14:textId="757C612B" w:rsidR="00B9121B" w:rsidRDefault="00B9121B" w:rsidP="00B9121B">
      <w:pPr>
        <w:spacing w:line="480" w:lineRule="auto"/>
        <w:jc w:val="center"/>
        <w:rPr>
          <w:rFonts w:cstheme="minorHAnsi"/>
          <w:i/>
          <w:iCs/>
          <w:sz w:val="20"/>
          <w:szCs w:val="20"/>
          <w:vertAlign w:val="superscript"/>
        </w:rPr>
      </w:pPr>
      <w:r w:rsidRPr="00B9121B">
        <w:rPr>
          <w:rFonts w:cstheme="minorHAnsi"/>
          <w:i/>
          <w:iCs/>
          <w:sz w:val="20"/>
          <w:szCs w:val="20"/>
        </w:rPr>
        <w:t xml:space="preserve">Clemens </w:t>
      </w:r>
      <w:r w:rsidRPr="00B9121B">
        <w:rPr>
          <w:rFonts w:cstheme="minorHAnsi"/>
          <w:sz w:val="20"/>
          <w:szCs w:val="20"/>
        </w:rPr>
        <w:t>Decristoforo</w:t>
      </w:r>
      <w:r w:rsidRPr="00B9121B">
        <w:rPr>
          <w:rFonts w:cstheme="minorHAnsi"/>
          <w:i/>
          <w:iCs/>
          <w:sz w:val="20"/>
          <w:szCs w:val="20"/>
          <w:vertAlign w:val="superscript"/>
        </w:rPr>
        <w:t xml:space="preserve"> 1*</w:t>
      </w:r>
    </w:p>
    <w:p w14:paraId="20DCB137" w14:textId="77777777" w:rsidR="00B9121B" w:rsidRPr="00B9121B" w:rsidRDefault="00B9121B" w:rsidP="00B9121B">
      <w:pPr>
        <w:spacing w:line="480" w:lineRule="auto"/>
        <w:rPr>
          <w:rFonts w:cstheme="minorHAnsi"/>
        </w:rPr>
      </w:pPr>
    </w:p>
    <w:p w14:paraId="4D875D1A" w14:textId="2FE13E1C" w:rsidR="00B9121B" w:rsidRDefault="00B9121B" w:rsidP="00B9121B">
      <w:pPr>
        <w:spacing w:after="240" w:line="480" w:lineRule="auto"/>
        <w:jc w:val="center"/>
        <w:rPr>
          <w:rFonts w:cstheme="minorHAnsi"/>
          <w:sz w:val="20"/>
          <w:szCs w:val="20"/>
        </w:rPr>
      </w:pPr>
      <w:r w:rsidRPr="00B9121B">
        <w:rPr>
          <w:rFonts w:cstheme="minorHAnsi"/>
          <w:sz w:val="20"/>
          <w:szCs w:val="20"/>
          <w:vertAlign w:val="superscript"/>
        </w:rPr>
        <w:t>1</w:t>
      </w:r>
      <w:r w:rsidRPr="00B9121B">
        <w:rPr>
          <w:rFonts w:cstheme="minorHAnsi"/>
          <w:sz w:val="20"/>
          <w:szCs w:val="20"/>
        </w:rPr>
        <w:t xml:space="preserve"> Department of Nuclear Medicine, Medical University of Innsbruck, A-6020, Innsbruck, Austria</w:t>
      </w:r>
    </w:p>
    <w:p w14:paraId="6F188558" w14:textId="1D3181E2" w:rsidR="00A934A9" w:rsidRPr="00B9121B" w:rsidRDefault="00A934A9">
      <w:pPr>
        <w:spacing w:after="240" w:line="480" w:lineRule="auto"/>
        <w:jc w:val="center"/>
        <w:rPr>
          <w:rFonts w:cstheme="minorHAnsi"/>
          <w:sz w:val="20"/>
          <w:szCs w:val="20"/>
        </w:rPr>
      </w:pPr>
      <w:r w:rsidRPr="006D4B46">
        <w:rPr>
          <w:rFonts w:cstheme="minorHAnsi"/>
          <w:sz w:val="20"/>
          <w:szCs w:val="20"/>
          <w:vertAlign w:val="superscript"/>
        </w:rPr>
        <w:t>2</w:t>
      </w:r>
      <w:r w:rsidRPr="006D4B46">
        <w:rPr>
          <w:rFonts w:cstheme="minorHAnsi"/>
          <w:sz w:val="20"/>
          <w:szCs w:val="20"/>
        </w:rPr>
        <w:t xml:space="preserve"> </w:t>
      </w:r>
      <w:r w:rsidRPr="00A934A9">
        <w:rPr>
          <w:rFonts w:cstheme="minorHAnsi"/>
          <w:sz w:val="20"/>
          <w:szCs w:val="20"/>
        </w:rPr>
        <w:t>Department of Nuclear Medicine, School of Medicine, Technical Univer</w:t>
      </w:r>
      <w:r>
        <w:rPr>
          <w:rFonts w:cstheme="minorHAnsi"/>
          <w:sz w:val="20"/>
          <w:szCs w:val="20"/>
        </w:rPr>
        <w:t>sity of Munich,</w:t>
      </w:r>
      <w:r w:rsidR="00892070">
        <w:rPr>
          <w:rFonts w:cstheme="minorHAnsi"/>
          <w:sz w:val="20"/>
          <w:szCs w:val="20"/>
        </w:rPr>
        <w:t xml:space="preserve"> </w:t>
      </w:r>
      <w:r w:rsidRPr="00A934A9">
        <w:rPr>
          <w:rFonts w:cstheme="minorHAnsi"/>
          <w:sz w:val="20"/>
          <w:szCs w:val="20"/>
        </w:rPr>
        <w:t>81675 München, Germany</w:t>
      </w:r>
    </w:p>
    <w:p w14:paraId="5D0B8B48" w14:textId="77777777" w:rsidR="00B9121B" w:rsidRPr="00B9121B" w:rsidRDefault="00B9121B" w:rsidP="00B9121B">
      <w:pPr>
        <w:spacing w:line="480" w:lineRule="auto"/>
        <w:jc w:val="center"/>
        <w:rPr>
          <w:rFonts w:eastAsia="Times New Roman" w:cstheme="minorHAnsi"/>
          <w:color w:val="000000"/>
          <w:sz w:val="20"/>
          <w:szCs w:val="20"/>
          <w:shd w:val="clear" w:color="auto" w:fill="FFFFFF"/>
          <w:lang w:bidi="ar-SA"/>
        </w:rPr>
      </w:pPr>
    </w:p>
    <w:p w14:paraId="1EEB2505" w14:textId="77777777" w:rsidR="00B9121B" w:rsidRPr="00B9121B" w:rsidRDefault="00B9121B" w:rsidP="00B9121B">
      <w:pPr>
        <w:spacing w:line="480" w:lineRule="auto"/>
        <w:rPr>
          <w:rFonts w:cstheme="minorHAnsi"/>
        </w:rPr>
      </w:pPr>
    </w:p>
    <w:p w14:paraId="3DF7FED1" w14:textId="77777777" w:rsidR="00B9121B" w:rsidRPr="00B9121B" w:rsidRDefault="00B9121B" w:rsidP="00B9121B">
      <w:pPr>
        <w:spacing w:line="480" w:lineRule="auto"/>
        <w:ind w:left="360"/>
        <w:rPr>
          <w:rFonts w:cstheme="minorHAnsi"/>
          <w:sz w:val="22"/>
        </w:rPr>
      </w:pPr>
      <w:r w:rsidRPr="00B9121B">
        <w:rPr>
          <w:rFonts w:cstheme="minorHAnsi"/>
          <w:sz w:val="22"/>
        </w:rPr>
        <w:t>*</w:t>
      </w:r>
      <w:r w:rsidRPr="00B9121B">
        <w:rPr>
          <w:rFonts w:cstheme="minorHAnsi"/>
          <w:i/>
          <w:sz w:val="22"/>
        </w:rPr>
        <w:t>Correspondence to:</w:t>
      </w:r>
      <w:r w:rsidRPr="00B9121B">
        <w:rPr>
          <w:rFonts w:cstheme="minorHAnsi"/>
          <w:sz w:val="22"/>
        </w:rPr>
        <w:t xml:space="preserve"> Clemens Decristoforo, Department of Nuclear Medicine, Anichstrasse 35, A-6020 Innsbruck, Austria, Tel: +4351250480951, email: Clemens.Decristoforo@i-med.ac.at</w:t>
      </w:r>
    </w:p>
    <w:p w14:paraId="6DF77522" w14:textId="77777777" w:rsidR="00B9121B" w:rsidRPr="00B9121B" w:rsidRDefault="00B9121B" w:rsidP="00B9121B">
      <w:pPr>
        <w:spacing w:after="240" w:line="480" w:lineRule="auto"/>
        <w:rPr>
          <w:rFonts w:cstheme="minorHAnsi"/>
          <w:b/>
          <w:bCs/>
        </w:rPr>
      </w:pPr>
    </w:p>
    <w:p w14:paraId="73B730EB" w14:textId="77777777" w:rsidR="00B9121B" w:rsidRPr="00B9121B" w:rsidRDefault="00B9121B" w:rsidP="00B9121B">
      <w:pPr>
        <w:spacing w:after="240" w:line="480" w:lineRule="auto"/>
        <w:rPr>
          <w:rFonts w:cstheme="minorHAnsi"/>
          <w:b/>
          <w:bCs/>
        </w:rPr>
      </w:pPr>
      <w:r w:rsidRPr="00B9121B">
        <w:rPr>
          <w:rFonts w:cstheme="minorHAnsi"/>
          <w:b/>
          <w:bCs/>
        </w:rPr>
        <w:t xml:space="preserve">Funding: </w:t>
      </w:r>
    </w:p>
    <w:p w14:paraId="55DC8D6C" w14:textId="4F0C31C3" w:rsidR="00B9121B" w:rsidRPr="00B9121B" w:rsidRDefault="00B9121B" w:rsidP="00B9121B">
      <w:pPr>
        <w:spacing w:after="240" w:line="480" w:lineRule="auto"/>
        <w:rPr>
          <w:rFonts w:cstheme="minorHAnsi"/>
          <w:sz w:val="20"/>
          <w:szCs w:val="20"/>
        </w:rPr>
      </w:pPr>
      <w:r w:rsidRPr="00B9121B">
        <w:rPr>
          <w:rFonts w:cstheme="minorHAnsi"/>
          <w:sz w:val="20"/>
          <w:szCs w:val="20"/>
        </w:rPr>
        <w:t>This work was supported by the E.U. through the PRISMAP programme (grant agreement No 101008571)</w:t>
      </w:r>
    </w:p>
    <w:p w14:paraId="37800A31" w14:textId="77777777" w:rsidR="00B9121B" w:rsidRPr="00B9121B" w:rsidRDefault="00B9121B" w:rsidP="00B9121B">
      <w:pPr>
        <w:spacing w:after="240" w:line="480" w:lineRule="auto"/>
        <w:rPr>
          <w:rFonts w:cstheme="minorHAnsi"/>
          <w:b/>
          <w:bCs/>
        </w:rPr>
      </w:pPr>
      <w:r w:rsidRPr="00B9121B">
        <w:rPr>
          <w:rFonts w:cstheme="minorHAnsi"/>
          <w:b/>
          <w:bCs/>
        </w:rPr>
        <w:t>Key Words:</w:t>
      </w:r>
    </w:p>
    <w:p w14:paraId="4613D67D" w14:textId="77777777" w:rsidR="00B9121B" w:rsidRPr="00B9121B" w:rsidRDefault="00B9121B" w:rsidP="00B9121B">
      <w:pPr>
        <w:spacing w:after="240" w:line="480" w:lineRule="auto"/>
        <w:rPr>
          <w:rFonts w:cstheme="minorHAnsi"/>
          <w:bCs/>
          <w:sz w:val="20"/>
        </w:rPr>
      </w:pPr>
      <w:r w:rsidRPr="00B9121B">
        <w:rPr>
          <w:rFonts w:cstheme="minorHAnsi"/>
          <w:bCs/>
          <w:sz w:val="20"/>
        </w:rPr>
        <w:t xml:space="preserve">Actinium-225, targeted alpha therapy, TAT, Safety, toxicity, targeted radionuclide therapy, review </w:t>
      </w:r>
    </w:p>
    <w:p w14:paraId="02184757" w14:textId="77777777" w:rsidR="00B9121B" w:rsidRPr="00B9121B" w:rsidRDefault="00B9121B" w:rsidP="00B9121B">
      <w:pPr>
        <w:shd w:val="clear" w:color="auto" w:fill="FFFFFF"/>
        <w:spacing w:before="100" w:beforeAutospacing="1" w:after="100" w:afterAutospacing="1"/>
        <w:outlineLvl w:val="3"/>
        <w:rPr>
          <w:rFonts w:eastAsia="Times New Roman" w:cstheme="minorHAnsi"/>
          <w:b/>
          <w:bCs/>
          <w:color w:val="222222"/>
          <w:lang w:eastAsia="de-DE" w:bidi="ar-SA"/>
        </w:rPr>
      </w:pPr>
      <w:r w:rsidRPr="00B9121B">
        <w:rPr>
          <w:rFonts w:eastAsia="Times New Roman" w:cstheme="minorHAnsi"/>
          <w:b/>
          <w:bCs/>
          <w:color w:val="222222"/>
          <w:lang w:eastAsia="de-DE" w:bidi="ar-SA"/>
        </w:rPr>
        <w:t>Statements and Declarations</w:t>
      </w:r>
    </w:p>
    <w:p w14:paraId="7875847B" w14:textId="7DA028B0" w:rsidR="00B9121B" w:rsidRPr="00B9121B" w:rsidRDefault="00B9121B" w:rsidP="00B9121B">
      <w:pPr>
        <w:rPr>
          <w:rFonts w:cstheme="minorHAnsi"/>
          <w:sz w:val="20"/>
        </w:rPr>
      </w:pPr>
      <w:r w:rsidRPr="00B9121B">
        <w:rPr>
          <w:rFonts w:cstheme="minorHAnsi"/>
          <w:sz w:val="20"/>
        </w:rPr>
        <w:t>Competing Interests:</w:t>
      </w:r>
      <w:r w:rsidR="006F639B">
        <w:rPr>
          <w:rFonts w:cstheme="minorHAnsi"/>
          <w:sz w:val="20"/>
        </w:rPr>
        <w:t xml:space="preserve"> The authors declare no competing interests</w:t>
      </w:r>
    </w:p>
    <w:p w14:paraId="730B22AF" w14:textId="77777777" w:rsidR="00B9121B" w:rsidRPr="00B9121B" w:rsidRDefault="00B9121B" w:rsidP="00CD1614">
      <w:pPr>
        <w:spacing w:after="240" w:line="360" w:lineRule="auto"/>
        <w:rPr>
          <w:rFonts w:cstheme="minorHAnsi"/>
          <w:b/>
          <w:bCs/>
          <w:sz w:val="32"/>
        </w:rPr>
      </w:pPr>
      <w:r w:rsidRPr="00B9121B">
        <w:rPr>
          <w:rFonts w:cstheme="minorHAnsi"/>
          <w:b/>
          <w:bCs/>
          <w:sz w:val="32"/>
        </w:rPr>
        <w:lastRenderedPageBreak/>
        <w:t>Abstract:</w:t>
      </w:r>
    </w:p>
    <w:p w14:paraId="0D3E9A73" w14:textId="77777777" w:rsidR="00B9121B" w:rsidRPr="00B9121B" w:rsidRDefault="00B9121B" w:rsidP="00CD1614">
      <w:pPr>
        <w:spacing w:after="240" w:line="360" w:lineRule="auto"/>
        <w:rPr>
          <w:rFonts w:cstheme="minorHAnsi"/>
          <w:bCs/>
          <w:sz w:val="22"/>
        </w:rPr>
      </w:pPr>
      <w:r w:rsidRPr="00B9121B">
        <w:rPr>
          <w:rFonts w:cstheme="minorHAnsi"/>
          <w:b/>
          <w:bCs/>
          <w:sz w:val="22"/>
        </w:rPr>
        <w:t>Purpose</w:t>
      </w:r>
      <w:r w:rsidRPr="00B9121B">
        <w:rPr>
          <w:rFonts w:cstheme="minorHAnsi"/>
          <w:bCs/>
          <w:sz w:val="22"/>
        </w:rPr>
        <w:t xml:space="preserve"> </w:t>
      </w:r>
    </w:p>
    <w:p w14:paraId="35B7DF75" w14:textId="77AB5029" w:rsidR="00B9121B" w:rsidRPr="00B9121B" w:rsidRDefault="00B9121B" w:rsidP="00CD1614">
      <w:pPr>
        <w:spacing w:after="240" w:line="360" w:lineRule="auto"/>
        <w:rPr>
          <w:rFonts w:cstheme="minorHAnsi"/>
          <w:bCs/>
          <w:sz w:val="22"/>
        </w:rPr>
      </w:pPr>
      <w:r w:rsidRPr="00B9121B">
        <w:rPr>
          <w:rFonts w:cstheme="minorHAnsi"/>
          <w:bCs/>
          <w:sz w:val="22"/>
        </w:rPr>
        <w:t xml:space="preserve">This review aims to collect the available documents on the clinical safety of Ac-225 radiopharmaceuticals targeted </w:t>
      </w:r>
      <w:r w:rsidR="00FD1A13">
        <w:rPr>
          <w:rFonts w:cstheme="minorHAnsi"/>
          <w:bCs/>
          <w:sz w:val="22"/>
        </w:rPr>
        <w:t xml:space="preserve">alpha </w:t>
      </w:r>
      <w:r w:rsidRPr="00B9121B">
        <w:rPr>
          <w:rFonts w:cstheme="minorHAnsi"/>
          <w:bCs/>
          <w:sz w:val="22"/>
        </w:rPr>
        <w:t xml:space="preserve">radionuclide therapy </w:t>
      </w:r>
      <w:r w:rsidR="00FD1A13">
        <w:rPr>
          <w:rFonts w:cstheme="minorHAnsi"/>
          <w:bCs/>
          <w:sz w:val="22"/>
        </w:rPr>
        <w:t xml:space="preserve">(TAT) </w:t>
      </w:r>
      <w:r w:rsidRPr="00B9121B">
        <w:rPr>
          <w:rFonts w:cstheme="minorHAnsi"/>
          <w:bCs/>
          <w:sz w:val="22"/>
        </w:rPr>
        <w:t xml:space="preserve">in the literature and summarize practical safety </w:t>
      </w:r>
      <w:r w:rsidR="00FD1A13">
        <w:rPr>
          <w:rFonts w:cstheme="minorHAnsi"/>
          <w:bCs/>
          <w:sz w:val="22"/>
        </w:rPr>
        <w:t xml:space="preserve">data </w:t>
      </w:r>
      <w:r w:rsidR="00FD1A13" w:rsidRPr="00B9121B">
        <w:rPr>
          <w:rFonts w:cstheme="minorHAnsi"/>
          <w:bCs/>
          <w:sz w:val="22"/>
        </w:rPr>
        <w:t>recommend</w:t>
      </w:r>
      <w:r w:rsidR="00FD1A13">
        <w:rPr>
          <w:rFonts w:cstheme="minorHAnsi"/>
          <w:bCs/>
          <w:sz w:val="22"/>
        </w:rPr>
        <w:t>ed for clinical development of Ac-225 radiopharmaceuticals</w:t>
      </w:r>
      <w:r w:rsidRPr="00B9121B">
        <w:rPr>
          <w:rFonts w:cstheme="minorHAnsi"/>
          <w:bCs/>
          <w:sz w:val="22"/>
        </w:rPr>
        <w:t>.</w:t>
      </w:r>
    </w:p>
    <w:p w14:paraId="6A044F63" w14:textId="77777777" w:rsidR="00B9121B" w:rsidRPr="00B9121B" w:rsidRDefault="00B9121B" w:rsidP="00CD1614">
      <w:pPr>
        <w:spacing w:after="240" w:line="360" w:lineRule="auto"/>
        <w:rPr>
          <w:rFonts w:cstheme="minorHAnsi"/>
          <w:bCs/>
          <w:sz w:val="22"/>
        </w:rPr>
      </w:pPr>
      <w:r w:rsidRPr="00B9121B">
        <w:rPr>
          <w:rFonts w:cstheme="minorHAnsi"/>
          <w:b/>
          <w:bCs/>
          <w:sz w:val="22"/>
        </w:rPr>
        <w:t>Methods</w:t>
      </w:r>
      <w:r w:rsidRPr="00B9121B">
        <w:rPr>
          <w:rFonts w:cstheme="minorHAnsi"/>
          <w:bCs/>
          <w:sz w:val="22"/>
        </w:rPr>
        <w:t xml:space="preserve"> </w:t>
      </w:r>
    </w:p>
    <w:p w14:paraId="42667889" w14:textId="1C79397F" w:rsidR="00B9121B" w:rsidRPr="00B9121B" w:rsidRDefault="00B9121B" w:rsidP="00CD1614">
      <w:pPr>
        <w:spacing w:after="240" w:line="360" w:lineRule="auto"/>
        <w:rPr>
          <w:rFonts w:cstheme="minorHAnsi"/>
          <w:bCs/>
          <w:sz w:val="22"/>
        </w:rPr>
      </w:pPr>
      <w:r w:rsidRPr="00B9121B">
        <w:rPr>
          <w:rFonts w:cstheme="minorHAnsi"/>
          <w:bCs/>
          <w:sz w:val="22"/>
        </w:rPr>
        <w:t xml:space="preserve">This literature review was intended to address Actinium-225 </w:t>
      </w:r>
      <w:r w:rsidR="00FD1A13">
        <w:rPr>
          <w:rFonts w:cstheme="minorHAnsi"/>
          <w:bCs/>
          <w:sz w:val="22"/>
        </w:rPr>
        <w:t xml:space="preserve">clinical </w:t>
      </w:r>
      <w:r w:rsidRPr="00B9121B">
        <w:rPr>
          <w:rFonts w:cstheme="minorHAnsi"/>
          <w:bCs/>
          <w:sz w:val="22"/>
        </w:rPr>
        <w:t>safety.</w:t>
      </w:r>
      <w:r w:rsidRPr="00B9121B">
        <w:rPr>
          <w:rFonts w:cstheme="minorHAnsi"/>
        </w:rPr>
        <w:t xml:space="preserve"> </w:t>
      </w:r>
      <w:r w:rsidRPr="00B9121B">
        <w:rPr>
          <w:rFonts w:cstheme="minorHAnsi"/>
          <w:bCs/>
          <w:sz w:val="22"/>
        </w:rPr>
        <w:t>A comprehensive literature search was conducted using two bibliographic databases, ClinicalTrials.gov and PubMed/MEDLINE. The search was constructed using the following terms: (A) "Actinium" OR "Ac-225" OR "225Ac" OR "[225Ac]Ac" AND (B) "safety" OR "toxicity" OR "side-effect".</w:t>
      </w:r>
    </w:p>
    <w:p w14:paraId="702AE500" w14:textId="77777777" w:rsidR="00B9121B" w:rsidRPr="00B9121B" w:rsidRDefault="00B9121B" w:rsidP="00CD1614">
      <w:pPr>
        <w:spacing w:after="240" w:line="360" w:lineRule="auto"/>
        <w:rPr>
          <w:rFonts w:cstheme="minorHAnsi"/>
          <w:bCs/>
          <w:sz w:val="22"/>
        </w:rPr>
      </w:pPr>
      <w:r w:rsidRPr="00B9121B">
        <w:rPr>
          <w:rFonts w:cstheme="minorHAnsi"/>
          <w:b/>
          <w:bCs/>
          <w:sz w:val="22"/>
        </w:rPr>
        <w:t>Results</w:t>
      </w:r>
      <w:r w:rsidRPr="00B9121B">
        <w:rPr>
          <w:rFonts w:cstheme="minorHAnsi"/>
          <w:bCs/>
          <w:sz w:val="22"/>
        </w:rPr>
        <w:t xml:space="preserve"> </w:t>
      </w:r>
    </w:p>
    <w:p w14:paraId="38A02AE9" w14:textId="272B47E3" w:rsidR="00B9121B" w:rsidRPr="00B9121B" w:rsidRDefault="00B9121B" w:rsidP="00CD1614">
      <w:pPr>
        <w:spacing w:after="240" w:line="360" w:lineRule="auto"/>
        <w:rPr>
          <w:rFonts w:cstheme="minorHAnsi"/>
          <w:bCs/>
          <w:sz w:val="22"/>
        </w:rPr>
      </w:pPr>
      <w:r w:rsidRPr="00B9121B">
        <w:rPr>
          <w:rFonts w:cstheme="minorHAnsi"/>
          <w:bCs/>
          <w:sz w:val="22"/>
        </w:rPr>
        <w:t xml:space="preserve">This review included </w:t>
      </w:r>
      <w:r w:rsidR="004C6A5B">
        <w:rPr>
          <w:rFonts w:cstheme="minorHAnsi"/>
          <w:bCs/>
          <w:sz w:val="22"/>
        </w:rPr>
        <w:t>42</w:t>
      </w:r>
      <w:r w:rsidR="00E90EC9" w:rsidRPr="00B9121B">
        <w:rPr>
          <w:rFonts w:cstheme="minorHAnsi"/>
          <w:bCs/>
          <w:sz w:val="22"/>
        </w:rPr>
        <w:t xml:space="preserve"> </w:t>
      </w:r>
      <w:r w:rsidRPr="00B9121B">
        <w:rPr>
          <w:rFonts w:cstheme="minorHAnsi"/>
          <w:bCs/>
          <w:sz w:val="22"/>
        </w:rPr>
        <w:t>studies. Most of the studies looked at prostate cancer (</w:t>
      </w:r>
      <w:r w:rsidR="004C6A5B">
        <w:rPr>
          <w:rFonts w:cstheme="minorHAnsi"/>
          <w:bCs/>
          <w:sz w:val="22"/>
        </w:rPr>
        <w:t>24</w:t>
      </w:r>
      <w:r w:rsidR="00E90EC9" w:rsidRPr="00B9121B">
        <w:rPr>
          <w:rFonts w:cstheme="minorHAnsi"/>
          <w:bCs/>
          <w:sz w:val="22"/>
        </w:rPr>
        <w:t xml:space="preserve"> </w:t>
      </w:r>
      <w:r w:rsidRPr="00B9121B">
        <w:rPr>
          <w:rFonts w:cstheme="minorHAnsi"/>
          <w:bCs/>
          <w:sz w:val="22"/>
        </w:rPr>
        <w:t xml:space="preserve">studies), while fewer studies (10 studies) examined neuroendocrine tumours. Emerging targets such as FAP (3 studies), DOTA-LM3, </w:t>
      </w:r>
      <w:r w:rsidR="004C6A5B">
        <w:rPr>
          <w:rFonts w:cstheme="minorHAnsi"/>
          <w:sz w:val="22"/>
          <w:szCs w:val="22"/>
        </w:rPr>
        <w:t>DOTA-subst</w:t>
      </w:r>
      <w:r w:rsidR="00877E6E">
        <w:rPr>
          <w:rFonts w:cstheme="minorHAnsi"/>
          <w:sz w:val="22"/>
          <w:szCs w:val="22"/>
        </w:rPr>
        <w:t>a</w:t>
      </w:r>
      <w:r w:rsidR="004C6A5B">
        <w:rPr>
          <w:rFonts w:cstheme="minorHAnsi"/>
          <w:sz w:val="22"/>
          <w:szCs w:val="22"/>
        </w:rPr>
        <w:t>nce P (2 studies),</w:t>
      </w:r>
      <w:r w:rsidR="004C6A5B" w:rsidRPr="0018521B">
        <w:rPr>
          <w:rFonts w:cstheme="minorHAnsi"/>
          <w:sz w:val="22"/>
          <w:szCs w:val="22"/>
        </w:rPr>
        <w:t xml:space="preserve"> </w:t>
      </w:r>
      <w:r w:rsidRPr="00B9121B">
        <w:rPr>
          <w:rFonts w:cstheme="minorHAnsi"/>
          <w:bCs/>
          <w:sz w:val="22"/>
        </w:rPr>
        <w:t xml:space="preserve">Rosopatamab Tetraxetan, </w:t>
      </w:r>
      <w:r w:rsidRPr="004C6A5B">
        <w:rPr>
          <w:rFonts w:cstheme="minorHAnsi"/>
          <w:bCs/>
          <w:sz w:val="22"/>
        </w:rPr>
        <w:t>and</w:t>
      </w:r>
      <w:r w:rsidRPr="00B9121B">
        <w:rPr>
          <w:rFonts w:cstheme="minorHAnsi"/>
          <w:bCs/>
          <w:sz w:val="22"/>
        </w:rPr>
        <w:t xml:space="preserve"> Lintuzumab (each 1 study) were also investigated. The most frequently reported adverse events -based on CTCAE v5.0 were hematotoxicity, nephrotoxicity, and xerostomia, followed by fatigue, weight loss, loss of appetite, and nausea. Nephrotoxicity was less frequent compared to xerostomia (seen in PSMA therapy) and hematologic events, with severe renal toxicity (grade 3/4) reported in a limited number of patients, particularly those with baseline renal impairment. Several studies highlighted no cases of serious acute adverse events or treatment discontinuation due to adverse events.</w:t>
      </w:r>
    </w:p>
    <w:p w14:paraId="739AF47F" w14:textId="77777777" w:rsidR="00B9121B" w:rsidRPr="00B9121B" w:rsidRDefault="00B9121B" w:rsidP="00CD1614">
      <w:pPr>
        <w:spacing w:after="240" w:line="360" w:lineRule="auto"/>
        <w:rPr>
          <w:rFonts w:cstheme="minorHAnsi"/>
          <w:bCs/>
          <w:sz w:val="22"/>
        </w:rPr>
      </w:pPr>
      <w:r w:rsidRPr="00B9121B">
        <w:rPr>
          <w:rFonts w:cstheme="minorHAnsi"/>
          <w:b/>
          <w:bCs/>
          <w:sz w:val="22"/>
        </w:rPr>
        <w:t>Conclusions</w:t>
      </w:r>
      <w:r w:rsidRPr="00B9121B">
        <w:rPr>
          <w:rFonts w:cstheme="minorHAnsi"/>
          <w:bCs/>
          <w:sz w:val="22"/>
        </w:rPr>
        <w:t xml:space="preserve"> </w:t>
      </w:r>
    </w:p>
    <w:p w14:paraId="6ED6EA9F" w14:textId="462BF4D8" w:rsidR="00B9121B" w:rsidRDefault="00B9121B" w:rsidP="00CD1614">
      <w:pPr>
        <w:spacing w:after="240" w:line="360" w:lineRule="auto"/>
        <w:rPr>
          <w:rFonts w:asciiTheme="majorBidi" w:hAnsiTheme="majorBidi" w:cstheme="majorBidi"/>
          <w:bCs/>
          <w:sz w:val="22"/>
        </w:rPr>
      </w:pPr>
      <w:r w:rsidRPr="00B9121B">
        <w:rPr>
          <w:rFonts w:cstheme="minorHAnsi"/>
          <w:bCs/>
          <w:sz w:val="22"/>
        </w:rPr>
        <w:t>In summary,</w:t>
      </w:r>
      <w:r w:rsidR="00FD1A13">
        <w:rPr>
          <w:rFonts w:cstheme="minorHAnsi"/>
          <w:bCs/>
          <w:sz w:val="22"/>
        </w:rPr>
        <w:t xml:space="preserve"> the literature indicates a high</w:t>
      </w:r>
      <w:r w:rsidRPr="00B9121B">
        <w:rPr>
          <w:rFonts w:cstheme="minorHAnsi"/>
          <w:bCs/>
          <w:sz w:val="22"/>
        </w:rPr>
        <w:t xml:space="preserve"> safe</w:t>
      </w:r>
      <w:r w:rsidR="00FD1A13">
        <w:rPr>
          <w:rFonts w:cstheme="minorHAnsi"/>
          <w:bCs/>
          <w:sz w:val="22"/>
        </w:rPr>
        <w:t>ty profile</w:t>
      </w:r>
      <w:r w:rsidRPr="00B9121B">
        <w:rPr>
          <w:rFonts w:cstheme="minorHAnsi"/>
          <w:bCs/>
          <w:sz w:val="22"/>
        </w:rPr>
        <w:t xml:space="preserve"> with acceptable toxicity</w:t>
      </w:r>
      <w:r w:rsidR="000B0A19">
        <w:rPr>
          <w:rFonts w:cstheme="minorHAnsi"/>
          <w:bCs/>
          <w:sz w:val="22"/>
        </w:rPr>
        <w:t xml:space="preserve"> </w:t>
      </w:r>
      <w:r w:rsidR="00FD1A13">
        <w:rPr>
          <w:rFonts w:cstheme="minorHAnsi"/>
          <w:bCs/>
          <w:sz w:val="22"/>
        </w:rPr>
        <w:t>for Ac-225 based TAT</w:t>
      </w:r>
      <w:r w:rsidRPr="00B9121B">
        <w:rPr>
          <w:rFonts w:cstheme="minorHAnsi"/>
          <w:bCs/>
          <w:sz w:val="22"/>
        </w:rPr>
        <w:t>. This paper provides, to the best of our knowledge, the most comprehensive clinical data on safety of TAT with different Ac-225 radiopharmaceuticals, in different cancer patients until today. Data in the coming years will certainly strengthen the knowledge of short- and long-term toxicities and would facilitate risk/benefit assessments.</w:t>
      </w:r>
    </w:p>
    <w:p w14:paraId="4344BEBE" w14:textId="7FFC03CC" w:rsidR="00142D37" w:rsidRPr="00ED13C8" w:rsidRDefault="00C7666D" w:rsidP="00CD1614">
      <w:pPr>
        <w:spacing w:before="240" w:after="240" w:line="276" w:lineRule="auto"/>
        <w:rPr>
          <w:rFonts w:cstheme="minorHAnsi"/>
          <w:b/>
          <w:bCs/>
          <w:sz w:val="32"/>
        </w:rPr>
      </w:pPr>
      <w:r w:rsidRPr="00CD1614">
        <w:rPr>
          <w:b/>
          <w:bCs/>
          <w:sz w:val="32"/>
        </w:rPr>
        <w:lastRenderedPageBreak/>
        <w:t>Introduction</w:t>
      </w:r>
      <w:r w:rsidR="00142D37" w:rsidRPr="00ED13C8">
        <w:rPr>
          <w:b/>
          <w:sz w:val="32"/>
        </w:rPr>
        <w:t xml:space="preserve"> </w:t>
      </w:r>
      <w:bookmarkStart w:id="0" w:name="_GoBack"/>
      <w:bookmarkEnd w:id="0"/>
    </w:p>
    <w:p w14:paraId="3F5645AE" w14:textId="7E19B3E5" w:rsidR="00142D37" w:rsidRPr="0018521B" w:rsidRDefault="003A1BF4" w:rsidP="00CD1614">
      <w:pPr>
        <w:pStyle w:val="StandardWeb"/>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Over the past decades, cancer incidence has increased, despite the reduction in cancer mortality attributed to advancements in novel diagnostic and treatment modalities </w:t>
      </w:r>
      <w:r w:rsidR="00771185">
        <w:rPr>
          <w:rFonts w:asciiTheme="minorHAnsi" w:hAnsiTheme="minorHAnsi" w:cstheme="minorHAnsi"/>
          <w:sz w:val="22"/>
          <w:szCs w:val="22"/>
        </w:rPr>
        <w:fldChar w:fldCharType="begin"/>
      </w:r>
      <w:r w:rsidR="00236E68">
        <w:rPr>
          <w:rFonts w:asciiTheme="minorHAnsi" w:hAnsiTheme="minorHAnsi" w:cstheme="minorHAnsi"/>
          <w:sz w:val="22"/>
          <w:szCs w:val="22"/>
        </w:rPr>
        <w:instrText xml:space="preserve"> ADDIN ZOTERO_ITEM CSL_CITATION {"citationID":"7vANOPCK","properties":{"formattedCitation":"(1)","plainCitation":"(1)","noteIndex":0},"citationItems":[{"id":1188,"uris":["http://zotero.org/users/15628667/items/R8V7V8LF"],"itemData":{"id":1188,"type":"article-journal","abstract":"AbstractEach year, the American Cancer Society estimates the numbers of new cancer cases and deaths in the United States and compiles the most recent data on population‐based cancer occurrence and outcomes using incidence data collected by central cancer registries (through 2020) and mortality data collected by the National Center for Health Statistics (through 2021). In 2024, 2,001,140 new cancer cases and 611,720 cancer deaths are projected to occur in the United States. Cancer mortality continued to decline through 2021, averting over 4 million deaths since 1991 because of reductions in smoking, earlier detection for some cancers, and improved treatment options in both the adjuvant and metastatic settings. However, these gains are threatened by increasing incidence for 6 of the top 10 cancers. Incidence rates increased during 2015–2019 by 0.6%–1% annually for breast, pancreas, and uterine corpus cancers and by 2%–3% annually for prostate, liver (female), kidney, and human papillomavirus‐associated oral cancers and for melanoma. Incidence rates also increased by 1%–2% annually for cervical (ages 30–44 years) and colorectal cancers (ages &lt;55 years) in young adults. Colorectal cancer was the fourth‐leading cause of cancer death in both men and women younger than 50 years in the late‐1990s but is now first in men and second in women. Progress is also hampered by wide persistent cancer disparities; compared to White people, mortality rates are two‐fold higher for prostate, stomach and uterine corpus cancers in Black people and for liver, stomach, and kidney cancers in Native American people. Continued national progress will require increased investment in cancer prevention and access to equitable treatment, especially among American Indian and Alaska Native and Black individuals.","container-title":"CA: A Cancer Journal for Clinicians","DOI":"10.3322/caac.21820","ISSN":"0007-9235, 1542-4863","issue":"1","journalAbbreviation":"CA A Cancer J Clinicians","language":"en","license":"http://creativecommons.org/licenses/by-nc-nd/4.0/","note":"publisher: Wiley","page":"12-49","source":"Crossref","title":"Cancer statistics, 2024","URL":"https://acsjournals.onlinelibrary.wiley.com/doi/10.3322/caac.21820","volume":"74","author":[{"family":"Siegel","given":"Rebecca L."},{"family":"Giaquinto","given":"Angela N."},{"family":"Jemal","given":"Ahmedin"}],"accessed":{"date-parts":[["2025",7,25]]},"issued":{"date-parts":[["2024",1]]}}}],"schema":"https://github.com/citation-style-language/schema/raw/master/csl-citation.json"} </w:instrText>
      </w:r>
      <w:r w:rsidR="00771185">
        <w:rPr>
          <w:rFonts w:asciiTheme="minorHAnsi" w:hAnsiTheme="minorHAnsi" w:cstheme="minorHAnsi"/>
          <w:sz w:val="22"/>
          <w:szCs w:val="22"/>
        </w:rPr>
        <w:fldChar w:fldCharType="separate"/>
      </w:r>
      <w:r w:rsidR="00771185" w:rsidRPr="00771185">
        <w:rPr>
          <w:rFonts w:ascii="Calibri" w:hAnsi="Calibri" w:cs="Calibri"/>
          <w:sz w:val="22"/>
        </w:rPr>
        <w:t>(1)</w:t>
      </w:r>
      <w:r w:rsidR="00771185">
        <w:rPr>
          <w:rFonts w:asciiTheme="minorHAnsi" w:hAnsiTheme="minorHAnsi" w:cstheme="minorHAnsi"/>
          <w:sz w:val="22"/>
          <w:szCs w:val="22"/>
        </w:rPr>
        <w:fldChar w:fldCharType="end"/>
      </w:r>
      <w:r w:rsidR="00335146" w:rsidRPr="0018521B">
        <w:rPr>
          <w:rFonts w:asciiTheme="minorHAnsi" w:hAnsiTheme="minorHAnsi" w:cstheme="minorHAnsi"/>
          <w:sz w:val="22"/>
          <w:szCs w:val="22"/>
        </w:rPr>
        <w:t xml:space="preserve">. </w:t>
      </w:r>
      <w:r w:rsidR="00FD1A13" w:rsidRPr="00FD1A13">
        <w:rPr>
          <w:rFonts w:asciiTheme="minorHAnsi" w:hAnsiTheme="minorHAnsi" w:cstheme="minorHAnsi"/>
          <w:sz w:val="22"/>
          <w:szCs w:val="22"/>
        </w:rPr>
        <w:t xml:space="preserve">A combination of more effective prevention, early screening, and more robust treatments has contributed significantly to the success in lowering mortality. However, conventional therapies like external beam radiation and chemotherapy often may result in serious side effects, which emphasizes the need for more targeted </w:t>
      </w:r>
      <w:r w:rsidR="00FD1A13">
        <w:rPr>
          <w:rFonts w:asciiTheme="minorHAnsi" w:hAnsiTheme="minorHAnsi" w:cstheme="minorHAnsi"/>
          <w:sz w:val="22"/>
          <w:szCs w:val="22"/>
        </w:rPr>
        <w:t xml:space="preserve">and personalized </w:t>
      </w:r>
      <w:r w:rsidR="00FD1A13" w:rsidRPr="00FD1A13">
        <w:rPr>
          <w:rFonts w:asciiTheme="minorHAnsi" w:hAnsiTheme="minorHAnsi" w:cstheme="minorHAnsi"/>
          <w:sz w:val="22"/>
          <w:szCs w:val="22"/>
        </w:rPr>
        <w:t>therapeutic approaches.</w:t>
      </w:r>
      <w:r w:rsidR="00FD1A13">
        <w:rPr>
          <w:rFonts w:asciiTheme="minorHAnsi" w:hAnsiTheme="minorHAnsi" w:cstheme="minorHAnsi"/>
          <w:sz w:val="22"/>
          <w:szCs w:val="22"/>
        </w:rPr>
        <w:t xml:space="preserve"> </w:t>
      </w:r>
      <w:r w:rsidRPr="0018521B">
        <w:rPr>
          <w:rFonts w:asciiTheme="minorHAnsi" w:hAnsiTheme="minorHAnsi" w:cstheme="minorHAnsi"/>
          <w:sz w:val="22"/>
          <w:szCs w:val="22"/>
        </w:rPr>
        <w:t xml:space="preserve">Radionuclide therapy, particularly </w:t>
      </w:r>
      <w:r w:rsidR="00A55590">
        <w:rPr>
          <w:rFonts w:asciiTheme="minorHAnsi" w:hAnsiTheme="minorHAnsi" w:cstheme="minorHAnsi"/>
          <w:sz w:val="22"/>
          <w:szCs w:val="22"/>
        </w:rPr>
        <w:t>t</w:t>
      </w:r>
      <w:r w:rsidR="00FF7B62">
        <w:rPr>
          <w:rFonts w:asciiTheme="minorHAnsi" w:hAnsiTheme="minorHAnsi" w:cstheme="minorHAnsi"/>
          <w:sz w:val="22"/>
          <w:szCs w:val="22"/>
        </w:rPr>
        <w:t xml:space="preserve">argeted </w:t>
      </w:r>
      <w:r w:rsidR="00A55590">
        <w:rPr>
          <w:rFonts w:asciiTheme="minorHAnsi" w:hAnsiTheme="minorHAnsi" w:cstheme="minorHAnsi"/>
          <w:sz w:val="22"/>
          <w:szCs w:val="22"/>
        </w:rPr>
        <w:t>r</w:t>
      </w:r>
      <w:r w:rsidR="00FF7B62">
        <w:rPr>
          <w:rFonts w:asciiTheme="minorHAnsi" w:hAnsiTheme="minorHAnsi" w:cstheme="minorHAnsi"/>
          <w:sz w:val="22"/>
          <w:szCs w:val="22"/>
        </w:rPr>
        <w:t xml:space="preserve">adionuclide </w:t>
      </w:r>
      <w:r w:rsidR="00A55590">
        <w:rPr>
          <w:rFonts w:asciiTheme="minorHAnsi" w:hAnsiTheme="minorHAnsi" w:cstheme="minorHAnsi"/>
          <w:sz w:val="22"/>
          <w:szCs w:val="22"/>
        </w:rPr>
        <w:t>t</w:t>
      </w:r>
      <w:r w:rsidR="00FF7B62">
        <w:rPr>
          <w:rFonts w:asciiTheme="minorHAnsi" w:hAnsiTheme="minorHAnsi" w:cstheme="minorHAnsi"/>
          <w:sz w:val="22"/>
          <w:szCs w:val="22"/>
        </w:rPr>
        <w:t>herapy</w:t>
      </w:r>
      <w:r w:rsidRPr="0018521B">
        <w:rPr>
          <w:rFonts w:asciiTheme="minorHAnsi" w:hAnsiTheme="minorHAnsi" w:cstheme="minorHAnsi"/>
          <w:sz w:val="22"/>
          <w:szCs w:val="22"/>
        </w:rPr>
        <w:t xml:space="preserve"> (</w:t>
      </w:r>
      <w:r w:rsidR="00FF7B62">
        <w:rPr>
          <w:rFonts w:asciiTheme="minorHAnsi" w:hAnsiTheme="minorHAnsi" w:cstheme="minorHAnsi"/>
          <w:sz w:val="22"/>
          <w:szCs w:val="22"/>
        </w:rPr>
        <w:t>TRT</w:t>
      </w:r>
      <w:r w:rsidRPr="0018521B">
        <w:rPr>
          <w:rFonts w:asciiTheme="minorHAnsi" w:hAnsiTheme="minorHAnsi" w:cstheme="minorHAnsi"/>
          <w:sz w:val="22"/>
          <w:szCs w:val="22"/>
        </w:rPr>
        <w:t xml:space="preserve">) utilizing different radionuclides, has been shown to be a promising approach within the scope of </w:t>
      </w:r>
      <w:r w:rsidR="00896A35" w:rsidRPr="0018521B">
        <w:rPr>
          <w:rFonts w:asciiTheme="minorHAnsi" w:hAnsiTheme="minorHAnsi" w:cstheme="minorHAnsi"/>
          <w:sz w:val="22"/>
          <w:szCs w:val="22"/>
        </w:rPr>
        <w:t xml:space="preserve">precision </w:t>
      </w:r>
      <w:r w:rsidRPr="0018521B">
        <w:rPr>
          <w:rFonts w:asciiTheme="minorHAnsi" w:hAnsiTheme="minorHAnsi" w:cstheme="minorHAnsi"/>
          <w:sz w:val="22"/>
          <w:szCs w:val="22"/>
        </w:rPr>
        <w:t xml:space="preserve">oncology </w:t>
      </w:r>
      <w:r w:rsidR="00771185">
        <w:rPr>
          <w:rFonts w:asciiTheme="minorHAnsi" w:hAnsiTheme="minorHAnsi" w:cstheme="minorHAnsi"/>
          <w:sz w:val="22"/>
          <w:szCs w:val="22"/>
        </w:rPr>
        <w:fldChar w:fldCharType="begin"/>
      </w:r>
      <w:r w:rsidR="00236E68">
        <w:rPr>
          <w:rFonts w:asciiTheme="minorHAnsi" w:hAnsiTheme="minorHAnsi" w:cstheme="minorHAnsi"/>
          <w:sz w:val="22"/>
          <w:szCs w:val="22"/>
        </w:rPr>
        <w:instrText xml:space="preserve"> ADDIN ZOTERO_ITEM CSL_CITATION {"citationID":"Vkl8C8f4","properties":{"formattedCitation":"(2)","plainCitation":"(2)","noteIndex":0},"citationItems":[{"id":1190,"uris":["http://zotero.org/users/15628667/items/RTMN4EV9"],"itemData":{"id":1190,"type":"article-journal","abstract":"AbstractA quintessential setting for precision medicine, theranostics refers to a rapidly evolving field of medicine in which disease is diagnosed followed by treatment of disease‐positive patients using tools for the therapy identical or similar to those used for the diagnosis. Against the backdrop of only‐treat‐when‐visualized, the goal is a high therapeutic index with efficacy markedly surpassing toxicity. Oncology leads the way in theranostics innovation, where the approach has become possible with the identification of unique proteins and other factors selectively expressed in cancer versus healthy tissue, advances in imaging technology able to report these tissue factors, and major understanding of targeting chemicals and nanodevices together with methods to attach labels or warheads for imaging and therapy. Radiotheranostics—using radiopharmaceuticals—is becoming routine in patients with prostate cancer and neuroendocrine tumors who express the proteins PSMA (prostate‐specific membrane antigen) and SSTR2 (somatostatin receptor 2), respectively, on their cancer. The palpable excitement in the field stems from the finding that a proportion of patients with large metastatic burden show complete and partial responses, and this outcome is catalyzing the search for more radiotheranostics approaches. Not every patient will benefit from radiotheranostics; but, for those who cross the target‐detected line, the likelihood of response is very high.","container-title":"CA: A Cancer Journal for Clinicians","DOI":"10.3322/caac.21768","ISSN":"0007-9235, 1542-4863","issue":"3","journalAbbreviation":"CA A Cancer J Clinicians","language":"en","license":"http://creativecommons.org/licenses/by/4.0/","note":"publisher: Wiley","page":"255-274","source":"Crossref","title":"Radiotheranostics in oncology: Making precision medicine possible","title-short":"Radiotheranostics in oncology","URL":"https://acsjournals.onlinelibrary.wiley.com/doi/10.3322/caac.21768","volume":"73","author":[{"family":"Aboagye","given":"Eric O."},{"family":"Barwick","given":"Tara D."},{"family":"Haberkorn","given":"Uwe"}],"accessed":{"date-parts":[["2025",7,25]]},"issued":{"date-parts":[["2023",5]]}}}],"schema":"https://github.com/citation-style-language/schema/raw/master/csl-citation.json"} </w:instrText>
      </w:r>
      <w:r w:rsidR="00771185">
        <w:rPr>
          <w:rFonts w:asciiTheme="minorHAnsi" w:hAnsiTheme="minorHAnsi" w:cstheme="minorHAnsi"/>
          <w:sz w:val="22"/>
          <w:szCs w:val="22"/>
        </w:rPr>
        <w:fldChar w:fldCharType="separate"/>
      </w:r>
      <w:r w:rsidR="00771185" w:rsidRPr="00771185">
        <w:rPr>
          <w:rFonts w:ascii="Calibri" w:hAnsi="Calibri" w:cs="Calibri"/>
          <w:sz w:val="22"/>
        </w:rPr>
        <w:t>(2)</w:t>
      </w:r>
      <w:r w:rsidR="00771185">
        <w:rPr>
          <w:rFonts w:asciiTheme="minorHAnsi" w:hAnsiTheme="minorHAnsi" w:cstheme="minorHAnsi"/>
          <w:sz w:val="22"/>
          <w:szCs w:val="22"/>
        </w:rPr>
        <w:fldChar w:fldCharType="end"/>
      </w:r>
      <w:r w:rsidR="00335146" w:rsidRPr="0018521B">
        <w:rPr>
          <w:rFonts w:asciiTheme="minorHAnsi" w:hAnsiTheme="minorHAnsi" w:cstheme="minorHAnsi"/>
          <w:sz w:val="22"/>
          <w:szCs w:val="22"/>
        </w:rPr>
        <w:t>.</w:t>
      </w:r>
      <w:r w:rsidRPr="0018521B">
        <w:rPr>
          <w:rFonts w:asciiTheme="minorHAnsi" w:hAnsiTheme="minorHAnsi" w:cstheme="minorHAnsi"/>
          <w:sz w:val="22"/>
          <w:szCs w:val="22"/>
        </w:rPr>
        <w:t xml:space="preserve"> </w:t>
      </w:r>
    </w:p>
    <w:p w14:paraId="6BBC0910" w14:textId="53D758F2" w:rsidR="00026CC1" w:rsidRPr="0018521B" w:rsidRDefault="00896A35" w:rsidP="00CD1614">
      <w:pPr>
        <w:pStyle w:val="StandardWeb"/>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Targeted alpha t</w:t>
      </w:r>
      <w:r w:rsidR="00CE4AE4">
        <w:rPr>
          <w:rFonts w:asciiTheme="minorHAnsi" w:hAnsiTheme="minorHAnsi" w:cstheme="minorHAnsi"/>
          <w:sz w:val="22"/>
          <w:szCs w:val="22"/>
        </w:rPr>
        <w:t>herapy</w:t>
      </w:r>
      <w:r w:rsidRPr="0018521B">
        <w:rPr>
          <w:rFonts w:asciiTheme="minorHAnsi" w:hAnsiTheme="minorHAnsi" w:cstheme="minorHAnsi"/>
          <w:sz w:val="22"/>
          <w:szCs w:val="22"/>
        </w:rPr>
        <w:t xml:space="preserve">, also known as TAT, is a unique </w:t>
      </w:r>
      <w:r w:rsidR="005420EB">
        <w:rPr>
          <w:rFonts w:asciiTheme="minorHAnsi" w:hAnsiTheme="minorHAnsi" w:cstheme="minorHAnsi"/>
          <w:sz w:val="22"/>
          <w:szCs w:val="22"/>
        </w:rPr>
        <w:t xml:space="preserve">subgroup of TRT </w:t>
      </w:r>
      <w:r w:rsidR="00CE4AE4">
        <w:rPr>
          <w:rFonts w:asciiTheme="minorHAnsi" w:hAnsiTheme="minorHAnsi" w:cstheme="minorHAnsi"/>
          <w:sz w:val="22"/>
          <w:szCs w:val="22"/>
        </w:rPr>
        <w:t>using</w:t>
      </w:r>
      <w:r w:rsidR="005420EB">
        <w:rPr>
          <w:rFonts w:asciiTheme="minorHAnsi" w:hAnsiTheme="minorHAnsi" w:cstheme="minorHAnsi"/>
          <w:sz w:val="22"/>
          <w:szCs w:val="22"/>
        </w:rPr>
        <w:t xml:space="preserve"> radiopharmaceuticals labelled with alpha emitters</w:t>
      </w:r>
      <w:r w:rsidRPr="0018521B">
        <w:rPr>
          <w:rFonts w:asciiTheme="minorHAnsi" w:hAnsiTheme="minorHAnsi" w:cstheme="minorHAnsi"/>
          <w:sz w:val="22"/>
          <w:szCs w:val="22"/>
        </w:rPr>
        <w:t xml:space="preserve">. </w:t>
      </w:r>
      <w:r w:rsidR="005420EB">
        <w:rPr>
          <w:rFonts w:asciiTheme="minorHAnsi" w:hAnsiTheme="minorHAnsi" w:cstheme="minorHAnsi"/>
          <w:sz w:val="22"/>
          <w:szCs w:val="22"/>
        </w:rPr>
        <w:t>The</w:t>
      </w:r>
      <w:r w:rsidR="00CE4AE4">
        <w:rPr>
          <w:rFonts w:asciiTheme="minorHAnsi" w:hAnsiTheme="minorHAnsi" w:cstheme="minorHAnsi"/>
          <w:sz w:val="22"/>
          <w:szCs w:val="22"/>
        </w:rPr>
        <w:t xml:space="preserve"> selective</w:t>
      </w:r>
      <w:r w:rsidR="005420EB">
        <w:rPr>
          <w:rFonts w:asciiTheme="minorHAnsi" w:hAnsiTheme="minorHAnsi" w:cstheme="minorHAnsi"/>
          <w:sz w:val="22"/>
          <w:szCs w:val="22"/>
        </w:rPr>
        <w:t xml:space="preserve"> </w:t>
      </w:r>
      <w:r w:rsidRPr="0018521B">
        <w:rPr>
          <w:rFonts w:asciiTheme="minorHAnsi" w:hAnsiTheme="minorHAnsi" w:cstheme="minorHAnsi"/>
          <w:sz w:val="22"/>
          <w:szCs w:val="22"/>
        </w:rPr>
        <w:t xml:space="preserve">high-energy </w:t>
      </w:r>
      <w:r w:rsidR="005420EB">
        <w:rPr>
          <w:rFonts w:asciiTheme="minorHAnsi" w:hAnsiTheme="minorHAnsi" w:cstheme="minorHAnsi"/>
          <w:sz w:val="22"/>
          <w:szCs w:val="22"/>
        </w:rPr>
        <w:t>deposition of alpha emitters with</w:t>
      </w:r>
      <w:r w:rsidRPr="0018521B">
        <w:rPr>
          <w:rFonts w:asciiTheme="minorHAnsi" w:hAnsiTheme="minorHAnsi" w:cstheme="minorHAnsi"/>
          <w:sz w:val="22"/>
          <w:szCs w:val="22"/>
        </w:rPr>
        <w:t xml:space="preserve">in short range </w:t>
      </w:r>
      <w:r w:rsidR="00FD1A13">
        <w:rPr>
          <w:rFonts w:asciiTheme="minorHAnsi" w:hAnsiTheme="minorHAnsi" w:cstheme="minorHAnsi"/>
          <w:sz w:val="22"/>
          <w:szCs w:val="22"/>
        </w:rPr>
        <w:t xml:space="preserve">of a </w:t>
      </w:r>
      <w:r w:rsidR="00FD1A13" w:rsidRPr="00FD1A13">
        <w:rPr>
          <w:rFonts w:asciiTheme="minorHAnsi" w:hAnsiTheme="minorHAnsi" w:cstheme="minorHAnsi"/>
          <w:sz w:val="22"/>
          <w:szCs w:val="22"/>
        </w:rPr>
        <w:t xml:space="preserve">few cell diameters (50-100 µm) </w:t>
      </w:r>
      <w:r w:rsidR="00FD1A13">
        <w:rPr>
          <w:rFonts w:asciiTheme="minorHAnsi" w:hAnsiTheme="minorHAnsi" w:cstheme="minorHAnsi"/>
          <w:sz w:val="22"/>
          <w:szCs w:val="22"/>
        </w:rPr>
        <w:t xml:space="preserve">with high </w:t>
      </w:r>
      <w:r w:rsidR="00FD1A13" w:rsidRPr="00FD1A13">
        <w:rPr>
          <w:rFonts w:asciiTheme="minorHAnsi" w:hAnsiTheme="minorHAnsi" w:cstheme="minorHAnsi"/>
          <w:sz w:val="22"/>
          <w:szCs w:val="22"/>
        </w:rPr>
        <w:t xml:space="preserve">a high linear energy transfer </w:t>
      </w:r>
      <w:r w:rsidR="005420EB">
        <w:rPr>
          <w:rFonts w:asciiTheme="minorHAnsi" w:hAnsiTheme="minorHAnsi" w:cstheme="minorHAnsi"/>
          <w:sz w:val="22"/>
          <w:szCs w:val="22"/>
        </w:rPr>
        <w:t xml:space="preserve">results in rapid destruction of targeted </w:t>
      </w:r>
      <w:r w:rsidRPr="0018521B">
        <w:rPr>
          <w:rFonts w:asciiTheme="minorHAnsi" w:hAnsiTheme="minorHAnsi" w:cstheme="minorHAnsi"/>
          <w:sz w:val="22"/>
          <w:szCs w:val="22"/>
        </w:rPr>
        <w:t>tumor cells</w:t>
      </w:r>
      <w:r w:rsidR="00CE4AE4">
        <w:rPr>
          <w:rFonts w:asciiTheme="minorHAnsi" w:hAnsiTheme="minorHAnsi" w:cstheme="minorHAnsi"/>
          <w:sz w:val="22"/>
          <w:szCs w:val="22"/>
        </w:rPr>
        <w:t xml:space="preserve"> </w:t>
      </w:r>
      <w:r w:rsidR="0028078F">
        <w:rPr>
          <w:rFonts w:asciiTheme="minorHAnsi" w:hAnsiTheme="minorHAnsi" w:cstheme="minorHAnsi"/>
          <w:sz w:val="22"/>
          <w:szCs w:val="22"/>
        </w:rPr>
        <w:fldChar w:fldCharType="begin"/>
      </w:r>
      <w:r w:rsidR="006507B1">
        <w:rPr>
          <w:rFonts w:asciiTheme="minorHAnsi" w:hAnsiTheme="minorHAnsi" w:cstheme="minorHAnsi"/>
          <w:sz w:val="22"/>
          <w:szCs w:val="22"/>
        </w:rPr>
        <w:instrText xml:space="preserve"> ADDIN ZOTERO_ITEM CSL_CITATION {"citationID":"rbjq7xVO","properties":{"formattedCitation":"(3)","plainCitation":"(3)","noteIndex":0},"citationItems":[{"id":"JEwD11uc/yC7uWEUl","uris":["http://zotero.org/users/7366664/items/HPGQ4MVV"],"itemData":{"id":3061,"type":"article-journal","container-title":"Nuclear Medicine and Biology","DOI":"10.1016/j.nucmedbio.2025.109044","ISSN":"09698051","journalAbbreviation":"Nuclear Medicine and Biology","language":"en","page":"109044","source":"DOI.org (Crossref)","title":"Radiobiological effect of alpha particles. The scientific basis of targeted alpha-particle therapy","volume":"146-147","author":[{"family":"Cruz-Nova","given":"Pedro"},{"family":"Trujillo-Nolasco","given":"Maydelid"},{"family":"Aranda-Lara","given":"Liliana"},{"family":"Ferro-Flores","given":"Guillermina"},{"family":"Ocampo-García","given":"Blanca"}],"issued":{"date-parts":[["2025",7]]}}}],"schema":"https://github.com/citation-style-language/schema/raw/master/csl-citation.json"} </w:instrText>
      </w:r>
      <w:r w:rsidR="0028078F">
        <w:rPr>
          <w:rFonts w:asciiTheme="minorHAnsi" w:hAnsiTheme="minorHAnsi" w:cstheme="minorHAnsi"/>
          <w:sz w:val="22"/>
          <w:szCs w:val="22"/>
        </w:rPr>
        <w:fldChar w:fldCharType="separate"/>
      </w:r>
      <w:r w:rsidR="0028078F" w:rsidRPr="0028078F">
        <w:rPr>
          <w:rFonts w:ascii="Calibri" w:hAnsi="Calibri" w:cs="Calibri"/>
          <w:sz w:val="22"/>
        </w:rPr>
        <w:t>(3)</w:t>
      </w:r>
      <w:r w:rsidR="0028078F">
        <w:rPr>
          <w:rFonts w:asciiTheme="minorHAnsi" w:hAnsiTheme="minorHAnsi" w:cstheme="minorHAnsi"/>
          <w:sz w:val="22"/>
          <w:szCs w:val="22"/>
        </w:rPr>
        <w:fldChar w:fldCharType="end"/>
      </w:r>
      <w:r w:rsidR="00153916">
        <w:rPr>
          <w:rFonts w:asciiTheme="minorHAnsi" w:hAnsiTheme="minorHAnsi" w:cstheme="minorHAnsi"/>
          <w:sz w:val="22"/>
          <w:szCs w:val="22"/>
        </w:rPr>
        <w:t xml:space="preserve">, </w:t>
      </w:r>
      <w:r w:rsidR="00153916" w:rsidRPr="00153916">
        <w:rPr>
          <w:rFonts w:asciiTheme="minorHAnsi" w:hAnsiTheme="minorHAnsi" w:cstheme="minorHAnsi"/>
          <w:sz w:val="22"/>
          <w:szCs w:val="22"/>
        </w:rPr>
        <w:t>therefore particularly beneficial in the therapy of disseminated micrometastases and small tumors</w:t>
      </w:r>
      <w:r w:rsidRPr="0018521B">
        <w:rPr>
          <w:rFonts w:asciiTheme="minorHAnsi" w:hAnsiTheme="minorHAnsi" w:cstheme="minorHAnsi"/>
          <w:sz w:val="22"/>
          <w:szCs w:val="22"/>
        </w:rPr>
        <w:t>. T</w:t>
      </w:r>
      <w:r w:rsidR="005420EB">
        <w:rPr>
          <w:rFonts w:asciiTheme="minorHAnsi" w:hAnsiTheme="minorHAnsi" w:cstheme="minorHAnsi"/>
          <w:sz w:val="22"/>
          <w:szCs w:val="22"/>
        </w:rPr>
        <w:t>he</w:t>
      </w:r>
      <w:r w:rsidRPr="0018521B">
        <w:rPr>
          <w:rFonts w:asciiTheme="minorHAnsi" w:hAnsiTheme="minorHAnsi" w:cstheme="minorHAnsi"/>
          <w:sz w:val="22"/>
          <w:szCs w:val="22"/>
        </w:rPr>
        <w:t xml:space="preserve"> use of alpha emitters in cancer treatment is associated with a number of distinct benefits and attractive qualities</w:t>
      </w:r>
      <w:r w:rsidR="005420EB">
        <w:rPr>
          <w:rFonts w:asciiTheme="minorHAnsi" w:hAnsiTheme="minorHAnsi" w:cstheme="minorHAnsi"/>
          <w:sz w:val="22"/>
          <w:szCs w:val="22"/>
        </w:rPr>
        <w:t>.</w:t>
      </w:r>
      <w:r w:rsidRPr="0018521B">
        <w:rPr>
          <w:rFonts w:asciiTheme="minorHAnsi" w:hAnsiTheme="minorHAnsi" w:cstheme="minorHAnsi"/>
          <w:sz w:val="22"/>
          <w:szCs w:val="22"/>
        </w:rPr>
        <w:t xml:space="preserve"> </w:t>
      </w:r>
      <w:r w:rsidR="005420EB">
        <w:rPr>
          <w:rFonts w:asciiTheme="minorHAnsi" w:hAnsiTheme="minorHAnsi" w:cstheme="minorHAnsi"/>
          <w:sz w:val="22"/>
          <w:szCs w:val="22"/>
        </w:rPr>
        <w:t>N</w:t>
      </w:r>
      <w:r w:rsidRPr="0018521B">
        <w:rPr>
          <w:rFonts w:asciiTheme="minorHAnsi" w:hAnsiTheme="minorHAnsi" w:cstheme="minorHAnsi"/>
          <w:sz w:val="22"/>
          <w:szCs w:val="22"/>
        </w:rPr>
        <w:t xml:space="preserve">onetheless, there are still substantial concerns regarding the safety profile of these agents and the possible toxicity they may exhibit </w:t>
      </w:r>
      <w:r w:rsidR="00771185">
        <w:rPr>
          <w:rFonts w:asciiTheme="minorHAnsi" w:hAnsiTheme="minorHAnsi" w:cstheme="minorHAnsi"/>
          <w:sz w:val="22"/>
          <w:szCs w:val="22"/>
        </w:rPr>
        <w:fldChar w:fldCharType="begin"/>
      </w:r>
      <w:r w:rsidR="00236E68">
        <w:rPr>
          <w:rFonts w:asciiTheme="minorHAnsi" w:hAnsiTheme="minorHAnsi" w:cstheme="minorHAnsi"/>
          <w:sz w:val="22"/>
          <w:szCs w:val="22"/>
        </w:rPr>
        <w:instrText xml:space="preserve"> ADDIN ZOTERO_ITEM CSL_CITATION {"citationID":"OmCWrE5P","properties":{"formattedCitation":"(4)","plainCitation":"(4)","noteIndex":0},"citationItems":[{"id":1192,"uris":["http://zotero.org/users/15628667/items/4YBXPHRP"],"itemData":{"id":1192,"type":"article-journal","container-title":"JAMA Oncology","DOI":"10.1001/jamaoncol.2018.4044","ISSN":"2374-2437","issue":"12","journalAbbreviation":"JAMA Oncol","language":"en","note":"publisher: American Medical Association (AMA)","page":"1765","source":"Crossref","title":"Targeted Alpha Therapy, an Emerging Class of Cancer Agents: A Review","title-short":"Targeted Alpha Therapy, an Emerging Class of Cancer Agents","URL":"http://oncology.jamanetwork.com/article.aspx?doi=10.1001/jamaoncol.2018.4044","volume":"4","author":[{"literal":"Targeted Alpha Therapy Working Group"},{"family":"Parker","given":"Christopher"},{"family":"Lewington","given":"Valerie"},{"family":"Shore","given":"Neal"},{"family":"Kratochwil","given":"Clemens"},{"family":"Levy","given":"Moshe"},{"family":"Lindén","given":"Ola"},{"family":"Noordzij","given":"Walter"},{"family":"Park","given":"Jae"},{"family":"Saad","given":"Fred"}],"accessed":{"date-parts":[["2025",7,25]]},"issued":{"date-parts":[["2018",12,1]]}}}],"schema":"https://github.com/citation-style-language/schema/raw/master/csl-citation.json"} </w:instrText>
      </w:r>
      <w:r w:rsidR="00771185">
        <w:rPr>
          <w:rFonts w:asciiTheme="minorHAnsi" w:hAnsiTheme="minorHAnsi" w:cstheme="minorHAnsi"/>
          <w:sz w:val="22"/>
          <w:szCs w:val="22"/>
        </w:rPr>
        <w:fldChar w:fldCharType="separate"/>
      </w:r>
      <w:r w:rsidR="0028078F" w:rsidRPr="0028078F">
        <w:rPr>
          <w:rFonts w:ascii="Calibri" w:hAnsi="Calibri" w:cs="Calibri"/>
          <w:sz w:val="22"/>
        </w:rPr>
        <w:t>(4)</w:t>
      </w:r>
      <w:r w:rsidR="00771185">
        <w:rPr>
          <w:rFonts w:asciiTheme="minorHAnsi" w:hAnsiTheme="minorHAnsi" w:cstheme="minorHAnsi"/>
          <w:sz w:val="22"/>
          <w:szCs w:val="22"/>
        </w:rPr>
        <w:fldChar w:fldCharType="end"/>
      </w:r>
      <w:r w:rsidR="007644B2" w:rsidRPr="0018521B">
        <w:rPr>
          <w:rFonts w:asciiTheme="minorHAnsi" w:hAnsiTheme="minorHAnsi" w:cstheme="minorHAnsi"/>
          <w:sz w:val="22"/>
          <w:szCs w:val="22"/>
        </w:rPr>
        <w:t>.</w:t>
      </w:r>
    </w:p>
    <w:p w14:paraId="27B49763" w14:textId="1489EA7F" w:rsidR="007644B2" w:rsidRPr="0018521B" w:rsidRDefault="00896A35" w:rsidP="00CD1614">
      <w:pPr>
        <w:pStyle w:val="StandardWeb"/>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Actinium-225 (Ac-225)</w:t>
      </w:r>
      <w:r w:rsidR="00CE4AE4">
        <w:rPr>
          <w:rFonts w:asciiTheme="minorHAnsi" w:hAnsiTheme="minorHAnsi" w:cstheme="minorHAnsi"/>
          <w:sz w:val="22"/>
          <w:szCs w:val="22"/>
        </w:rPr>
        <w:t xml:space="preserve"> has caught</w:t>
      </w:r>
      <w:r w:rsidR="00CE4AE4" w:rsidRPr="0018521B">
        <w:rPr>
          <w:rFonts w:asciiTheme="minorHAnsi" w:hAnsiTheme="minorHAnsi" w:cstheme="minorHAnsi"/>
          <w:sz w:val="22"/>
          <w:szCs w:val="22"/>
        </w:rPr>
        <w:t xml:space="preserve"> the attention of investigators</w:t>
      </w:r>
      <w:r w:rsidRPr="0018521B">
        <w:rPr>
          <w:rFonts w:asciiTheme="minorHAnsi" w:hAnsiTheme="minorHAnsi" w:cstheme="minorHAnsi"/>
          <w:sz w:val="22"/>
          <w:szCs w:val="22"/>
        </w:rPr>
        <w:t xml:space="preserve"> as an alpha-emitter </w:t>
      </w:r>
      <w:r w:rsidR="00CE4AE4">
        <w:rPr>
          <w:rFonts w:asciiTheme="minorHAnsi" w:hAnsiTheme="minorHAnsi" w:cstheme="minorHAnsi"/>
          <w:sz w:val="22"/>
          <w:szCs w:val="22"/>
        </w:rPr>
        <w:t>with</w:t>
      </w:r>
      <w:r w:rsidRPr="0018521B">
        <w:rPr>
          <w:rFonts w:asciiTheme="minorHAnsi" w:hAnsiTheme="minorHAnsi" w:cstheme="minorHAnsi"/>
          <w:sz w:val="22"/>
          <w:szCs w:val="22"/>
        </w:rPr>
        <w:t xml:space="preserve"> favorable radiophysical and </w:t>
      </w:r>
      <w:r w:rsidR="00CE4AE4">
        <w:rPr>
          <w:rFonts w:asciiTheme="minorHAnsi" w:hAnsiTheme="minorHAnsi" w:cstheme="minorHAnsi"/>
          <w:sz w:val="22"/>
          <w:szCs w:val="22"/>
        </w:rPr>
        <w:t>radiochemical</w:t>
      </w:r>
      <w:r w:rsidRPr="0018521B">
        <w:rPr>
          <w:rFonts w:asciiTheme="minorHAnsi" w:hAnsiTheme="minorHAnsi" w:cstheme="minorHAnsi"/>
          <w:sz w:val="22"/>
          <w:szCs w:val="22"/>
        </w:rPr>
        <w:t xml:space="preserve"> characteristics </w:t>
      </w:r>
      <w:r w:rsidR="00CE4AE4">
        <w:rPr>
          <w:rFonts w:asciiTheme="minorHAnsi" w:hAnsiTheme="minorHAnsi" w:cstheme="minorHAnsi"/>
          <w:sz w:val="22"/>
          <w:szCs w:val="22"/>
        </w:rPr>
        <w:t>and therefore</w:t>
      </w:r>
      <w:r w:rsidRPr="0018521B">
        <w:rPr>
          <w:rFonts w:asciiTheme="minorHAnsi" w:hAnsiTheme="minorHAnsi" w:cstheme="minorHAnsi"/>
          <w:sz w:val="22"/>
          <w:szCs w:val="22"/>
        </w:rPr>
        <w:t xml:space="preserve"> compelling candidate for </w:t>
      </w:r>
      <w:r w:rsidR="00CE4AE4">
        <w:rPr>
          <w:rFonts w:asciiTheme="minorHAnsi" w:hAnsiTheme="minorHAnsi" w:cstheme="minorHAnsi"/>
          <w:sz w:val="22"/>
          <w:szCs w:val="22"/>
        </w:rPr>
        <w:t>TAT</w:t>
      </w:r>
      <w:r w:rsidRPr="0018521B">
        <w:rPr>
          <w:rFonts w:asciiTheme="minorHAnsi" w:hAnsiTheme="minorHAnsi" w:cstheme="minorHAnsi"/>
          <w:sz w:val="22"/>
          <w:szCs w:val="22"/>
        </w:rPr>
        <w:t xml:space="preserve"> development</w:t>
      </w:r>
      <w:r w:rsidR="00CE4AE4">
        <w:rPr>
          <w:rFonts w:asciiTheme="minorHAnsi" w:hAnsiTheme="minorHAnsi" w:cstheme="minorHAnsi"/>
          <w:sz w:val="22"/>
          <w:szCs w:val="22"/>
        </w:rPr>
        <w:fldChar w:fldCharType="begin"/>
      </w:r>
      <w:r w:rsidR="006507B1">
        <w:rPr>
          <w:rFonts w:asciiTheme="minorHAnsi" w:hAnsiTheme="minorHAnsi" w:cstheme="minorHAnsi"/>
          <w:sz w:val="22"/>
          <w:szCs w:val="22"/>
        </w:rPr>
        <w:instrText xml:space="preserve"> ADDIN ZOTERO_ITEM CSL_CITATION {"citationID":"FTZAaLSq","properties":{"formattedCitation":"(5)","plainCitation":"(5)","noteIndex":0},"citationItems":[{"id":"JEwD11uc/zlXxXi6I","uris":["http://zotero.org/users/7366664/items/4MJWREQN"],"itemData":{"id":3062,"type":"article-journal","abstract":"The utilization of actinium-225 (\n              225\n              Ac) radionuclides in targeted alpha therapy for cancer was initially outlined in 1993. Over the past two decades, substantial research has been conducted, encompassing the establishment of\n              225\n              Ac production methods, various preclinical investigations, and several clinical studies. Currently, there is a growing number of compounds labeled with\n              225\n              Ac that are being developed and tested in clinical trials. In response to the increasing demand for this nuclide, production facilities are either being built or have already been established. This article offers a concise summary of the present state of clinical advancements in compounds labeled with\n              225\n              Ac. It outlines various processes involved in the production and purification of\n              225\n              Ac to cater to the growing demand for this radionuclide. The article examines the merits and drawbacks of different procedures, delves into preclinical trials, and discusses ongoing clinical trials.","container-title":"Journal of Medical Physics","DOI":"10.4103/jmp.jmp_22_24","ISSN":"0971-6203, 1998-3913","issue":"2","language":"en","page":"137-147","source":"DOI.org (Crossref)","title":"Actinium-225 in Targeted Alpha Therapy","volume":"49","author":[{"family":"Rahman","given":"A. K. M. Rezaur"},{"family":"Babu","given":"Mahathe Hasan"},{"family":"Ovi","given":"Mustofa Khalid"},{"family":"Zilani","given":"Md. Mahiuddin"},{"family":"Eithu","given":"Israt Sultana"},{"family":"Chakraborty","given":"Amit"}],"issued":{"date-parts":[["2024",4]]}}}],"schema":"https://github.com/citation-style-language/schema/raw/master/csl-citation.json"} </w:instrText>
      </w:r>
      <w:r w:rsidR="00CE4AE4">
        <w:rPr>
          <w:rFonts w:asciiTheme="minorHAnsi" w:hAnsiTheme="minorHAnsi" w:cstheme="minorHAnsi"/>
          <w:sz w:val="22"/>
          <w:szCs w:val="22"/>
        </w:rPr>
        <w:fldChar w:fldCharType="separate"/>
      </w:r>
      <w:r w:rsidR="00CE4AE4" w:rsidRPr="00CE4AE4">
        <w:rPr>
          <w:rFonts w:ascii="Calibri" w:hAnsi="Calibri" w:cs="Calibri"/>
          <w:sz w:val="22"/>
        </w:rPr>
        <w:t>(5)</w:t>
      </w:r>
      <w:r w:rsidR="00CE4AE4">
        <w:rPr>
          <w:rFonts w:asciiTheme="minorHAnsi" w:hAnsiTheme="minorHAnsi" w:cstheme="minorHAnsi"/>
          <w:sz w:val="22"/>
          <w:szCs w:val="22"/>
        </w:rPr>
        <w:fldChar w:fldCharType="end"/>
      </w:r>
      <w:r w:rsidRPr="0018521B">
        <w:rPr>
          <w:rFonts w:asciiTheme="minorHAnsi" w:hAnsiTheme="minorHAnsi" w:cstheme="minorHAnsi"/>
          <w:sz w:val="22"/>
          <w:szCs w:val="22"/>
        </w:rPr>
        <w:t>. It emit</w:t>
      </w:r>
      <w:r w:rsidR="008D2F26">
        <w:rPr>
          <w:rFonts w:asciiTheme="minorHAnsi" w:hAnsiTheme="minorHAnsi" w:cstheme="minorHAnsi"/>
          <w:sz w:val="22"/>
          <w:szCs w:val="22"/>
        </w:rPr>
        <w:t>s</w:t>
      </w:r>
      <w:r w:rsidRPr="0018521B">
        <w:rPr>
          <w:rFonts w:asciiTheme="minorHAnsi" w:hAnsiTheme="minorHAnsi" w:cstheme="minorHAnsi"/>
          <w:sz w:val="22"/>
          <w:szCs w:val="22"/>
        </w:rPr>
        <w:t xml:space="preserve"> multiple alpha particles in its decay chain, which makes it a </w:t>
      </w:r>
      <w:r w:rsidR="0028078F">
        <w:rPr>
          <w:rFonts w:asciiTheme="minorHAnsi" w:hAnsiTheme="minorHAnsi" w:cstheme="minorHAnsi"/>
          <w:sz w:val="22"/>
          <w:szCs w:val="22"/>
        </w:rPr>
        <w:t xml:space="preserve">highly </w:t>
      </w:r>
      <w:r w:rsidRPr="0018521B">
        <w:rPr>
          <w:rFonts w:asciiTheme="minorHAnsi" w:hAnsiTheme="minorHAnsi" w:cstheme="minorHAnsi"/>
          <w:sz w:val="22"/>
          <w:szCs w:val="22"/>
        </w:rPr>
        <w:t xml:space="preserve">potent </w:t>
      </w:r>
      <w:r w:rsidR="0028078F">
        <w:rPr>
          <w:rFonts w:asciiTheme="minorHAnsi" w:hAnsiTheme="minorHAnsi" w:cstheme="minorHAnsi"/>
          <w:sz w:val="22"/>
          <w:szCs w:val="22"/>
        </w:rPr>
        <w:t>alpha emitter</w:t>
      </w:r>
      <w:r w:rsidRPr="0018521B">
        <w:rPr>
          <w:rFonts w:asciiTheme="minorHAnsi" w:hAnsiTheme="minorHAnsi" w:cstheme="minorHAnsi"/>
          <w:sz w:val="22"/>
          <w:szCs w:val="22"/>
        </w:rPr>
        <w:t xml:space="preserve">. </w:t>
      </w:r>
      <w:r w:rsidR="00CE4AE4">
        <w:rPr>
          <w:rFonts w:asciiTheme="minorHAnsi" w:hAnsiTheme="minorHAnsi" w:cstheme="minorHAnsi"/>
          <w:sz w:val="22"/>
          <w:szCs w:val="22"/>
        </w:rPr>
        <w:t>Its chemistry shows similarities to lanthanides and other trivalent metals and therefore allows to use established radioligands</w:t>
      </w:r>
      <w:r w:rsidR="00153916">
        <w:rPr>
          <w:rFonts w:asciiTheme="minorHAnsi" w:hAnsiTheme="minorHAnsi" w:cstheme="minorHAnsi"/>
          <w:sz w:val="22"/>
          <w:szCs w:val="22"/>
        </w:rPr>
        <w:t>,</w:t>
      </w:r>
      <w:r w:rsidR="00CE4AE4">
        <w:rPr>
          <w:rFonts w:asciiTheme="minorHAnsi" w:hAnsiTheme="minorHAnsi" w:cstheme="minorHAnsi"/>
          <w:sz w:val="22"/>
          <w:szCs w:val="22"/>
        </w:rPr>
        <w:t xml:space="preserve"> e.g. </w:t>
      </w:r>
      <w:r w:rsidR="00153916">
        <w:rPr>
          <w:rFonts w:asciiTheme="minorHAnsi" w:hAnsiTheme="minorHAnsi" w:cstheme="minorHAnsi"/>
          <w:sz w:val="22"/>
          <w:szCs w:val="22"/>
        </w:rPr>
        <w:t xml:space="preserve">for </w:t>
      </w:r>
      <w:r w:rsidR="00CE4AE4">
        <w:rPr>
          <w:rFonts w:asciiTheme="minorHAnsi" w:hAnsiTheme="minorHAnsi" w:cstheme="minorHAnsi"/>
          <w:sz w:val="22"/>
          <w:szCs w:val="22"/>
        </w:rPr>
        <w:t xml:space="preserve">Lu-177. </w:t>
      </w:r>
      <w:r w:rsidR="008D2F26">
        <w:rPr>
          <w:rFonts w:asciiTheme="minorHAnsi" w:hAnsiTheme="minorHAnsi" w:cstheme="minorHAnsi"/>
          <w:sz w:val="22"/>
          <w:szCs w:val="22"/>
        </w:rPr>
        <w:t>Ac-225 has shown excellent therapeutic efficacy especially for treating castration resistant metastatic prostate cancer in late stage patients</w:t>
      </w:r>
      <w:r w:rsidR="00153916" w:rsidRPr="00153916">
        <w:rPr>
          <w:rFonts w:asciiTheme="minorHAnsi" w:hAnsiTheme="minorHAnsi" w:cstheme="minorHAnsi"/>
          <w:sz w:val="22"/>
          <w:szCs w:val="22"/>
        </w:rPr>
        <w:t xml:space="preserve">, including those who have already received lutetium-177 (Lu-177) beta therapy, </w:t>
      </w:r>
      <w:r w:rsidR="008D2F26">
        <w:rPr>
          <w:rFonts w:asciiTheme="minorHAnsi" w:hAnsiTheme="minorHAnsi" w:cstheme="minorHAnsi"/>
          <w:sz w:val="22"/>
          <w:szCs w:val="22"/>
        </w:rPr>
        <w:t xml:space="preserve"> </w:t>
      </w:r>
      <w:r w:rsidR="00771185">
        <w:rPr>
          <w:rFonts w:asciiTheme="minorHAnsi" w:hAnsiTheme="minorHAnsi" w:cstheme="minorHAnsi"/>
          <w:sz w:val="22"/>
          <w:szCs w:val="22"/>
        </w:rPr>
        <w:fldChar w:fldCharType="begin"/>
      </w:r>
      <w:r w:rsidR="00236E68">
        <w:rPr>
          <w:rFonts w:asciiTheme="minorHAnsi" w:hAnsiTheme="minorHAnsi" w:cstheme="minorHAnsi"/>
          <w:sz w:val="22"/>
          <w:szCs w:val="22"/>
        </w:rPr>
        <w:instrText xml:space="preserve"> ADDIN ZOTERO_ITEM CSL_CITATION {"citationID":"gDW2PDq3","properties":{"formattedCitation":"(6,7)","plainCitation":"(6,7)","noteIndex":0},"citationItems":[{"id":1195,"uris":["http://zotero.org/users/15628667/items/C7REB3FF"],"itemData":{"id":1195,"type":"article-journal","abstract":"AbstractBackgroundApproximately 10%–20% of prostate cancers progress to metastatic and castration‐resistant forms (mCRPC). Radioligand (RLT) therapy with [177Lu]Lu‐prostate‐specific membrane antigen (PSMA) is an approved treatment for metastasized mCRPC. Moreover, Actinium‐225 (225Ac), an alpha‐emitter isotope, has also been used to label PSMA and, recently, to treat mCRPC patients with encouraging results. However, robust clinical data on [225Ac]Ac‐PSMA therapy and its comparison with [177Lu]Lu‐PSMA are still limited. Our aim was to evaluate the role of [225Ac]Ac‐PSMA in treating mCRPC and compare it with conventional [177Lu]Lu‐PSMA therapy.MethodsA systematic search was performed in PubMed, Web of Science, Scopus and the Cochrane Register of Controlled Trials from June 2023 to January 2024. This work was conducted in accordance with PRISMA guidelines.ResultsAfter screening and study selection according to PRISMA guidelines, 11 studies were included, 9 of which focused on [225Ac]Ac‐PSMA only and two on tandem therapy ([225Ac]Ac‐PSMA/[177Lu]Lu‐PSMA). Overall, the pooled proportion of PSA decline in patients was .85 (95% CI: .79–.91, p &lt; .001); patients pretreated with [177Lu]Lu‐PSMA achieved a pooled proportion of PSA decline of .90 (95% CI: .82–.97, p &lt; .001). In patients treated with tandem therapy, PSA decline was observed in approximately 90% of them, while PSA response rates above 50% ranged from 53.3% to 65%. Xerostomia was the most frequently reported side effect, along with anaemia, thrombocytopenia and nephrotoxicity.ConclusionsOverall, the main results of our study showed that [225Ac]Ac‐PSMA‐617 had a significant therapeutic effect on mCRPC with an acceptable toxicity level. The latter, however, appears greater than with [177Lu]Lu‐PSMA‐617. In future studies, an adequate analysis of the incidence of side effects associated with [225Ac]Ac‐PSMA should be performed to evaluate the role of cumulative toxicity of earlier treatments and the higher frailty of heavily pretreated patients.","container-title":"European Journal of Clinical Investigation","DOI":"10.1111/eci.14358","ISSN":"0014-2972, 1365-2362","issue":"5","journalAbbreviation":"Eur J Clin Investigation","language":"en","license":"http://onlinelibrary.wiley.com/termsAndConditions#vor","note":"publisher: Wiley","source":"Crossref","title":"[&lt;sup&gt;225&lt;/sup&gt;Ac]Ac‐PSMA for the treatment of metastatic castration‐resistant prostate cancer: A systematic review and meta‐analysis","title-short":"[&lt;sup&gt;225&lt;/sup&gt;Ac]Ac‐PSMA for the treatment of metastatic castration‐resistant prostate cancer","URL":"https://onlinelibrary.wiley.com/doi/10.1111/eci.14358","volume":"55","author":[{"family":"Garo","given":"Maria Luisa"},{"family":"Ovčariček","given":"Petra Petranović"},{"family":"Fanti","given":"Stefano"},{"family":"Giovanella","given":"Luca"}],"accessed":{"date-parts":[["2025",7,25]]},"issued":{"date-parts":[["2025",5]]}}},{"id":48,"uris":["http://zotero.org/users/15628667/items/SIJTFWHD"],"itemData":{"id":48,"type":"article-journal","abstract":"BACKGROUND: Targeted radionuclide therapy with Actinium-225-labeled prostate-specific membrane antigen ligands ((225)Ac-PSMA) has emerged as a  promising treatment modality in the management of metastatic castration-resistant  prostate cancer (mCRPC). With its high linear energy transfer and short path  length, (225)Ac induces double-stranded DNA breaks and is expected to have  excellent efficacy and safety profile. This systematic review was conducted to  precisely evaluate the role of (225)Ac-PSMA radioligand therapy (RLT) in mCRPC.  METHODS: This systematic review followed the Preferred Reporting Items for  Systematic Reviews and Meta-analyses (PRISMA) guidelines. Searches were made  using relevant keywords in the PubMed, Embase, and Scopus databases, and articles  up to December 2020 were included. Data on efficacy and toxicity were extracted  from the individual articles. Random-effects model was used for generating pooled  estimates through meta-analysis. RESULTS: Ten articles comprising 256 patients  were included. Overall, 62.8% (95% confidence interval, CI: 53.4-71.7%) of the  patients treated with (225)Ac-PSMA RLT achieved biochemical response, i.e., ≥50%  decline in the serum prostate-specific antigen levels from baseline. Molecular  response on Gallium-68 PSMA positron emission tomography/computed tomography was  noted in 74% (95% CI: 50.1-92.1%) of the patients. The pooled estimates of median  progression-free survival and overall survival were 9.1 months (95% CI: 3.6-14.5  months) and 12.8 months (95% CI: 4.5-21.0 months), respectively. The most  commonly reported adverse event was xerostomia, which was observed in 72.7% (95%  CI: 50.5-90.1%) of the patients. However, clinically significant toxicity was  limited with grade ≥3 xerostomia, anemia, leucopenia, thrombocytopenia, and  nephrotoxicity occurring in 1.2%, 12.3%, 8.3%, 6.3%, and 3.8% of the patients,  respectively. Treatment discontinuation due to adverse events was noted in 20/208  patients. CONCLUSIONS: (225)Ac-PSMA RLT is an efficacious and safe treatment  option for patients with mCRPC. Future randomized controlled trials are required  to establish its therapeutic efficacy and survival benefit vis-à-vis other  approved treatment modalities.","container-title":"Prostate cancer and prostatic diseases","DOI":"10.1038/s41391-021-00349-w","ISSN":"1476-5608 1365-7852","issue":"3","journalAbbreviation":"Prostate Cancer Prostatic Dis","language":"eng","license":"© 2021. The Author(s), under exclusive licence to Springer Nature Limited.","note":"publisher-place: England\nPMID: 33746213","page":"880-890","title":"Evolving role of (225)Ac-PSMA radioligand therapy in metastatic castration-resistant prostate cancer-a systematic review and meta-analysis.","volume":"24","author":[{"family":"Satapathy","given":"Swayamjeet"},{"family":"Sood","given":"Ashwani"},{"family":"Das","given":"Chandan Krushna"},{"family":"Mittal","given":"Bhagwant Rai"}],"issued":{"date-parts":[["2021",9]]}}}],"schema":"https://github.com/citation-style-language/schema/raw/master/csl-citation.json"} </w:instrText>
      </w:r>
      <w:r w:rsidR="00771185">
        <w:rPr>
          <w:rFonts w:asciiTheme="minorHAnsi" w:hAnsiTheme="minorHAnsi" w:cstheme="minorHAnsi"/>
          <w:sz w:val="22"/>
          <w:szCs w:val="22"/>
        </w:rPr>
        <w:fldChar w:fldCharType="separate"/>
      </w:r>
      <w:r w:rsidR="00CE4AE4" w:rsidRPr="00CE4AE4">
        <w:rPr>
          <w:rFonts w:ascii="Calibri" w:hAnsi="Calibri" w:cs="Calibri"/>
          <w:sz w:val="22"/>
        </w:rPr>
        <w:t>(6,7)</w:t>
      </w:r>
      <w:r w:rsidR="00771185">
        <w:rPr>
          <w:rFonts w:asciiTheme="minorHAnsi" w:hAnsiTheme="minorHAnsi" w:cstheme="minorHAnsi"/>
          <w:sz w:val="22"/>
          <w:szCs w:val="22"/>
        </w:rPr>
        <w:fldChar w:fldCharType="end"/>
      </w:r>
      <w:r w:rsidR="008D2F26">
        <w:rPr>
          <w:rFonts w:asciiTheme="minorHAnsi" w:hAnsiTheme="minorHAnsi" w:cstheme="minorHAnsi"/>
          <w:sz w:val="22"/>
          <w:szCs w:val="22"/>
        </w:rPr>
        <w:t xml:space="preserve">. </w:t>
      </w:r>
      <w:r w:rsidRPr="0018521B">
        <w:rPr>
          <w:rFonts w:asciiTheme="minorHAnsi" w:hAnsiTheme="minorHAnsi" w:cstheme="minorHAnsi"/>
          <w:sz w:val="22"/>
          <w:szCs w:val="22"/>
        </w:rPr>
        <w:t xml:space="preserve">However, these potent properties also necessitate the development of rigorous safety protocols and instructions </w:t>
      </w:r>
      <w:r w:rsidR="00771185">
        <w:rPr>
          <w:rFonts w:asciiTheme="minorHAnsi" w:hAnsiTheme="minorHAnsi" w:cstheme="minorHAnsi"/>
          <w:sz w:val="22"/>
          <w:szCs w:val="22"/>
        </w:rPr>
        <w:fldChar w:fldCharType="begin"/>
      </w:r>
      <w:r w:rsidR="00236E68">
        <w:rPr>
          <w:rFonts w:asciiTheme="minorHAnsi" w:hAnsiTheme="minorHAnsi" w:cstheme="minorHAnsi"/>
          <w:sz w:val="22"/>
          <w:szCs w:val="22"/>
        </w:rPr>
        <w:instrText xml:space="preserve"> ADDIN ZOTERO_ITEM CSL_CITATION {"citationID":"Ddzq98az","properties":{"formattedCitation":"(4,8)","plainCitation":"(4,8)","noteIndex":0},"citationItems":[{"id":1192,"uris":["http://zotero.org/users/15628667/items/4YBXPHRP"],"itemData":{"id":1192,"type":"article-journal","container-title":"JAMA Oncology","DOI":"10.1001/jamaoncol.2018.4044","ISSN":"2374-2437","issue":"12","journalAbbreviation":"JAMA Oncol","language":"en","note":"publisher: American Medical Association (AMA)","page":"1765","source":"Crossref","title":"Targeted Alpha Therapy, an Emerging Class of Cancer Agents: A Review","title-short":"Targeted Alpha Therapy, an Emerging Class of Cancer Agents","URL":"http://oncology.jamanetwork.com/article.aspx?doi=10.1001/jamaoncol.2018.4044","volume":"4","author":[{"literal":"Targeted Alpha Therapy Working Group"},{"family":"Parker","given":"Christopher"},{"family":"Lewington","given":"Valerie"},{"family":"Shore","given":"Neal"},{"family":"Kratochwil","given":"Clemens"},{"family":"Levy","given":"Moshe"},{"family":"Lindén","given":"Ola"},{"family":"Noordzij","given":"Walter"},{"family":"Park","given":"Jae"},{"family":"Saad","given":"Fred"}],"accessed":{"date-parts":[["2025",7,25]]},"issued":{"date-parts":[["2018",12,1]]}}},{"id":1193,"uris":["http://zotero.org/users/15628667/items/YVMPMZ5Q"],"itemData":{"id":1193,"type":"article-journal","abstract":"This review presents an overview of the successes and challenges currently faced in alpha radionuclide therapy. Alpha particles have an advantage in killing tumour cells as compared to beta or gamma radiation due to their short penetration depth and high linear energy transfer (LET). Touching briefly on the clinical successes of radionuclides emitting only one alpha particle, the main focus of this article lies on those alpha-emitting radionuclides with multiple alpha-emitting daughters in their decay chain. While having the advantage of longer half-lives, the recoiled daughters of radionuclides like 224Ra (radium), 223Ra, and 225Ac (actinium) can do significant damage to healthy tissue when not retained at the tumour site. Three different approaches to deal with this problem are discussed: encapsulation in a nano-carrier, fast uptake of the alpha emitting radionuclides in tumour cells, and local administration. Each approach has been shown to have its advantages and disadvantages, but when larger activities need to be used clinically, nano-carriers appear to be the most promising solution for reducing toxic effects, provided there is no accumulation in healthy tissue.","container-title":"Pharmaceuticals","DOI":"10.3390/ph8020321","ISSN":"1424-8247","issue":"2","language":"en","license":"https://creativecommons.org/licenses/by/4.0/","note":"publisher: MDPI AG","page":"321-336","source":"Crossref","title":"A Critical Review of Alpha Radionuclide Therapy—How to Deal with Recoiling Daughters?","URL":"https://www.mdpi.com/1424-8247/8/2/321","volume":"8","author":[{"family":"De Kruijff","given":"Robin"},{"family":"Wolterbeek","given":"Hubert"},{"family":"Denkova","given":"Antonia"}],"accessed":{"date-parts":[["2025",7,25]]},"issued":{"date-parts":[["2015",6,10]]}}}],"schema":"https://github.com/citation-style-language/schema/raw/master/csl-citation.json"} </w:instrText>
      </w:r>
      <w:r w:rsidR="00771185">
        <w:rPr>
          <w:rFonts w:asciiTheme="minorHAnsi" w:hAnsiTheme="minorHAnsi" w:cstheme="minorHAnsi"/>
          <w:sz w:val="22"/>
          <w:szCs w:val="22"/>
        </w:rPr>
        <w:fldChar w:fldCharType="separate"/>
      </w:r>
      <w:r w:rsidR="00CE4AE4" w:rsidRPr="00CE4AE4">
        <w:rPr>
          <w:rFonts w:ascii="Calibri" w:hAnsi="Calibri" w:cs="Calibri"/>
          <w:sz w:val="22"/>
        </w:rPr>
        <w:t>(4,8)</w:t>
      </w:r>
      <w:r w:rsidR="00771185">
        <w:rPr>
          <w:rFonts w:asciiTheme="minorHAnsi" w:hAnsiTheme="minorHAnsi" w:cstheme="minorHAnsi"/>
          <w:sz w:val="22"/>
          <w:szCs w:val="22"/>
        </w:rPr>
        <w:fldChar w:fldCharType="end"/>
      </w:r>
      <w:r w:rsidR="005F585C" w:rsidRPr="0018521B">
        <w:rPr>
          <w:rFonts w:asciiTheme="minorHAnsi" w:hAnsiTheme="minorHAnsi" w:cstheme="minorHAnsi"/>
          <w:sz w:val="22"/>
          <w:szCs w:val="22"/>
        </w:rPr>
        <w:t>.</w:t>
      </w:r>
    </w:p>
    <w:p w14:paraId="56206C15" w14:textId="01E58664" w:rsidR="00C7666D" w:rsidRPr="0018521B" w:rsidRDefault="00896A35" w:rsidP="00CD1614">
      <w:pPr>
        <w:pStyle w:val="StandardWeb"/>
        <w:spacing w:after="120" w:afterAutospacing="0" w:line="360" w:lineRule="auto"/>
        <w:rPr>
          <w:rStyle w:val="Fett"/>
          <w:rFonts w:asciiTheme="minorHAnsi" w:hAnsiTheme="minorHAnsi" w:cstheme="minorHAnsi"/>
          <w:sz w:val="22"/>
          <w:szCs w:val="22"/>
        </w:rPr>
      </w:pPr>
      <w:r w:rsidRPr="0018521B">
        <w:rPr>
          <w:rFonts w:asciiTheme="minorHAnsi" w:eastAsiaTheme="minorHAnsi" w:hAnsiTheme="minorHAnsi" w:cstheme="minorHAnsi"/>
          <w:kern w:val="2"/>
          <w:sz w:val="22"/>
          <w:szCs w:val="22"/>
          <w:lang w:bidi="fa-IR"/>
          <w14:ligatures w14:val="standardContextual"/>
        </w:rPr>
        <w:t xml:space="preserve">In this context, </w:t>
      </w:r>
      <w:r w:rsidR="00153916" w:rsidRPr="00153916">
        <w:rPr>
          <w:rFonts w:asciiTheme="minorHAnsi" w:eastAsiaTheme="minorHAnsi" w:hAnsiTheme="minorHAnsi" w:cstheme="minorHAnsi"/>
          <w:kern w:val="2"/>
          <w:sz w:val="22"/>
          <w:szCs w:val="22"/>
          <w:lang w:bidi="fa-IR"/>
          <w14:ligatures w14:val="standardContextual"/>
        </w:rPr>
        <w:t xml:space="preserve">the necessity of a comprehensive collected document is demanded to address the current </w:t>
      </w:r>
      <w:r w:rsidR="00153916">
        <w:rPr>
          <w:rFonts w:asciiTheme="minorHAnsi" w:eastAsiaTheme="minorHAnsi" w:hAnsiTheme="minorHAnsi" w:cstheme="minorHAnsi"/>
          <w:kern w:val="2"/>
          <w:sz w:val="22"/>
          <w:szCs w:val="22"/>
          <w:lang w:bidi="fa-IR"/>
          <w14:ligatures w14:val="standardContextual"/>
        </w:rPr>
        <w:t>knowledge</w:t>
      </w:r>
      <w:r w:rsidR="00153916" w:rsidRPr="00153916">
        <w:rPr>
          <w:rFonts w:asciiTheme="minorHAnsi" w:eastAsiaTheme="minorHAnsi" w:hAnsiTheme="minorHAnsi" w:cstheme="minorHAnsi"/>
          <w:kern w:val="2"/>
          <w:sz w:val="22"/>
          <w:szCs w:val="22"/>
          <w:lang w:bidi="fa-IR"/>
          <w14:ligatures w14:val="standardContextual"/>
        </w:rPr>
        <w:t xml:space="preserve"> on the safety profile of Ac-225 </w:t>
      </w:r>
      <w:r w:rsidR="00153916">
        <w:rPr>
          <w:rFonts w:asciiTheme="minorHAnsi" w:eastAsiaTheme="minorHAnsi" w:hAnsiTheme="minorHAnsi" w:cstheme="minorHAnsi"/>
          <w:kern w:val="2"/>
          <w:sz w:val="22"/>
          <w:szCs w:val="22"/>
          <w:lang w:bidi="fa-IR"/>
          <w14:ligatures w14:val="standardContextual"/>
        </w:rPr>
        <w:t>based TAT</w:t>
      </w:r>
      <w:r w:rsidR="00153916" w:rsidRPr="00153916">
        <w:rPr>
          <w:rFonts w:asciiTheme="minorHAnsi" w:eastAsiaTheme="minorHAnsi" w:hAnsiTheme="minorHAnsi" w:cstheme="minorHAnsi"/>
          <w:kern w:val="2"/>
          <w:sz w:val="22"/>
          <w:szCs w:val="22"/>
          <w:lang w:bidi="fa-IR"/>
          <w14:ligatures w14:val="standardContextual"/>
        </w:rPr>
        <w:t xml:space="preserve"> in various cancers</w:t>
      </w:r>
      <w:r w:rsidR="00153916">
        <w:rPr>
          <w:rFonts w:asciiTheme="minorHAnsi" w:eastAsiaTheme="minorHAnsi" w:hAnsiTheme="minorHAnsi" w:cstheme="minorHAnsi"/>
          <w:kern w:val="2"/>
          <w:sz w:val="22"/>
          <w:szCs w:val="22"/>
          <w:lang w:bidi="fa-IR"/>
          <w14:ligatures w14:val="standardContextual"/>
        </w:rPr>
        <w:t>.</w:t>
      </w:r>
      <w:r w:rsidR="00153916" w:rsidRPr="00153916">
        <w:rPr>
          <w:rFonts w:asciiTheme="minorHAnsi" w:eastAsiaTheme="minorHAnsi" w:hAnsiTheme="minorHAnsi" w:cstheme="minorHAnsi"/>
          <w:kern w:val="2"/>
          <w:sz w:val="22"/>
          <w:szCs w:val="22"/>
          <w:lang w:bidi="fa-IR"/>
          <w14:ligatures w14:val="standardContextual"/>
        </w:rPr>
        <w:t xml:space="preserve"> </w:t>
      </w:r>
      <w:r w:rsidR="00153916">
        <w:rPr>
          <w:rFonts w:asciiTheme="minorHAnsi" w:eastAsiaTheme="minorHAnsi" w:hAnsiTheme="minorHAnsi" w:cstheme="minorHAnsi"/>
          <w:kern w:val="2"/>
          <w:sz w:val="22"/>
          <w:szCs w:val="22"/>
          <w:lang w:bidi="fa-IR"/>
          <w14:ligatures w14:val="standardContextual"/>
        </w:rPr>
        <w:t>T</w:t>
      </w:r>
      <w:r w:rsidR="00153916" w:rsidRPr="0018521B">
        <w:rPr>
          <w:rFonts w:asciiTheme="minorHAnsi" w:eastAsiaTheme="minorHAnsi" w:hAnsiTheme="minorHAnsi" w:cstheme="minorHAnsi"/>
          <w:kern w:val="2"/>
          <w:sz w:val="22"/>
          <w:szCs w:val="22"/>
          <w:lang w:bidi="fa-IR"/>
          <w14:ligatures w14:val="standardContextual"/>
        </w:rPr>
        <w:t xml:space="preserve">he </w:t>
      </w:r>
      <w:r w:rsidRPr="0018521B">
        <w:rPr>
          <w:rFonts w:asciiTheme="minorHAnsi" w:eastAsiaTheme="minorHAnsi" w:hAnsiTheme="minorHAnsi" w:cstheme="minorHAnsi"/>
          <w:kern w:val="2"/>
          <w:sz w:val="22"/>
          <w:szCs w:val="22"/>
          <w:lang w:bidi="fa-IR"/>
          <w14:ligatures w14:val="standardContextual"/>
        </w:rPr>
        <w:t>present review aims to examine the most current and practically available documents</w:t>
      </w:r>
      <w:r w:rsidR="00AD50F1">
        <w:rPr>
          <w:rFonts w:asciiTheme="minorHAnsi" w:eastAsiaTheme="minorHAnsi" w:hAnsiTheme="minorHAnsi" w:cstheme="minorHAnsi"/>
          <w:kern w:val="2"/>
          <w:sz w:val="22"/>
          <w:szCs w:val="22"/>
          <w:lang w:bidi="fa-IR"/>
          <w14:ligatures w14:val="standardContextual"/>
        </w:rPr>
        <w:t xml:space="preserve"> on the clinical safety of Ac-225 radiopharmaceuticals </w:t>
      </w:r>
      <w:r w:rsidRPr="0018521B">
        <w:rPr>
          <w:rFonts w:asciiTheme="minorHAnsi" w:eastAsiaTheme="minorHAnsi" w:hAnsiTheme="minorHAnsi" w:cstheme="minorHAnsi"/>
          <w:kern w:val="2"/>
          <w:sz w:val="22"/>
          <w:szCs w:val="22"/>
          <w:lang w:bidi="fa-IR"/>
          <w14:ligatures w14:val="standardContextual"/>
        </w:rPr>
        <w:t xml:space="preserve">in the literature and summarize practical safety data on applying Ac-225 </w:t>
      </w:r>
      <w:r w:rsidR="00AD50F1">
        <w:rPr>
          <w:rFonts w:asciiTheme="minorHAnsi" w:eastAsiaTheme="minorHAnsi" w:hAnsiTheme="minorHAnsi" w:cstheme="minorHAnsi"/>
          <w:kern w:val="2"/>
          <w:sz w:val="22"/>
          <w:szCs w:val="22"/>
          <w:lang w:bidi="fa-IR"/>
          <w14:ligatures w14:val="standardContextual"/>
        </w:rPr>
        <w:t>for</w:t>
      </w:r>
      <w:r w:rsidRPr="0018521B">
        <w:rPr>
          <w:rFonts w:asciiTheme="minorHAnsi" w:eastAsiaTheme="minorHAnsi" w:hAnsiTheme="minorHAnsi" w:cstheme="minorHAnsi"/>
          <w:kern w:val="2"/>
          <w:sz w:val="22"/>
          <w:szCs w:val="22"/>
          <w:lang w:bidi="fa-IR"/>
          <w14:ligatures w14:val="standardContextual"/>
        </w:rPr>
        <w:t xml:space="preserve"> TAT in </w:t>
      </w:r>
      <w:r w:rsidRPr="0018521B">
        <w:rPr>
          <w:rFonts w:asciiTheme="minorHAnsi" w:eastAsiaTheme="minorHAnsi" w:hAnsiTheme="minorHAnsi" w:cstheme="minorHAnsi"/>
          <w:kern w:val="2"/>
          <w:sz w:val="22"/>
          <w:szCs w:val="22"/>
          <w:lang w:bidi="fa-IR"/>
          <w14:ligatures w14:val="standardContextual"/>
        </w:rPr>
        <w:lastRenderedPageBreak/>
        <w:t>different cancer types. Furthermore, this review outlines future directions and clinical trial considerations to support the validation of therapeutic efficacy for alpha-emitting radionuclides.</w:t>
      </w:r>
    </w:p>
    <w:p w14:paraId="34DF4788" w14:textId="77777777" w:rsidR="000F6752" w:rsidRPr="00ED13C8" w:rsidRDefault="000F6752" w:rsidP="00CD1614">
      <w:pPr>
        <w:spacing w:before="240" w:after="240" w:line="276" w:lineRule="auto"/>
        <w:rPr>
          <w:b/>
          <w:sz w:val="32"/>
        </w:rPr>
      </w:pPr>
      <w:r w:rsidRPr="00ED13C8">
        <w:rPr>
          <w:b/>
          <w:bCs/>
          <w:sz w:val="32"/>
        </w:rPr>
        <w:t>Methods</w:t>
      </w:r>
    </w:p>
    <w:p w14:paraId="3D19E7B2" w14:textId="77777777" w:rsidR="007F5EA2" w:rsidRDefault="000F6752" w:rsidP="00CD1614">
      <w:pPr>
        <w:pStyle w:val="StandardWeb"/>
        <w:spacing w:after="120" w:afterAutospacing="0" w:line="360" w:lineRule="auto"/>
        <w:rPr>
          <w:rFonts w:asciiTheme="minorHAnsi" w:hAnsiTheme="minorHAnsi" w:cstheme="minorHAnsi"/>
          <w:sz w:val="22"/>
          <w:szCs w:val="22"/>
        </w:rPr>
      </w:pPr>
      <w:r w:rsidRPr="0018521B">
        <w:rPr>
          <w:rStyle w:val="Fett"/>
          <w:rFonts w:asciiTheme="minorHAnsi" w:hAnsiTheme="minorHAnsi" w:cstheme="minorHAnsi"/>
          <w:sz w:val="22"/>
          <w:szCs w:val="22"/>
        </w:rPr>
        <w:t>Protocol</w:t>
      </w:r>
    </w:p>
    <w:p w14:paraId="7BE595BC" w14:textId="3C97551A" w:rsidR="00AD3EFE" w:rsidRPr="0018521B" w:rsidRDefault="000F6752" w:rsidP="00CD1614">
      <w:pPr>
        <w:pStyle w:val="StandardWeb"/>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This literature review was conducted to address a specific research question: Is Actinium-225 a clinically safe </w:t>
      </w:r>
      <w:r w:rsidR="0030687E">
        <w:rPr>
          <w:rFonts w:asciiTheme="minorHAnsi" w:hAnsiTheme="minorHAnsi" w:cstheme="minorHAnsi"/>
          <w:sz w:val="22"/>
          <w:szCs w:val="22"/>
        </w:rPr>
        <w:t>radionuclide</w:t>
      </w:r>
      <w:r w:rsidR="00277630">
        <w:rPr>
          <w:rFonts w:asciiTheme="minorHAnsi" w:hAnsiTheme="minorHAnsi" w:cstheme="minorHAnsi"/>
          <w:sz w:val="22"/>
          <w:szCs w:val="22"/>
        </w:rPr>
        <w:t xml:space="preserve">. </w:t>
      </w:r>
      <w:r w:rsidRPr="0018521B">
        <w:rPr>
          <w:rFonts w:asciiTheme="minorHAnsi" w:hAnsiTheme="minorHAnsi" w:cstheme="minorHAnsi"/>
          <w:sz w:val="22"/>
          <w:szCs w:val="22"/>
        </w:rPr>
        <w:t>The Population, Intervention, Comparator, and Outcomes (PICO) framework guided the literature search. The eligibility criteria for study selection were defined as follows: patients diagnosed with malignancies (</w:t>
      </w:r>
      <w:r w:rsidRPr="0018521B">
        <w:rPr>
          <w:rFonts w:asciiTheme="minorHAnsi" w:hAnsiTheme="minorHAnsi" w:cstheme="minorHAnsi"/>
          <w:i/>
          <w:iCs/>
          <w:sz w:val="22"/>
          <w:szCs w:val="22"/>
        </w:rPr>
        <w:t>Population</w:t>
      </w:r>
      <w:r w:rsidRPr="0018521B">
        <w:rPr>
          <w:rFonts w:asciiTheme="minorHAnsi" w:hAnsiTheme="minorHAnsi" w:cstheme="minorHAnsi"/>
          <w:sz w:val="22"/>
          <w:szCs w:val="22"/>
        </w:rPr>
        <w:t>) who were candidates for targeted alpha therapy (TAT) (</w:t>
      </w:r>
      <w:r w:rsidRPr="0018521B">
        <w:rPr>
          <w:rFonts w:asciiTheme="minorHAnsi" w:hAnsiTheme="minorHAnsi" w:cstheme="minorHAnsi"/>
          <w:i/>
          <w:iCs/>
          <w:sz w:val="22"/>
          <w:szCs w:val="22"/>
        </w:rPr>
        <w:t>Intervention</w:t>
      </w:r>
      <w:r w:rsidRPr="0018521B">
        <w:rPr>
          <w:rFonts w:asciiTheme="minorHAnsi" w:hAnsiTheme="minorHAnsi" w:cstheme="minorHAnsi"/>
          <w:sz w:val="22"/>
          <w:szCs w:val="22"/>
        </w:rPr>
        <w:t xml:space="preserve">), compared with previous </w:t>
      </w:r>
      <w:r w:rsidR="00A55590">
        <w:rPr>
          <w:rFonts w:asciiTheme="minorHAnsi" w:hAnsiTheme="minorHAnsi" w:cstheme="minorHAnsi"/>
          <w:sz w:val="22"/>
          <w:szCs w:val="22"/>
        </w:rPr>
        <w:t>TRT</w:t>
      </w:r>
      <w:r w:rsidRPr="0018521B">
        <w:rPr>
          <w:rFonts w:asciiTheme="minorHAnsi" w:hAnsiTheme="minorHAnsi" w:cstheme="minorHAnsi"/>
          <w:sz w:val="22"/>
          <w:szCs w:val="22"/>
        </w:rPr>
        <w:t xml:space="preserve"> or other treatments when applicable (</w:t>
      </w:r>
      <w:r w:rsidRPr="0018521B">
        <w:rPr>
          <w:rFonts w:asciiTheme="minorHAnsi" w:hAnsiTheme="minorHAnsi" w:cstheme="minorHAnsi"/>
          <w:i/>
          <w:iCs/>
          <w:sz w:val="22"/>
          <w:szCs w:val="22"/>
        </w:rPr>
        <w:t>Comparator</w:t>
      </w:r>
      <w:r w:rsidRPr="0018521B">
        <w:rPr>
          <w:rFonts w:asciiTheme="minorHAnsi" w:hAnsiTheme="minorHAnsi" w:cstheme="minorHAnsi"/>
          <w:sz w:val="22"/>
          <w:szCs w:val="22"/>
        </w:rPr>
        <w:t xml:space="preserve">). The safety and toxicity profiles of the enrolled patients were identified as the primary </w:t>
      </w:r>
      <w:r w:rsidRPr="0018521B">
        <w:rPr>
          <w:rFonts w:asciiTheme="minorHAnsi" w:hAnsiTheme="minorHAnsi" w:cstheme="minorHAnsi"/>
          <w:i/>
          <w:iCs/>
          <w:sz w:val="22"/>
          <w:szCs w:val="22"/>
        </w:rPr>
        <w:t>outcomes</w:t>
      </w:r>
      <w:r w:rsidRPr="0018521B">
        <w:rPr>
          <w:rFonts w:asciiTheme="minorHAnsi" w:hAnsiTheme="minorHAnsi" w:cstheme="minorHAnsi"/>
          <w:sz w:val="22"/>
          <w:szCs w:val="22"/>
        </w:rPr>
        <w:t>.</w:t>
      </w:r>
    </w:p>
    <w:p w14:paraId="081F0AF8" w14:textId="77777777" w:rsidR="000F6752" w:rsidRPr="0018521B" w:rsidRDefault="000F6752" w:rsidP="00CD1614">
      <w:pPr>
        <w:pStyle w:val="StandardWeb"/>
        <w:keepNext/>
        <w:spacing w:after="120" w:afterAutospacing="0" w:line="360" w:lineRule="auto"/>
        <w:rPr>
          <w:rFonts w:asciiTheme="minorHAnsi" w:hAnsiTheme="minorHAnsi" w:cstheme="minorHAnsi"/>
          <w:sz w:val="22"/>
          <w:szCs w:val="22"/>
        </w:rPr>
      </w:pPr>
      <w:r w:rsidRPr="0018521B">
        <w:rPr>
          <w:rStyle w:val="Fett"/>
          <w:rFonts w:asciiTheme="minorHAnsi" w:hAnsiTheme="minorHAnsi" w:cstheme="minorHAnsi"/>
          <w:sz w:val="22"/>
          <w:szCs w:val="22"/>
        </w:rPr>
        <w:t>Literature Search Strategy and Information Sources</w:t>
      </w:r>
    </w:p>
    <w:p w14:paraId="77388464" w14:textId="62E9F800" w:rsidR="00272202" w:rsidRPr="0018521B" w:rsidRDefault="000F6752" w:rsidP="00CD1614">
      <w:pPr>
        <w:pStyle w:val="StandardWeb"/>
        <w:keepNext/>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A comprehensive literature search was conducted using two electronic bibliographic databases, ClinicalTrials.gov and PubMed/MEDLINE, to identify studies that examined the safety, toxicity, or adverse events associated with Actinium-225 in various cancers when conjugated to different ligands.</w:t>
      </w:r>
      <w:r w:rsidR="00CD1614">
        <w:rPr>
          <w:rFonts w:asciiTheme="minorHAnsi" w:hAnsiTheme="minorHAnsi" w:cstheme="minorHAnsi"/>
          <w:sz w:val="22"/>
          <w:szCs w:val="22"/>
        </w:rPr>
        <w:t xml:space="preserve"> </w:t>
      </w:r>
      <w:r w:rsidRPr="0018521B">
        <w:rPr>
          <w:rFonts w:asciiTheme="minorHAnsi" w:hAnsiTheme="minorHAnsi" w:cstheme="minorHAnsi"/>
          <w:sz w:val="22"/>
          <w:szCs w:val="22"/>
        </w:rPr>
        <w:t>Given the novel application of TAT using Actinium-225</w:t>
      </w:r>
      <w:r w:rsidR="00D5401A" w:rsidRPr="0018521B">
        <w:rPr>
          <w:rFonts w:asciiTheme="minorHAnsi" w:hAnsiTheme="minorHAnsi" w:cstheme="minorHAnsi"/>
          <w:sz w:val="22"/>
          <w:szCs w:val="22"/>
        </w:rPr>
        <w:t xml:space="preserve"> and in order to cover the most recent result from ongoing studies</w:t>
      </w:r>
      <w:r w:rsidRPr="0018521B">
        <w:rPr>
          <w:rFonts w:asciiTheme="minorHAnsi" w:hAnsiTheme="minorHAnsi" w:cstheme="minorHAnsi"/>
          <w:sz w:val="22"/>
          <w:szCs w:val="22"/>
        </w:rPr>
        <w:t>, relevant data (abstracts) were also extracted from recent years' publications in the European Association of Nuclear Medicine (EANM) (EJNMMI Journal Abstract Book) and the Society of Nuclear Medicine and Molecular Imaging (SNMMI) (JNM Annual Meeting Abstracts).</w:t>
      </w:r>
      <w:r w:rsidR="00CD1614">
        <w:rPr>
          <w:rFonts w:asciiTheme="minorHAnsi" w:hAnsiTheme="minorHAnsi" w:cstheme="minorHAnsi"/>
          <w:sz w:val="22"/>
          <w:szCs w:val="22"/>
        </w:rPr>
        <w:t xml:space="preserve"> </w:t>
      </w:r>
      <w:r w:rsidRPr="0018521B">
        <w:rPr>
          <w:rFonts w:asciiTheme="minorHAnsi" w:hAnsiTheme="minorHAnsi" w:cstheme="minorHAnsi"/>
          <w:sz w:val="22"/>
          <w:szCs w:val="22"/>
        </w:rPr>
        <w:t xml:space="preserve">The search algorithm was constructed using the following </w:t>
      </w:r>
      <w:r w:rsidR="00A55590">
        <w:rPr>
          <w:rFonts w:asciiTheme="minorHAnsi" w:hAnsiTheme="minorHAnsi" w:cstheme="minorHAnsi"/>
          <w:sz w:val="22"/>
          <w:szCs w:val="22"/>
        </w:rPr>
        <w:t>string</w:t>
      </w:r>
      <w:r w:rsidR="00A55590" w:rsidRPr="0018521B">
        <w:rPr>
          <w:rFonts w:asciiTheme="minorHAnsi" w:hAnsiTheme="minorHAnsi" w:cstheme="minorHAnsi"/>
          <w:sz w:val="22"/>
          <w:szCs w:val="22"/>
        </w:rPr>
        <w:t xml:space="preserve"> </w:t>
      </w:r>
      <w:r w:rsidRPr="0018521B">
        <w:rPr>
          <w:rFonts w:asciiTheme="minorHAnsi" w:hAnsiTheme="minorHAnsi" w:cstheme="minorHAnsi"/>
          <w:sz w:val="22"/>
          <w:szCs w:val="22"/>
        </w:rPr>
        <w:t>of terms: (A) "Actinium" OR "Ac-225" OR "225Ac" OR "[225Ac]Ac" AND (B) "safety" OR "toxicity" OR "side-effect"</w:t>
      </w:r>
      <w:r w:rsidR="00A9539A">
        <w:rPr>
          <w:rFonts w:asciiTheme="minorHAnsi" w:hAnsiTheme="minorHAnsi" w:cstheme="minorHAnsi"/>
          <w:sz w:val="22"/>
          <w:szCs w:val="22"/>
        </w:rPr>
        <w:t>.</w:t>
      </w:r>
      <w:r w:rsidR="004A0F60">
        <w:rPr>
          <w:rFonts w:asciiTheme="minorHAnsi" w:hAnsiTheme="minorHAnsi" w:cstheme="minorHAnsi"/>
          <w:sz w:val="22"/>
          <w:szCs w:val="22"/>
        </w:rPr>
        <w:t xml:space="preserve"> </w:t>
      </w:r>
      <w:r w:rsidR="00272202" w:rsidRPr="0018521B">
        <w:rPr>
          <w:rFonts w:asciiTheme="minorHAnsi" w:hAnsiTheme="minorHAnsi" w:cstheme="minorHAnsi"/>
          <w:sz w:val="22"/>
          <w:szCs w:val="22"/>
        </w:rPr>
        <w:t>The search was carried out with “MeSH Terms” and “All fields” search strategy in PubMed</w:t>
      </w:r>
    </w:p>
    <w:p w14:paraId="7B3C65DB" w14:textId="31CA5F8B" w:rsidR="000F6752" w:rsidRPr="0018521B" w:rsidRDefault="00272202" w:rsidP="00CD1614">
      <w:pPr>
        <w:pStyle w:val="StandardWeb"/>
        <w:spacing w:after="120" w:afterAutospacing="0" w:line="360" w:lineRule="auto"/>
        <w:rPr>
          <w:rFonts w:asciiTheme="minorHAnsi" w:hAnsiTheme="minorHAnsi" w:cstheme="minorHAnsi"/>
          <w:sz w:val="22"/>
          <w:szCs w:val="22"/>
        </w:rPr>
      </w:pPr>
      <w:r w:rsidRPr="0018521B">
        <w:rPr>
          <w:rStyle w:val="Fett"/>
          <w:rFonts w:asciiTheme="minorHAnsi" w:hAnsiTheme="minorHAnsi" w:cstheme="minorHAnsi"/>
          <w:sz w:val="22"/>
          <w:szCs w:val="22"/>
        </w:rPr>
        <w:t>Databases Searched:</w:t>
      </w:r>
      <w:r w:rsidRPr="0018521B">
        <w:rPr>
          <w:rFonts w:asciiTheme="minorHAnsi" w:hAnsiTheme="minorHAnsi" w:cstheme="minorHAnsi"/>
          <w:sz w:val="22"/>
          <w:szCs w:val="22"/>
        </w:rPr>
        <w:t xml:space="preserve"> ClinicalTrials.gov and PubMed/MEDLINE</w:t>
      </w:r>
      <w:r w:rsidR="004A0F60">
        <w:rPr>
          <w:rFonts w:asciiTheme="minorHAnsi" w:hAnsiTheme="minorHAnsi" w:cstheme="minorHAnsi"/>
          <w:sz w:val="22"/>
          <w:szCs w:val="22"/>
        </w:rPr>
        <w:t xml:space="preserve"> </w:t>
      </w:r>
      <w:r w:rsidR="000F6752" w:rsidRPr="0018521B">
        <w:rPr>
          <w:rFonts w:asciiTheme="minorHAnsi" w:hAnsiTheme="minorHAnsi" w:cstheme="minorHAnsi"/>
          <w:sz w:val="22"/>
          <w:szCs w:val="22"/>
        </w:rPr>
        <w:t xml:space="preserve">No restrictions were imposed on the publication year. Articles in English were included in the search. Additionally, reviewers examined the reference lists of included studies to identify further eligible articles. The ClinicalTrials.gov database was also consulted to identify ongoing </w:t>
      </w:r>
      <w:r w:rsidR="00D5401A" w:rsidRPr="0018521B">
        <w:rPr>
          <w:rFonts w:asciiTheme="minorHAnsi" w:hAnsiTheme="minorHAnsi" w:cstheme="minorHAnsi"/>
          <w:sz w:val="22"/>
          <w:szCs w:val="22"/>
        </w:rPr>
        <w:t xml:space="preserve">registered </w:t>
      </w:r>
      <w:r w:rsidR="000F6752" w:rsidRPr="0018521B">
        <w:rPr>
          <w:rFonts w:asciiTheme="minorHAnsi" w:hAnsiTheme="minorHAnsi" w:cstheme="minorHAnsi"/>
          <w:sz w:val="22"/>
          <w:szCs w:val="22"/>
        </w:rPr>
        <w:t>studies.</w:t>
      </w:r>
    </w:p>
    <w:p w14:paraId="571C70B4" w14:textId="77777777" w:rsidR="000F6752" w:rsidRPr="0018521B" w:rsidRDefault="000F6752" w:rsidP="00CD1614">
      <w:pPr>
        <w:pStyle w:val="StandardWeb"/>
        <w:keepNext/>
        <w:spacing w:after="120" w:afterAutospacing="0" w:line="360" w:lineRule="auto"/>
        <w:rPr>
          <w:rFonts w:asciiTheme="minorHAnsi" w:hAnsiTheme="minorHAnsi" w:cstheme="minorHAnsi"/>
          <w:sz w:val="22"/>
          <w:szCs w:val="22"/>
        </w:rPr>
      </w:pPr>
      <w:r w:rsidRPr="0018521B">
        <w:rPr>
          <w:rStyle w:val="Fett"/>
          <w:rFonts w:asciiTheme="minorHAnsi" w:hAnsiTheme="minorHAnsi" w:cstheme="minorHAnsi"/>
          <w:sz w:val="22"/>
          <w:szCs w:val="22"/>
        </w:rPr>
        <w:t>Eligibility Criteria</w:t>
      </w:r>
    </w:p>
    <w:p w14:paraId="55FA3F12" w14:textId="5DB1F158" w:rsidR="00D5401A" w:rsidRPr="0018521B" w:rsidRDefault="000F6752" w:rsidP="00CD1614">
      <w:pPr>
        <w:pStyle w:val="StandardWeb"/>
        <w:keepNext/>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lastRenderedPageBreak/>
        <w:t xml:space="preserve">Clinical </w:t>
      </w:r>
      <w:r w:rsidR="00D5401A" w:rsidRPr="0018521B">
        <w:rPr>
          <w:rFonts w:asciiTheme="minorHAnsi" w:hAnsiTheme="minorHAnsi" w:cstheme="minorHAnsi"/>
          <w:sz w:val="22"/>
          <w:szCs w:val="22"/>
        </w:rPr>
        <w:t xml:space="preserve">human </w:t>
      </w:r>
      <w:r w:rsidRPr="0018521B">
        <w:rPr>
          <w:rFonts w:asciiTheme="minorHAnsi" w:hAnsiTheme="minorHAnsi" w:cstheme="minorHAnsi"/>
          <w:sz w:val="22"/>
          <w:szCs w:val="22"/>
        </w:rPr>
        <w:t>studies reporting safety data on the use of Actinium-225 as TAT were deemed eligible for inclusion in this review. Editorials, letters, reviews, and commentaries on the topic were excluded</w:t>
      </w:r>
      <w:r w:rsidR="00D87B34">
        <w:rPr>
          <w:rFonts w:asciiTheme="minorHAnsi" w:hAnsiTheme="minorHAnsi" w:cstheme="minorHAnsi"/>
          <w:sz w:val="22"/>
          <w:szCs w:val="22"/>
        </w:rPr>
        <w:t>, but</w:t>
      </w:r>
      <w:r w:rsidRPr="0018521B">
        <w:rPr>
          <w:rFonts w:asciiTheme="minorHAnsi" w:hAnsiTheme="minorHAnsi" w:cstheme="minorHAnsi"/>
          <w:sz w:val="22"/>
          <w:szCs w:val="22"/>
        </w:rPr>
        <w:t xml:space="preserve"> relevant case series and conference abstracts were included.</w:t>
      </w:r>
      <w:r w:rsidR="00D87B34">
        <w:rPr>
          <w:rFonts w:asciiTheme="minorHAnsi" w:hAnsiTheme="minorHAnsi" w:cstheme="minorHAnsi"/>
          <w:sz w:val="22"/>
          <w:szCs w:val="22"/>
        </w:rPr>
        <w:t xml:space="preserve"> </w:t>
      </w:r>
      <w:r w:rsidR="00D5401A" w:rsidRPr="0018521B">
        <w:rPr>
          <w:rFonts w:asciiTheme="minorHAnsi" w:hAnsiTheme="minorHAnsi" w:cstheme="minorHAnsi"/>
          <w:sz w:val="22"/>
          <w:szCs w:val="22"/>
        </w:rPr>
        <w:t xml:space="preserve">The most relevant and recent review and meta-analysis articles incorporated </w:t>
      </w:r>
      <w:r w:rsidR="001D6157" w:rsidRPr="0018521B">
        <w:rPr>
          <w:rFonts w:asciiTheme="minorHAnsi" w:hAnsiTheme="minorHAnsi" w:cstheme="minorHAnsi"/>
          <w:sz w:val="22"/>
          <w:szCs w:val="22"/>
        </w:rPr>
        <w:t xml:space="preserve">and double checked </w:t>
      </w:r>
      <w:r w:rsidR="00D5401A" w:rsidRPr="0018521B">
        <w:rPr>
          <w:rFonts w:asciiTheme="minorHAnsi" w:hAnsiTheme="minorHAnsi" w:cstheme="minorHAnsi"/>
          <w:sz w:val="22"/>
          <w:szCs w:val="22"/>
        </w:rPr>
        <w:t>in order to cover all the significant articles related to our aim.</w:t>
      </w:r>
    </w:p>
    <w:p w14:paraId="7C527478" w14:textId="77777777" w:rsidR="000F6752" w:rsidRPr="0018521B" w:rsidRDefault="000F6752" w:rsidP="00CD1614">
      <w:pPr>
        <w:pStyle w:val="StandardWeb"/>
        <w:spacing w:after="120" w:afterAutospacing="0" w:line="360" w:lineRule="auto"/>
        <w:rPr>
          <w:rFonts w:asciiTheme="minorHAnsi" w:hAnsiTheme="minorHAnsi" w:cstheme="minorHAnsi"/>
          <w:sz w:val="22"/>
          <w:szCs w:val="22"/>
        </w:rPr>
      </w:pPr>
      <w:r w:rsidRPr="0018521B">
        <w:rPr>
          <w:rStyle w:val="Fett"/>
          <w:rFonts w:asciiTheme="minorHAnsi" w:hAnsiTheme="minorHAnsi" w:cstheme="minorHAnsi"/>
          <w:sz w:val="22"/>
          <w:szCs w:val="22"/>
        </w:rPr>
        <w:t>Selection Process</w:t>
      </w:r>
    </w:p>
    <w:p w14:paraId="024B251F" w14:textId="2D666309" w:rsidR="000F6752" w:rsidRPr="0018521B" w:rsidRDefault="000F6752" w:rsidP="00CD1614">
      <w:pPr>
        <w:pStyle w:val="StandardWeb"/>
        <w:spacing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Titles and abstracts of identified studies were screened, and eligible studies were selected based on predefined inclusion and exclusion criteria. </w:t>
      </w:r>
    </w:p>
    <w:p w14:paraId="17DBBDC0" w14:textId="77777777" w:rsidR="000F6752" w:rsidRPr="007F5EA2" w:rsidRDefault="000F6752" w:rsidP="00CD1614">
      <w:pPr>
        <w:pStyle w:val="StandardWeb"/>
        <w:spacing w:after="120" w:afterAutospacing="0" w:line="360" w:lineRule="auto"/>
        <w:rPr>
          <w:rFonts w:asciiTheme="minorHAnsi" w:hAnsiTheme="minorHAnsi" w:cstheme="minorHAnsi"/>
          <w:sz w:val="22"/>
          <w:szCs w:val="22"/>
        </w:rPr>
      </w:pPr>
      <w:r w:rsidRPr="007F5EA2">
        <w:rPr>
          <w:rStyle w:val="Fett"/>
          <w:rFonts w:asciiTheme="minorHAnsi" w:hAnsiTheme="minorHAnsi" w:cstheme="minorHAnsi"/>
          <w:sz w:val="22"/>
          <w:szCs w:val="22"/>
        </w:rPr>
        <w:t>Data Collection and Extraction Process</w:t>
      </w:r>
    </w:p>
    <w:p w14:paraId="640B3E06" w14:textId="2AD607D1" w:rsidR="000F6752" w:rsidRDefault="000F6752" w:rsidP="00CD1614">
      <w:pPr>
        <w:pStyle w:val="StandardWeb"/>
        <w:spacing w:after="120" w:afterAutospacing="0" w:line="360" w:lineRule="auto"/>
        <w:rPr>
          <w:rFonts w:asciiTheme="minorHAnsi" w:hAnsiTheme="minorHAnsi" w:cstheme="minorHAnsi"/>
          <w:i/>
          <w:sz w:val="22"/>
          <w:szCs w:val="22"/>
        </w:rPr>
      </w:pPr>
      <w:r w:rsidRPr="0018521B">
        <w:rPr>
          <w:rFonts w:asciiTheme="minorHAnsi" w:hAnsiTheme="minorHAnsi" w:cstheme="minorHAnsi"/>
          <w:sz w:val="22"/>
          <w:szCs w:val="22"/>
        </w:rPr>
        <w:t xml:space="preserve">The authors extracted data from all included studies, including full texts, tables, and figures. The extracted information covered general study details </w:t>
      </w:r>
      <w:r w:rsidR="00AD3EFE" w:rsidRPr="0018521B">
        <w:rPr>
          <w:rFonts w:asciiTheme="minorHAnsi" w:hAnsiTheme="minorHAnsi" w:cstheme="minorHAnsi"/>
          <w:sz w:val="22"/>
          <w:szCs w:val="22"/>
        </w:rPr>
        <w:t>(authors, publication year</w:t>
      </w:r>
      <w:r w:rsidRPr="0018521B">
        <w:rPr>
          <w:rFonts w:asciiTheme="minorHAnsi" w:hAnsiTheme="minorHAnsi" w:cstheme="minorHAnsi"/>
          <w:sz w:val="22"/>
          <w:szCs w:val="22"/>
        </w:rPr>
        <w:t>), patient characteristics (sample size, ligand type, cancer type, study design</w:t>
      </w:r>
      <w:r w:rsidR="00AD3EFE" w:rsidRPr="0018521B">
        <w:rPr>
          <w:rFonts w:asciiTheme="minorHAnsi" w:hAnsiTheme="minorHAnsi" w:cstheme="minorHAnsi"/>
          <w:sz w:val="22"/>
          <w:szCs w:val="22"/>
        </w:rPr>
        <w:t>, control arm</w:t>
      </w:r>
      <w:r w:rsidRPr="0018521B">
        <w:rPr>
          <w:rFonts w:asciiTheme="minorHAnsi" w:hAnsiTheme="minorHAnsi" w:cstheme="minorHAnsi"/>
          <w:sz w:val="22"/>
          <w:szCs w:val="22"/>
        </w:rPr>
        <w:t xml:space="preserve">, previous </w:t>
      </w:r>
      <w:r w:rsidR="00A55590">
        <w:rPr>
          <w:rFonts w:asciiTheme="minorHAnsi" w:hAnsiTheme="minorHAnsi" w:cstheme="minorHAnsi"/>
          <w:sz w:val="22"/>
          <w:szCs w:val="22"/>
        </w:rPr>
        <w:t>TRT</w:t>
      </w:r>
      <w:r w:rsidRPr="0018521B">
        <w:rPr>
          <w:rFonts w:asciiTheme="minorHAnsi" w:hAnsiTheme="minorHAnsi" w:cstheme="minorHAnsi"/>
          <w:sz w:val="22"/>
          <w:szCs w:val="22"/>
        </w:rPr>
        <w:t>), index test characteristics (dose per cycle</w:t>
      </w:r>
      <w:r w:rsidR="00AD3EFE" w:rsidRPr="0018521B">
        <w:rPr>
          <w:rFonts w:asciiTheme="minorHAnsi" w:hAnsiTheme="minorHAnsi" w:cstheme="minorHAnsi"/>
          <w:sz w:val="22"/>
          <w:szCs w:val="22"/>
        </w:rPr>
        <w:t xml:space="preserve">, main findings, safety </w:t>
      </w:r>
      <w:r w:rsidRPr="0018521B">
        <w:rPr>
          <w:rFonts w:asciiTheme="minorHAnsi" w:hAnsiTheme="minorHAnsi" w:cstheme="minorHAnsi"/>
          <w:sz w:val="22"/>
          <w:szCs w:val="22"/>
        </w:rPr>
        <w:t>recommendations, and Common Terminology Criteria for Adverse Events [CTCAE] grades), and follow-up duration</w:t>
      </w:r>
      <w:r w:rsidR="00AD3EFE" w:rsidRPr="0018521B">
        <w:rPr>
          <w:rFonts w:asciiTheme="minorHAnsi" w:hAnsiTheme="minorHAnsi" w:cstheme="minorHAnsi"/>
          <w:sz w:val="22"/>
          <w:szCs w:val="22"/>
        </w:rPr>
        <w:t xml:space="preserve"> as well</w:t>
      </w:r>
      <w:r w:rsidRPr="0018521B">
        <w:rPr>
          <w:rFonts w:asciiTheme="minorHAnsi" w:hAnsiTheme="minorHAnsi" w:cstheme="minorHAnsi"/>
          <w:sz w:val="22"/>
          <w:szCs w:val="22"/>
        </w:rPr>
        <w:t>.</w:t>
      </w:r>
      <w:r w:rsidR="00C96AEA">
        <w:rPr>
          <w:rFonts w:asciiTheme="minorHAnsi" w:hAnsiTheme="minorHAnsi" w:cstheme="minorHAnsi"/>
          <w:sz w:val="22"/>
          <w:szCs w:val="22"/>
        </w:rPr>
        <w:t xml:space="preserve"> See Table 1. </w:t>
      </w:r>
      <w:r w:rsidR="00C96AEA" w:rsidRPr="0030687E">
        <w:rPr>
          <w:rFonts w:asciiTheme="minorHAnsi" w:hAnsiTheme="minorHAnsi" w:cstheme="minorHAnsi"/>
          <w:i/>
          <w:sz w:val="22"/>
          <w:szCs w:val="22"/>
        </w:rPr>
        <w:t>The characteristics of the studies</w:t>
      </w:r>
      <w:r w:rsidR="00C96AEA">
        <w:rPr>
          <w:rFonts w:asciiTheme="minorHAnsi" w:hAnsiTheme="minorHAnsi" w:cstheme="minorHAnsi"/>
          <w:sz w:val="22"/>
          <w:szCs w:val="22"/>
        </w:rPr>
        <w:t xml:space="preserve"> And Table 2. </w:t>
      </w:r>
      <w:r w:rsidR="00C96AEA" w:rsidRPr="0030687E">
        <w:rPr>
          <w:rFonts w:asciiTheme="minorHAnsi" w:hAnsiTheme="minorHAnsi" w:cstheme="minorHAnsi"/>
          <w:i/>
          <w:sz w:val="22"/>
          <w:szCs w:val="22"/>
        </w:rPr>
        <w:t>The main findings, recommendation, and follow-up of the included studies.</w:t>
      </w:r>
    </w:p>
    <w:p w14:paraId="054E795A" w14:textId="79CDECD2" w:rsidR="0018521B" w:rsidRPr="00ED13C8" w:rsidRDefault="0018521B" w:rsidP="00CD1614">
      <w:pPr>
        <w:spacing w:before="240" w:after="240" w:line="276" w:lineRule="auto"/>
        <w:rPr>
          <w:b/>
          <w:bCs/>
          <w:sz w:val="32"/>
        </w:rPr>
      </w:pPr>
      <w:r w:rsidRPr="00ED13C8">
        <w:rPr>
          <w:b/>
          <w:bCs/>
          <w:sz w:val="32"/>
        </w:rPr>
        <w:t>Result</w:t>
      </w:r>
      <w:r w:rsidR="00ED13C8">
        <w:rPr>
          <w:b/>
          <w:bCs/>
          <w:sz w:val="32"/>
        </w:rPr>
        <w:t>s</w:t>
      </w:r>
    </w:p>
    <w:p w14:paraId="2E92155D" w14:textId="637D67D7" w:rsidR="0018521B" w:rsidRPr="0018521B" w:rsidRDefault="0018521B" w:rsidP="00ED13C8">
      <w:pPr>
        <w:pStyle w:val="StandardWeb"/>
        <w:keepNext/>
        <w:spacing w:before="0" w:beforeAutospacing="0"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After reading the eligible papers and abstracts, relevant to this review’s objectives, were selected for this inquiry. This review included a total of </w:t>
      </w:r>
      <w:r w:rsidR="00CD1C71">
        <w:rPr>
          <w:rFonts w:asciiTheme="minorHAnsi" w:hAnsiTheme="minorHAnsi" w:cstheme="minorHAnsi"/>
          <w:sz w:val="22"/>
          <w:szCs w:val="22"/>
        </w:rPr>
        <w:t>4</w:t>
      </w:r>
      <w:r w:rsidR="00C75977">
        <w:rPr>
          <w:rFonts w:asciiTheme="minorHAnsi" w:hAnsiTheme="minorHAnsi" w:cstheme="minorHAnsi"/>
          <w:sz w:val="22"/>
          <w:szCs w:val="22"/>
        </w:rPr>
        <w:t>2</w:t>
      </w:r>
      <w:r w:rsidR="00CD1C71" w:rsidRPr="0018521B">
        <w:rPr>
          <w:rFonts w:asciiTheme="minorHAnsi" w:hAnsiTheme="minorHAnsi" w:cstheme="minorHAnsi"/>
          <w:sz w:val="22"/>
          <w:szCs w:val="22"/>
        </w:rPr>
        <w:t xml:space="preserve"> </w:t>
      </w:r>
      <w:r w:rsidRPr="0018521B">
        <w:rPr>
          <w:rFonts w:asciiTheme="minorHAnsi" w:hAnsiTheme="minorHAnsi" w:cstheme="minorHAnsi"/>
          <w:sz w:val="22"/>
          <w:szCs w:val="22"/>
        </w:rPr>
        <w:t xml:space="preserve">studies that investigated the </w:t>
      </w:r>
      <w:r w:rsidR="00BD6303">
        <w:rPr>
          <w:rFonts w:asciiTheme="minorHAnsi" w:hAnsiTheme="minorHAnsi" w:cstheme="minorHAnsi"/>
          <w:sz w:val="22"/>
          <w:szCs w:val="22"/>
        </w:rPr>
        <w:t xml:space="preserve">clinical </w:t>
      </w:r>
      <w:r w:rsidRPr="0018521B">
        <w:rPr>
          <w:rFonts w:asciiTheme="minorHAnsi" w:hAnsiTheme="minorHAnsi" w:cstheme="minorHAnsi"/>
          <w:sz w:val="22"/>
          <w:szCs w:val="22"/>
        </w:rPr>
        <w:t>use of alpha-emitting Actinium-225 for targeted alpha therapy (TAT) in various cancers. Most of the studies looked at prostate cancer (PC) (</w:t>
      </w:r>
      <w:r w:rsidR="00E90EC9" w:rsidRPr="0018521B">
        <w:rPr>
          <w:rFonts w:asciiTheme="minorHAnsi" w:hAnsiTheme="minorHAnsi" w:cstheme="minorHAnsi"/>
          <w:sz w:val="22"/>
          <w:szCs w:val="22"/>
        </w:rPr>
        <w:t>2</w:t>
      </w:r>
      <w:r w:rsidR="00E90EC9">
        <w:rPr>
          <w:rFonts w:asciiTheme="minorHAnsi" w:hAnsiTheme="minorHAnsi" w:cstheme="minorHAnsi"/>
          <w:sz w:val="22"/>
          <w:szCs w:val="22"/>
        </w:rPr>
        <w:t>4</w:t>
      </w:r>
      <w:r w:rsidR="00E90EC9" w:rsidRPr="0018521B">
        <w:rPr>
          <w:rFonts w:asciiTheme="minorHAnsi" w:hAnsiTheme="minorHAnsi" w:cstheme="minorHAnsi"/>
          <w:sz w:val="22"/>
          <w:szCs w:val="22"/>
        </w:rPr>
        <w:t xml:space="preserve"> </w:t>
      </w:r>
      <w:r w:rsidRPr="0018521B">
        <w:rPr>
          <w:rFonts w:asciiTheme="minorHAnsi" w:hAnsiTheme="minorHAnsi" w:cstheme="minorHAnsi"/>
          <w:sz w:val="22"/>
          <w:szCs w:val="22"/>
        </w:rPr>
        <w:t>studies) using PSMA-targeting ligands (like PSMA-617</w:t>
      </w:r>
      <w:r w:rsidR="004C6A5B">
        <w:rPr>
          <w:rFonts w:asciiTheme="minorHAnsi" w:hAnsiTheme="minorHAnsi" w:cstheme="minorHAnsi"/>
          <w:sz w:val="22"/>
          <w:szCs w:val="22"/>
        </w:rPr>
        <w:t>,</w:t>
      </w:r>
      <w:r w:rsidR="004C6A5B" w:rsidRPr="0018521B">
        <w:rPr>
          <w:rFonts w:asciiTheme="minorHAnsi" w:hAnsiTheme="minorHAnsi" w:cstheme="minorHAnsi"/>
          <w:sz w:val="22"/>
          <w:szCs w:val="22"/>
        </w:rPr>
        <w:t xml:space="preserve"> </w:t>
      </w:r>
      <w:r w:rsidRPr="0018521B">
        <w:rPr>
          <w:rFonts w:asciiTheme="minorHAnsi" w:hAnsiTheme="minorHAnsi" w:cstheme="minorHAnsi"/>
          <w:sz w:val="22"/>
          <w:szCs w:val="22"/>
        </w:rPr>
        <w:t>PSMA-I&amp;T</w:t>
      </w:r>
      <w:r w:rsidR="004C6A5B">
        <w:rPr>
          <w:rFonts w:asciiTheme="minorHAnsi" w:hAnsiTheme="minorHAnsi" w:cstheme="minorHAnsi"/>
          <w:sz w:val="22"/>
          <w:szCs w:val="22"/>
        </w:rPr>
        <w:t>, and sibuDAB</w:t>
      </w:r>
      <w:r w:rsidRPr="0018521B">
        <w:rPr>
          <w:rFonts w:asciiTheme="minorHAnsi" w:hAnsiTheme="minorHAnsi" w:cstheme="minorHAnsi"/>
          <w:sz w:val="22"/>
          <w:szCs w:val="22"/>
        </w:rPr>
        <w:t>), while fewer studies (</w:t>
      </w:r>
      <w:r w:rsidR="00767BCE">
        <w:rPr>
          <w:rFonts w:asciiTheme="minorHAnsi" w:hAnsiTheme="minorHAnsi" w:cstheme="minorHAnsi"/>
          <w:sz w:val="22"/>
          <w:szCs w:val="22"/>
        </w:rPr>
        <w:t>10</w:t>
      </w:r>
      <w:r w:rsidR="00767BCE" w:rsidRPr="0018521B">
        <w:rPr>
          <w:rFonts w:asciiTheme="minorHAnsi" w:hAnsiTheme="minorHAnsi" w:cstheme="minorHAnsi"/>
          <w:sz w:val="22"/>
          <w:szCs w:val="22"/>
        </w:rPr>
        <w:t xml:space="preserve"> </w:t>
      </w:r>
      <w:r w:rsidRPr="0018521B">
        <w:rPr>
          <w:rFonts w:asciiTheme="minorHAnsi" w:hAnsiTheme="minorHAnsi" w:cstheme="minorHAnsi"/>
          <w:sz w:val="22"/>
          <w:szCs w:val="22"/>
        </w:rPr>
        <w:t xml:space="preserve">studies) examined neuroendocrine tumours (NET) with DOTATATE or DOTATOC ligands. </w:t>
      </w:r>
      <w:r w:rsidR="00BD6303">
        <w:rPr>
          <w:rFonts w:asciiTheme="minorHAnsi" w:hAnsiTheme="minorHAnsi" w:cstheme="minorHAnsi"/>
          <w:sz w:val="22"/>
          <w:szCs w:val="22"/>
        </w:rPr>
        <w:t>The use of Ac-225 for e</w:t>
      </w:r>
      <w:r w:rsidRPr="0018521B">
        <w:rPr>
          <w:rFonts w:asciiTheme="minorHAnsi" w:hAnsiTheme="minorHAnsi" w:cstheme="minorHAnsi"/>
          <w:sz w:val="22"/>
          <w:szCs w:val="22"/>
        </w:rPr>
        <w:t xml:space="preserve">merging targets </w:t>
      </w:r>
      <w:r w:rsidR="00BD6303">
        <w:rPr>
          <w:rFonts w:asciiTheme="minorHAnsi" w:hAnsiTheme="minorHAnsi" w:cstheme="minorHAnsi"/>
          <w:sz w:val="22"/>
          <w:szCs w:val="22"/>
        </w:rPr>
        <w:t xml:space="preserve">in TAT </w:t>
      </w:r>
      <w:r w:rsidRPr="0018521B">
        <w:rPr>
          <w:rFonts w:asciiTheme="minorHAnsi" w:hAnsiTheme="minorHAnsi" w:cstheme="minorHAnsi"/>
          <w:sz w:val="22"/>
          <w:szCs w:val="22"/>
        </w:rPr>
        <w:t>such as FAP (3 studies), DOTA-LM3 (1 study), Rosopatamab Tetraxetan (1 study), Lintuzumab (1 study)</w:t>
      </w:r>
      <w:r w:rsidR="00C75977">
        <w:rPr>
          <w:rFonts w:asciiTheme="minorHAnsi" w:hAnsiTheme="minorHAnsi" w:cstheme="minorHAnsi"/>
          <w:sz w:val="22"/>
          <w:szCs w:val="22"/>
        </w:rPr>
        <w:t>, and DOTA-</w:t>
      </w:r>
      <w:r w:rsidR="004C6A5B">
        <w:rPr>
          <w:rFonts w:asciiTheme="minorHAnsi" w:hAnsiTheme="minorHAnsi" w:cstheme="minorHAnsi"/>
          <w:sz w:val="22"/>
          <w:szCs w:val="22"/>
        </w:rPr>
        <w:t>substance</w:t>
      </w:r>
      <w:r w:rsidR="00C75977">
        <w:rPr>
          <w:rFonts w:asciiTheme="minorHAnsi" w:hAnsiTheme="minorHAnsi" w:cstheme="minorHAnsi"/>
          <w:sz w:val="22"/>
          <w:szCs w:val="22"/>
        </w:rPr>
        <w:t xml:space="preserve"> P (2 studies)</w:t>
      </w:r>
      <w:r w:rsidRPr="0018521B">
        <w:rPr>
          <w:rFonts w:asciiTheme="minorHAnsi" w:hAnsiTheme="minorHAnsi" w:cstheme="minorHAnsi"/>
          <w:sz w:val="22"/>
          <w:szCs w:val="22"/>
        </w:rPr>
        <w:t xml:space="preserve"> were also </w:t>
      </w:r>
      <w:r w:rsidR="00BD6303">
        <w:rPr>
          <w:rFonts w:asciiTheme="minorHAnsi" w:hAnsiTheme="minorHAnsi" w:cstheme="minorHAnsi"/>
          <w:sz w:val="22"/>
          <w:szCs w:val="22"/>
        </w:rPr>
        <w:t>report</w:t>
      </w:r>
      <w:r w:rsidRPr="0018521B">
        <w:rPr>
          <w:rFonts w:asciiTheme="minorHAnsi" w:hAnsiTheme="minorHAnsi" w:cstheme="minorHAnsi"/>
          <w:sz w:val="22"/>
          <w:szCs w:val="22"/>
        </w:rPr>
        <w:t>ed in a limited number of studies.</w:t>
      </w:r>
    </w:p>
    <w:p w14:paraId="7FCFF17D" w14:textId="635C1DF3" w:rsidR="0018521B" w:rsidRPr="0018521B" w:rsidRDefault="0018521B" w:rsidP="00ED13C8">
      <w:pPr>
        <w:pStyle w:val="StandardWeb"/>
        <w:keepNext/>
        <w:spacing w:before="0" w:beforeAutospacing="0"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The predominant number of studies were substantially retrospective (</w:t>
      </w:r>
      <w:r w:rsidR="00E90EC9" w:rsidRPr="0018521B">
        <w:rPr>
          <w:rFonts w:asciiTheme="minorHAnsi" w:hAnsiTheme="minorHAnsi" w:cstheme="minorHAnsi"/>
          <w:sz w:val="22"/>
          <w:szCs w:val="22"/>
        </w:rPr>
        <w:t>2</w:t>
      </w:r>
      <w:r w:rsidR="00C75977">
        <w:rPr>
          <w:rFonts w:asciiTheme="minorHAnsi" w:hAnsiTheme="minorHAnsi" w:cstheme="minorHAnsi"/>
          <w:sz w:val="22"/>
          <w:szCs w:val="22"/>
        </w:rPr>
        <w:t>9</w:t>
      </w:r>
      <w:r w:rsidR="00E90EC9" w:rsidRPr="0018521B">
        <w:rPr>
          <w:rFonts w:asciiTheme="minorHAnsi" w:hAnsiTheme="minorHAnsi" w:cstheme="minorHAnsi"/>
          <w:sz w:val="22"/>
          <w:szCs w:val="22"/>
        </w:rPr>
        <w:t xml:space="preserve"> </w:t>
      </w:r>
      <w:r w:rsidRPr="0018521B">
        <w:rPr>
          <w:rFonts w:asciiTheme="minorHAnsi" w:hAnsiTheme="minorHAnsi" w:cstheme="minorHAnsi"/>
          <w:sz w:val="22"/>
          <w:szCs w:val="22"/>
        </w:rPr>
        <w:t>studies). Only a few prospective trials were identified, including single-arm (</w:t>
      </w:r>
      <w:r w:rsidR="00503E6C">
        <w:rPr>
          <w:rFonts w:asciiTheme="minorHAnsi" w:hAnsiTheme="minorHAnsi" w:cstheme="minorHAnsi"/>
          <w:sz w:val="22"/>
          <w:szCs w:val="22"/>
        </w:rPr>
        <w:t>8</w:t>
      </w:r>
      <w:r w:rsidR="00503E6C" w:rsidRPr="0018521B">
        <w:rPr>
          <w:rFonts w:asciiTheme="minorHAnsi" w:hAnsiTheme="minorHAnsi" w:cstheme="minorHAnsi"/>
          <w:sz w:val="22"/>
          <w:szCs w:val="22"/>
        </w:rPr>
        <w:t xml:space="preserve"> </w:t>
      </w:r>
      <w:r w:rsidRPr="0018521B">
        <w:rPr>
          <w:rFonts w:asciiTheme="minorHAnsi" w:hAnsiTheme="minorHAnsi" w:cstheme="minorHAnsi"/>
          <w:sz w:val="22"/>
          <w:szCs w:val="22"/>
        </w:rPr>
        <w:t xml:space="preserve">studies) and </w:t>
      </w:r>
      <w:r w:rsidR="004C6A5B" w:rsidRPr="0018521B">
        <w:rPr>
          <w:rFonts w:asciiTheme="minorHAnsi" w:hAnsiTheme="minorHAnsi" w:cstheme="minorHAnsi"/>
          <w:sz w:val="22"/>
          <w:szCs w:val="22"/>
        </w:rPr>
        <w:t>randomized</w:t>
      </w:r>
      <w:r w:rsidRPr="0018521B">
        <w:rPr>
          <w:rFonts w:asciiTheme="minorHAnsi" w:hAnsiTheme="minorHAnsi" w:cstheme="minorHAnsi"/>
          <w:sz w:val="22"/>
          <w:szCs w:val="22"/>
        </w:rPr>
        <w:t xml:space="preserve"> (</w:t>
      </w:r>
      <w:r w:rsidR="00503E6C">
        <w:rPr>
          <w:rFonts w:asciiTheme="minorHAnsi" w:hAnsiTheme="minorHAnsi" w:cstheme="minorHAnsi"/>
          <w:sz w:val="22"/>
          <w:szCs w:val="22"/>
        </w:rPr>
        <w:t>3</w:t>
      </w:r>
      <w:r w:rsidR="00503E6C" w:rsidRPr="0018521B">
        <w:rPr>
          <w:rFonts w:asciiTheme="minorHAnsi" w:hAnsiTheme="minorHAnsi" w:cstheme="minorHAnsi"/>
          <w:sz w:val="22"/>
          <w:szCs w:val="22"/>
        </w:rPr>
        <w:t xml:space="preserve"> </w:t>
      </w:r>
      <w:r w:rsidRPr="0018521B">
        <w:rPr>
          <w:rFonts w:asciiTheme="minorHAnsi" w:hAnsiTheme="minorHAnsi" w:cstheme="minorHAnsi"/>
          <w:sz w:val="22"/>
          <w:szCs w:val="22"/>
        </w:rPr>
        <w:t xml:space="preserve">studies) designs. The sizes of the patient cohorts varied considerably, ranging from </w:t>
      </w:r>
      <w:r w:rsidR="00503E6C">
        <w:rPr>
          <w:rFonts w:asciiTheme="minorHAnsi" w:hAnsiTheme="minorHAnsi" w:cstheme="minorHAnsi"/>
          <w:sz w:val="22"/>
          <w:szCs w:val="22"/>
        </w:rPr>
        <w:t>1</w:t>
      </w:r>
      <w:r w:rsidR="00503E6C" w:rsidRPr="0018521B">
        <w:rPr>
          <w:rFonts w:asciiTheme="minorHAnsi" w:hAnsiTheme="minorHAnsi" w:cstheme="minorHAnsi"/>
          <w:sz w:val="22"/>
          <w:szCs w:val="22"/>
        </w:rPr>
        <w:t xml:space="preserve"> </w:t>
      </w:r>
      <w:r w:rsidRPr="0018521B">
        <w:rPr>
          <w:rFonts w:asciiTheme="minorHAnsi" w:hAnsiTheme="minorHAnsi" w:cstheme="minorHAnsi"/>
          <w:sz w:val="22"/>
          <w:szCs w:val="22"/>
        </w:rPr>
        <w:t xml:space="preserve">to 488 patients, </w:t>
      </w:r>
      <w:r w:rsidR="00BD6303">
        <w:rPr>
          <w:rFonts w:asciiTheme="minorHAnsi" w:hAnsiTheme="minorHAnsi" w:cstheme="minorHAnsi"/>
          <w:sz w:val="22"/>
          <w:szCs w:val="22"/>
        </w:rPr>
        <w:t xml:space="preserve">partly </w:t>
      </w:r>
      <w:r w:rsidRPr="0018521B">
        <w:rPr>
          <w:rFonts w:asciiTheme="minorHAnsi" w:hAnsiTheme="minorHAnsi" w:cstheme="minorHAnsi"/>
          <w:sz w:val="22"/>
          <w:szCs w:val="22"/>
        </w:rPr>
        <w:t xml:space="preserve">because </w:t>
      </w:r>
      <w:r w:rsidR="00BD6303">
        <w:rPr>
          <w:rFonts w:asciiTheme="minorHAnsi" w:hAnsiTheme="minorHAnsi" w:cstheme="minorHAnsi"/>
          <w:sz w:val="22"/>
          <w:szCs w:val="22"/>
        </w:rPr>
        <w:t xml:space="preserve">also </w:t>
      </w:r>
      <w:r w:rsidRPr="0018521B">
        <w:rPr>
          <w:rFonts w:asciiTheme="minorHAnsi" w:hAnsiTheme="minorHAnsi" w:cstheme="minorHAnsi"/>
          <w:sz w:val="22"/>
          <w:szCs w:val="22"/>
        </w:rPr>
        <w:t xml:space="preserve">relevant case </w:t>
      </w:r>
      <w:r w:rsidR="00503E6C">
        <w:rPr>
          <w:rFonts w:asciiTheme="minorHAnsi" w:hAnsiTheme="minorHAnsi" w:cstheme="minorHAnsi"/>
          <w:sz w:val="22"/>
          <w:szCs w:val="22"/>
        </w:rPr>
        <w:t>report/</w:t>
      </w:r>
      <w:r w:rsidRPr="0018521B">
        <w:rPr>
          <w:rFonts w:asciiTheme="minorHAnsi" w:hAnsiTheme="minorHAnsi" w:cstheme="minorHAnsi"/>
          <w:sz w:val="22"/>
          <w:szCs w:val="22"/>
        </w:rPr>
        <w:t>series and abstracts were included in the review.</w:t>
      </w:r>
      <w:r w:rsidR="00ED13C8">
        <w:rPr>
          <w:rFonts w:asciiTheme="minorHAnsi" w:hAnsiTheme="minorHAnsi" w:cstheme="minorHAnsi"/>
          <w:sz w:val="22"/>
          <w:szCs w:val="22"/>
        </w:rPr>
        <w:t xml:space="preserve"> </w:t>
      </w:r>
      <w:r w:rsidRPr="0018521B">
        <w:rPr>
          <w:rFonts w:asciiTheme="minorHAnsi" w:hAnsiTheme="minorHAnsi" w:cstheme="minorHAnsi"/>
          <w:sz w:val="22"/>
          <w:szCs w:val="22"/>
        </w:rPr>
        <w:t xml:space="preserve">A significant proportion of </w:t>
      </w:r>
      <w:r w:rsidRPr="0018521B">
        <w:rPr>
          <w:rFonts w:asciiTheme="minorHAnsi" w:hAnsiTheme="minorHAnsi" w:cstheme="minorHAnsi"/>
          <w:sz w:val="22"/>
          <w:szCs w:val="22"/>
        </w:rPr>
        <w:lastRenderedPageBreak/>
        <w:t xml:space="preserve">patients included in these studies had received prior </w:t>
      </w:r>
      <w:r w:rsidR="00503E6C">
        <w:rPr>
          <w:rFonts w:asciiTheme="minorHAnsi" w:hAnsiTheme="minorHAnsi" w:cstheme="minorHAnsi"/>
          <w:sz w:val="22"/>
          <w:szCs w:val="22"/>
        </w:rPr>
        <w:t>TRT</w:t>
      </w:r>
      <w:r w:rsidRPr="0018521B">
        <w:rPr>
          <w:rFonts w:asciiTheme="minorHAnsi" w:hAnsiTheme="minorHAnsi" w:cstheme="minorHAnsi"/>
          <w:sz w:val="22"/>
          <w:szCs w:val="22"/>
        </w:rPr>
        <w:t>, most commonly Lutetium</w:t>
      </w:r>
      <w:r w:rsidR="00BD6303">
        <w:rPr>
          <w:rFonts w:asciiTheme="minorHAnsi" w:hAnsiTheme="minorHAnsi" w:cstheme="minorHAnsi"/>
          <w:sz w:val="22"/>
          <w:szCs w:val="22"/>
        </w:rPr>
        <w:t xml:space="preserve">-177 </w:t>
      </w:r>
      <w:r w:rsidRPr="0018521B">
        <w:rPr>
          <w:rFonts w:asciiTheme="minorHAnsi" w:hAnsiTheme="minorHAnsi" w:cstheme="minorHAnsi"/>
          <w:sz w:val="22"/>
          <w:szCs w:val="22"/>
        </w:rPr>
        <w:t>based therap</w:t>
      </w:r>
      <w:r w:rsidR="00BD6303">
        <w:rPr>
          <w:rFonts w:asciiTheme="minorHAnsi" w:hAnsiTheme="minorHAnsi" w:cstheme="minorHAnsi"/>
          <w:sz w:val="22"/>
          <w:szCs w:val="22"/>
        </w:rPr>
        <w:t>ies</w:t>
      </w:r>
      <w:r w:rsidRPr="0018521B">
        <w:rPr>
          <w:rFonts w:asciiTheme="minorHAnsi" w:hAnsiTheme="minorHAnsi" w:cstheme="minorHAnsi"/>
          <w:sz w:val="22"/>
          <w:szCs w:val="22"/>
        </w:rPr>
        <w:t xml:space="preserve"> (Lu-based </w:t>
      </w:r>
      <w:r w:rsidR="00503E6C">
        <w:rPr>
          <w:rFonts w:asciiTheme="minorHAnsi" w:hAnsiTheme="minorHAnsi" w:cstheme="minorHAnsi"/>
          <w:sz w:val="22"/>
          <w:szCs w:val="22"/>
        </w:rPr>
        <w:t>TR</w:t>
      </w:r>
      <w:r w:rsidR="00503E6C" w:rsidRPr="0018521B">
        <w:rPr>
          <w:rFonts w:asciiTheme="minorHAnsi" w:hAnsiTheme="minorHAnsi" w:cstheme="minorHAnsi"/>
          <w:sz w:val="22"/>
          <w:szCs w:val="22"/>
        </w:rPr>
        <w:t>T</w:t>
      </w:r>
      <w:r w:rsidRPr="0018521B">
        <w:rPr>
          <w:rFonts w:asciiTheme="minorHAnsi" w:hAnsiTheme="minorHAnsi" w:cstheme="minorHAnsi"/>
          <w:sz w:val="22"/>
          <w:szCs w:val="22"/>
        </w:rPr>
        <w:t>), and in several instances, Radium-223 therapy as tandem</w:t>
      </w:r>
      <w:r w:rsidR="00503E6C">
        <w:rPr>
          <w:rFonts w:asciiTheme="minorHAnsi" w:hAnsiTheme="minorHAnsi" w:cstheme="minorHAnsi"/>
          <w:sz w:val="22"/>
          <w:szCs w:val="22"/>
        </w:rPr>
        <w:t xml:space="preserve"> (combination)</w:t>
      </w:r>
      <w:r w:rsidRPr="0018521B">
        <w:rPr>
          <w:rFonts w:asciiTheme="minorHAnsi" w:hAnsiTheme="minorHAnsi" w:cstheme="minorHAnsi"/>
          <w:sz w:val="22"/>
          <w:szCs w:val="22"/>
        </w:rPr>
        <w:t xml:space="preserve">, sequential, or trial therapy in different study designs. In order to make the tables more readable and practical, we did not include other prior therapies, such as various chemotherapy regimens, radiotherapy, any metastasis-directed therapy method, and hormone therapy, into the tables and narrowed prior therapy to the previous </w:t>
      </w:r>
      <w:r w:rsidR="00503E6C">
        <w:rPr>
          <w:rFonts w:asciiTheme="minorHAnsi" w:hAnsiTheme="minorHAnsi" w:cstheme="minorHAnsi"/>
          <w:sz w:val="22"/>
          <w:szCs w:val="22"/>
        </w:rPr>
        <w:t>TRT</w:t>
      </w:r>
      <w:r w:rsidRPr="0018521B">
        <w:rPr>
          <w:rFonts w:asciiTheme="minorHAnsi" w:hAnsiTheme="minorHAnsi" w:cstheme="minorHAnsi"/>
          <w:sz w:val="22"/>
          <w:szCs w:val="22"/>
        </w:rPr>
        <w:t>.</w:t>
      </w:r>
    </w:p>
    <w:p w14:paraId="5787D8D6" w14:textId="6CA1C230" w:rsidR="0018521B" w:rsidRPr="0018521B" w:rsidRDefault="0018521B" w:rsidP="00ED13C8">
      <w:pPr>
        <w:pStyle w:val="StandardWeb"/>
        <w:spacing w:before="0" w:beforeAutospacing="0"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Dosing regimens for </w:t>
      </w:r>
      <w:r w:rsidRPr="0030687E">
        <w:rPr>
          <w:rFonts w:asciiTheme="minorHAnsi" w:hAnsiTheme="minorHAnsi" w:cstheme="minorHAnsi"/>
          <w:sz w:val="22"/>
          <w:szCs w:val="22"/>
          <w:vertAlign w:val="superscript"/>
        </w:rPr>
        <w:t>225</w:t>
      </w:r>
      <w:r w:rsidRPr="0018521B">
        <w:rPr>
          <w:rFonts w:asciiTheme="minorHAnsi" w:hAnsiTheme="minorHAnsi" w:cstheme="minorHAnsi"/>
          <w:sz w:val="22"/>
          <w:szCs w:val="22"/>
        </w:rPr>
        <w:t xml:space="preserve">Ac-TAT exhibited heterogeneity across studies. For PSMA-targeting agents, common reported </w:t>
      </w:r>
      <w:r w:rsidR="004E716D">
        <w:rPr>
          <w:rFonts w:asciiTheme="minorHAnsi" w:hAnsiTheme="minorHAnsi" w:cstheme="minorHAnsi"/>
          <w:sz w:val="22"/>
          <w:szCs w:val="22"/>
        </w:rPr>
        <w:t>applied activities</w:t>
      </w:r>
      <w:r w:rsidR="004E716D" w:rsidRPr="0018521B">
        <w:rPr>
          <w:rFonts w:asciiTheme="minorHAnsi" w:hAnsiTheme="minorHAnsi" w:cstheme="minorHAnsi"/>
          <w:sz w:val="22"/>
          <w:szCs w:val="22"/>
        </w:rPr>
        <w:t xml:space="preserve"> </w:t>
      </w:r>
      <w:r w:rsidRPr="0018521B">
        <w:rPr>
          <w:rFonts w:asciiTheme="minorHAnsi" w:hAnsiTheme="minorHAnsi" w:cstheme="minorHAnsi"/>
          <w:sz w:val="22"/>
          <w:szCs w:val="22"/>
        </w:rPr>
        <w:t>ranged from the calculated formula of 0.1 MBq/kg per cycle to the fixed-</w:t>
      </w:r>
      <w:r w:rsidR="004E716D">
        <w:rPr>
          <w:rFonts w:asciiTheme="minorHAnsi" w:hAnsiTheme="minorHAnsi" w:cstheme="minorHAnsi"/>
          <w:sz w:val="22"/>
          <w:szCs w:val="22"/>
        </w:rPr>
        <w:t>activity</w:t>
      </w:r>
      <w:r w:rsidR="004E716D" w:rsidRPr="0018521B">
        <w:rPr>
          <w:rFonts w:asciiTheme="minorHAnsi" w:hAnsiTheme="minorHAnsi" w:cstheme="minorHAnsi"/>
          <w:sz w:val="22"/>
          <w:szCs w:val="22"/>
        </w:rPr>
        <w:t xml:space="preserve"> </w:t>
      </w:r>
      <w:r w:rsidRPr="0018521B">
        <w:rPr>
          <w:rFonts w:asciiTheme="minorHAnsi" w:hAnsiTheme="minorHAnsi" w:cstheme="minorHAnsi"/>
          <w:sz w:val="22"/>
          <w:szCs w:val="22"/>
        </w:rPr>
        <w:t>strategy of 8 MBq/cycle, with some studies reporting total cycles administered (e.g., 110 cycles in total).</w:t>
      </w:r>
      <w:r w:rsidR="00ED13C8">
        <w:rPr>
          <w:rFonts w:asciiTheme="minorHAnsi" w:hAnsiTheme="minorHAnsi" w:cstheme="minorHAnsi"/>
          <w:sz w:val="22"/>
          <w:szCs w:val="22"/>
        </w:rPr>
        <w:t xml:space="preserve"> </w:t>
      </w:r>
      <w:r w:rsidRPr="0018521B">
        <w:rPr>
          <w:rFonts w:asciiTheme="minorHAnsi" w:hAnsiTheme="minorHAnsi" w:cstheme="minorHAnsi"/>
          <w:sz w:val="22"/>
          <w:szCs w:val="22"/>
        </w:rPr>
        <w:t xml:space="preserve">Similarly, DOTATATE/DOTATOC therapies for NET generally employed </w:t>
      </w:r>
      <w:r w:rsidR="004E716D">
        <w:rPr>
          <w:rFonts w:asciiTheme="minorHAnsi" w:hAnsiTheme="minorHAnsi" w:cstheme="minorHAnsi"/>
          <w:sz w:val="22"/>
          <w:szCs w:val="22"/>
        </w:rPr>
        <w:t>activities</w:t>
      </w:r>
      <w:r w:rsidR="004E716D" w:rsidRPr="0018521B">
        <w:rPr>
          <w:rFonts w:asciiTheme="minorHAnsi" w:hAnsiTheme="minorHAnsi" w:cstheme="minorHAnsi"/>
          <w:sz w:val="22"/>
          <w:szCs w:val="22"/>
        </w:rPr>
        <w:t xml:space="preserve"> </w:t>
      </w:r>
      <w:r w:rsidRPr="0018521B">
        <w:rPr>
          <w:rFonts w:asciiTheme="minorHAnsi" w:hAnsiTheme="minorHAnsi" w:cstheme="minorHAnsi"/>
          <w:sz w:val="22"/>
          <w:szCs w:val="22"/>
        </w:rPr>
        <w:t xml:space="preserve">around 0.1-0.12 MBq/kg, with varying numbers of cycles. Newer ligands like FAP and DOTA-LM3 also reported diverse dosing strategies, </w:t>
      </w:r>
      <w:r w:rsidR="00BD6303">
        <w:rPr>
          <w:rFonts w:asciiTheme="minorHAnsi" w:hAnsiTheme="minorHAnsi" w:cstheme="minorHAnsi"/>
          <w:sz w:val="22"/>
          <w:szCs w:val="22"/>
        </w:rPr>
        <w:t>indicating</w:t>
      </w:r>
      <w:r w:rsidRPr="0018521B">
        <w:rPr>
          <w:rFonts w:asciiTheme="minorHAnsi" w:hAnsiTheme="minorHAnsi" w:cstheme="minorHAnsi"/>
          <w:sz w:val="22"/>
          <w:szCs w:val="22"/>
        </w:rPr>
        <w:t xml:space="preserve"> the investigational nature of these papers.</w:t>
      </w:r>
    </w:p>
    <w:p w14:paraId="1196695B" w14:textId="5D8306E2" w:rsidR="0018521B" w:rsidRPr="0018521B" w:rsidRDefault="0018521B" w:rsidP="00ED13C8">
      <w:pPr>
        <w:pStyle w:val="StandardWeb"/>
        <w:spacing w:before="0" w:beforeAutospacing="0"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Overall, 225-Ac-TAT was generally reported as safe and well-tolerated across the reviewed studies, </w:t>
      </w:r>
      <w:r w:rsidR="004E716D">
        <w:rPr>
          <w:rFonts w:asciiTheme="minorHAnsi" w:hAnsiTheme="minorHAnsi" w:cstheme="minorHAnsi"/>
          <w:sz w:val="22"/>
          <w:szCs w:val="22"/>
        </w:rPr>
        <w:t>whereby</w:t>
      </w:r>
      <w:r w:rsidR="004E716D" w:rsidRPr="0018521B">
        <w:rPr>
          <w:rFonts w:asciiTheme="minorHAnsi" w:hAnsiTheme="minorHAnsi" w:cstheme="minorHAnsi"/>
          <w:sz w:val="22"/>
          <w:szCs w:val="22"/>
        </w:rPr>
        <w:t xml:space="preserve"> </w:t>
      </w:r>
      <w:r w:rsidRPr="0018521B">
        <w:rPr>
          <w:rFonts w:asciiTheme="minorHAnsi" w:hAnsiTheme="minorHAnsi" w:cstheme="minorHAnsi"/>
          <w:sz w:val="22"/>
          <w:szCs w:val="22"/>
        </w:rPr>
        <w:t>most</w:t>
      </w:r>
      <w:r w:rsidR="004E716D">
        <w:rPr>
          <w:rFonts w:asciiTheme="minorHAnsi" w:hAnsiTheme="minorHAnsi" w:cstheme="minorHAnsi"/>
          <w:sz w:val="22"/>
          <w:szCs w:val="22"/>
        </w:rPr>
        <w:t xml:space="preserve"> of them</w:t>
      </w:r>
      <w:r w:rsidRPr="0018521B">
        <w:rPr>
          <w:rFonts w:asciiTheme="minorHAnsi" w:hAnsiTheme="minorHAnsi" w:cstheme="minorHAnsi"/>
          <w:sz w:val="22"/>
          <w:szCs w:val="22"/>
        </w:rPr>
        <w:t xml:space="preserve"> </w:t>
      </w:r>
      <w:r w:rsidR="004E716D" w:rsidRPr="0018521B">
        <w:rPr>
          <w:rFonts w:asciiTheme="minorHAnsi" w:hAnsiTheme="minorHAnsi" w:cstheme="minorHAnsi"/>
          <w:sz w:val="22"/>
          <w:szCs w:val="22"/>
        </w:rPr>
        <w:t>indicat</w:t>
      </w:r>
      <w:r w:rsidR="004E716D">
        <w:rPr>
          <w:rFonts w:asciiTheme="minorHAnsi" w:hAnsiTheme="minorHAnsi" w:cstheme="minorHAnsi"/>
          <w:sz w:val="22"/>
          <w:szCs w:val="22"/>
        </w:rPr>
        <w:t>ed</w:t>
      </w:r>
      <w:r w:rsidR="004E716D" w:rsidRPr="0018521B">
        <w:rPr>
          <w:rFonts w:asciiTheme="minorHAnsi" w:hAnsiTheme="minorHAnsi" w:cstheme="minorHAnsi"/>
          <w:sz w:val="22"/>
          <w:szCs w:val="22"/>
        </w:rPr>
        <w:t xml:space="preserve"> </w:t>
      </w:r>
      <w:r w:rsidRPr="0018521B">
        <w:rPr>
          <w:rFonts w:asciiTheme="minorHAnsi" w:hAnsiTheme="minorHAnsi" w:cstheme="minorHAnsi"/>
          <w:sz w:val="22"/>
          <w:szCs w:val="22"/>
        </w:rPr>
        <w:t>acceptable toxicity profiles. There was no evidence of severe acute toxicity.</w:t>
      </w:r>
    </w:p>
    <w:p w14:paraId="0C9E8716" w14:textId="0B097DDF" w:rsidR="00767BCE" w:rsidRPr="0030687E" w:rsidRDefault="0018521B" w:rsidP="00ED13C8">
      <w:pPr>
        <w:pStyle w:val="StandardWeb"/>
        <w:spacing w:before="0" w:beforeAutospacing="0" w:after="120" w:afterAutospacing="0" w:line="360" w:lineRule="auto"/>
        <w:rPr>
          <w:rFonts w:cstheme="minorHAnsi"/>
          <w:sz w:val="22"/>
          <w:szCs w:val="22"/>
          <w:lang w:eastAsia="de-DE"/>
        </w:rPr>
      </w:pPr>
      <w:r w:rsidRPr="0018521B">
        <w:rPr>
          <w:rFonts w:asciiTheme="minorHAnsi" w:hAnsiTheme="minorHAnsi" w:cstheme="minorHAnsi"/>
          <w:sz w:val="22"/>
          <w:szCs w:val="22"/>
        </w:rPr>
        <w:t>The most frequently reported adverse events -based on CTCAE</w:t>
      </w:r>
      <w:r w:rsidR="00D711CB">
        <w:rPr>
          <w:rFonts w:asciiTheme="minorHAnsi" w:hAnsiTheme="minorHAnsi" w:cstheme="minorHAnsi"/>
          <w:sz w:val="22"/>
          <w:szCs w:val="22"/>
        </w:rPr>
        <w:t xml:space="preserve"> v5.0</w:t>
      </w:r>
      <w:r w:rsidRPr="0018521B">
        <w:rPr>
          <w:rFonts w:asciiTheme="minorHAnsi" w:hAnsiTheme="minorHAnsi" w:cstheme="minorHAnsi"/>
          <w:sz w:val="22"/>
          <w:szCs w:val="22"/>
        </w:rPr>
        <w:t xml:space="preserve"> </w:t>
      </w:r>
      <w:r w:rsidR="003D4013">
        <w:rPr>
          <w:rFonts w:asciiTheme="minorHAnsi" w:hAnsiTheme="minorHAnsi" w:cstheme="minorHAnsi"/>
          <w:sz w:val="22"/>
          <w:szCs w:val="22"/>
        </w:rPr>
        <w:fldChar w:fldCharType="begin"/>
      </w:r>
      <w:r w:rsidR="00236E68">
        <w:rPr>
          <w:rFonts w:asciiTheme="minorHAnsi" w:hAnsiTheme="minorHAnsi" w:cstheme="minorHAnsi"/>
          <w:sz w:val="22"/>
          <w:szCs w:val="22"/>
        </w:rPr>
        <w:instrText xml:space="preserve"> ADDIN ZOTERO_ITEM CSL_CITATION {"citationID":"AfbYhhEM","properties":{"formattedCitation":"(9)","plainCitation":"(9)","noteIndex":0},"citationItems":[{"id":1196,"uris":["http://zotero.org/users/15628667/items/NJMRX4SD"],"itemData":{"id":1196,"type":"document","title":"Common Terminology Criteria  for Adverse Events (CTCAE) Version 5.0","URL":"https://dctd.cancer.gov/research/ctep-trials/for-sites/adverse-events/ctcae-v5-8x11.pdf","issued":{"date-parts":[["2017",11,27]]}}}],"schema":"https://github.com/citation-style-language/schema/raw/master/csl-citation.json"} </w:instrText>
      </w:r>
      <w:r w:rsidR="003D4013">
        <w:rPr>
          <w:rFonts w:asciiTheme="minorHAnsi" w:hAnsiTheme="minorHAnsi" w:cstheme="minorHAnsi"/>
          <w:sz w:val="22"/>
          <w:szCs w:val="22"/>
        </w:rPr>
        <w:fldChar w:fldCharType="separate"/>
      </w:r>
      <w:r w:rsidR="00CE4AE4" w:rsidRPr="00CE4AE4">
        <w:rPr>
          <w:rFonts w:ascii="Calibri" w:hAnsi="Calibri" w:cs="Calibri"/>
          <w:sz w:val="22"/>
        </w:rPr>
        <w:t>(9)</w:t>
      </w:r>
      <w:r w:rsidR="003D4013">
        <w:rPr>
          <w:rFonts w:asciiTheme="minorHAnsi" w:hAnsiTheme="minorHAnsi" w:cstheme="minorHAnsi"/>
          <w:sz w:val="22"/>
          <w:szCs w:val="22"/>
        </w:rPr>
        <w:fldChar w:fldCharType="end"/>
      </w:r>
      <w:r w:rsidRPr="0018521B">
        <w:rPr>
          <w:rFonts w:asciiTheme="minorHAnsi" w:hAnsiTheme="minorHAnsi" w:cstheme="minorHAnsi"/>
          <w:sz w:val="22"/>
          <w:szCs w:val="22"/>
        </w:rPr>
        <w:t>, as a reference for quantifying and categorizing the side effect- were hematotoxicity, nephrotoxicity, and xerostomia, followed by fatigue, weight loss, loss of appetite, and nausea.</w:t>
      </w:r>
      <w:r w:rsidR="00ED13C8">
        <w:rPr>
          <w:rFonts w:asciiTheme="minorHAnsi" w:hAnsiTheme="minorHAnsi" w:cstheme="minorHAnsi"/>
          <w:sz w:val="22"/>
          <w:szCs w:val="22"/>
        </w:rPr>
        <w:t xml:space="preserve"> </w:t>
      </w:r>
      <w:r w:rsidRPr="0018521B">
        <w:rPr>
          <w:rFonts w:asciiTheme="minorHAnsi" w:hAnsiTheme="minorHAnsi" w:cstheme="minorHAnsi"/>
          <w:sz w:val="22"/>
          <w:szCs w:val="22"/>
        </w:rPr>
        <w:t xml:space="preserve">Xerostomia (dry mouth) </w:t>
      </w:r>
      <w:r w:rsidR="00BD6303">
        <w:rPr>
          <w:rFonts w:asciiTheme="minorHAnsi" w:hAnsiTheme="minorHAnsi" w:cstheme="minorHAnsi"/>
          <w:sz w:val="22"/>
          <w:szCs w:val="22"/>
        </w:rPr>
        <w:t>was</w:t>
      </w:r>
      <w:r w:rsidRPr="0018521B">
        <w:rPr>
          <w:rFonts w:asciiTheme="minorHAnsi" w:hAnsiTheme="minorHAnsi" w:cstheme="minorHAnsi"/>
          <w:sz w:val="22"/>
          <w:szCs w:val="22"/>
        </w:rPr>
        <w:t xml:space="preserve"> often cited as a common and, in some cases, dose-limiting or intolerable side effect</w:t>
      </w:r>
      <w:r w:rsidR="00AD50F1">
        <w:rPr>
          <w:rFonts w:asciiTheme="minorHAnsi" w:hAnsiTheme="minorHAnsi" w:cstheme="minorHAnsi"/>
          <w:sz w:val="22"/>
          <w:szCs w:val="22"/>
        </w:rPr>
        <w:t xml:space="preserve"> in PSMA targeted therapies</w:t>
      </w:r>
      <w:r w:rsidRPr="0018521B">
        <w:rPr>
          <w:rFonts w:asciiTheme="minorHAnsi" w:hAnsiTheme="minorHAnsi" w:cstheme="minorHAnsi"/>
          <w:sz w:val="22"/>
          <w:szCs w:val="22"/>
        </w:rPr>
        <w:t>. Xerostomia was reported with varying frequencies. In some instances, xerostomia was noted as non-transient.</w:t>
      </w:r>
      <w:r w:rsidR="00ED13C8">
        <w:rPr>
          <w:rFonts w:asciiTheme="minorHAnsi" w:hAnsiTheme="minorHAnsi" w:cstheme="minorHAnsi"/>
          <w:sz w:val="22"/>
          <w:szCs w:val="22"/>
        </w:rPr>
        <w:t xml:space="preserve"> </w:t>
      </w:r>
      <w:r w:rsidRPr="0018521B">
        <w:rPr>
          <w:rFonts w:asciiTheme="minorHAnsi" w:hAnsiTheme="minorHAnsi" w:cstheme="minorHAnsi"/>
          <w:sz w:val="22"/>
          <w:szCs w:val="22"/>
        </w:rPr>
        <w:t>Hematologic toxicity was another notable adverse event, though severe (CTCAE grade 3 or 4) hematologic toxicity was less common than xerostomia. Grade 3/4 hematologic events were reported in several studies, with some identifying age, number of treatment cycles, and pre-existing marrow disease as significant risk factors. Notably, some studies reported no severe hematologic toxicity even in patients with extensive skeletal metastases or in those with prior reduced bone marrow reserve, especially when dose de-escalation strategies were employed. Nephrotoxicity was less frequent compared to xerostomia and hematologic events, with severe renal toxicity (grade 3/4) reported in a limited number of patients, particularly those with baseline renal impairment.</w:t>
      </w:r>
      <w:r w:rsidR="00ED13C8">
        <w:rPr>
          <w:rFonts w:asciiTheme="minorHAnsi" w:hAnsiTheme="minorHAnsi" w:cstheme="minorHAnsi"/>
          <w:sz w:val="22"/>
          <w:szCs w:val="22"/>
        </w:rPr>
        <w:t xml:space="preserve"> </w:t>
      </w:r>
      <w:r w:rsidRPr="0018521B">
        <w:rPr>
          <w:rFonts w:asciiTheme="minorHAnsi" w:hAnsiTheme="minorHAnsi" w:cstheme="minorHAnsi"/>
          <w:sz w:val="22"/>
          <w:szCs w:val="22"/>
        </w:rPr>
        <w:t>Other commonly reported adverse events included fatigue, nausea, weight loss, loss of appetite, and occasional flare pain. Hepatotoxicity was rarely reported as severe.</w:t>
      </w:r>
      <w:r w:rsidR="00ED13C8">
        <w:rPr>
          <w:rFonts w:asciiTheme="minorHAnsi" w:hAnsiTheme="minorHAnsi" w:cstheme="minorHAnsi"/>
          <w:sz w:val="22"/>
          <w:szCs w:val="22"/>
        </w:rPr>
        <w:t xml:space="preserve"> </w:t>
      </w:r>
      <w:r w:rsidR="00767BCE" w:rsidRPr="00ED13C8">
        <w:rPr>
          <w:rFonts w:asciiTheme="minorHAnsi" w:hAnsiTheme="minorHAnsi" w:cstheme="minorHAnsi"/>
          <w:sz w:val="22"/>
          <w:szCs w:val="22"/>
        </w:rPr>
        <w:t xml:space="preserve">Several studies highlighted no cases of serious acute adverse events, treatment discontinuation due to adverse events, or significant clinical benefits </w:t>
      </w:r>
      <w:r w:rsidR="00767BCE" w:rsidRPr="00ED13C8">
        <w:rPr>
          <w:rFonts w:asciiTheme="minorHAnsi" w:hAnsiTheme="minorHAnsi" w:cstheme="minorHAnsi"/>
          <w:sz w:val="22"/>
          <w:szCs w:val="22"/>
        </w:rPr>
        <w:lastRenderedPageBreak/>
        <w:t xml:space="preserve">associated with minimal treatment-related adverse events, while others did not address these aspects. A study observed a positive correlation between the activity administered of </w:t>
      </w:r>
      <w:r w:rsidR="00767BCE" w:rsidRPr="00ED13C8">
        <w:rPr>
          <w:rFonts w:asciiTheme="minorHAnsi" w:hAnsiTheme="minorHAnsi" w:cstheme="minorHAnsi"/>
          <w:sz w:val="22"/>
          <w:szCs w:val="22"/>
          <w:vertAlign w:val="superscript"/>
        </w:rPr>
        <w:t>225</w:t>
      </w:r>
      <w:r w:rsidR="00767BCE" w:rsidRPr="00ED13C8">
        <w:rPr>
          <w:rFonts w:asciiTheme="minorHAnsi" w:hAnsiTheme="minorHAnsi" w:cstheme="minorHAnsi"/>
          <w:sz w:val="22"/>
          <w:szCs w:val="22"/>
        </w:rPr>
        <w:t>Ac-PSMA and xerostomia.</w:t>
      </w:r>
    </w:p>
    <w:p w14:paraId="4C623EE7" w14:textId="09784287" w:rsidR="004A5803" w:rsidRDefault="0018521B" w:rsidP="00ED13C8">
      <w:pPr>
        <w:pStyle w:val="StandardWeb"/>
        <w:spacing w:before="0" w:beforeAutospacing="0" w:after="120" w:afterAutospacing="0" w:line="360" w:lineRule="auto"/>
        <w:rPr>
          <w:rFonts w:asciiTheme="minorHAnsi" w:hAnsiTheme="minorHAnsi" w:cstheme="minorHAnsi"/>
          <w:sz w:val="22"/>
          <w:szCs w:val="22"/>
        </w:rPr>
      </w:pPr>
      <w:r w:rsidRPr="0018521B">
        <w:rPr>
          <w:rFonts w:asciiTheme="minorHAnsi" w:hAnsiTheme="minorHAnsi" w:cstheme="minorHAnsi"/>
          <w:sz w:val="22"/>
          <w:szCs w:val="22"/>
        </w:rPr>
        <w:t xml:space="preserve">We included the follow-up period in our tables when applicable, as some adverse events may have occurred later in the </w:t>
      </w:r>
      <w:r w:rsidR="004E716D">
        <w:rPr>
          <w:rFonts w:asciiTheme="minorHAnsi" w:hAnsiTheme="minorHAnsi" w:cstheme="minorHAnsi"/>
          <w:sz w:val="22"/>
          <w:szCs w:val="22"/>
        </w:rPr>
        <w:t xml:space="preserve">course of </w:t>
      </w:r>
      <w:r w:rsidRPr="0018521B">
        <w:rPr>
          <w:rFonts w:asciiTheme="minorHAnsi" w:hAnsiTheme="minorHAnsi" w:cstheme="minorHAnsi"/>
          <w:sz w:val="22"/>
          <w:szCs w:val="22"/>
        </w:rPr>
        <w:t xml:space="preserve">disease or therapy. Reported follow-up periods for safety assessments ranged from 5.5 to </w:t>
      </w:r>
      <w:r w:rsidR="0024604F">
        <w:rPr>
          <w:rFonts w:asciiTheme="minorHAnsi" w:hAnsiTheme="minorHAnsi" w:cstheme="minorHAnsi"/>
          <w:sz w:val="22"/>
          <w:szCs w:val="22"/>
        </w:rPr>
        <w:t>60</w:t>
      </w:r>
      <w:r w:rsidR="0024604F" w:rsidRPr="0018521B">
        <w:rPr>
          <w:rFonts w:asciiTheme="minorHAnsi" w:hAnsiTheme="minorHAnsi" w:cstheme="minorHAnsi"/>
          <w:sz w:val="22"/>
          <w:szCs w:val="22"/>
        </w:rPr>
        <w:t xml:space="preserve"> </w:t>
      </w:r>
      <w:r w:rsidRPr="0018521B">
        <w:rPr>
          <w:rFonts w:asciiTheme="minorHAnsi" w:hAnsiTheme="minorHAnsi" w:cstheme="minorHAnsi"/>
          <w:sz w:val="22"/>
          <w:szCs w:val="22"/>
        </w:rPr>
        <w:t>months.</w:t>
      </w:r>
      <w:r w:rsidR="00ED13C8">
        <w:rPr>
          <w:rFonts w:asciiTheme="minorHAnsi" w:hAnsiTheme="minorHAnsi" w:cstheme="minorHAnsi"/>
          <w:sz w:val="22"/>
          <w:szCs w:val="22"/>
        </w:rPr>
        <w:t xml:space="preserve"> </w:t>
      </w:r>
      <w:r w:rsidR="004A5803">
        <w:rPr>
          <w:rFonts w:asciiTheme="minorHAnsi" w:hAnsiTheme="minorHAnsi" w:cstheme="minorHAnsi"/>
          <w:sz w:val="22"/>
          <w:szCs w:val="22"/>
        </w:rPr>
        <w:t>All the extracted data from the included studies are summarized in tables 1 and 2</w:t>
      </w:r>
      <w:r w:rsidR="00BD6303">
        <w:rPr>
          <w:rFonts w:asciiTheme="minorHAnsi" w:hAnsiTheme="minorHAnsi" w:cstheme="minorHAnsi"/>
          <w:sz w:val="22"/>
          <w:szCs w:val="22"/>
        </w:rPr>
        <w:t>, separated between PSMA ligands (Table 1a and 2a) and Non-PSMA ligands (Table 1b and 2b), respectively</w:t>
      </w:r>
      <w:r w:rsidR="004A5803">
        <w:rPr>
          <w:rFonts w:asciiTheme="minorHAnsi" w:hAnsiTheme="minorHAnsi" w:cstheme="minorHAnsi"/>
          <w:sz w:val="22"/>
          <w:szCs w:val="22"/>
        </w:rPr>
        <w:t xml:space="preserve">. </w:t>
      </w:r>
      <w:r w:rsidR="007F5EA2">
        <w:rPr>
          <w:rFonts w:asciiTheme="minorHAnsi" w:hAnsiTheme="minorHAnsi" w:cstheme="minorHAnsi"/>
          <w:sz w:val="22"/>
          <w:szCs w:val="22"/>
        </w:rPr>
        <w:t xml:space="preserve">The supplemental table 1 summarized the most relevant registered trials retrieved from clinicaltrials.gov database. </w:t>
      </w:r>
      <w:r w:rsidR="00342DBF">
        <w:rPr>
          <w:rFonts w:asciiTheme="minorHAnsi" w:hAnsiTheme="minorHAnsi" w:cstheme="minorHAnsi"/>
          <w:sz w:val="22"/>
          <w:szCs w:val="22"/>
        </w:rPr>
        <w:t>Seventeen registered trials that fulfilled the inclusion criteria were collected from ClinicalTrials.gov database. Among them, two trials (NCT</w:t>
      </w:r>
      <w:r w:rsidR="00342DBF" w:rsidRPr="00342DBF">
        <w:rPr>
          <w:rFonts w:asciiTheme="minorHAnsi" w:hAnsiTheme="minorHAnsi" w:cstheme="minorHAnsi"/>
          <w:sz w:val="22"/>
          <w:szCs w:val="22"/>
        </w:rPr>
        <w:t>03276572</w:t>
      </w:r>
      <w:r w:rsidR="00342DBF">
        <w:rPr>
          <w:rFonts w:asciiTheme="minorHAnsi" w:hAnsiTheme="minorHAnsi" w:cstheme="minorHAnsi"/>
          <w:sz w:val="22"/>
          <w:szCs w:val="22"/>
        </w:rPr>
        <w:t xml:space="preserve"> &amp; NCT</w:t>
      </w:r>
      <w:r w:rsidR="00342DBF" w:rsidRPr="00342DBF">
        <w:rPr>
          <w:rFonts w:asciiTheme="minorHAnsi" w:hAnsiTheme="minorHAnsi" w:cstheme="minorHAnsi"/>
          <w:sz w:val="22"/>
          <w:szCs w:val="22"/>
        </w:rPr>
        <w:t>03441048</w:t>
      </w:r>
      <w:r w:rsidR="00342DBF">
        <w:rPr>
          <w:rFonts w:asciiTheme="minorHAnsi" w:hAnsiTheme="minorHAnsi" w:cstheme="minorHAnsi"/>
          <w:sz w:val="22"/>
          <w:szCs w:val="22"/>
        </w:rPr>
        <w:t xml:space="preserve">) reported </w:t>
      </w:r>
      <w:r w:rsidR="004E716D">
        <w:rPr>
          <w:rFonts w:asciiTheme="minorHAnsi" w:hAnsiTheme="minorHAnsi" w:cstheme="minorHAnsi"/>
          <w:sz w:val="22"/>
          <w:szCs w:val="22"/>
        </w:rPr>
        <w:t xml:space="preserve">to be </w:t>
      </w:r>
      <w:r w:rsidR="00342DBF">
        <w:rPr>
          <w:rFonts w:asciiTheme="minorHAnsi" w:hAnsiTheme="minorHAnsi" w:cstheme="minorHAnsi"/>
          <w:sz w:val="22"/>
          <w:szCs w:val="22"/>
        </w:rPr>
        <w:t xml:space="preserve">completed, 11 trials are still recruiting and the rest reported </w:t>
      </w:r>
      <w:r w:rsidR="004E716D">
        <w:rPr>
          <w:rFonts w:asciiTheme="minorHAnsi" w:hAnsiTheme="minorHAnsi" w:cstheme="minorHAnsi"/>
          <w:sz w:val="22"/>
          <w:szCs w:val="22"/>
        </w:rPr>
        <w:t xml:space="preserve">to be </w:t>
      </w:r>
      <w:r w:rsidR="00342DBF">
        <w:rPr>
          <w:rFonts w:asciiTheme="minorHAnsi" w:hAnsiTheme="minorHAnsi" w:cstheme="minorHAnsi"/>
          <w:sz w:val="22"/>
          <w:szCs w:val="22"/>
        </w:rPr>
        <w:t xml:space="preserve">withdrawn or suspended. </w:t>
      </w:r>
    </w:p>
    <w:p w14:paraId="7CF0ED08" w14:textId="7A9A40B6" w:rsidR="0018521B" w:rsidRPr="00ED13C8" w:rsidRDefault="0018521B" w:rsidP="00CD1614">
      <w:pPr>
        <w:spacing w:before="240" w:after="240" w:line="276" w:lineRule="auto"/>
        <w:rPr>
          <w:b/>
          <w:bCs/>
          <w:sz w:val="32"/>
        </w:rPr>
      </w:pPr>
      <w:r w:rsidRPr="00ED13C8">
        <w:rPr>
          <w:b/>
          <w:bCs/>
          <w:sz w:val="32"/>
        </w:rPr>
        <w:t>Discussion</w:t>
      </w:r>
    </w:p>
    <w:p w14:paraId="41C2576C" w14:textId="542E7EAD" w:rsidR="0018521B" w:rsidRDefault="0018521B" w:rsidP="00ED13C8">
      <w:pPr>
        <w:spacing w:after="120" w:line="360" w:lineRule="auto"/>
        <w:rPr>
          <w:rFonts w:cstheme="minorHAnsi"/>
          <w:sz w:val="22"/>
          <w:szCs w:val="22"/>
        </w:rPr>
      </w:pPr>
      <w:r w:rsidRPr="0018521B">
        <w:rPr>
          <w:rFonts w:cstheme="minorHAnsi"/>
          <w:sz w:val="22"/>
          <w:szCs w:val="22"/>
        </w:rPr>
        <w:t>This review provides a comprehensive synthesis of clinical safety data of the current and the most practical clinical studies using Actinium-225 conjugated ligand as TAT in patients diagnosed with various types of cancer</w:t>
      </w:r>
      <w:r w:rsidR="004E716D">
        <w:rPr>
          <w:rFonts w:cstheme="minorHAnsi"/>
          <w:sz w:val="22"/>
          <w:szCs w:val="22"/>
        </w:rPr>
        <w:t xml:space="preserve"> to date</w:t>
      </w:r>
      <w:r w:rsidRPr="0018521B">
        <w:rPr>
          <w:rFonts w:cstheme="minorHAnsi"/>
          <w:sz w:val="22"/>
          <w:szCs w:val="22"/>
        </w:rPr>
        <w:t xml:space="preserve">. In </w:t>
      </w:r>
      <w:r w:rsidR="00B9121B">
        <w:rPr>
          <w:rFonts w:cstheme="minorHAnsi"/>
          <w:sz w:val="22"/>
          <w:szCs w:val="22"/>
        </w:rPr>
        <w:t xml:space="preserve">the </w:t>
      </w:r>
      <w:r w:rsidRPr="0018521B">
        <w:rPr>
          <w:rFonts w:cstheme="minorHAnsi"/>
          <w:sz w:val="22"/>
          <w:szCs w:val="22"/>
        </w:rPr>
        <w:t xml:space="preserve">context of personalized/targeted cancer therapy, </w:t>
      </w:r>
      <w:r w:rsidR="004E716D">
        <w:rPr>
          <w:rFonts w:cstheme="minorHAnsi"/>
          <w:sz w:val="22"/>
          <w:szCs w:val="22"/>
        </w:rPr>
        <w:t>TAT</w:t>
      </w:r>
      <w:r w:rsidRPr="0018521B">
        <w:rPr>
          <w:rFonts w:cstheme="minorHAnsi"/>
          <w:sz w:val="22"/>
          <w:szCs w:val="22"/>
        </w:rPr>
        <w:t xml:space="preserve">, as a subclass of </w:t>
      </w:r>
      <w:r w:rsidR="00C64E75">
        <w:rPr>
          <w:rFonts w:cstheme="minorHAnsi"/>
          <w:sz w:val="22"/>
          <w:szCs w:val="22"/>
        </w:rPr>
        <w:t xml:space="preserve">targeted </w:t>
      </w:r>
      <w:r w:rsidRPr="0018521B">
        <w:rPr>
          <w:rFonts w:cstheme="minorHAnsi"/>
          <w:sz w:val="22"/>
          <w:szCs w:val="22"/>
        </w:rPr>
        <w:t>radio</w:t>
      </w:r>
      <w:r w:rsidR="00C64E75">
        <w:rPr>
          <w:rFonts w:cstheme="minorHAnsi"/>
          <w:sz w:val="22"/>
          <w:szCs w:val="22"/>
        </w:rPr>
        <w:t>nuclide</w:t>
      </w:r>
      <w:r w:rsidRPr="0018521B">
        <w:rPr>
          <w:rFonts w:cstheme="minorHAnsi"/>
          <w:sz w:val="22"/>
          <w:szCs w:val="22"/>
        </w:rPr>
        <w:t xml:space="preserve"> therapy, is a rather new </w:t>
      </w:r>
      <w:r w:rsidR="004E716D">
        <w:rPr>
          <w:rFonts w:cstheme="minorHAnsi"/>
          <w:sz w:val="22"/>
          <w:szCs w:val="22"/>
        </w:rPr>
        <w:t>development</w:t>
      </w:r>
      <w:r w:rsidR="004E716D" w:rsidRPr="0018521B">
        <w:rPr>
          <w:rFonts w:cstheme="minorHAnsi"/>
          <w:sz w:val="22"/>
          <w:szCs w:val="22"/>
        </w:rPr>
        <w:t xml:space="preserve"> </w:t>
      </w:r>
      <w:r w:rsidRPr="0018521B">
        <w:rPr>
          <w:rFonts w:cstheme="minorHAnsi"/>
          <w:sz w:val="22"/>
          <w:szCs w:val="22"/>
        </w:rPr>
        <w:t>and we need a substantial understanding of both efficacy and safety of administrating this radiopharmaceutical in patients.</w:t>
      </w:r>
    </w:p>
    <w:p w14:paraId="5CAD043A" w14:textId="3268E37A" w:rsidR="008F5531" w:rsidRPr="0018521B" w:rsidRDefault="0018521B" w:rsidP="00ED13C8">
      <w:pPr>
        <w:spacing w:after="120" w:line="360" w:lineRule="auto"/>
        <w:rPr>
          <w:rFonts w:cstheme="minorHAnsi"/>
          <w:sz w:val="22"/>
          <w:szCs w:val="22"/>
        </w:rPr>
      </w:pPr>
      <w:r w:rsidRPr="0018521B">
        <w:rPr>
          <w:rFonts w:cstheme="minorHAnsi"/>
          <w:sz w:val="22"/>
          <w:szCs w:val="22"/>
        </w:rPr>
        <w:t xml:space="preserve">Our review demonstrates that hematological and </w:t>
      </w:r>
      <w:r w:rsidR="00C64E75">
        <w:rPr>
          <w:rFonts w:cstheme="minorHAnsi"/>
          <w:sz w:val="22"/>
          <w:szCs w:val="22"/>
        </w:rPr>
        <w:t>nephrological</w:t>
      </w:r>
      <w:r w:rsidR="00C64E75" w:rsidRPr="0018521B">
        <w:rPr>
          <w:rFonts w:cstheme="minorHAnsi"/>
          <w:sz w:val="22"/>
          <w:szCs w:val="22"/>
        </w:rPr>
        <w:t xml:space="preserve"> </w:t>
      </w:r>
      <w:r w:rsidR="00A74701">
        <w:rPr>
          <w:rFonts w:cstheme="minorHAnsi"/>
          <w:sz w:val="22"/>
          <w:szCs w:val="22"/>
        </w:rPr>
        <w:t>toxicities</w:t>
      </w:r>
      <w:r w:rsidR="00C64E75">
        <w:rPr>
          <w:rFonts w:cstheme="minorHAnsi"/>
          <w:sz w:val="22"/>
          <w:szCs w:val="22"/>
        </w:rPr>
        <w:t>, along</w:t>
      </w:r>
      <w:r w:rsidR="00C64E75" w:rsidRPr="0018521B">
        <w:rPr>
          <w:rFonts w:cstheme="minorHAnsi"/>
          <w:sz w:val="22"/>
          <w:szCs w:val="22"/>
        </w:rPr>
        <w:t xml:space="preserve"> </w:t>
      </w:r>
      <w:r w:rsidRPr="0018521B">
        <w:rPr>
          <w:rFonts w:cstheme="minorHAnsi"/>
          <w:sz w:val="22"/>
          <w:szCs w:val="22"/>
        </w:rPr>
        <w:t>with xerostomia</w:t>
      </w:r>
      <w:r w:rsidR="00C64E75">
        <w:rPr>
          <w:rFonts w:cstheme="minorHAnsi"/>
          <w:sz w:val="22"/>
          <w:szCs w:val="22"/>
        </w:rPr>
        <w:t>,</w:t>
      </w:r>
      <w:r w:rsidRPr="0018521B">
        <w:rPr>
          <w:rFonts w:cstheme="minorHAnsi"/>
          <w:sz w:val="22"/>
          <w:szCs w:val="22"/>
        </w:rPr>
        <w:t xml:space="preserve"> </w:t>
      </w:r>
      <w:r w:rsidR="00B9121B">
        <w:rPr>
          <w:rFonts w:cstheme="minorHAnsi"/>
          <w:sz w:val="22"/>
          <w:szCs w:val="22"/>
        </w:rPr>
        <w:t>were</w:t>
      </w:r>
      <w:r w:rsidRPr="0018521B">
        <w:rPr>
          <w:rFonts w:cstheme="minorHAnsi"/>
          <w:sz w:val="22"/>
          <w:szCs w:val="22"/>
        </w:rPr>
        <w:t xml:space="preserve"> the most prevalent adverse events </w:t>
      </w:r>
      <w:r w:rsidR="00BD6303">
        <w:rPr>
          <w:rFonts w:cstheme="minorHAnsi"/>
          <w:sz w:val="22"/>
          <w:szCs w:val="22"/>
        </w:rPr>
        <w:t xml:space="preserve">observed after </w:t>
      </w:r>
      <w:r w:rsidRPr="0018521B">
        <w:rPr>
          <w:rFonts w:cstheme="minorHAnsi"/>
          <w:sz w:val="22"/>
          <w:szCs w:val="22"/>
        </w:rPr>
        <w:t>administrati</w:t>
      </w:r>
      <w:r w:rsidR="00BD6303">
        <w:rPr>
          <w:rFonts w:cstheme="minorHAnsi"/>
          <w:sz w:val="22"/>
          <w:szCs w:val="22"/>
        </w:rPr>
        <w:t>on of</w:t>
      </w:r>
      <w:r w:rsidRPr="0018521B">
        <w:rPr>
          <w:rFonts w:cstheme="minorHAnsi"/>
          <w:sz w:val="22"/>
          <w:szCs w:val="22"/>
        </w:rPr>
        <w:t xml:space="preserve"> Ac-225 TAT, regardless </w:t>
      </w:r>
      <w:r w:rsidR="00C64E75">
        <w:rPr>
          <w:rFonts w:cstheme="minorHAnsi"/>
          <w:sz w:val="22"/>
          <w:szCs w:val="22"/>
        </w:rPr>
        <w:t xml:space="preserve">of </w:t>
      </w:r>
      <w:r w:rsidRPr="0018521B">
        <w:rPr>
          <w:rFonts w:cstheme="minorHAnsi"/>
          <w:sz w:val="22"/>
          <w:szCs w:val="22"/>
        </w:rPr>
        <w:t xml:space="preserve">the severity of the adverse event or </w:t>
      </w:r>
      <w:r w:rsidR="00C64E75">
        <w:rPr>
          <w:rFonts w:cstheme="minorHAnsi"/>
          <w:sz w:val="22"/>
          <w:szCs w:val="22"/>
        </w:rPr>
        <w:t xml:space="preserve">the </w:t>
      </w:r>
      <w:r w:rsidRPr="0018521B">
        <w:rPr>
          <w:rFonts w:cstheme="minorHAnsi"/>
          <w:sz w:val="22"/>
          <w:szCs w:val="22"/>
        </w:rPr>
        <w:t xml:space="preserve">type of conjugated ligand. </w:t>
      </w:r>
      <w:r w:rsidR="008F5531">
        <w:rPr>
          <w:rFonts w:cstheme="minorHAnsi"/>
          <w:sz w:val="22"/>
          <w:szCs w:val="22"/>
        </w:rPr>
        <w:t>A</w:t>
      </w:r>
      <w:r w:rsidR="008F5531" w:rsidRPr="0018521B">
        <w:rPr>
          <w:rFonts w:cstheme="minorHAnsi"/>
          <w:sz w:val="22"/>
          <w:szCs w:val="22"/>
        </w:rPr>
        <w:t xml:space="preserve">lthough we have collected the previous </w:t>
      </w:r>
      <w:r w:rsidR="008F5531">
        <w:rPr>
          <w:rFonts w:cstheme="minorHAnsi"/>
          <w:sz w:val="22"/>
          <w:szCs w:val="22"/>
        </w:rPr>
        <w:t>TRT</w:t>
      </w:r>
      <w:r w:rsidR="008F5531" w:rsidRPr="0018521B">
        <w:rPr>
          <w:rFonts w:cstheme="minorHAnsi"/>
          <w:sz w:val="22"/>
          <w:szCs w:val="22"/>
        </w:rPr>
        <w:t xml:space="preserve"> sessions of the studied patients who </w:t>
      </w:r>
      <w:r w:rsidR="008F5531">
        <w:rPr>
          <w:rFonts w:cstheme="minorHAnsi"/>
          <w:sz w:val="22"/>
          <w:szCs w:val="22"/>
        </w:rPr>
        <w:t xml:space="preserve">were </w:t>
      </w:r>
      <w:r w:rsidR="008F5531" w:rsidRPr="0018521B">
        <w:rPr>
          <w:rFonts w:cstheme="minorHAnsi"/>
          <w:sz w:val="22"/>
          <w:szCs w:val="22"/>
        </w:rPr>
        <w:t xml:space="preserve">treated with Ac-225 TAT, the </w:t>
      </w:r>
      <w:r w:rsidR="008F5531">
        <w:rPr>
          <w:rFonts w:cstheme="minorHAnsi"/>
          <w:sz w:val="22"/>
          <w:szCs w:val="22"/>
        </w:rPr>
        <w:t xml:space="preserve">effects </w:t>
      </w:r>
      <w:r w:rsidR="008F5531" w:rsidRPr="0018521B">
        <w:rPr>
          <w:rFonts w:cstheme="minorHAnsi"/>
          <w:sz w:val="22"/>
          <w:szCs w:val="22"/>
        </w:rPr>
        <w:t>of previous therapies in these heavily pretreated patients as an unmeasured confounding factor</w:t>
      </w:r>
      <w:r w:rsidR="008F5531">
        <w:rPr>
          <w:rFonts w:cstheme="minorHAnsi"/>
          <w:sz w:val="22"/>
          <w:szCs w:val="22"/>
        </w:rPr>
        <w:t xml:space="preserve"> for adverse events</w:t>
      </w:r>
      <w:r w:rsidR="008F5531" w:rsidRPr="0018521B">
        <w:rPr>
          <w:rFonts w:cstheme="minorHAnsi"/>
          <w:sz w:val="22"/>
          <w:szCs w:val="22"/>
        </w:rPr>
        <w:t xml:space="preserve"> cannot be ruled out.  </w:t>
      </w:r>
    </w:p>
    <w:p w14:paraId="4A053017" w14:textId="238355A8" w:rsidR="0018521B" w:rsidRPr="0018521B" w:rsidRDefault="0018521B" w:rsidP="00ED13C8">
      <w:pPr>
        <w:spacing w:after="120" w:line="360" w:lineRule="auto"/>
        <w:rPr>
          <w:rFonts w:cstheme="minorHAnsi"/>
          <w:sz w:val="22"/>
          <w:szCs w:val="22"/>
        </w:rPr>
      </w:pPr>
      <w:r w:rsidRPr="0018521B">
        <w:rPr>
          <w:rFonts w:cstheme="minorHAnsi"/>
          <w:sz w:val="22"/>
          <w:szCs w:val="22"/>
        </w:rPr>
        <w:t>This review may provide further evidence for safety recommendation for the future investigations.</w:t>
      </w:r>
      <w:r w:rsidR="00BC4723">
        <w:rPr>
          <w:rFonts w:cstheme="minorHAnsi"/>
          <w:sz w:val="22"/>
          <w:szCs w:val="22"/>
        </w:rPr>
        <w:t xml:space="preserve"> Beside the PSMA-617 and PSMA-I&amp;T, a rather new PSMA targeting tracer is included in our review. In a retrospective design, Schmitl and the </w:t>
      </w:r>
      <w:r w:rsidR="007636D9" w:rsidRPr="007636D9">
        <w:rPr>
          <w:rFonts w:cstheme="minorHAnsi"/>
          <w:sz w:val="22"/>
          <w:szCs w:val="22"/>
        </w:rPr>
        <w:t xml:space="preserve">colleagues </w:t>
      </w:r>
      <w:r w:rsidR="00BC4723">
        <w:rPr>
          <w:rFonts w:cstheme="minorHAnsi"/>
          <w:sz w:val="22"/>
          <w:szCs w:val="22"/>
        </w:rPr>
        <w:fldChar w:fldCharType="begin"/>
      </w:r>
      <w:r w:rsidR="00BC4723">
        <w:rPr>
          <w:rFonts w:cstheme="minorHAnsi"/>
          <w:sz w:val="22"/>
          <w:szCs w:val="22"/>
        </w:rPr>
        <w:instrText xml:space="preserve"> ADDIN ZOTERO_ITEM CSL_CITATION {"citationID":"PQ4Uomyp","properties":{"formattedCitation":"(10)","plainCitation":"(10)","noteIndex":0},"citationItems":[{"id":1241,"uris":["http://zotero.org/users/15628667/items/VEQJMJSM"],"itemData":{"id":1241,"type":"article-journal","container-title":"Journal of Nuclear Medicine","DOI":"10.2967/jnumed.125.269655","ISSN":"0161-5505, 2159-662X","issue":"8","journalAbbreviation":"J Nucl Med","language":"en","page":"1239-1244","source":"DOI.org (Crossref)","title":"Efficacy, Safety, Blood Kinetics, and&lt;sup&gt;213&lt;/sup&gt; Bi Distribution Studies of [&lt;sup&gt;225&lt;/sup&gt; Ac]Ac-SibuDAB in Prostate Cancer Patients","URL":"http://jnm.snmjournals.org/lookup/doi/10.2967/jnumed.125.269655","volume":"66","author":[{"family":"Schmitl","given":"Stefan"},{"family":"Kretschmer-Chott","given":"Elisabeth"},{"family":"Patronas","given":"Eva-Maria"},{"family":"Kramer","given":"Gero"},{"family":"Ritt","given":"Philipp"},{"family":"Fuchs","given":"Elisabeth"},{"family":"Weisbrod","given":"Maximilian"},{"family":"Nics","given":"Lukas"},{"family":"Mitterhauser","given":"Markus"},{"family":"Hacker","given":"Marcus"}],"accessed":{"date-parts":[["2025",8,26]]},"issued":{"date-parts":[["2025",8]]}}}],"schema":"https://github.com/citation-style-language/schema/raw/master/csl-citation.json"} </w:instrText>
      </w:r>
      <w:r w:rsidR="00BC4723">
        <w:rPr>
          <w:rFonts w:cstheme="minorHAnsi"/>
          <w:sz w:val="22"/>
          <w:szCs w:val="22"/>
        </w:rPr>
        <w:fldChar w:fldCharType="separate"/>
      </w:r>
      <w:r w:rsidR="00BC4723" w:rsidRPr="00BC4723">
        <w:rPr>
          <w:rFonts w:ascii="Calibri" w:hAnsi="Calibri" w:cs="Calibri"/>
          <w:sz w:val="22"/>
        </w:rPr>
        <w:t>(10)</w:t>
      </w:r>
      <w:r w:rsidR="00BC4723">
        <w:rPr>
          <w:rFonts w:cstheme="minorHAnsi"/>
          <w:sz w:val="22"/>
          <w:szCs w:val="22"/>
        </w:rPr>
        <w:fldChar w:fldCharType="end"/>
      </w:r>
      <w:r w:rsidR="00BC4723">
        <w:rPr>
          <w:rFonts w:cstheme="minorHAnsi"/>
          <w:sz w:val="22"/>
          <w:szCs w:val="22"/>
        </w:rPr>
        <w:t xml:space="preserve"> investigated the safety of Ac-225 </w:t>
      </w:r>
      <w:r w:rsidR="00BC4723" w:rsidRPr="00CD1C71">
        <w:rPr>
          <w:rFonts w:cstheme="minorHAnsi"/>
          <w:sz w:val="22"/>
          <w:szCs w:val="22"/>
        </w:rPr>
        <w:t>SibuDAB</w:t>
      </w:r>
      <w:r w:rsidR="00BC4723">
        <w:rPr>
          <w:rFonts w:cstheme="minorHAnsi"/>
          <w:sz w:val="22"/>
          <w:szCs w:val="22"/>
        </w:rPr>
        <w:t xml:space="preserve"> -a</w:t>
      </w:r>
      <w:r w:rsidR="002762AD">
        <w:rPr>
          <w:rFonts w:cstheme="minorHAnsi"/>
          <w:sz w:val="22"/>
          <w:szCs w:val="22"/>
        </w:rPr>
        <w:t>n</w:t>
      </w:r>
      <w:r w:rsidR="00BC4723">
        <w:rPr>
          <w:rFonts w:cstheme="minorHAnsi"/>
          <w:sz w:val="22"/>
          <w:szCs w:val="22"/>
        </w:rPr>
        <w:t xml:space="preserve"> albumin-binding PSMA targeting molecule- in pretreated prostate cancer patients. A total of 25 TAT cycles in 15 patients showed grade 1 dry mouth and acceptable hemato</w:t>
      </w:r>
      <w:r w:rsidR="002762AD">
        <w:rPr>
          <w:rFonts w:cstheme="minorHAnsi"/>
          <w:sz w:val="22"/>
          <w:szCs w:val="22"/>
        </w:rPr>
        <w:t>-</w:t>
      </w:r>
      <w:r w:rsidR="00BC4723">
        <w:rPr>
          <w:rFonts w:cstheme="minorHAnsi"/>
          <w:sz w:val="22"/>
          <w:szCs w:val="22"/>
        </w:rPr>
        <w:t xml:space="preserve"> and hepatotoxicities</w:t>
      </w:r>
      <w:r w:rsidR="002762AD">
        <w:rPr>
          <w:rFonts w:cstheme="minorHAnsi"/>
          <w:sz w:val="22"/>
          <w:szCs w:val="22"/>
        </w:rPr>
        <w:t>, comparably to standard PSMA ligands</w:t>
      </w:r>
      <w:r w:rsidR="00BC4723">
        <w:rPr>
          <w:rFonts w:cstheme="minorHAnsi"/>
          <w:sz w:val="22"/>
          <w:szCs w:val="22"/>
        </w:rPr>
        <w:t xml:space="preserve">. </w:t>
      </w:r>
      <w:r w:rsidR="002762AD">
        <w:rPr>
          <w:rFonts w:cstheme="minorHAnsi"/>
          <w:sz w:val="22"/>
          <w:szCs w:val="22"/>
        </w:rPr>
        <w:t>Even though i</w:t>
      </w:r>
      <w:r w:rsidR="00BC4723">
        <w:rPr>
          <w:rFonts w:cstheme="minorHAnsi"/>
          <w:sz w:val="22"/>
          <w:szCs w:val="22"/>
        </w:rPr>
        <w:t>n one patient, the treatment</w:t>
      </w:r>
      <w:r w:rsidR="002762AD">
        <w:rPr>
          <w:rFonts w:cstheme="minorHAnsi"/>
          <w:sz w:val="22"/>
          <w:szCs w:val="22"/>
        </w:rPr>
        <w:t xml:space="preserve"> had to be </w:t>
      </w:r>
      <w:r w:rsidR="00BC4723">
        <w:rPr>
          <w:rFonts w:cstheme="minorHAnsi"/>
          <w:sz w:val="22"/>
          <w:szCs w:val="22"/>
        </w:rPr>
        <w:t xml:space="preserve">discontinued </w:t>
      </w:r>
      <w:r w:rsidR="00BC4723">
        <w:rPr>
          <w:rFonts w:cstheme="minorHAnsi"/>
          <w:sz w:val="22"/>
          <w:szCs w:val="22"/>
        </w:rPr>
        <w:lastRenderedPageBreak/>
        <w:t>due to hematologic adverse event</w:t>
      </w:r>
      <w:r w:rsidR="002762AD">
        <w:rPr>
          <w:rFonts w:cstheme="minorHAnsi"/>
          <w:sz w:val="22"/>
          <w:szCs w:val="22"/>
        </w:rPr>
        <w:t>, overall, the longer blood circulation times of this compound did not seem to have a substantial effect on the overall hematological toxicity.</w:t>
      </w:r>
    </w:p>
    <w:p w14:paraId="1D8B5EAF" w14:textId="000898C9" w:rsidR="0018521B" w:rsidRPr="0018521B" w:rsidRDefault="0018521B" w:rsidP="00ED13C8">
      <w:pPr>
        <w:spacing w:after="120" w:line="360" w:lineRule="auto"/>
        <w:rPr>
          <w:rFonts w:cstheme="minorHAnsi"/>
          <w:sz w:val="22"/>
          <w:szCs w:val="22"/>
        </w:rPr>
      </w:pPr>
      <w:r w:rsidRPr="0018521B">
        <w:rPr>
          <w:rFonts w:cstheme="minorHAnsi"/>
          <w:sz w:val="22"/>
          <w:szCs w:val="22"/>
        </w:rPr>
        <w:t xml:space="preserve">In the literature, there are currently </w:t>
      </w:r>
      <w:r w:rsidR="004E716D">
        <w:rPr>
          <w:rFonts w:cstheme="minorHAnsi"/>
          <w:sz w:val="22"/>
          <w:szCs w:val="22"/>
        </w:rPr>
        <w:t xml:space="preserve">only </w:t>
      </w:r>
      <w:r w:rsidR="00F46584">
        <w:rPr>
          <w:rFonts w:cstheme="minorHAnsi"/>
          <w:sz w:val="22"/>
          <w:szCs w:val="22"/>
        </w:rPr>
        <w:t xml:space="preserve">a few </w:t>
      </w:r>
      <w:r w:rsidRPr="0018521B">
        <w:rPr>
          <w:rFonts w:cstheme="minorHAnsi"/>
          <w:sz w:val="22"/>
          <w:szCs w:val="22"/>
        </w:rPr>
        <w:t xml:space="preserve">studies that have reviewed the adverse events associated with Ac-225 alpha therapy </w:t>
      </w:r>
      <w:r w:rsidR="00BA4B70">
        <w:rPr>
          <w:rFonts w:cstheme="minorHAnsi"/>
          <w:sz w:val="22"/>
          <w:szCs w:val="22"/>
        </w:rPr>
        <w:fldChar w:fldCharType="begin"/>
      </w:r>
      <w:r w:rsidR="00BC4723">
        <w:rPr>
          <w:rFonts w:cstheme="minorHAnsi"/>
          <w:sz w:val="22"/>
          <w:szCs w:val="22"/>
        </w:rPr>
        <w:instrText xml:space="preserve"> ADDIN ZOTERO_ITEM CSL_CITATION {"citationID":"8jY2WYBq","properties":{"formattedCitation":"(6,11\\uc0\\u8211{}16)","plainCitation":"(6,11–16)","noteIndex":0},"citationItems":[{"id":1195,"uris":["http://zotero.org/users/15628667/items/C7REB3FF"],"itemData":{"id":1195,"type":"article-journal","abstract":"AbstractBackgroundApproximately 10%–20% of prostate cancers progress to metastatic and castration‐resistant forms (mCRPC). Radioligand (RLT) therapy with [177Lu]Lu‐prostate‐specific membrane antigen (PSMA) is an approved treatment for metastasized mCRPC. Moreover, Actinium‐225 (225Ac), an alpha‐emitter isotope, has also been used to label PSMA and, recently, to treat mCRPC patients with encouraging results. However, robust clinical data on [225Ac]Ac‐PSMA therapy and its comparison with [177Lu]Lu‐PSMA are still limited. Our aim was to evaluate the role of [225Ac]Ac‐PSMA in treating mCRPC and compare it with conventional [177Lu]Lu‐PSMA therapy.MethodsA systematic search was performed in PubMed, Web of Science, Scopus and the Cochrane Register of Controlled Trials from June 2023 to January 2024. This work was conducted in accordance with PRISMA guidelines.ResultsAfter screening and study selection according to PRISMA guidelines, 11 studies were included, 9 of which focused on [225Ac]Ac‐PSMA only and two on tandem therapy ([225Ac]Ac‐PSMA/[177Lu]Lu‐PSMA). Overall, the pooled proportion of PSA decline in patients was .85 (95% CI: .79–.91, p &lt; .001); patients pretreated with [177Lu]Lu‐PSMA achieved a pooled proportion of PSA decline of .90 (95% CI: .82–.97, p &lt; .001). In patients treated with tandem therapy, PSA decline was observed in approximately 90% of them, while PSA response rates above 50% ranged from 53.3% to 65%. Xerostomia was the most frequently reported side effect, along with anaemia, thrombocytopenia and nephrotoxicity.ConclusionsOverall, the main results of our study showed that [225Ac]Ac‐PSMA‐617 had a significant therapeutic effect on mCRPC with an acceptable toxicity level. The latter, however, appears greater than with [177Lu]Lu‐PSMA‐617. In future studies, an adequate analysis of the incidence of side effects associated with [225Ac]Ac‐PSMA should be performed to evaluate the role of cumulative toxicity of earlier treatments and the higher frailty of heavily pretreated patients.","container-title":"European Journal of Clinical Investigation","DOI":"10.1111/eci.14358","ISSN":"0014-2972, 1365-2362","issue":"5","journalAbbreviation":"Eur J Clin Investigation","language":"en","license":"http://onlinelibrary.wiley.com/termsAndConditions#vor","note":"publisher: Wiley","source":"Crossref","title":"[&lt;sup&gt;225&lt;/sup&gt;Ac]Ac‐PSMA for the treatment of metastatic castration‐resistant prostate cancer: A systematic review and meta‐analysis","title-short":"[&lt;sup&gt;225&lt;/sup&gt;Ac]Ac‐PSMA for the treatment of metastatic castration‐resistant prostate cancer","URL":"https://onlinelibrary.wiley.com/doi/10.1111/eci.14358","volume":"55","author":[{"family":"Garo","given":"Maria Luisa"},{"family":"Ovčariček","given":"Petra Petranović"},{"family":"Fanti","given":"Stefano"},{"family":"Giovanella","given":"Luca"}],"accessed":{"date-parts":[["2025",7,25]]},"issued":{"date-parts":[["2025",5]]}}},{"id":1222,"uris":["http://zotero.org/users/15628667/items/TGLQANFI"],"itemData":{"id":1222,"type":"article-journal","container-title":"European Journal of Nuclear Medicine and Molecular Imaging","DOI":"10.1007/s00259-025-07168-4","ISSN":"1619-7070, 1619-7089","issue":"8","journalAbbreviation":"Eur J Nucl Med Mol Imaging","language":"en","page":"2906-2917","source":"DOI.org (Crossref)","title":"Evaluating Xerostomia as a side effect of [255Ac]Ac-PSMA therapy in prostate cancer: a systematic review and meta-analysis","title-short":"Evaluating Xerostomia as a side effect of [255Ac]Ac-PSMA therapy in prostate cancer","URL":"https://link.springer.com/10.1007/s00259-025-07168-4","volume":"52","author":[{"family":"Al-Ibraheem","given":"Akram"},{"family":"Moghrabi","given":"Serin"},{"family":"Sathekge","given":"Mike Machaba"},{"family":"Abdlkadir","given":"Ahmed Saad"}],"accessed":{"date-parts":[["2025",7,28]]},"issued":{"date-parts":[["2025",7]]}}},{"id":1224,"uris":["http://zotero.org/users/15628667/items/ISG7NVJT"],"itemData":{"id":1224,"type":"article-journal","abstract":"ABSTRACT\n            \n              Background\n              \n                Metastatic castration resistance prostate cancer (mCRPC) is a challenging disease with a significant burden of mortality and morbidity. Most of the patients attain resistance to the available treatments, necessitating further novel therapies in this clinical setting. Actinium 225 (\n                225\n                Ac) prostate‐specific membrane antigen (PSMA) radioligand therapy has emerged as a promising option and has been utilized for the last decade. Although a few meta‐analyses were performed on the efficacy and safety of\n                225\n                Ac‐PSMA RLT in mCRPC patients, several current studies have been added to the literature since the latest meta‐analysis. We aimed to gather all individual studies to perform up‐to‐date meta‐analyses.\n              \n            \n            \n              Methods\n              We searched the literature using Pubmed‐Medline, Web of Science, Elsevier‐Sceince Direct, and Cochrane‐Central databases. The data for any PSA decline, over 50% PSA decline, overall survival (OS), progression‐free survival (PFS), and toxicity profile were captured from the studies eligible for meta‐analysis. We utilized the random effect model to generate pooled estimates.\n            \n            \n              Results\n              The sixteen eligible studies contained 1102 patients. Sixty‐three percent of patients achieved more than 50% PSA decline, while 82% had any PSA decline after the completion of therapy. The pooled mean OS and PFS were 12.72 months (9.52–15.91) and 11.02 months (6.88–15.15), respectively. The most common adverse event was xerostomia, with a pooled proportion of 84%. Grade ≥ 3 anemia, thrombocytopenia, leucopenia, and nephrotoxicity were encountered in 9%, 5%, 4%, and 4% of the patients.\n            \n            \n              Conclusions\n              \n                225\n                Ac‐PSMA RLT is an efficacious and safe treatment for mCRPC. Future well‐designed randomized controlled studies comparing\n                225\n                Ac‐PSMA RLT with other approved therapeutic options would better comprehend the exact role of this therapy in the treatment sequence of mCRPC.","container-title":"The Prostate","DOI":"10.1002/pros.24857","ISSN":"0270-4137, 1097-0045","issue":"6","journalAbbreviation":"The Prostate","language":"en","page":"541-557","source":"DOI.org (Crossref)","title":"The Safety and Efficacy of Targeted Alpha Therapy, Ac‐225 Prostate‐Specific Membrane Antigen, in Patients With Metastatic Castration‐Resistant Prostate Cancer: A Systematic Review and Meta‐Analysis","title-short":"The Safety and Efficacy of Targeted Alpha Therapy, Ac‐225 Prostate‐Specific Membrane Antigen, in Patients With Metastatic Castration‐Resistant Prostate Cancer","URL":"https://onlinelibrary.wiley.com/doi/10.1002/pros.24857","volume":"85","author":[{"family":"Besiroglu","given":"Huseyin"},{"family":"Kadihasanoglu","given":"Mustafa"}],"accessed":{"date-parts":[["2025",7,28]]},"issued":{"date-parts":[["2025",5]]}}},{"id":1219,"uris":["http://zotero.org/users/15628667/items/KJPJC5XK"],"itemData":{"id":1219,"type":"article-journal","abstract":"Abstract          Neuroendocrine tumors (NETs) represent a diverse group of neoplasms arising from neuroendocrine cells, treatable with various modalities including targeted radionuclide therapy. Traditional treatments such as surgery, somatostatin analogues, chemotherapy, target therapies and peptide receptor radionuclide therapy (PRRT) with beta-emitting isotopes like 177Lu-DOTATATE have shown good clinical efficacy. However, 177Lu-DOTATATE may be less effective in refractory or progressive cases, necessitating the transition to alpha-emitting therapies. The emergence of alpha therapies, leveraging the potent cytotoxicity of alpha-emitting isotopes, signifies a notable advancement in the therapeutic landscape for NETs. This review aims to provide an overview of the most significant developments and evidence for the use of targeted alpha therapies in neuroendocrine tumors. Alpha particles, with their high linear energy transfer (LET) and short range, offer distinct advantages over beta particles. Their potent cytotoxicity can cause double-strand DNA breaks, leading to higher tumor cell kill rates. Several alpha-emitting isotopes, including Actinium-225, Bismuth-213, and Lead-212, are currently being investigated for their therapeutic potential in NETs. These isotopes deliver lethal radiation doses to tumor cells while minimizing collateral damage to healthy tissues, even more targeted in hepatic disease when intraarterial administration is feasible. Despite challenges related to Ac-225 production, availability, costs, dosimetry, standardization, and sufficient long-term follow-up data, the clinical success in treating resistant and aggressive forms of NETs underscores the need for increased investment and research to optimize production and distribution processes. Developing reliable supply chains and comprehending the potential long-term effects of alpha emitters are essential steps. The time for Targeted Alpha Therapies is undeniably here and now, with continued advancements holding the potential to revolutionize the treatment of neuroendocrine tumors, providing hope and improved outcomes for patients globally.","container-title":"Clinical and Translational Imaging","DOI":"10.1007/s40336-025-00692-1","ISSN":"2281-7565","journalAbbreviation":"Clin Transl Imaging","language":"en","license":"https://creativecommons.org/licenses/by/4.0","note":"publisher: Springer Science and Business Media LLC","source":"Crossref","title":"Alpha therapies: where and when is the future in neuroendocrine tumours?","title-short":"Alpha therapies","URL":"https://link.springer.com/10.1007/s40336-025-00692-1","author":[{"family":"Vorster","given":"Mariza"},{"family":"Grana","given":"Chiara Maria"},{"family":"Travascio","given":"Laura"},{"family":"Sathekge","given":"Mike Machaba"}],"accessed":{"date-parts":[["2025",7,25]]},"issued":{"date-parts":[["2025",3,26]]}}},{"id":86,"uris":["http://zotero.org/users/15628667/items/LYCENYIZ"],"itemData":{"id":86,"type":"article-journal","abstract":"Radiopharmaceuticals are rapidly developing as a field, with the successful use of targeted beta emitters in neuroendocrine tumors and prostate cancer serving as  catalysts. Targeted alpha emitters are in current development for several  potential oncologic indications. Herein, we review the three most prevalently  studied conjugated/chelated alpha emitters ((225)actinium, (212)lead, and  (211)astatine) and focus on contemporary clinical trials in an effort to more  fully appreciate the breadth of the current evaluation. Phase I trials targeting  multiple diseases are now underway, and at least one phase III trial (in selected  neuroendocrine cancers) is currently in the initial stages of recruitment.  Combination trials are now also emerging as alpha emitters are integrated with  other therapies in an effort to create solutions for those with advanced cancers.  Despite the promise of targeted alpha therapies, many challenges remain. These  challenges include the development of reliable supply chains, the need for a  better understanding of the relationships between administered dose and absorbed  dose in both tissue and tumor and how that predicts outcomes, and the incomplete  understanding of potential long-term deleterious effects of the alpha emitters.  Progress on multiple fronts is necessary to bring the potential of targeted alpha  therapies into the clinic.","container-title":"International journal of molecular sciences","DOI":"10.3390/ijms241411626","ISSN":"1422-0067","issue":"14","journalAbbreviation":"Int J Mol Sci","language":"eng","note":"publisher-place: Switzerland\nPMID: 37511386 \nPMCID: PMC10380274","title":"Targeted Alpha-Particle Therapy: A Review of Current Trials.","volume":"24","author":[{"family":"Jang","given":"Albert"},{"family":"Kendi","given":"Ayse T."},{"family":"Johnson","given":"Geoffrey B."},{"family":"Halfdanarson","given":"Thorvardur R."},{"family":"Sartor","given":"Oliver"}],"issued":{"date-parts":[["2023",7,19]]}}},{"id":1226,"uris":["http://zotero.org/users/15628667/items/XE8YBPLW"],"itemData":{"id":1226,"type":"article-journal","abstract":"Purpose\n              \n                Despite the effectiveness of\n                177\n                Lu-based peptide receptor radionuclide therapy in treating metastatic neuroendocrine tumors (NETs), disease progression posttreatment remains a significant challenge. Targeted alpha therapy (TAT) has emerged as a promising option for patients experiencing such progression. This study aims to assess the therapeutic efficiency and toxicity of TAT in patients with metastatic NET through a meta-analysis.\n              \n            \n            \n              Patients and Methods\n              We conducted a comprehensive search of PubMed, Embase, Cochrane Library, and CINAHL using relevant keywords. The analysis focused on the pooled proportions of objective response rate (ORR) and disease control rate (DCR) to determine therapeutic efficiency. We also evaluated the incidence of serious hematologic and renal adverse events (grade 3 or 4) to assess toxicity. A subgroup analysis was performed to identify factors influencing therapeutic outcomes.\n            \n            \n              Results\n              \n                Our meta-analysis included 7 studies comprising 162 patients. The results showed that TAT achieved ORR of 49.5% (95% confidence interval [CI]: 41.7%–57.4%) and DCR of 87.0% (95% CI: 72.1%–96.8%). The incidences of hematologic and renal toxicities were low, at 2.1% (95% CI: 0.5%–5.5%) and 3.4% (95% CI: 1.2%–7.3%), respectively. Subgroup analysis indicated consistent therapeutic efficiency across different variables, including prior\n                177\n                Lu-based peptide receptor radionuclide therapy treatment,\n                225\n                Ac-based TAT, absence of radiosensitizer, and methods of response evaluation, with ORR ranging from 46.6% to 57.1% and DCR from 82.0% to 91.5%.\n              \n            \n            \n              Conclusions\n              TAT is an effective treatment for metastatic NET, demonstrating substantial disease control and response rates with minimal toxicity. These findings suggest that TAT is a viable therapeutic alternative for patients with metastatic NET.","container-title":"Clinical Nuclear Medicine","DOI":"10.1097/RLU.0000000000005404","ISSN":"1536-0229, 0363-9762","issue":"1","journalAbbreviation":"Clin Nucl Med","language":"en","page":"e1-e6","source":"DOI.org (Crossref)","title":"Efficiency and Safety of Targeted Alpha Therapy in Metastatic Neuroendocrine Tumors: A Meta-analysis","title-short":"Efficiency and Safety of Targeted Alpha Therapy in Metastatic Neuroendocrine Tumors","URL":"https://journals.lww.com/10.1097/RLU.0000000000005404","volume":"50","author":[{"family":"Lee","given":"Dong Yun"},{"family":"Kim","given":"Yong-il"}],"accessed":{"date-parts":[["2025",7,28]]},"issued":{"date-parts":[["2025",1]]}}},{"id":1227,"uris":["http://zotero.org/users/15628667/items/FCM683U5"],"itemData":{"id":1227,"type":"article-journal","container-title":"European Urology","DOI":"10.1016/j.eururo.2024.09.020","ISSN":"03022838","issue":"4","journalAbbreviation":"European Urology","language":"en","page":"398-408","source":"DOI.org (Crossref)","title":"A Meta-Analysis and Meta-Regression of the Efficacy, Toxicity, and Quality of Life Outcomes Following Prostate-Specific Membrane Antigen Radioligand Therapy Utilising Lutetium-177 and Actinium-225 in Metastatic Prostate Cancer","URL":"https://linkinghub.elsevier.com/retrieve/pii/S0302283824026083","volume":"87","author":[{"family":"Dai","given":"Yang-Hong"},{"family":"Chen","given":"Po-Huang"},{"family":"Lee","given":"Ding-Jie"},{"family":"Andrade","given":"Gerard"},{"family":"Vallis","given":"Katherine A."}],"accessed":{"date-parts":[["2025",7,28]]},"issued":{"date-parts":[["2025",4]]}}}],"schema":"https://github.com/citation-style-language/schema/raw/master/csl-citation.json"} </w:instrText>
      </w:r>
      <w:r w:rsidR="00BA4B70">
        <w:rPr>
          <w:rFonts w:cstheme="minorHAnsi"/>
          <w:sz w:val="22"/>
          <w:szCs w:val="22"/>
        </w:rPr>
        <w:fldChar w:fldCharType="separate"/>
      </w:r>
      <w:r w:rsidR="00BC4723" w:rsidRPr="00BC4723">
        <w:rPr>
          <w:rFonts w:ascii="Calibri" w:hAnsi="Calibri" w:cs="Calibri"/>
          <w:sz w:val="22"/>
        </w:rPr>
        <w:t>(6,11–16)</w:t>
      </w:r>
      <w:r w:rsidR="00BA4B70">
        <w:rPr>
          <w:rFonts w:cstheme="minorHAnsi"/>
          <w:sz w:val="22"/>
          <w:szCs w:val="22"/>
        </w:rPr>
        <w:fldChar w:fldCharType="end"/>
      </w:r>
      <w:r w:rsidRPr="0018521B">
        <w:rPr>
          <w:rFonts w:cstheme="minorHAnsi"/>
          <w:sz w:val="22"/>
          <w:szCs w:val="22"/>
        </w:rPr>
        <w:t xml:space="preserve">. However, they focused on either the most prevalent side effect or one cancer entity. </w:t>
      </w:r>
      <w:r w:rsidR="00BA4B70">
        <w:rPr>
          <w:rFonts w:cstheme="minorHAnsi"/>
          <w:sz w:val="22"/>
          <w:szCs w:val="22"/>
        </w:rPr>
        <w:t>For instance, i</w:t>
      </w:r>
      <w:r w:rsidR="00BA4B70" w:rsidRPr="0018521B">
        <w:rPr>
          <w:rFonts w:cstheme="minorHAnsi"/>
          <w:sz w:val="22"/>
          <w:szCs w:val="22"/>
        </w:rPr>
        <w:t xml:space="preserve">n </w:t>
      </w:r>
      <w:r w:rsidRPr="0018521B">
        <w:rPr>
          <w:rFonts w:cstheme="minorHAnsi"/>
          <w:sz w:val="22"/>
          <w:szCs w:val="22"/>
        </w:rPr>
        <w:t xml:space="preserve">a recent systematic review and meta-analysis, Al-Ibraheem and colleagues explored the role of xerostomia in prostate cancer patients who received </w:t>
      </w:r>
      <w:r w:rsidR="00F46584">
        <w:rPr>
          <w:rFonts w:cstheme="minorHAnsi"/>
          <w:sz w:val="22"/>
          <w:szCs w:val="22"/>
        </w:rPr>
        <w:t xml:space="preserve">Ac-225 </w:t>
      </w:r>
      <w:r w:rsidRPr="0018521B">
        <w:rPr>
          <w:rFonts w:cstheme="minorHAnsi"/>
          <w:sz w:val="22"/>
          <w:szCs w:val="22"/>
        </w:rPr>
        <w:t>PSMA</w:t>
      </w:r>
      <w:r w:rsidR="00F46584">
        <w:rPr>
          <w:rFonts w:cstheme="minorHAnsi"/>
          <w:sz w:val="22"/>
          <w:szCs w:val="22"/>
        </w:rPr>
        <w:t xml:space="preserve"> ligands</w:t>
      </w:r>
      <w:r w:rsidRPr="0018521B">
        <w:rPr>
          <w:rFonts w:cstheme="minorHAnsi"/>
          <w:sz w:val="22"/>
          <w:szCs w:val="22"/>
        </w:rPr>
        <w:t xml:space="preserve"> </w:t>
      </w:r>
      <w:r w:rsidR="00BA4B70">
        <w:rPr>
          <w:rFonts w:cstheme="minorHAnsi"/>
          <w:sz w:val="22"/>
          <w:szCs w:val="22"/>
        </w:rPr>
        <w:fldChar w:fldCharType="begin"/>
      </w:r>
      <w:r w:rsidR="00BC4723">
        <w:rPr>
          <w:rFonts w:cstheme="minorHAnsi"/>
          <w:sz w:val="22"/>
          <w:szCs w:val="22"/>
        </w:rPr>
        <w:instrText xml:space="preserve"> ADDIN ZOTERO_ITEM CSL_CITATION {"citationID":"JCnpTFPu","properties":{"formattedCitation":"(11)","plainCitation":"(11)","noteIndex":0},"citationItems":[{"id":1222,"uris":["http://zotero.org/users/15628667/items/TGLQANFI"],"itemData":{"id":1222,"type":"article-journal","container-title":"European Journal of Nuclear Medicine and Molecular Imaging","DOI":"10.1007/s00259-025-07168-4","ISSN":"1619-7070, 1619-7089","issue":"8","journalAbbreviation":"Eur J Nucl Med Mol Imaging","language":"en","page":"2906-2917","source":"DOI.org (Crossref)","title":"Evaluating Xerostomia as a side effect of [255Ac]Ac-PSMA therapy in prostate cancer: a systematic review and meta-analysis","title-short":"Evaluating Xerostomia as a side effect of [255Ac]Ac-PSMA therapy in prostate cancer","URL":"https://link.springer.com/10.1007/s00259-025-07168-4","volume":"52","author":[{"family":"Al-Ibraheem","given":"Akram"},{"family":"Moghrabi","given":"Serin"},{"family":"Sathekge","given":"Mike Machaba"},{"family":"Abdlkadir","given":"Ahmed Saad"}],"accessed":{"date-parts":[["2025",7,28]]},"issued":{"date-parts":[["2025",7]]}}}],"schema":"https://github.com/citation-style-language/schema/raw/master/csl-citation.json"} </w:instrText>
      </w:r>
      <w:r w:rsidR="00BA4B70">
        <w:rPr>
          <w:rFonts w:cstheme="minorHAnsi"/>
          <w:sz w:val="22"/>
          <w:szCs w:val="22"/>
        </w:rPr>
        <w:fldChar w:fldCharType="separate"/>
      </w:r>
      <w:r w:rsidR="00BC4723" w:rsidRPr="00BC4723">
        <w:rPr>
          <w:rFonts w:ascii="Calibri" w:hAnsi="Calibri" w:cs="Calibri"/>
          <w:sz w:val="22"/>
        </w:rPr>
        <w:t>(11)</w:t>
      </w:r>
      <w:r w:rsidR="00BA4B70">
        <w:rPr>
          <w:rFonts w:cstheme="minorHAnsi"/>
          <w:sz w:val="22"/>
          <w:szCs w:val="22"/>
        </w:rPr>
        <w:fldChar w:fldCharType="end"/>
      </w:r>
      <w:r w:rsidRPr="0018521B">
        <w:rPr>
          <w:rFonts w:cstheme="minorHAnsi"/>
          <w:sz w:val="22"/>
          <w:szCs w:val="22"/>
        </w:rPr>
        <w:t>. They included twenty studies comprising more than 1200 patients in their review. The pooled rate of grade 1-2 xerostomia was reported at 83%, and high-grade dry mouth was reported at 13%, while treatment discontinuation due to xerostomia was very low (5%).</w:t>
      </w:r>
    </w:p>
    <w:p w14:paraId="7A39141D" w14:textId="6ED8540C" w:rsidR="0018521B" w:rsidRDefault="0018521B" w:rsidP="00ED13C8">
      <w:pPr>
        <w:spacing w:after="120" w:line="360" w:lineRule="auto"/>
        <w:rPr>
          <w:rFonts w:cstheme="minorHAnsi"/>
          <w:sz w:val="22"/>
          <w:szCs w:val="22"/>
        </w:rPr>
      </w:pPr>
      <w:r w:rsidRPr="0018521B">
        <w:rPr>
          <w:rFonts w:cstheme="minorHAnsi"/>
          <w:sz w:val="22"/>
          <w:szCs w:val="22"/>
        </w:rPr>
        <w:t xml:space="preserve">As seen in the tables, xerostomia reported as treatment-related side effect only in patients who received PSMA ligand conjugated actinium-225 for prostate cancer. </w:t>
      </w:r>
      <w:r w:rsidR="0090582F">
        <w:rPr>
          <w:rFonts w:cstheme="minorHAnsi"/>
          <w:sz w:val="22"/>
          <w:szCs w:val="22"/>
        </w:rPr>
        <w:t xml:space="preserve">Concerning quantification of salivary glands toxicity </w:t>
      </w:r>
      <w:r w:rsidR="0090582F" w:rsidRPr="0090582F">
        <w:rPr>
          <w:rFonts w:cstheme="minorHAnsi"/>
          <w:sz w:val="22"/>
          <w:szCs w:val="22"/>
        </w:rPr>
        <w:t>Feuerecker</w:t>
      </w:r>
      <w:r w:rsidR="0090582F">
        <w:rPr>
          <w:rFonts w:cstheme="minorHAnsi"/>
          <w:sz w:val="22"/>
          <w:szCs w:val="22"/>
        </w:rPr>
        <w:t xml:space="preserve"> </w:t>
      </w:r>
      <w:r w:rsidR="0090582F" w:rsidRPr="006D4B46">
        <w:rPr>
          <w:rFonts w:cstheme="minorHAnsi"/>
          <w:i/>
          <w:sz w:val="22"/>
          <w:szCs w:val="22"/>
        </w:rPr>
        <w:t>et al</w:t>
      </w:r>
      <w:r w:rsidR="0090582F">
        <w:rPr>
          <w:rFonts w:cstheme="minorHAnsi"/>
          <w:sz w:val="22"/>
          <w:szCs w:val="22"/>
        </w:rPr>
        <w:fldChar w:fldCharType="begin"/>
      </w:r>
      <w:r w:rsidR="00BC4723">
        <w:rPr>
          <w:rFonts w:cstheme="minorHAnsi"/>
          <w:sz w:val="22"/>
          <w:szCs w:val="22"/>
        </w:rPr>
        <w:instrText xml:space="preserve"> ADDIN ZOTERO_ITEM CSL_CITATION {"citationID":"OHKNlVe1","properties":{"formattedCitation":"(17)","plainCitation":"(17)","noteIndex":0},"citationItems":[{"id":1237,"uris":["http://zotero.org/users/15628667/items/N5F2LVBP"],"itemData":{"id":1237,"type":"article-journal","abstract":"Most Prostate Specific Membrane Antigens (PSMAs) targeting small molecules accumulate in the salivary glands (SGs), raising concerns about SG toxicity, especially after repeated therapies or therapy with 225Ac-labeled ligands. SG toxicity is assessed clinically by the severity of patient-reported xerostomia, but this parameter can be challenging to objectively quantify. Therefore, we explored the feasibility of using SG volume as a biomarker for toxicity. In 21 patients with late-stage metastatic resistant prostate cancer (mCRPC), the PSMA volume and ligand uptake of SG were analyzed retrospectively before and after two cycles of 177Lu-PSMA (LuPSMA; cohort A) and before and after one cycle of 225Ac-PSMA-617 (AcPSMA, cohort B). Mean Volume-SG in cohort A was 59 ± 13 vs. 54 ± 16 mL (−10%, p = 0.4), and in cohort B, it was 50 ± 13 vs. 40 ± 11 mL (−20%, p = 0.007), respectively. A statistically significant decrease in the activity concentration in the SG was only observed in group B (SUVmean: 9.2 ± 2.8 vs. 5.3 ± 1.8, p &lt; 0.0001; vs. A: SUVmean: 11.2 ± 3.3 vs. 11.1 ± 3.5, p = 0.8). SG volume and PSMA-ligand uptake are promising markers to monitor the SG toxicity after a PSMA RLT.","container-title":"International Journal of Molecular Sciences","DOI":"10.3390/ijms242316845","ISSN":"1422-0067","issue":"23","journalAbbreviation":"IJMS","language":"en","license":"https://creativecommons.org/licenses/by/4.0/","page":"16845","source":"DOI.org (Crossref)","title":"Comparative Analysis of Morphological and Functional Effects of 225Ac- and 177Lu-PSMA Radioligand Therapies (RLTs) on Salivary Glands","URL":"https://www.mdpi.com/1422-0067/24/23/16845","volume":"24","author":[{"family":"Feuerecker","given":"Benedikt"},{"family":"Gafita","given":"Andrei"},{"family":"Langbein","given":"Thomas"},{"family":"Tauber","given":"Robert"},{"family":"Seidl","given":"Christof"},{"family":"Bruchertseifer","given":"Frank"},{"family":"Gschwendt","given":"Jürgen E."},{"family":"Weber","given":"Wolfgang A."},{"family":"D’Alessandria","given":"Calogero"},{"family":"Morgenstern","given":"Alfred"},{"family":"Eiber","given":"Matthias"}],"accessed":{"date-parts":[["2025",8,26]]},"issued":{"date-parts":[["2023",11,28]]}}}],"schema":"https://github.com/citation-style-language/schema/raw/master/csl-citation.json"} </w:instrText>
      </w:r>
      <w:r w:rsidR="0090582F">
        <w:rPr>
          <w:rFonts w:cstheme="minorHAnsi"/>
          <w:sz w:val="22"/>
          <w:szCs w:val="22"/>
        </w:rPr>
        <w:fldChar w:fldCharType="separate"/>
      </w:r>
      <w:r w:rsidR="00BC4723" w:rsidRPr="00BC4723">
        <w:rPr>
          <w:rFonts w:ascii="Calibri" w:hAnsi="Calibri" w:cs="Calibri"/>
          <w:sz w:val="22"/>
        </w:rPr>
        <w:t>(17)</w:t>
      </w:r>
      <w:r w:rsidR="0090582F">
        <w:rPr>
          <w:rFonts w:cstheme="minorHAnsi"/>
          <w:sz w:val="22"/>
          <w:szCs w:val="22"/>
        </w:rPr>
        <w:fldChar w:fldCharType="end"/>
      </w:r>
      <w:r w:rsidR="0090582F">
        <w:rPr>
          <w:rFonts w:cstheme="minorHAnsi"/>
          <w:sz w:val="22"/>
          <w:szCs w:val="22"/>
        </w:rPr>
        <w:t xml:space="preserve"> analyzed salivary gland activity in 21 mCRPC patients </w:t>
      </w:r>
      <w:r w:rsidR="009954D4">
        <w:rPr>
          <w:rFonts w:cstheme="minorHAnsi"/>
          <w:sz w:val="22"/>
          <w:szCs w:val="22"/>
        </w:rPr>
        <w:t>with history of prior Lu-PSMA TRT and standard-of-care treatment. They studied the gland volumes and tracer activity before and after one cycle of Ac-225 PSMA TAT. On average 20% decrease volume of the glands and about 40% decrease of mean relative SUV</w:t>
      </w:r>
      <w:r w:rsidR="009954D4" w:rsidRPr="006D4B46">
        <w:rPr>
          <w:rFonts w:cstheme="minorHAnsi"/>
          <w:sz w:val="22"/>
          <w:szCs w:val="22"/>
          <w:vertAlign w:val="subscript"/>
        </w:rPr>
        <w:t>max</w:t>
      </w:r>
      <w:r w:rsidR="009954D4">
        <w:rPr>
          <w:rFonts w:cstheme="minorHAnsi"/>
          <w:sz w:val="22"/>
          <w:szCs w:val="22"/>
        </w:rPr>
        <w:t xml:space="preserve"> and SUV</w:t>
      </w:r>
      <w:r w:rsidR="009954D4" w:rsidRPr="006D4B46">
        <w:rPr>
          <w:rFonts w:cstheme="minorHAnsi"/>
          <w:sz w:val="22"/>
          <w:szCs w:val="22"/>
          <w:vertAlign w:val="subscript"/>
        </w:rPr>
        <w:t>mean</w:t>
      </w:r>
      <w:r w:rsidR="009954D4">
        <w:rPr>
          <w:rFonts w:cstheme="minorHAnsi"/>
          <w:sz w:val="22"/>
          <w:szCs w:val="22"/>
        </w:rPr>
        <w:t xml:space="preserve"> (38.8% &amp; 42.4%, respectively) reported.</w:t>
      </w:r>
      <w:r w:rsidR="0090582F">
        <w:rPr>
          <w:rFonts w:cstheme="minorHAnsi"/>
          <w:sz w:val="22"/>
          <w:szCs w:val="22"/>
        </w:rPr>
        <w:t xml:space="preserve"> </w:t>
      </w:r>
      <w:r w:rsidRPr="0018521B">
        <w:rPr>
          <w:rFonts w:cstheme="minorHAnsi"/>
          <w:sz w:val="22"/>
          <w:szCs w:val="22"/>
        </w:rPr>
        <w:t xml:space="preserve">In non-PSMA alpha therapy with </w:t>
      </w:r>
      <w:r w:rsidR="00BC4723">
        <w:rPr>
          <w:rFonts w:cstheme="minorHAnsi"/>
          <w:sz w:val="22"/>
          <w:szCs w:val="22"/>
        </w:rPr>
        <w:t>A</w:t>
      </w:r>
      <w:r w:rsidR="00BC4723" w:rsidRPr="0018521B">
        <w:rPr>
          <w:rFonts w:cstheme="minorHAnsi"/>
          <w:sz w:val="22"/>
          <w:szCs w:val="22"/>
        </w:rPr>
        <w:t>ctinium</w:t>
      </w:r>
      <w:r w:rsidRPr="0018521B">
        <w:rPr>
          <w:rFonts w:cstheme="minorHAnsi"/>
          <w:sz w:val="22"/>
          <w:szCs w:val="22"/>
        </w:rPr>
        <w:t>-225 there are no indication of dry mouth complaint, which highlights further research into parotid</w:t>
      </w:r>
      <w:r w:rsidR="009A0B2E">
        <w:rPr>
          <w:rFonts w:cstheme="minorHAnsi"/>
          <w:sz w:val="22"/>
          <w:szCs w:val="22"/>
        </w:rPr>
        <w:t>e</w:t>
      </w:r>
      <w:r w:rsidRPr="0018521B">
        <w:rPr>
          <w:rFonts w:cstheme="minorHAnsi"/>
          <w:sz w:val="22"/>
          <w:szCs w:val="22"/>
        </w:rPr>
        <w:t xml:space="preserve"> protection strategies in </w:t>
      </w:r>
      <w:r w:rsidR="00F46584">
        <w:rPr>
          <w:rFonts w:cstheme="minorHAnsi"/>
          <w:sz w:val="22"/>
          <w:szCs w:val="22"/>
        </w:rPr>
        <w:t xml:space="preserve">in particular for </w:t>
      </w:r>
      <w:r w:rsidRPr="0018521B">
        <w:rPr>
          <w:rFonts w:cstheme="minorHAnsi"/>
          <w:sz w:val="22"/>
          <w:szCs w:val="22"/>
        </w:rPr>
        <w:t>actinium-225</w:t>
      </w:r>
      <w:r w:rsidR="00F46584">
        <w:rPr>
          <w:rFonts w:cstheme="minorHAnsi"/>
          <w:sz w:val="22"/>
          <w:szCs w:val="22"/>
        </w:rPr>
        <w:t xml:space="preserve"> based</w:t>
      </w:r>
      <w:r w:rsidRPr="0018521B">
        <w:rPr>
          <w:rFonts w:cstheme="minorHAnsi"/>
          <w:sz w:val="22"/>
          <w:szCs w:val="22"/>
        </w:rPr>
        <w:t xml:space="preserve"> TAT in prostate cancer therapy.</w:t>
      </w:r>
    </w:p>
    <w:p w14:paraId="7AC58F66" w14:textId="3670D277" w:rsidR="0018521B" w:rsidRPr="0018521B" w:rsidRDefault="00F46584" w:rsidP="00ED13C8">
      <w:pPr>
        <w:spacing w:after="120" w:line="360" w:lineRule="auto"/>
        <w:rPr>
          <w:rFonts w:cstheme="minorHAnsi"/>
          <w:sz w:val="22"/>
          <w:szCs w:val="22"/>
        </w:rPr>
      </w:pPr>
      <w:r>
        <w:rPr>
          <w:rFonts w:cstheme="minorHAnsi"/>
          <w:sz w:val="22"/>
          <w:szCs w:val="22"/>
        </w:rPr>
        <w:t>In our review, f</w:t>
      </w:r>
      <w:r w:rsidR="0018521B" w:rsidRPr="0018521B">
        <w:rPr>
          <w:rFonts w:cstheme="minorHAnsi"/>
          <w:sz w:val="22"/>
          <w:szCs w:val="22"/>
        </w:rPr>
        <w:t xml:space="preserve">ollowing PSMA, DOTA-TATE &amp; TOC ligands are the second most utilized ligands </w:t>
      </w:r>
      <w:r>
        <w:rPr>
          <w:rFonts w:cstheme="minorHAnsi"/>
          <w:sz w:val="22"/>
          <w:szCs w:val="22"/>
        </w:rPr>
        <w:t>labelled</w:t>
      </w:r>
      <w:r w:rsidR="0018521B" w:rsidRPr="0018521B">
        <w:rPr>
          <w:rFonts w:cstheme="minorHAnsi"/>
          <w:sz w:val="22"/>
          <w:szCs w:val="22"/>
        </w:rPr>
        <w:t xml:space="preserve"> with </w:t>
      </w:r>
      <w:r>
        <w:rPr>
          <w:rFonts w:cstheme="minorHAnsi"/>
          <w:sz w:val="22"/>
          <w:szCs w:val="22"/>
        </w:rPr>
        <w:t>Ac-225</w:t>
      </w:r>
      <w:r w:rsidR="0018521B" w:rsidRPr="0018521B">
        <w:rPr>
          <w:rFonts w:cstheme="minorHAnsi"/>
          <w:sz w:val="22"/>
          <w:szCs w:val="22"/>
        </w:rPr>
        <w:t>. They target somatostatin receptors expressed in various neuroendocrine tumors (NETs)</w:t>
      </w:r>
      <w:r w:rsidR="005675C9">
        <w:rPr>
          <w:rFonts w:cstheme="minorHAnsi"/>
          <w:sz w:val="22"/>
          <w:szCs w:val="22"/>
        </w:rPr>
        <w:fldChar w:fldCharType="begin"/>
      </w:r>
      <w:r w:rsidR="00BC4723">
        <w:rPr>
          <w:rFonts w:cstheme="minorHAnsi"/>
          <w:sz w:val="22"/>
          <w:szCs w:val="22"/>
        </w:rPr>
        <w:instrText xml:space="preserve"> ADDIN ZOTERO_ITEM CSL_CITATION {"citationID":"ZpnYA0h6","properties":{"formattedCitation":"(18)","plainCitation":"(18)","noteIndex":0},"citationItems":[{"id":1228,"uris":["http://zotero.org/users/15628667/items/HQ4XHL69"],"itemData":{"id":1228,"type":"article-journal","container-title":"Frontiers in Neuroendocrinology","DOI":"10.1016/j.yfrne.2013.07.005","ISSN":"00913022","issue":"3","journalAbbreviation":"Frontiers in Neuroendocrinology","language":"en","license":"https://www.elsevier.com/tdm/userlicense/1.0/","page":"228-252","source":"DOI.org (Crossref)","title":"Somatostatin receptors: From signaling to clinical practice","title-short":"Somatostatin receptors","URL":"https://linkinghub.elsevier.com/retrieve/pii/S0091302213000393","volume":"34","author":[{"family":"Theodoropoulou","given":"Marily"},{"family":"Stalla","given":"Günter K."}],"accessed":{"date-parts":[["2025",7,28]]},"issued":{"date-parts":[["2013",8]]}}}],"schema":"https://github.com/citation-style-language/schema/raw/master/csl-citation.json"} </w:instrText>
      </w:r>
      <w:r w:rsidR="005675C9">
        <w:rPr>
          <w:rFonts w:cstheme="minorHAnsi"/>
          <w:sz w:val="22"/>
          <w:szCs w:val="22"/>
        </w:rPr>
        <w:fldChar w:fldCharType="separate"/>
      </w:r>
      <w:r w:rsidR="00BC4723" w:rsidRPr="00BC4723">
        <w:rPr>
          <w:rFonts w:ascii="Calibri" w:hAnsi="Calibri" w:cs="Calibri"/>
          <w:sz w:val="22"/>
        </w:rPr>
        <w:t>(18)</w:t>
      </w:r>
      <w:r w:rsidR="005675C9">
        <w:rPr>
          <w:rFonts w:cstheme="minorHAnsi"/>
          <w:sz w:val="22"/>
          <w:szCs w:val="22"/>
        </w:rPr>
        <w:fldChar w:fldCharType="end"/>
      </w:r>
      <w:r w:rsidR="0018521B" w:rsidRPr="0018521B">
        <w:rPr>
          <w:rFonts w:cstheme="minorHAnsi"/>
          <w:sz w:val="22"/>
          <w:szCs w:val="22"/>
        </w:rPr>
        <w:t>. All the retrieved papers reported neither acute toxicity nor life-threatening adverse events</w:t>
      </w:r>
      <w:r>
        <w:rPr>
          <w:rFonts w:cstheme="minorHAnsi"/>
          <w:sz w:val="22"/>
          <w:szCs w:val="22"/>
        </w:rPr>
        <w:t xml:space="preserve"> after</w:t>
      </w:r>
      <w:r w:rsidRPr="0018521B">
        <w:rPr>
          <w:rFonts w:cstheme="minorHAnsi"/>
          <w:sz w:val="22"/>
          <w:szCs w:val="22"/>
        </w:rPr>
        <w:t xml:space="preserve"> TAT with actinium-225</w:t>
      </w:r>
      <w:r w:rsidR="0018521B" w:rsidRPr="0018521B">
        <w:rPr>
          <w:rFonts w:cstheme="minorHAnsi"/>
          <w:sz w:val="22"/>
          <w:szCs w:val="22"/>
        </w:rPr>
        <w:t xml:space="preserve">. Overall, the radiotracer administration of either DOTATATE or DOTATOC was </w:t>
      </w:r>
      <w:r>
        <w:rPr>
          <w:rFonts w:cstheme="minorHAnsi"/>
          <w:sz w:val="22"/>
          <w:szCs w:val="22"/>
        </w:rPr>
        <w:t xml:space="preserve">well </w:t>
      </w:r>
      <w:r w:rsidR="0018521B" w:rsidRPr="0018521B">
        <w:rPr>
          <w:rFonts w:cstheme="minorHAnsi"/>
          <w:sz w:val="22"/>
          <w:szCs w:val="22"/>
        </w:rPr>
        <w:t xml:space="preserve">tolerated, and it is worth mentioning that nausea and vomiting events—the most common side effect—post-therapy might be </w:t>
      </w:r>
      <w:r>
        <w:rPr>
          <w:rFonts w:cstheme="minorHAnsi"/>
          <w:sz w:val="22"/>
          <w:szCs w:val="22"/>
        </w:rPr>
        <w:t xml:space="preserve">related </w:t>
      </w:r>
      <w:r w:rsidR="004E716D">
        <w:rPr>
          <w:rFonts w:cstheme="minorHAnsi"/>
          <w:sz w:val="22"/>
          <w:szCs w:val="22"/>
        </w:rPr>
        <w:t xml:space="preserve">rather </w:t>
      </w:r>
      <w:r>
        <w:rPr>
          <w:rFonts w:cstheme="minorHAnsi"/>
          <w:sz w:val="22"/>
          <w:szCs w:val="22"/>
        </w:rPr>
        <w:t>to</w:t>
      </w:r>
      <w:r w:rsidR="0018521B" w:rsidRPr="0018521B">
        <w:rPr>
          <w:rFonts w:cstheme="minorHAnsi"/>
          <w:sz w:val="22"/>
          <w:szCs w:val="22"/>
        </w:rPr>
        <w:t xml:space="preserve"> </w:t>
      </w:r>
      <w:r>
        <w:rPr>
          <w:rFonts w:cstheme="minorHAnsi"/>
          <w:sz w:val="22"/>
          <w:szCs w:val="22"/>
        </w:rPr>
        <w:t xml:space="preserve">amino acid </w:t>
      </w:r>
      <w:r w:rsidR="0018521B" w:rsidRPr="0018521B">
        <w:rPr>
          <w:rFonts w:cstheme="minorHAnsi"/>
          <w:sz w:val="22"/>
          <w:szCs w:val="22"/>
        </w:rPr>
        <w:t>infusion</w:t>
      </w:r>
      <w:r>
        <w:rPr>
          <w:rFonts w:cstheme="minorHAnsi"/>
          <w:sz w:val="22"/>
          <w:szCs w:val="22"/>
        </w:rPr>
        <w:t xml:space="preserve"> for renal protection than TAT itself</w:t>
      </w:r>
      <w:r w:rsidR="0018521B" w:rsidRPr="0018521B">
        <w:rPr>
          <w:rFonts w:cstheme="minorHAnsi"/>
          <w:sz w:val="22"/>
          <w:szCs w:val="22"/>
        </w:rPr>
        <w:t>. Furthermore, besides nausea and vomiting, hematological and renal toxicities (most of them of grade 1 &amp; 2) were reported, followed by weight loss, fatigue, flushing, and headache.</w:t>
      </w:r>
    </w:p>
    <w:p w14:paraId="14C465AE" w14:textId="7C857675" w:rsidR="0018521B" w:rsidRPr="0018521B" w:rsidRDefault="0018521B" w:rsidP="00ED13C8">
      <w:pPr>
        <w:spacing w:after="120" w:line="360" w:lineRule="auto"/>
        <w:rPr>
          <w:rFonts w:cstheme="minorHAnsi"/>
          <w:sz w:val="22"/>
          <w:szCs w:val="22"/>
        </w:rPr>
      </w:pPr>
      <w:r w:rsidRPr="0018521B">
        <w:rPr>
          <w:rFonts w:cstheme="minorHAnsi"/>
          <w:sz w:val="22"/>
          <w:szCs w:val="22"/>
        </w:rPr>
        <w:t xml:space="preserve">In this context, two papers (a preliminary study and a case report) evaluated the efficacy and safety of </w:t>
      </w:r>
      <w:r w:rsidR="00F46584">
        <w:rPr>
          <w:rFonts w:cstheme="minorHAnsi"/>
          <w:sz w:val="22"/>
          <w:szCs w:val="22"/>
        </w:rPr>
        <w:t>[</w:t>
      </w:r>
      <w:r w:rsidRPr="00F46584">
        <w:rPr>
          <w:rFonts w:cstheme="minorHAnsi"/>
          <w:sz w:val="22"/>
          <w:szCs w:val="22"/>
          <w:vertAlign w:val="superscript"/>
        </w:rPr>
        <w:t>225</w:t>
      </w:r>
      <w:r w:rsidRPr="0018521B">
        <w:rPr>
          <w:rFonts w:cstheme="minorHAnsi"/>
          <w:sz w:val="22"/>
          <w:szCs w:val="22"/>
        </w:rPr>
        <w:t>Ac</w:t>
      </w:r>
      <w:r w:rsidR="00F46584">
        <w:rPr>
          <w:rFonts w:cstheme="minorHAnsi"/>
          <w:sz w:val="22"/>
          <w:szCs w:val="22"/>
        </w:rPr>
        <w:t>]Ac</w:t>
      </w:r>
      <w:r w:rsidRPr="0018521B">
        <w:rPr>
          <w:rFonts w:cstheme="minorHAnsi"/>
          <w:sz w:val="22"/>
          <w:szCs w:val="22"/>
        </w:rPr>
        <w:t xml:space="preserve">-DOTATATE as a first-line PRRT in GEP-NET patients prior to beta therapy </w:t>
      </w:r>
      <w:r w:rsidR="004F038D">
        <w:rPr>
          <w:rFonts w:cstheme="minorHAnsi"/>
          <w:sz w:val="22"/>
          <w:szCs w:val="22"/>
        </w:rPr>
        <w:fldChar w:fldCharType="begin"/>
      </w:r>
      <w:r w:rsidR="00BC4723">
        <w:rPr>
          <w:rFonts w:cstheme="minorHAnsi"/>
          <w:sz w:val="22"/>
          <w:szCs w:val="22"/>
        </w:rPr>
        <w:instrText xml:space="preserve"> ADDIN ZOTERO_ITEM CSL_CITATION {"citationID":"6JcjGgit","properties":{"formattedCitation":"(19,20)","plainCitation":"(19,20)","noteIndex":0},"citationItems":[{"id":1207,"uris":["http://zotero.org/users/15628667/items/F6S26YM8"],"itemData":{"id":1207,"type":"article-journal","abstract":"Abstract          The utility of β-emitter 177Lu-DOTATATE in patients of neuroendocrine tumors (NETs) with widespread skeletal metastases is limited by its relatively modest response rates and a significant concern for hematotoxicity. In such situations, targeted α therapy with 225Ac-DOTATATE can be potentially beneficial. In this report, a 46-year-old man with rectal NET and extensive skeletal metastases was treated upfront with 6 cycles of 225Ac-DOTATATE at 8 weeks’ intervals. The patient showed excellent symptomatic, biochemical, and radiological response with no grade 3/4 adverse events. The first-line use of 225Ac-DOTATATE, therefore, presents a novel strategy for metastatic NETs with high skeletal disease burden.","container-title":"Clinical Nuclear Medicine","DOI":"10.1097/rlu.0000000000003823","ISSN":"1536-0229, 0363-9762","issue":"2","journalAbbreviation":"Clin Nucl Med","language":"en","note":"publisher: Ovid Technologies (Wolters Kluwer Health)","page":"e156-e157","source":"Crossref","title":"Alpha Before Beta: Exceptional Response to First-Line 225Ac-DOTATATE in a Patient of Metastatic Neuroendocrine Tumor With Extensive Skeletal Involvement","title-short":"Alpha Before Beta","URL":"https://journals.lww.com/10.1097/RLU.0000000000003823","volume":"47","author":[{"family":"Satapathy","given":"Swayamjeet"},{"family":"Sood","given":"Ashwani"},{"family":"Das","given":"Chandan Krushna"},{"family":"Kavanal","given":"Anwin Joseph"},{"family":"Mittal","given":"Bhagwant Rai"}],"accessed":{"date-parts":[["2025",7,25]]},"issued":{"date-parts":[["2022",2]]}}},{"id":1127,"uris":["http://zotero.org/users/15628667/items/9A3BL8NV"],"itemData":{"id":1127,"type":"article-journal","abstract":"P148 Introduction: PRRT with Lutetium -177(Lu177) DOTATATE is the first radiopharmaceutical approved by FDA for NETs. The limitation of Lu177-DOTATATE therapy is that 26– 55% only achieve stabilisation of disease and 18–32% are refractory . In this study, we report first clinical experience of two cases of rectal and ileal NET treated with Actinium225(Ac225)- DOTATATE as first line treatment .Methods: Two patients with Gallium-68(Ga68) DOTANOC avid NET was selected to undergo treatment with Ac225 DOTATATE as first line treatment .one patient underwent 2 cycles (7.4Mbq per cycle) along with aminoacid infusion to protect kidneys .another patient underwent 1 cycle .Endpoints included biochemical and radiologic response ,hematologic and nephtotoxicity ,post therapy imaging and health-related quality of life. Serum .Chromogranin(CgA) was determined every 4 wk. Interim DOTANOC PET CT was performed after each cycle.Results: first patient is 65 year old male presented with rectal pain ,on evaluation found to have rectal lesion and biospy showed grade 1 NET(Ki67-4%).Ga68 DOTANOC PET CT showed intense avid pararectal lesion, retroperiotneal lymphnodes ,liver lesions and right rib metastases.He underwent Ac225 DOTATATE . Posttherapy images were acquired at 24 hours. Highenergy generalpurpose collimators were used for both whole body and SPECT/CT using 218.keV and 440keV photon energies with 20% window width. Repeat PET CT at 2 months showed partial response in all lesions and CgA showed decreasing trend. He underwent 2nd cycle and on followup with no side effects and complete pain relief.Second patient is 70 year old male on diagnostic laparascopy showed multiple small bowel lesions ,on biopsy showed grade 1 NET .Ga68 DOTANOC PET CT images showed atleast 5 lesions in ileum with mesentric nodes .Patient prefered for Ac225 DOTATATE as first line treatment .After 2 months ,Interim PET CT showed partial response and without any side effects . Conclusions: We present here our first clinical experience on Ac225- DOTATATE therapy in 2 NET patients, a promising first line treatment option extending new dimension to treatment of NET.Post therapy Ac225 DOTATATE SPECT CT and whole body images were acquired at 218 and 440 Kev .Both patients showed partial response with no side effects and is on followup .","container-title":"Journal of Nuclear Medicine","issue":"supplement 1","journalAbbreviation":"J Nucl Med","page":"P148","title":"&lt;strong&gt;Actinium225 –DOTATATE peptide receptor radionuclide therapy(PRRT) as first line treatment in two cases of bowel Neuroendocrine tumors .&lt;/strong&gt;","URL":"http://jnm.snmjournals.org/content/64/supplement_1/P148.abstract","volume":"64","author":[{"family":"Kamaleshwaran","given":"Koramadai Karuppusamy"},{"family":"Kumar","given":"Ram"}],"issued":{"date-parts":[["2023",6,1]]}}}],"schema":"https://github.com/citation-style-language/schema/raw/master/csl-citation.json"} </w:instrText>
      </w:r>
      <w:r w:rsidR="004F038D">
        <w:rPr>
          <w:rFonts w:cstheme="minorHAnsi"/>
          <w:sz w:val="22"/>
          <w:szCs w:val="22"/>
        </w:rPr>
        <w:fldChar w:fldCharType="separate"/>
      </w:r>
      <w:r w:rsidR="00BC4723" w:rsidRPr="00BC4723">
        <w:rPr>
          <w:rFonts w:ascii="Calibri" w:hAnsi="Calibri" w:cs="Calibri"/>
          <w:sz w:val="22"/>
        </w:rPr>
        <w:t>(19,20)</w:t>
      </w:r>
      <w:r w:rsidR="004F038D">
        <w:rPr>
          <w:rFonts w:cstheme="minorHAnsi"/>
          <w:sz w:val="22"/>
          <w:szCs w:val="22"/>
        </w:rPr>
        <w:fldChar w:fldCharType="end"/>
      </w:r>
      <w:r w:rsidRPr="0018521B">
        <w:rPr>
          <w:rFonts w:cstheme="minorHAnsi"/>
          <w:sz w:val="22"/>
          <w:szCs w:val="22"/>
        </w:rPr>
        <w:t xml:space="preserve">. No grade 3 or 4 hemato/nephrologic adverse events seen along with symptom reduction and good response to therapy. Aside from GEP-NET, one study </w:t>
      </w:r>
      <w:r w:rsidR="004F038D">
        <w:rPr>
          <w:rFonts w:cstheme="minorHAnsi"/>
          <w:sz w:val="22"/>
          <w:szCs w:val="22"/>
        </w:rPr>
        <w:fldChar w:fldCharType="begin"/>
      </w:r>
      <w:r w:rsidR="00BC4723">
        <w:rPr>
          <w:rFonts w:cstheme="minorHAnsi"/>
          <w:sz w:val="22"/>
          <w:szCs w:val="22"/>
        </w:rPr>
        <w:instrText xml:space="preserve"> ADDIN ZOTERO_ITEM CSL_CITATION {"citationID":"FlZMsp2C","properties":{"formattedCitation":"(21)","plainCitation":"(21)","noteIndex":0},"citationItems":[{"id":250,"uris":["http://zotero.org/users/15628667/items/3Z3YA745"],"itemData":{"id":250,"type":"article-journal","abstract":"PURPOSE: In this study, we aim to evaluate the efficacy and safety of (225)AC-DOTATATE targeted alpha therapy in advanced-stage paragangliomas (PGLs).  METHODS: Nine (6 males and 3 females) consecutive patients with histologically  proven PGLs were treated with (225)Ac-DOTATATE targeted alpha therapy (TAT) and  concomitant radiosensitizer, capecitabine, at 8-weekly intervals up to a  cumulative activity of ~ 74 MBq. The primary endpoint included evaluating therapy  response and disease control rate (DCR) using the RECIST 1.1 criteria. Additional  secondary endpoints comprised clinical response assessment using EORTC QLQ-H&amp;N35  questionnaire, Karnofsky Performance Scale (KPS), Eastern Cooperative Oncology  Group performance status (ECOG), analgesic score (AS), dose alterations of  anti-hypertensive drugs (anti-HTN), and the safety and side-effect profile  evaluation as per CTCAE criteria version 5.0. RESULTS: Following (225)Ac-DOTATATE  treatment, morphological response revealed partial response in 50%, stable  disease in 37.5%, and disease progression in 12.5%, with a DCR of 87.5%.  Similarly, the symptomatic response was remarkable, and anti-HTN drugs were  stopped in 25% and reduced in 37.5%. Another significant finding in our study  revealed a morphologic DCR of 66.6% (2/3) in patients who failed previous  lutetium-177 peptide receptor radionuclide therapy ((177)Lu-PRRT). Regarding the  KPS, ECOG, and AS performance scores, a notable improvement was observed  post-(225)Ac-DOTATATE treatment. The QLQ-H&amp;N35 symptom scores evaluated in seven  H&amp;N PGL patients showed significant improvement in all aspects. No improvement in  sexual function was noted (P = 0.3559). Despite the significant reduction in the  analgesic score post-treatment (P = 0.0031), the QLQ-H&amp;N35 revealed only marginal  significance concerning the intake of pain killers (P = 0.1723). No grade III/IV  hematological, renal, and hepatological toxicities were noted. CONCLUSION: The  evidence from this study suggests (225)Ac-DOTATATE therapy is effective and safe  in the treatment of advanced-stage PGLs and also reports a clear benefit even in  patient's refractory to the previous (177)Lu-PRRT.","container-title":"European journal of nuclear medicine and molecular imaging","DOI":"10.1007/s00259-021-05632-5","ISSN":"1619-7089 1619-7070","issue":"5","journalAbbreviation":"Eur J Nucl Med Mol Imaging","language":"eng","license":"© 2021. The Author(s), under exclusive licence to Springer-Verlag GmbH Germany, part of Springer Nature.","note":"publisher-place: Germany\nPMID: 34837103 \nPMCID: PMC8626283","page":"1595-1606","title":"Efficacy and safety of (225)Ac-DOTATATE targeted alpha therapy in metastatic paragangliomas: a pilot study.","volume":"49","author":[{"family":"Yadav","given":"Madhav Prasad"},{"family":"Ballal","given":"Sanjana"},{"family":"Sahoo","given":"Ranjit Kumar"},{"family":"Bal","given":"Chandrasekhar"}],"issued":{"date-parts":[["2022",4]]}}}],"schema":"https://github.com/citation-style-language/schema/raw/master/csl-citation.json"} </w:instrText>
      </w:r>
      <w:r w:rsidR="004F038D">
        <w:rPr>
          <w:rFonts w:cstheme="minorHAnsi"/>
          <w:sz w:val="22"/>
          <w:szCs w:val="22"/>
        </w:rPr>
        <w:fldChar w:fldCharType="separate"/>
      </w:r>
      <w:r w:rsidR="00BC4723" w:rsidRPr="00BC4723">
        <w:rPr>
          <w:rFonts w:ascii="Calibri" w:hAnsi="Calibri" w:cs="Calibri"/>
          <w:sz w:val="22"/>
        </w:rPr>
        <w:t>(21)</w:t>
      </w:r>
      <w:r w:rsidR="004F038D">
        <w:rPr>
          <w:rFonts w:cstheme="minorHAnsi"/>
          <w:sz w:val="22"/>
          <w:szCs w:val="22"/>
        </w:rPr>
        <w:fldChar w:fldCharType="end"/>
      </w:r>
      <w:r w:rsidRPr="0018521B">
        <w:rPr>
          <w:rFonts w:cstheme="minorHAnsi"/>
          <w:sz w:val="22"/>
          <w:szCs w:val="22"/>
        </w:rPr>
        <w:t xml:space="preserve"> prospectively administered </w:t>
      </w:r>
      <w:r w:rsidR="00F46584">
        <w:rPr>
          <w:rFonts w:cstheme="minorHAnsi"/>
          <w:sz w:val="22"/>
          <w:szCs w:val="22"/>
        </w:rPr>
        <w:t>[</w:t>
      </w:r>
      <w:r w:rsidR="00F46584" w:rsidRPr="00F46584">
        <w:rPr>
          <w:rFonts w:cstheme="minorHAnsi"/>
          <w:sz w:val="22"/>
          <w:szCs w:val="22"/>
          <w:vertAlign w:val="superscript"/>
        </w:rPr>
        <w:t>225</w:t>
      </w:r>
      <w:r w:rsidR="00F46584" w:rsidRPr="0018521B">
        <w:rPr>
          <w:rFonts w:cstheme="minorHAnsi"/>
          <w:sz w:val="22"/>
          <w:szCs w:val="22"/>
        </w:rPr>
        <w:t>Ac</w:t>
      </w:r>
      <w:r w:rsidR="00F46584">
        <w:rPr>
          <w:rFonts w:cstheme="minorHAnsi"/>
          <w:sz w:val="22"/>
          <w:szCs w:val="22"/>
        </w:rPr>
        <w:t>]Ac</w:t>
      </w:r>
      <w:r w:rsidR="00F46584" w:rsidRPr="0018521B">
        <w:rPr>
          <w:rFonts w:cstheme="minorHAnsi"/>
          <w:sz w:val="22"/>
          <w:szCs w:val="22"/>
        </w:rPr>
        <w:t xml:space="preserve">-DOTATATE </w:t>
      </w:r>
      <w:r w:rsidRPr="0018521B">
        <w:rPr>
          <w:rFonts w:cstheme="minorHAnsi"/>
          <w:sz w:val="22"/>
          <w:szCs w:val="22"/>
        </w:rPr>
        <w:t xml:space="preserve">in nine </w:t>
      </w:r>
      <w:r w:rsidR="00F46584">
        <w:rPr>
          <w:rFonts w:cstheme="minorHAnsi"/>
          <w:sz w:val="22"/>
          <w:szCs w:val="22"/>
        </w:rPr>
        <w:t xml:space="preserve">patients with </w:t>
      </w:r>
      <w:r w:rsidRPr="0018521B">
        <w:rPr>
          <w:rFonts w:cstheme="minorHAnsi"/>
          <w:sz w:val="22"/>
          <w:szCs w:val="22"/>
        </w:rPr>
        <w:lastRenderedPageBreak/>
        <w:t xml:space="preserve">paraganglioma that previously received </w:t>
      </w:r>
      <w:r w:rsidR="00B9121B" w:rsidRPr="00B9121B">
        <w:rPr>
          <w:rFonts w:cstheme="minorHAnsi"/>
          <w:sz w:val="22"/>
          <w:szCs w:val="22"/>
        </w:rPr>
        <w:t>Lu-177</w:t>
      </w:r>
      <w:r w:rsidR="00B9121B">
        <w:rPr>
          <w:rFonts w:cstheme="minorHAnsi"/>
          <w:sz w:val="22"/>
          <w:szCs w:val="22"/>
        </w:rPr>
        <w:t xml:space="preserve"> </w:t>
      </w:r>
      <w:r w:rsidRPr="0018521B">
        <w:rPr>
          <w:rFonts w:cstheme="minorHAnsi"/>
          <w:sz w:val="22"/>
          <w:szCs w:val="22"/>
        </w:rPr>
        <w:t xml:space="preserve">based PRRT or </w:t>
      </w:r>
      <w:r w:rsidR="004E716D">
        <w:rPr>
          <w:rFonts w:cstheme="minorHAnsi"/>
          <w:sz w:val="22"/>
          <w:szCs w:val="22"/>
        </w:rPr>
        <w:t>[</w:t>
      </w:r>
      <w:r w:rsidR="004E716D" w:rsidRPr="002B7349">
        <w:rPr>
          <w:rFonts w:cstheme="minorHAnsi"/>
          <w:sz w:val="22"/>
          <w:szCs w:val="22"/>
          <w:vertAlign w:val="superscript"/>
        </w:rPr>
        <w:t>131</w:t>
      </w:r>
      <w:r w:rsidR="00B9121B">
        <w:rPr>
          <w:rFonts w:cstheme="minorHAnsi"/>
          <w:sz w:val="22"/>
          <w:szCs w:val="22"/>
        </w:rPr>
        <w:t>I</w:t>
      </w:r>
      <w:r w:rsidR="004E716D">
        <w:rPr>
          <w:rFonts w:cstheme="minorHAnsi"/>
          <w:sz w:val="22"/>
          <w:szCs w:val="22"/>
        </w:rPr>
        <w:t>]I-</w:t>
      </w:r>
      <w:r w:rsidRPr="0018521B">
        <w:rPr>
          <w:rFonts w:cstheme="minorHAnsi"/>
          <w:sz w:val="22"/>
          <w:szCs w:val="22"/>
        </w:rPr>
        <w:t xml:space="preserve">MIBG. TAT was reported overall safe even at higher doses of </w:t>
      </w:r>
      <w:r w:rsidR="00B9121B">
        <w:rPr>
          <w:rFonts w:cstheme="minorHAnsi"/>
          <w:sz w:val="22"/>
          <w:szCs w:val="22"/>
        </w:rPr>
        <w:t>Ac-225</w:t>
      </w:r>
      <w:r w:rsidRPr="0018521B">
        <w:rPr>
          <w:rFonts w:cstheme="minorHAnsi"/>
          <w:sz w:val="22"/>
          <w:szCs w:val="22"/>
        </w:rPr>
        <w:t>, up to 74 MBq.</w:t>
      </w:r>
    </w:p>
    <w:p w14:paraId="61964A69" w14:textId="6EA91B94" w:rsidR="0018521B" w:rsidRPr="0018521B" w:rsidRDefault="0018521B" w:rsidP="00ED13C8">
      <w:pPr>
        <w:spacing w:after="120" w:line="360" w:lineRule="auto"/>
        <w:rPr>
          <w:rFonts w:cstheme="minorHAnsi"/>
          <w:sz w:val="22"/>
          <w:szCs w:val="22"/>
        </w:rPr>
      </w:pPr>
      <w:r w:rsidRPr="0018521B">
        <w:rPr>
          <w:rFonts w:cstheme="minorHAnsi"/>
          <w:sz w:val="22"/>
          <w:szCs w:val="22"/>
        </w:rPr>
        <w:t xml:space="preserve">As mentioned earlier, we collected two articles that utilized TAT with </w:t>
      </w:r>
      <w:r w:rsidR="00F46584">
        <w:rPr>
          <w:rFonts w:cstheme="minorHAnsi"/>
          <w:sz w:val="22"/>
          <w:szCs w:val="22"/>
        </w:rPr>
        <w:t>[</w:t>
      </w:r>
      <w:r w:rsidR="00F46584" w:rsidRPr="00F46584">
        <w:rPr>
          <w:rFonts w:cstheme="minorHAnsi"/>
          <w:sz w:val="22"/>
          <w:szCs w:val="22"/>
          <w:vertAlign w:val="superscript"/>
        </w:rPr>
        <w:t>225</w:t>
      </w:r>
      <w:r w:rsidR="00F46584" w:rsidRPr="0018521B">
        <w:rPr>
          <w:rFonts w:cstheme="minorHAnsi"/>
          <w:sz w:val="22"/>
          <w:szCs w:val="22"/>
        </w:rPr>
        <w:t>Ac</w:t>
      </w:r>
      <w:r w:rsidR="00F46584">
        <w:rPr>
          <w:rFonts w:cstheme="minorHAnsi"/>
          <w:sz w:val="22"/>
          <w:szCs w:val="22"/>
        </w:rPr>
        <w:t>]Ac</w:t>
      </w:r>
      <w:r w:rsidR="00F46584" w:rsidRPr="0018521B">
        <w:rPr>
          <w:rFonts w:cstheme="minorHAnsi"/>
          <w:sz w:val="22"/>
          <w:szCs w:val="22"/>
        </w:rPr>
        <w:t>-DOTAT</w:t>
      </w:r>
      <w:r w:rsidR="00F46584">
        <w:rPr>
          <w:rFonts w:cstheme="minorHAnsi"/>
          <w:sz w:val="22"/>
          <w:szCs w:val="22"/>
        </w:rPr>
        <w:t xml:space="preserve">OC </w:t>
      </w:r>
      <w:r w:rsidRPr="0018521B">
        <w:rPr>
          <w:rFonts w:cstheme="minorHAnsi"/>
          <w:sz w:val="22"/>
          <w:szCs w:val="22"/>
        </w:rPr>
        <w:t xml:space="preserve">in NET patients </w:t>
      </w:r>
      <w:r w:rsidR="004F038D">
        <w:rPr>
          <w:rFonts w:cstheme="minorHAnsi"/>
          <w:sz w:val="22"/>
          <w:szCs w:val="22"/>
        </w:rPr>
        <w:fldChar w:fldCharType="begin"/>
      </w:r>
      <w:r w:rsidR="00BC4723">
        <w:rPr>
          <w:rFonts w:cstheme="minorHAnsi"/>
          <w:sz w:val="22"/>
          <w:szCs w:val="22"/>
        </w:rPr>
        <w:instrText xml:space="preserve"> ADDIN ZOTERO_ITEM CSL_CITATION {"citationID":"s4AwY7Bu","properties":{"formattedCitation":"(22,23)","plainCitation":"(22,23)","noteIndex":0},"citationItems":[{"id":1142,"uris":["http://zotero.org/users/15628667/items/3738AKDT"],"itemData":{"id":1142,"type":"article-journal","abstract":"The aim of this retrospective analysis is to estimate the most appropriate single cycle and cumulative doses of 225Ac-DOTATOC in patients treated for somatostatin-receptor-expressing cancers.","container-title":"European Journal of Nuclear Medicine and Molecular Imaging","DOI":"10.1007/s00259-021-05474-1","ISSN":"1619-7089","issue":"1","journalAbbreviation":"European Journal of Nuclear Medicine and Molecular Imaging","page":"54-63","title":"Dosing 225Ac-DOTATOC in patients with somatostatin-receptor-positive solid tumors: 5-year follow-up of hematological and renal toxicity","URL":"https://doi.org/10.1007/s00259-021-05474-1","volume":"49","author":[{"family":"Kratochwil","given":"Clemens"},{"family":"Apostolidis","given":"Leonidas"},{"family":"Rathke","given":"Hendrik"},{"family":"Apostolidis","given":"Christos"},{"family":"Bicu","given":"Felix"},{"family":"Bruchertseifer","given":"Frank"},{"family":"Choyke","given":"Peter L."},{"family":"Haberkorn","given":"Uwe"},{"family":"Giesel","given":"Frederik L."},{"family":"Morgenstern","given":"Alfred"}],"issued":{"date-parts":[["2021",12,1]]}}},{"id":1210,"uris":["http://zotero.org/users/15628667/items/ITWG46Q7"],"itemData":{"id":1210,"type":"article-journal","container-title":"European Journal of Nuclear Medicine and Molecular Imaging","DOI":"10.1007/s00259-022-05924-4","ISSN":"1619-7070, 1619-7089","issue":"S1","journalAbbreviation":"Eur J Nucl Med Mol Imaging","language":"en","license":"https://www.springernature.com/gp/researchers/text-and-data-mining","note":"publisher: Springer Science and Business Media LLC","page":"1-751","source":"Crossref","title":"Annual Congress of the European Association of Nuclear Medicine October 15-19, 2022 Barcelona, Spain","URL":"https://link.springer.com/10.1007/s00259-022-05924-4","volume":"49","author":[{"family":"Kulkarni","given":""}],"accessed":{"date-parts":[["2025",7,25]]},"issued":{"date-parts":[["2022",9]]}}}],"schema":"https://github.com/citation-style-language/schema/raw/master/csl-citation.json"} </w:instrText>
      </w:r>
      <w:r w:rsidR="004F038D">
        <w:rPr>
          <w:rFonts w:cstheme="minorHAnsi"/>
          <w:sz w:val="22"/>
          <w:szCs w:val="22"/>
        </w:rPr>
        <w:fldChar w:fldCharType="separate"/>
      </w:r>
      <w:r w:rsidR="00BC4723" w:rsidRPr="00BC4723">
        <w:rPr>
          <w:rFonts w:ascii="Calibri" w:hAnsi="Calibri" w:cs="Calibri"/>
          <w:sz w:val="22"/>
        </w:rPr>
        <w:t>(22,23)</w:t>
      </w:r>
      <w:r w:rsidR="004F038D">
        <w:rPr>
          <w:rFonts w:cstheme="minorHAnsi"/>
          <w:sz w:val="22"/>
          <w:szCs w:val="22"/>
        </w:rPr>
        <w:fldChar w:fldCharType="end"/>
      </w:r>
      <w:r w:rsidRPr="0018521B">
        <w:rPr>
          <w:rFonts w:cstheme="minorHAnsi"/>
          <w:sz w:val="22"/>
          <w:szCs w:val="22"/>
        </w:rPr>
        <w:t xml:space="preserve">. Most of the patients </w:t>
      </w:r>
      <w:r w:rsidR="00F46584">
        <w:rPr>
          <w:rFonts w:cstheme="minorHAnsi"/>
          <w:sz w:val="22"/>
          <w:szCs w:val="22"/>
        </w:rPr>
        <w:t xml:space="preserve">were </w:t>
      </w:r>
      <w:r w:rsidRPr="0018521B">
        <w:rPr>
          <w:rFonts w:cstheme="minorHAnsi"/>
          <w:sz w:val="22"/>
          <w:szCs w:val="22"/>
        </w:rPr>
        <w:t xml:space="preserve">treated </w:t>
      </w:r>
      <w:r w:rsidR="003350EE">
        <w:rPr>
          <w:rFonts w:cstheme="minorHAnsi"/>
          <w:sz w:val="22"/>
          <w:szCs w:val="22"/>
        </w:rPr>
        <w:t>previously</w:t>
      </w:r>
      <w:r w:rsidR="003350EE" w:rsidRPr="0018521B">
        <w:rPr>
          <w:rFonts w:cstheme="minorHAnsi"/>
          <w:sz w:val="22"/>
          <w:szCs w:val="22"/>
        </w:rPr>
        <w:t xml:space="preserve"> </w:t>
      </w:r>
      <w:r w:rsidRPr="0018521B">
        <w:rPr>
          <w:rFonts w:cstheme="minorHAnsi"/>
          <w:sz w:val="22"/>
          <w:szCs w:val="22"/>
        </w:rPr>
        <w:t xml:space="preserve">with </w:t>
      </w:r>
      <w:r w:rsidRPr="002B7349">
        <w:rPr>
          <w:rFonts w:cstheme="minorHAnsi"/>
          <w:sz w:val="22"/>
          <w:szCs w:val="22"/>
          <w:vertAlign w:val="superscript"/>
        </w:rPr>
        <w:t>177</w:t>
      </w:r>
      <w:r w:rsidRPr="0018521B">
        <w:rPr>
          <w:rFonts w:cstheme="minorHAnsi"/>
          <w:sz w:val="22"/>
          <w:szCs w:val="22"/>
        </w:rPr>
        <w:t xml:space="preserve">Lu-based PRRT or received Lutetium-177 in combination with TAT. </w:t>
      </w:r>
      <w:r w:rsidR="00F46584">
        <w:rPr>
          <w:rFonts w:cstheme="minorHAnsi"/>
          <w:sz w:val="22"/>
          <w:szCs w:val="22"/>
        </w:rPr>
        <w:t>[</w:t>
      </w:r>
      <w:r w:rsidR="00F46584" w:rsidRPr="00F46584">
        <w:rPr>
          <w:rFonts w:cstheme="minorHAnsi"/>
          <w:sz w:val="22"/>
          <w:szCs w:val="22"/>
          <w:vertAlign w:val="superscript"/>
        </w:rPr>
        <w:t>225</w:t>
      </w:r>
      <w:r w:rsidR="00F46584" w:rsidRPr="0018521B">
        <w:rPr>
          <w:rFonts w:cstheme="minorHAnsi"/>
          <w:sz w:val="22"/>
          <w:szCs w:val="22"/>
        </w:rPr>
        <w:t>Ac</w:t>
      </w:r>
      <w:r w:rsidR="00F46584">
        <w:rPr>
          <w:rFonts w:cstheme="minorHAnsi"/>
          <w:sz w:val="22"/>
          <w:szCs w:val="22"/>
        </w:rPr>
        <w:t>]Ac</w:t>
      </w:r>
      <w:r w:rsidR="00F46584" w:rsidRPr="0018521B">
        <w:rPr>
          <w:rFonts w:cstheme="minorHAnsi"/>
          <w:sz w:val="22"/>
          <w:szCs w:val="22"/>
        </w:rPr>
        <w:t>-DOTAT</w:t>
      </w:r>
      <w:r w:rsidR="00F46584">
        <w:rPr>
          <w:rFonts w:cstheme="minorHAnsi"/>
          <w:sz w:val="22"/>
          <w:szCs w:val="22"/>
        </w:rPr>
        <w:t>OC</w:t>
      </w:r>
      <w:r w:rsidR="00F46584" w:rsidRPr="0018521B">
        <w:rPr>
          <w:rFonts w:cstheme="minorHAnsi"/>
          <w:sz w:val="22"/>
          <w:szCs w:val="22"/>
        </w:rPr>
        <w:t xml:space="preserve"> </w:t>
      </w:r>
      <w:r w:rsidRPr="0018521B">
        <w:rPr>
          <w:rFonts w:cstheme="minorHAnsi"/>
          <w:sz w:val="22"/>
          <w:szCs w:val="22"/>
        </w:rPr>
        <w:t xml:space="preserve">was reported </w:t>
      </w:r>
      <w:r w:rsidR="00F46584">
        <w:rPr>
          <w:rFonts w:cstheme="minorHAnsi"/>
          <w:sz w:val="22"/>
          <w:szCs w:val="22"/>
        </w:rPr>
        <w:t xml:space="preserve">as </w:t>
      </w:r>
      <w:r w:rsidRPr="0018521B">
        <w:rPr>
          <w:rFonts w:cstheme="minorHAnsi"/>
          <w:sz w:val="22"/>
          <w:szCs w:val="22"/>
        </w:rPr>
        <w:t xml:space="preserve">overall safe, especially in cumulative doses up to 60–80 MBq regarding bone marrow and renal </w:t>
      </w:r>
      <w:r w:rsidR="003350EE" w:rsidRPr="0018521B">
        <w:rPr>
          <w:rFonts w:cstheme="minorHAnsi"/>
          <w:sz w:val="22"/>
          <w:szCs w:val="22"/>
        </w:rPr>
        <w:t>toxicities</w:t>
      </w:r>
      <w:r w:rsidR="003350EE">
        <w:rPr>
          <w:rStyle w:val="Kommentarzeichen"/>
        </w:rPr>
        <w:t>.</w:t>
      </w:r>
      <w:r w:rsidR="003350EE" w:rsidRPr="0018521B">
        <w:rPr>
          <w:rFonts w:cstheme="minorHAnsi"/>
          <w:sz w:val="22"/>
          <w:szCs w:val="22"/>
        </w:rPr>
        <w:t xml:space="preserve"> </w:t>
      </w:r>
      <w:r w:rsidR="003350EE">
        <w:rPr>
          <w:rFonts w:cstheme="minorHAnsi"/>
          <w:sz w:val="22"/>
          <w:szCs w:val="22"/>
        </w:rPr>
        <w:t>It</w:t>
      </w:r>
      <w:r w:rsidR="00F46584">
        <w:rPr>
          <w:rFonts w:cstheme="minorHAnsi"/>
          <w:sz w:val="22"/>
          <w:szCs w:val="22"/>
        </w:rPr>
        <w:t xml:space="preserve"> is</w:t>
      </w:r>
      <w:r w:rsidR="003350EE">
        <w:rPr>
          <w:rFonts w:cstheme="minorHAnsi"/>
          <w:sz w:val="22"/>
          <w:szCs w:val="22"/>
        </w:rPr>
        <w:t xml:space="preserve"> worth mentioning, regardless </w:t>
      </w:r>
      <w:r w:rsidR="00F46584">
        <w:rPr>
          <w:rFonts w:cstheme="minorHAnsi"/>
          <w:sz w:val="22"/>
          <w:szCs w:val="22"/>
        </w:rPr>
        <w:t xml:space="preserve">of </w:t>
      </w:r>
      <w:r w:rsidR="003350EE">
        <w:rPr>
          <w:rFonts w:cstheme="minorHAnsi"/>
          <w:sz w:val="22"/>
          <w:szCs w:val="22"/>
        </w:rPr>
        <w:t xml:space="preserve">the administrated ligand, </w:t>
      </w:r>
      <w:r w:rsidR="00F46584">
        <w:rPr>
          <w:rFonts w:cstheme="minorHAnsi"/>
          <w:sz w:val="22"/>
          <w:szCs w:val="22"/>
        </w:rPr>
        <w:t xml:space="preserve">that in general </w:t>
      </w:r>
      <w:r w:rsidR="003350EE">
        <w:rPr>
          <w:rFonts w:cstheme="minorHAnsi"/>
          <w:sz w:val="22"/>
          <w:szCs w:val="22"/>
        </w:rPr>
        <w:t xml:space="preserve">the follow-up period </w:t>
      </w:r>
      <w:r w:rsidR="00417FF7">
        <w:rPr>
          <w:rFonts w:cstheme="minorHAnsi"/>
          <w:sz w:val="22"/>
          <w:szCs w:val="22"/>
        </w:rPr>
        <w:t>was</w:t>
      </w:r>
      <w:r w:rsidR="003350EE">
        <w:rPr>
          <w:rFonts w:cstheme="minorHAnsi"/>
          <w:sz w:val="22"/>
          <w:szCs w:val="22"/>
        </w:rPr>
        <w:t xml:space="preserve"> not </w:t>
      </w:r>
      <w:r w:rsidR="00F46584">
        <w:rPr>
          <w:rFonts w:cstheme="minorHAnsi"/>
          <w:sz w:val="22"/>
          <w:szCs w:val="22"/>
        </w:rPr>
        <w:t>sufficiently</w:t>
      </w:r>
      <w:r w:rsidR="003350EE">
        <w:rPr>
          <w:rFonts w:cstheme="minorHAnsi"/>
          <w:sz w:val="22"/>
          <w:szCs w:val="22"/>
        </w:rPr>
        <w:t xml:space="preserve"> long to cover all the potential renal adverse events</w:t>
      </w:r>
      <w:r w:rsidR="00F46584">
        <w:rPr>
          <w:rFonts w:cstheme="minorHAnsi"/>
          <w:sz w:val="22"/>
          <w:szCs w:val="22"/>
        </w:rPr>
        <w:t>, a</w:t>
      </w:r>
      <w:r w:rsidR="00417FF7">
        <w:rPr>
          <w:rFonts w:cstheme="minorHAnsi"/>
          <w:sz w:val="22"/>
          <w:szCs w:val="22"/>
        </w:rPr>
        <w:t xml:space="preserve">s many of the renal toxicities occur </w:t>
      </w:r>
      <w:r w:rsidR="00F46584">
        <w:rPr>
          <w:rFonts w:cstheme="minorHAnsi"/>
          <w:sz w:val="22"/>
          <w:szCs w:val="22"/>
        </w:rPr>
        <w:t>delayed often years after treatment</w:t>
      </w:r>
      <w:r w:rsidR="00417FF7">
        <w:rPr>
          <w:rFonts w:cstheme="minorHAnsi"/>
          <w:sz w:val="22"/>
          <w:szCs w:val="22"/>
        </w:rPr>
        <w:t xml:space="preserve">. </w:t>
      </w:r>
    </w:p>
    <w:p w14:paraId="7D43657B" w14:textId="519501E2" w:rsidR="0018521B" w:rsidRDefault="0018521B" w:rsidP="00ED13C8">
      <w:pPr>
        <w:spacing w:after="120" w:line="360" w:lineRule="auto"/>
        <w:rPr>
          <w:rFonts w:cstheme="minorHAnsi"/>
          <w:sz w:val="22"/>
          <w:szCs w:val="22"/>
        </w:rPr>
      </w:pPr>
      <w:r w:rsidRPr="0018521B">
        <w:rPr>
          <w:rFonts w:cstheme="minorHAnsi"/>
          <w:sz w:val="22"/>
          <w:szCs w:val="22"/>
        </w:rPr>
        <w:t xml:space="preserve">In a recent review, Vorster and colleagues </w:t>
      </w:r>
      <w:r w:rsidR="00992C0F">
        <w:rPr>
          <w:rFonts w:cstheme="minorHAnsi"/>
          <w:sz w:val="22"/>
          <w:szCs w:val="22"/>
        </w:rPr>
        <w:fldChar w:fldCharType="begin"/>
      </w:r>
      <w:r w:rsidR="00BC4723">
        <w:rPr>
          <w:rFonts w:cstheme="minorHAnsi"/>
          <w:sz w:val="22"/>
          <w:szCs w:val="22"/>
        </w:rPr>
        <w:instrText xml:space="preserve"> ADDIN ZOTERO_ITEM CSL_CITATION {"citationID":"sho3TRwl","properties":{"formattedCitation":"(13)","plainCitation":"(13)","noteIndex":0},"citationItems":[{"id":1219,"uris":["http://zotero.org/users/15628667/items/KJPJC5XK"],"itemData":{"id":1219,"type":"article-journal","abstract":"Abstract          Neuroendocrine tumors (NETs) represent a diverse group of neoplasms arising from neuroendocrine cells, treatable with various modalities including targeted radionuclide therapy. Traditional treatments such as surgery, somatostatin analogues, chemotherapy, target therapies and peptide receptor radionuclide therapy (PRRT) with beta-emitting isotopes like 177Lu-DOTATATE have shown good clinical efficacy. However, 177Lu-DOTATATE may be less effective in refractory or progressive cases, necessitating the transition to alpha-emitting therapies. The emergence of alpha therapies, leveraging the potent cytotoxicity of alpha-emitting isotopes, signifies a notable advancement in the therapeutic landscape for NETs. This review aims to provide an overview of the most significant developments and evidence for the use of targeted alpha therapies in neuroendocrine tumors. Alpha particles, with their high linear energy transfer (LET) and short range, offer distinct advantages over beta particles. Their potent cytotoxicity can cause double-strand DNA breaks, leading to higher tumor cell kill rates. Several alpha-emitting isotopes, including Actinium-225, Bismuth-213, and Lead-212, are currently being investigated for their therapeutic potential in NETs. These isotopes deliver lethal radiation doses to tumor cells while minimizing collateral damage to healthy tissues, even more targeted in hepatic disease when intraarterial administration is feasible. Despite challenges related to Ac-225 production, availability, costs, dosimetry, standardization, and sufficient long-term follow-up data, the clinical success in treating resistant and aggressive forms of NETs underscores the need for increased investment and research to optimize production and distribution processes. Developing reliable supply chains and comprehending the potential long-term effects of alpha emitters are essential steps. The time for Targeted Alpha Therapies is undeniably here and now, with continued advancements holding the potential to revolutionize the treatment of neuroendocrine tumors, providing hope and improved outcomes for patients globally.","container-title":"Clinical and Translational Imaging","DOI":"10.1007/s40336-025-00692-1","ISSN":"2281-7565","journalAbbreviation":"Clin Transl Imaging","language":"en","license":"https://creativecommons.org/licenses/by/4.0","note":"publisher: Springer Science and Business Media LLC","source":"Crossref","title":"Alpha therapies: where and when is the future in neuroendocrine tumours?","title-short":"Alpha therapies","URL":"https://link.springer.com/10.1007/s40336-025-00692-1","author":[{"family":"Vorster","given":"Mariza"},{"family":"Grana","given":"Chiara Maria"},{"family":"Travascio","given":"Laura"},{"family":"Sathekge","given":"Mike Machaba"}],"accessed":{"date-parts":[["2025",7,25]]},"issued":{"date-parts":[["2025",3,26]]}}}],"schema":"https://github.com/citation-style-language/schema/raw/master/csl-citation.json"}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(13)</w:t>
      </w:r>
      <w:r w:rsidR="00992C0F">
        <w:rPr>
          <w:rFonts w:cstheme="minorHAnsi"/>
          <w:sz w:val="22"/>
          <w:szCs w:val="22"/>
        </w:rPr>
        <w:fldChar w:fldCharType="end"/>
      </w:r>
      <w:r w:rsidR="0030687E">
        <w:rPr>
          <w:rFonts w:cstheme="minorHAnsi"/>
          <w:sz w:val="22"/>
          <w:szCs w:val="22"/>
        </w:rPr>
        <w:t xml:space="preserve"> </w:t>
      </w:r>
      <w:r w:rsidRPr="0018521B">
        <w:rPr>
          <w:rFonts w:cstheme="minorHAnsi"/>
          <w:sz w:val="22"/>
          <w:szCs w:val="22"/>
        </w:rPr>
        <w:t xml:space="preserve">explored the role of different alpha radiotracers in the treatment of neuroendocrine tumors. Speaking of </w:t>
      </w:r>
      <w:r w:rsidR="00F46584">
        <w:rPr>
          <w:rFonts w:cstheme="minorHAnsi"/>
          <w:sz w:val="22"/>
          <w:szCs w:val="22"/>
        </w:rPr>
        <w:t>[</w:t>
      </w:r>
      <w:r w:rsidR="00F46584" w:rsidRPr="00F46584">
        <w:rPr>
          <w:rFonts w:cstheme="minorHAnsi"/>
          <w:sz w:val="22"/>
          <w:szCs w:val="22"/>
          <w:vertAlign w:val="superscript"/>
        </w:rPr>
        <w:t>225</w:t>
      </w:r>
      <w:r w:rsidR="00F46584" w:rsidRPr="0018521B">
        <w:rPr>
          <w:rFonts w:cstheme="minorHAnsi"/>
          <w:sz w:val="22"/>
          <w:szCs w:val="22"/>
        </w:rPr>
        <w:t>Ac</w:t>
      </w:r>
      <w:r w:rsidR="00F46584">
        <w:rPr>
          <w:rFonts w:cstheme="minorHAnsi"/>
          <w:sz w:val="22"/>
          <w:szCs w:val="22"/>
        </w:rPr>
        <w:t>]Ac</w:t>
      </w:r>
      <w:r w:rsidR="00F46584" w:rsidRPr="0018521B">
        <w:rPr>
          <w:rFonts w:cstheme="minorHAnsi"/>
          <w:sz w:val="22"/>
          <w:szCs w:val="22"/>
        </w:rPr>
        <w:t>-DOTATATE</w:t>
      </w:r>
      <w:r w:rsidRPr="0018521B">
        <w:rPr>
          <w:rFonts w:cstheme="minorHAnsi"/>
          <w:sz w:val="22"/>
          <w:szCs w:val="22"/>
        </w:rPr>
        <w:t xml:space="preserve">, they discussed developments and characteristics of actinium-225. In line with our review, they noted the efficacy of TAT with </w:t>
      </w:r>
      <w:r w:rsidR="00E36A56">
        <w:rPr>
          <w:rFonts w:cstheme="minorHAnsi"/>
          <w:sz w:val="22"/>
          <w:szCs w:val="22"/>
        </w:rPr>
        <w:t>[</w:t>
      </w:r>
      <w:r w:rsidR="00E36A56" w:rsidRPr="00F46584">
        <w:rPr>
          <w:rFonts w:cstheme="minorHAnsi"/>
          <w:sz w:val="22"/>
          <w:szCs w:val="22"/>
          <w:vertAlign w:val="superscript"/>
        </w:rPr>
        <w:t>225</w:t>
      </w:r>
      <w:r w:rsidR="00E36A56" w:rsidRPr="0018521B">
        <w:rPr>
          <w:rFonts w:cstheme="minorHAnsi"/>
          <w:sz w:val="22"/>
          <w:szCs w:val="22"/>
        </w:rPr>
        <w:t>Ac</w:t>
      </w:r>
      <w:r w:rsidR="00E36A56">
        <w:rPr>
          <w:rFonts w:cstheme="minorHAnsi"/>
          <w:sz w:val="22"/>
          <w:szCs w:val="22"/>
        </w:rPr>
        <w:t>]Ac</w:t>
      </w:r>
      <w:r w:rsidR="00E36A56" w:rsidRPr="0018521B">
        <w:rPr>
          <w:rFonts w:cstheme="minorHAnsi"/>
          <w:sz w:val="22"/>
          <w:szCs w:val="22"/>
        </w:rPr>
        <w:t xml:space="preserve">-DOTATATE </w:t>
      </w:r>
      <w:r w:rsidRPr="0018521B">
        <w:rPr>
          <w:rFonts w:cstheme="minorHAnsi"/>
          <w:sz w:val="22"/>
          <w:szCs w:val="22"/>
        </w:rPr>
        <w:t xml:space="preserve">in NET, including paraganglioma. However, there are challenges that remain in this field. </w:t>
      </w:r>
      <w:r w:rsidR="00334283">
        <w:rPr>
          <w:rFonts w:cstheme="minorHAnsi"/>
          <w:sz w:val="22"/>
          <w:szCs w:val="22"/>
        </w:rPr>
        <w:t xml:space="preserve">For example, </w:t>
      </w:r>
      <w:r w:rsidR="006C2099">
        <w:rPr>
          <w:rFonts w:cstheme="minorHAnsi"/>
          <w:sz w:val="22"/>
          <w:szCs w:val="22"/>
        </w:rPr>
        <w:t xml:space="preserve">beside the production difficulty and cost of the radiotracer labelling, they noted </w:t>
      </w:r>
      <w:r w:rsidR="00E36A56">
        <w:rPr>
          <w:rFonts w:cstheme="minorHAnsi"/>
          <w:sz w:val="22"/>
          <w:szCs w:val="22"/>
        </w:rPr>
        <w:t>a lack of s</w:t>
      </w:r>
      <w:r w:rsidR="006C2099">
        <w:rPr>
          <w:rFonts w:cstheme="minorHAnsi"/>
          <w:sz w:val="22"/>
          <w:szCs w:val="22"/>
        </w:rPr>
        <w:t>tandard</w:t>
      </w:r>
      <w:r w:rsidR="004E716D">
        <w:rPr>
          <w:rFonts w:cstheme="minorHAnsi"/>
          <w:sz w:val="22"/>
          <w:szCs w:val="22"/>
        </w:rPr>
        <w:t>ised</w:t>
      </w:r>
      <w:r w:rsidR="006C2099">
        <w:rPr>
          <w:rFonts w:cstheme="minorHAnsi"/>
          <w:sz w:val="22"/>
          <w:szCs w:val="22"/>
        </w:rPr>
        <w:t xml:space="preserve"> treatment protocol</w:t>
      </w:r>
      <w:r w:rsidR="00E36A56">
        <w:rPr>
          <w:rFonts w:cstheme="minorHAnsi"/>
          <w:sz w:val="22"/>
          <w:szCs w:val="22"/>
        </w:rPr>
        <w:t>s</w:t>
      </w:r>
      <w:r w:rsidR="006C2099">
        <w:rPr>
          <w:rFonts w:cstheme="minorHAnsi"/>
          <w:sz w:val="22"/>
          <w:szCs w:val="22"/>
        </w:rPr>
        <w:t xml:space="preserve"> and long-term follow-up period</w:t>
      </w:r>
      <w:r w:rsidR="004E716D">
        <w:rPr>
          <w:rFonts w:cstheme="minorHAnsi"/>
          <w:sz w:val="22"/>
          <w:szCs w:val="22"/>
        </w:rPr>
        <w:t>s</w:t>
      </w:r>
      <w:r w:rsidR="006C2099">
        <w:rPr>
          <w:rFonts w:cstheme="minorHAnsi"/>
          <w:sz w:val="22"/>
          <w:szCs w:val="22"/>
        </w:rPr>
        <w:t xml:space="preserve"> of patients who received </w:t>
      </w:r>
      <w:r w:rsidR="00E36A56">
        <w:rPr>
          <w:rFonts w:cstheme="minorHAnsi"/>
          <w:sz w:val="22"/>
          <w:szCs w:val="22"/>
        </w:rPr>
        <w:t>[</w:t>
      </w:r>
      <w:r w:rsidR="00E36A56" w:rsidRPr="00F46584">
        <w:rPr>
          <w:rFonts w:cstheme="minorHAnsi"/>
          <w:sz w:val="22"/>
          <w:szCs w:val="22"/>
          <w:vertAlign w:val="superscript"/>
        </w:rPr>
        <w:t>225</w:t>
      </w:r>
      <w:r w:rsidR="00E36A56" w:rsidRPr="0018521B">
        <w:rPr>
          <w:rFonts w:cstheme="minorHAnsi"/>
          <w:sz w:val="22"/>
          <w:szCs w:val="22"/>
        </w:rPr>
        <w:t>Ac</w:t>
      </w:r>
      <w:r w:rsidR="00E36A56">
        <w:rPr>
          <w:rFonts w:cstheme="minorHAnsi"/>
          <w:sz w:val="22"/>
          <w:szCs w:val="22"/>
        </w:rPr>
        <w:t>]Ac</w:t>
      </w:r>
      <w:r w:rsidR="00E36A56" w:rsidRPr="0018521B">
        <w:rPr>
          <w:rFonts w:cstheme="minorHAnsi"/>
          <w:sz w:val="22"/>
          <w:szCs w:val="22"/>
        </w:rPr>
        <w:t>-DOTATATE</w:t>
      </w:r>
      <w:r w:rsidR="006C2099">
        <w:rPr>
          <w:rFonts w:cstheme="minorHAnsi"/>
          <w:sz w:val="22"/>
          <w:szCs w:val="22"/>
        </w:rPr>
        <w:t>.</w:t>
      </w:r>
      <w:r w:rsidR="00E36A56">
        <w:rPr>
          <w:rFonts w:cstheme="minorHAnsi"/>
          <w:sz w:val="22"/>
          <w:szCs w:val="22"/>
        </w:rPr>
        <w:t xml:space="preserve"> </w:t>
      </w:r>
      <w:r w:rsidRPr="0018521B">
        <w:rPr>
          <w:rFonts w:cstheme="minorHAnsi"/>
          <w:sz w:val="22"/>
          <w:szCs w:val="22"/>
        </w:rPr>
        <w:t>Another recent</w:t>
      </w:r>
      <w:r w:rsidR="00E36A56">
        <w:rPr>
          <w:rFonts w:cstheme="minorHAnsi"/>
          <w:sz w:val="22"/>
          <w:szCs w:val="22"/>
        </w:rPr>
        <w:t>ly</w:t>
      </w:r>
      <w:r w:rsidRPr="0018521B">
        <w:rPr>
          <w:rFonts w:cstheme="minorHAnsi"/>
          <w:sz w:val="22"/>
          <w:szCs w:val="22"/>
        </w:rPr>
        <w:t xml:space="preserve"> published review by Chandekar et al. </w:t>
      </w:r>
      <w:r w:rsidR="00992C0F">
        <w:rPr>
          <w:rFonts w:cstheme="minorHAnsi"/>
          <w:sz w:val="22"/>
          <w:szCs w:val="22"/>
        </w:rPr>
        <w:fldChar w:fldCharType="begin"/>
      </w:r>
      <w:r w:rsidR="00BC4723">
        <w:rPr>
          <w:rFonts w:cstheme="minorHAnsi"/>
          <w:sz w:val="22"/>
          <w:szCs w:val="22"/>
        </w:rPr>
        <w:instrText xml:space="preserve"> ADDIN ZOTERO_ITEM CSL_CITATION {"citationID":"ESfd070y","properties":{"formattedCitation":"(24)","plainCitation":"(24)","noteIndex":0},"citationItems":[{"id":1221,"uris":["http://zotero.org/users/15628667/items/DA6ZIFWE"],"itemData":{"id":1221,"type":"article-journal","container-title":"Seminars in Nuclear Medicine","DOI":"10.1053/j.semnuclmed.2025.06.008","ISSN":"0001-2998","language":"en","license":"https://www.elsevier.com/tdm/userlicense/1.0/","note":"publisher: Elsevier BV","source":"Crossref","title":"Advances With 225Ac-DOTATATE Targeted Alpha Therapy in Somatostatin Receptor Positive Neuroendocrine Tumors","URL":"https://linkinghub.elsevier.com/retrieve/pii/S0001299825000728","author":[{"family":"Chandekar","given":"Kunal Ramesh"},{"family":"Bal","given":"Chandrasekhar"}],"accessed":{"date-parts":[["2025",7,25]]},"issued":{"date-parts":[["2025",7]]}}}],"schema":"https://github.com/citation-style-language/schema/raw/master/csl-citation.json"}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(24)</w:t>
      </w:r>
      <w:r w:rsidR="00992C0F">
        <w:rPr>
          <w:rFonts w:cstheme="minorHAnsi"/>
          <w:sz w:val="22"/>
          <w:szCs w:val="22"/>
        </w:rPr>
        <w:fldChar w:fldCharType="end"/>
      </w:r>
      <w:r w:rsidRPr="0018521B">
        <w:rPr>
          <w:rFonts w:cstheme="minorHAnsi"/>
          <w:sz w:val="22"/>
          <w:szCs w:val="22"/>
        </w:rPr>
        <w:t xml:space="preserve"> provided an analysis of advances in NET treatment with </w:t>
      </w:r>
      <w:r w:rsidR="00E36A56">
        <w:rPr>
          <w:rFonts w:cstheme="minorHAnsi"/>
          <w:sz w:val="22"/>
          <w:szCs w:val="22"/>
        </w:rPr>
        <w:t>[</w:t>
      </w:r>
      <w:r w:rsidR="00E36A56" w:rsidRPr="00F46584">
        <w:rPr>
          <w:rFonts w:cstheme="minorHAnsi"/>
          <w:sz w:val="22"/>
          <w:szCs w:val="22"/>
          <w:vertAlign w:val="superscript"/>
        </w:rPr>
        <w:t>225</w:t>
      </w:r>
      <w:r w:rsidR="00E36A56" w:rsidRPr="0018521B">
        <w:rPr>
          <w:rFonts w:cstheme="minorHAnsi"/>
          <w:sz w:val="22"/>
          <w:szCs w:val="22"/>
        </w:rPr>
        <w:t>Ac</w:t>
      </w:r>
      <w:r w:rsidR="00E36A56">
        <w:rPr>
          <w:rFonts w:cstheme="minorHAnsi"/>
          <w:sz w:val="22"/>
          <w:szCs w:val="22"/>
        </w:rPr>
        <w:t>]Ac</w:t>
      </w:r>
      <w:r w:rsidR="00E36A56" w:rsidRPr="0018521B">
        <w:rPr>
          <w:rFonts w:cstheme="minorHAnsi"/>
          <w:sz w:val="22"/>
          <w:szCs w:val="22"/>
        </w:rPr>
        <w:t>-DOTATATE</w:t>
      </w:r>
      <w:r w:rsidRPr="0018521B">
        <w:rPr>
          <w:rFonts w:cstheme="minorHAnsi"/>
          <w:sz w:val="22"/>
          <w:szCs w:val="22"/>
        </w:rPr>
        <w:t>. They mentioned that, similar to our findings, the studies they reviewed reported that the safety of TAT with actinium-225 showed acceptable levels of toxicity.</w:t>
      </w:r>
    </w:p>
    <w:p w14:paraId="6F18FD5F" w14:textId="55560B0B" w:rsidR="00001AF6" w:rsidRDefault="00981830" w:rsidP="00ED13C8">
      <w:pPr>
        <w:spacing w:after="120" w:line="360" w:lineRule="auto"/>
        <w:rPr>
          <w:rFonts w:cstheme="minorHAnsi"/>
          <w:sz w:val="22"/>
          <w:szCs w:val="22"/>
        </w:rPr>
      </w:pPr>
      <w:r w:rsidRPr="00981830">
        <w:rPr>
          <w:rFonts w:cstheme="minorHAnsi"/>
          <w:sz w:val="22"/>
          <w:szCs w:val="22"/>
        </w:rPr>
        <w:t xml:space="preserve">While the present review focuses </w:t>
      </w:r>
      <w:r>
        <w:rPr>
          <w:rFonts w:cstheme="minorHAnsi"/>
          <w:sz w:val="22"/>
          <w:szCs w:val="22"/>
        </w:rPr>
        <w:t xml:space="preserve">more </w:t>
      </w:r>
      <w:r w:rsidRPr="00981830">
        <w:rPr>
          <w:rFonts w:cstheme="minorHAnsi"/>
          <w:sz w:val="22"/>
          <w:szCs w:val="22"/>
        </w:rPr>
        <w:t xml:space="preserve">on the </w:t>
      </w:r>
      <w:r>
        <w:rPr>
          <w:rFonts w:cstheme="minorHAnsi"/>
          <w:sz w:val="22"/>
          <w:szCs w:val="22"/>
        </w:rPr>
        <w:t>recent</w:t>
      </w:r>
      <w:r w:rsidR="00E36A56">
        <w:rPr>
          <w:rFonts w:cstheme="minorHAnsi"/>
          <w:sz w:val="22"/>
          <w:szCs w:val="22"/>
        </w:rPr>
        <w:t>ly</w:t>
      </w:r>
      <w:r>
        <w:rPr>
          <w:rFonts w:cstheme="minorHAnsi"/>
          <w:sz w:val="22"/>
          <w:szCs w:val="22"/>
        </w:rPr>
        <w:t xml:space="preserve"> available published data on</w:t>
      </w:r>
      <w:r w:rsidRPr="00981830">
        <w:rPr>
          <w:rFonts w:cstheme="minorHAnsi"/>
          <w:sz w:val="22"/>
          <w:szCs w:val="22"/>
        </w:rPr>
        <w:t xml:space="preserve"> safety profile of </w:t>
      </w:r>
      <w:r w:rsidR="00E36A56">
        <w:rPr>
          <w:rFonts w:cstheme="minorHAnsi"/>
          <w:sz w:val="22"/>
          <w:szCs w:val="22"/>
        </w:rPr>
        <w:t>TAT</w:t>
      </w:r>
      <w:r w:rsidRPr="00981830">
        <w:rPr>
          <w:rFonts w:cstheme="minorHAnsi"/>
          <w:sz w:val="22"/>
          <w:szCs w:val="22"/>
        </w:rPr>
        <w:t xml:space="preserve"> with Actinium-225, it is important to acknowledge the </w:t>
      </w:r>
      <w:r>
        <w:rPr>
          <w:rFonts w:cstheme="minorHAnsi"/>
          <w:sz w:val="22"/>
          <w:szCs w:val="22"/>
        </w:rPr>
        <w:t>findings</w:t>
      </w:r>
      <w:r w:rsidRPr="00981830">
        <w:rPr>
          <w:rFonts w:cstheme="minorHAnsi"/>
          <w:sz w:val="22"/>
          <w:szCs w:val="22"/>
        </w:rPr>
        <w:t xml:space="preserve"> laid by earlier comprehensive reviews on alpha therapy</w:t>
      </w:r>
      <w:r>
        <w:rPr>
          <w:rFonts w:cstheme="minorHAnsi"/>
          <w:sz w:val="22"/>
          <w:szCs w:val="22"/>
        </w:rPr>
        <w:t xml:space="preserve"> </w:t>
      </w:r>
      <w:r>
        <w:rPr>
          <w:rFonts w:cstheme="minorHAnsi"/>
          <w:sz w:val="22"/>
          <w:szCs w:val="22"/>
        </w:rPr>
        <w:fldChar w:fldCharType="begin"/>
      </w:r>
      <w:r w:rsidR="00BC4723">
        <w:rPr>
          <w:rFonts w:cstheme="minorHAnsi"/>
          <w:sz w:val="22"/>
          <w:szCs w:val="22"/>
        </w:rPr>
        <w:instrText xml:space="preserve"> ADDIN ZOTERO_ITEM CSL_CITATION {"citationID":"GEM1a7Xz","properties":{"formattedCitation":"(7,25)","plainCitation":"(7,25)","noteIndex":0},"citationItems":[{"id":48,"uris":["http://zotero.org/users/15628667/items/SIJTFWHD"],"itemData":{"id":48,"type":"article-journal","abstract":"BACKGROUND: Targeted radionuclide therapy with Actinium-225-labeled prostate-specific membrane antigen ligands ((225)Ac-PSMA) has emerged as a  promising treatment modality in the management of metastatic castration-resistant  prostate cancer (mCRPC). With its high linear energy transfer and short path  length, (225)Ac induces double-stranded DNA breaks and is expected to have  excellent efficacy and safety profile. This systematic review was conducted to  precisely evaluate the role of (225)Ac-PSMA radioligand therapy (RLT) in mCRPC.  METHODS: This systematic review followed the Preferred Reporting Items for  Systematic Reviews and Meta-analyses (PRISMA) guidelines. Searches were made  using relevant keywords in the PubMed, Embase, and Scopus databases, and articles  up to December 2020 were included. Data on efficacy and toxicity were extracted  from the individual articles. Random-effects model was used for generating pooled  estimates through meta-analysis. RESULTS: Ten articles comprising 256 patients  were included. Overall, 62.8% (95% confidence interval, CI: 53.4-71.7%) of the  patients treated with (225)Ac-PSMA RLT achieved biochemical response, i.e., ≥50%  decline in the serum prostate-specific antigen levels from baseline. Molecular  response on Gallium-68 PSMA positron emission tomography/computed tomography was  noted in 74% (95% CI: 50.1-92.1%) of the patients. The pooled estimates of median  progression-free survival and overall survival were 9.1 months (95% CI: 3.6-14.5  months) and 12.8 months (95% CI: 4.5-21.0 months), respectively. The most  commonly reported adverse event was xerostomia, which was observed in 72.7% (95%  CI: 50.5-90.1%) of the patients. However, clinically significant toxicity was  limited with grade ≥3 xerostomia, anemia, leucopenia, thrombocytopenia, and  nephrotoxicity occurring in 1.2%, 12.3%, 8.3%, 6.3%, and 3.8% of the patients,  respectively. Treatment discontinuation due to adverse events was noted in 20/208  patients. CONCLUSIONS: (225)Ac-PSMA RLT is an efficacious and safe treatment  option for patients with mCRPC. Future randomized controlled trials are required  to establish its therapeutic efficacy and survival benefit vis-à-vis other  approved treatment modalities.","container-title":"Prostate cancer and prostatic diseases","DOI":"10.1038/s41391-021-00349-w","ISSN":"1476-5608 1365-7852","issue":"3","journalAbbreviation":"Prostate Cancer Prostatic Dis","language":"eng","license":"© 2021. The Author(s), under exclusive licence to Springer Nature Limited.","note":"publisher-place: England\nPMID: 33746213","page":"880-890","title":"Evolving role of (225)Ac-PSMA radioligand therapy in metastatic castration-resistant prostate cancer-a systematic review and meta-analysis.","volume":"24","author":[{"family":"Satapathy","given":"Swayamjeet"},{"family":"Sood","given":"Ashwani"},{"family":"Das","given":"Chandan Krushna"},{"family":"Mittal","given":"Bhagwant Rai"}],"issued":{"date-parts":[["2021",9]]}}},{"id":139,"uris":["http://zotero.org/users/15628667/items/FLWPDFFT"],"itemData":{"id":139,"type":"article-journal","abstract":"Precision oncology is being driven by rapid advances in novel diagnostics and therapeutic interventions, with treatments targeted to the needs of individual  patients on the basis of genetic, biomarker, phenotypic, or psychosocial  characteristics that distinguish a given patient from other patients with similar  clinical presentations. Inherent in the theranostics paradigm is the assumption  that diagnostic test results can precisely determine whether an individual is  likely to benefit from a specific treatment. As part and integral in the current  era of precision oncology, theranostics in the context of nuclear medicine aims  to identify the appropriate molecular targets in neoplasms (diagnostic tool), so  that the optimal ligands and radionuclides (therapeutic tool) with favorable  labeling chemistry can be selected for personalized management of a specific  disease, taking into consideration the specific patient, and subsequently monitor  treatment response. Over the past two decades, the use of gallium-68 labeled  peptides for somatostatin receptor (SSTR)-targeted PET/CT (or PET/MRI) imaging  followed by lutetium-177 and yttrium-90 labeled SSTR-agonist for peptide receptor  radionuclide therapy has demonstrated remarkable success in the management of  neuroendocrine neoplasms, and paved the way to other indications of theranostics.  Rapid advances are being made in the development of other peptide-based  radiopharmaceuticals, small molecular-weight ligands and with newer radioisotopes  with more favorable kinetics, potentially useful for theranostics strategies for  the clinical application. The present review features the Bad Berka experience  with first-in-human studies of new radiopharmaceuticals, for example,  prostate-specific membrane antigen ligand, gastrin-releasing peptide receptor,  neurotensin receptor 1 ligand, novel SSTR-targeting peptides and nonpeptide, and  bone-seeking radiopharmaceuticals. Also new radioisotopes, for example, actinium  ((225)Ac), copper ((64)Cu), scandium ((44)Sc), and terbium ((152)Tb/(161)Tb) will  be discussed briefly demonstrating the development from basic science to  precision oncology in the clinical setting.","container-title":"Seminars in nuclear medicine","DOI":"10.1053/j.semnuclmed.2019.06.002","ISSN":"1558-4623 0001-2998","issue":"5","journalAbbreviation":"Semin Nucl Med","language":"eng","license":"Copyright © 2019. Published by Elsevier Inc.","note":"publisher-place: United States\nPMID: 31470935","page":"422-437","title":"From Bench to Bedside-The Bad Berka Experience With First-in-Human Studies.","volume":"49","author":[{"family":"Zhang","given":"Jingjing"},{"family":"Singh","given":"Aviral"},{"family":"Kulkarni","given":"Harshad R."},{"family":"Schuchardt","given":"Christiane"},{"family":"Müller","given":"Dirk"},{"family":"Wester","given":"Hans-J."},{"family":"Maina","given":"Theodosia"},{"family":"Rösch","given":"Frank"},{"family":"Meulen","given":"Nicholas P.","non-dropping-particle":"van der"},{"family":"Müller","given":"Cristina"},{"family":"Mäcke","given":"Helmut"},{"family":"Baum","given":"Richard P."}],"issued":{"date-parts":[["2019",9]]}}}],"schema":"https://github.com/citation-style-language/schema/raw/master/csl-citation.json"} </w:instrText>
      </w:r>
      <w:r>
        <w:rPr>
          <w:rFonts w:cstheme="minorHAnsi"/>
          <w:sz w:val="22"/>
          <w:szCs w:val="22"/>
        </w:rPr>
        <w:fldChar w:fldCharType="separate"/>
      </w:r>
      <w:r w:rsidR="00BC4723" w:rsidRPr="00BC4723">
        <w:rPr>
          <w:rFonts w:ascii="Calibri" w:hAnsi="Calibri" w:cs="Calibri"/>
          <w:sz w:val="22"/>
        </w:rPr>
        <w:t>(7,25)</w:t>
      </w:r>
      <w:r>
        <w:rPr>
          <w:rFonts w:cstheme="minorHAnsi"/>
          <w:sz w:val="22"/>
          <w:szCs w:val="22"/>
        </w:rPr>
        <w:fldChar w:fldCharType="end"/>
      </w:r>
      <w:r>
        <w:rPr>
          <w:rFonts w:cstheme="minorHAnsi"/>
          <w:sz w:val="22"/>
          <w:szCs w:val="22"/>
        </w:rPr>
        <w:t>. T</w:t>
      </w:r>
      <w:r w:rsidR="00AD19E5">
        <w:rPr>
          <w:rFonts w:cstheme="minorHAnsi"/>
          <w:sz w:val="22"/>
          <w:szCs w:val="22"/>
        </w:rPr>
        <w:t>h</w:t>
      </w:r>
      <w:r>
        <w:rPr>
          <w:rFonts w:cstheme="minorHAnsi"/>
          <w:sz w:val="22"/>
          <w:szCs w:val="22"/>
        </w:rPr>
        <w:t xml:space="preserve">ese earlier reviews, notably Satapathy et al. </w:t>
      </w:r>
      <w:r>
        <w:rPr>
          <w:rFonts w:cstheme="minorHAnsi"/>
          <w:sz w:val="22"/>
          <w:szCs w:val="22"/>
        </w:rPr>
        <w:fldChar w:fldCharType="begin"/>
      </w:r>
      <w:r w:rsidR="00236E68">
        <w:rPr>
          <w:rFonts w:cstheme="minorHAnsi"/>
          <w:sz w:val="22"/>
          <w:szCs w:val="22"/>
        </w:rPr>
        <w:instrText xml:space="preserve"> ADDIN ZOTERO_ITEM CSL_CITATION {"citationID":"DGcj1Efh","properties":{"formattedCitation":"(7)","plainCitation":"(7)","noteIndex":0},"citationItems":[{"id":48,"uris":["http://zotero.org/users/15628667/items/SIJTFWHD"],"itemData":{"id":48,"type":"article-journal","abstract":"BACKGROUND: Targeted radionuclide therapy with Actinium-225-labeled prostate-specific membrane antigen ligands ((225)Ac-PSMA) has emerged as a  promising treatment modality in the management of metastatic castration-resistant  prostate cancer (mCRPC). With its high linear energy transfer and short path  length, (225)Ac induces double-stranded DNA breaks and is expected to have  excellent efficacy and safety profile. This systematic review was conducted to  precisely evaluate the role of (225)Ac-PSMA radioligand therapy (RLT) in mCRPC.  METHODS: This systematic review followed the Preferred Reporting Items for  Systematic Reviews and Meta-analyses (PRISMA) guidelines. Searches were made  using relevant keywords in the PubMed, Embase, and Scopus databases, and articles  up to December 2020 were included. Data on efficacy and toxicity were extracted  from the individual articles. Random-effects model was used for generating pooled  estimates through meta-analysis. RESULTS: Ten articles comprising 256 patients  were included. Overall, 62.8% (95% confidence interval, CI: 53.4-71.7%) of the  patients treated with (225)Ac-PSMA RLT achieved biochemical response, i.e., ≥50%  decline in the serum prostate-specific antigen levels from baseline. Molecular  response on Gallium-68 PSMA positron emission tomography/computed tomography was  noted in 74% (95% CI: 50.1-92.1%) of the patients. The pooled estimates of median  progression-free survival and overall survival were 9.1 months (95% CI: 3.6-14.5  months) and 12.8 months (95% CI: 4.5-21.0 months), respectively. The most  commonly reported adverse event was xerostomia, which was observed in 72.7% (95%  CI: 50.5-90.1%) of the patients. However, clinically significant toxicity was  limited with grade ≥3 xerostomia, anemia, leucopenia, thrombocytopenia, and  nephrotoxicity occurring in 1.2%, 12.3%, 8.3%, 6.3%, and 3.8% of the patients,  respectively. Treatment discontinuation due to adverse events was noted in 20/208  patients. CONCLUSIONS: (225)Ac-PSMA RLT is an efficacious and safe treatment  option for patients with mCRPC. Future randomized controlled trials are required  to establish its therapeutic efficacy and survival benefit vis-à-vis other  approved treatment modalities.","container-title":"Prostate cancer and prostatic diseases","DOI":"10.1038/s41391-021-00349-w","ISSN":"1476-5608 1365-7852","issue":"3","journalAbbreviation":"Prostate Cancer Prostatic Dis","language":"eng","license":"© 2021. The Author(s), under exclusive licence to Springer Nature Limited.","note":"publisher-place: England\nPMID: 33746213","page":"880-890","title":"Evolving role of (225)Ac-PSMA radioligand therapy in metastatic castration-resistant prostate cancer-a systematic review and meta-analysis.","volume":"24","author":[{"family":"Satapathy","given":"Swayamjeet"},{"family":"Sood","given":"Ashwani"},{"family":"Das","given":"Chandan Krushna"},{"family":"Mittal","given":"Bhagwant Rai"}],"issued":{"date-parts":[["2021",9]]}}}],"schema":"https://github.com/citation-style-language/schema/raw/master/csl-citation.json"} </w:instrText>
      </w:r>
      <w:r>
        <w:rPr>
          <w:rFonts w:cstheme="minorHAnsi"/>
          <w:sz w:val="22"/>
          <w:szCs w:val="22"/>
        </w:rPr>
        <w:fldChar w:fldCharType="separate"/>
      </w:r>
      <w:r w:rsidR="00CE4AE4" w:rsidRPr="00CE4AE4">
        <w:rPr>
          <w:rFonts w:ascii="Calibri" w:hAnsi="Calibri" w:cs="Calibri"/>
          <w:sz w:val="22"/>
        </w:rPr>
        <w:t>(7)</w:t>
      </w:r>
      <w:r>
        <w:rPr>
          <w:rFonts w:cstheme="minorHAnsi"/>
          <w:sz w:val="22"/>
          <w:szCs w:val="22"/>
        </w:rPr>
        <w:fldChar w:fldCharType="end"/>
      </w:r>
      <w:r>
        <w:rPr>
          <w:rFonts w:cstheme="minorHAnsi"/>
          <w:sz w:val="22"/>
          <w:szCs w:val="22"/>
        </w:rPr>
        <w:t xml:space="preserve"> and Zhang et al.</w:t>
      </w:r>
      <w:r>
        <w:rPr>
          <w:rFonts w:cstheme="minorHAnsi"/>
          <w:sz w:val="22"/>
          <w:szCs w:val="22"/>
        </w:rPr>
        <w:fldChar w:fldCharType="begin"/>
      </w:r>
      <w:r w:rsidR="00BC4723">
        <w:rPr>
          <w:rFonts w:cstheme="minorHAnsi"/>
          <w:sz w:val="22"/>
          <w:szCs w:val="22"/>
        </w:rPr>
        <w:instrText xml:space="preserve"> ADDIN ZOTERO_ITEM CSL_CITATION {"citationID":"CN7SHcaJ","properties":{"formattedCitation":"(25)","plainCitation":"(25)","noteIndex":0},"citationItems":[{"id":139,"uris":["http://zotero.org/users/15628667/items/FLWPDFFT"],"itemData":{"id":139,"type":"article-journal","abstract":"Precision oncology is being driven by rapid advances in novel diagnostics and therapeutic interventions, with treatments targeted to the needs of individual  patients on the basis of genetic, biomarker, phenotypic, or psychosocial  characteristics that distinguish a given patient from other patients with similar  clinical presentations. Inherent in the theranostics paradigm is the assumption  that diagnostic test results can precisely determine whether an individual is  likely to benefit from a specific treatment. As part and integral in the current  era of precision oncology, theranostics in the context of nuclear medicine aims  to identify the appropriate molecular targets in neoplasms (diagnostic tool), so  that the optimal ligands and radionuclides (therapeutic tool) with favorable  labeling chemistry can be selected for personalized management of a specific  disease, taking into consideration the specific patient, and subsequently monitor  treatment response. Over the past two decades, the use of gallium-68 labeled  peptides for somatostatin receptor (SSTR)-targeted PET/CT (or PET/MRI) imaging  followed by lutetium-177 and yttrium-90 labeled SSTR-agonist for peptide receptor  radionuclide therapy has demonstrated remarkable success in the management of  neuroendocrine neoplasms, and paved the way to other indications of theranostics.  Rapid advances are being made in the development of other peptide-based  radiopharmaceuticals, small molecular-weight ligands and with newer radioisotopes  with more favorable kinetics, potentially useful for theranostics strategies for  the clinical application. The present review features the Bad Berka experience  with first-in-human studies of new radiopharmaceuticals, for example,  prostate-specific membrane antigen ligand, gastrin-releasing peptide receptor,  neurotensin receptor 1 ligand, novel SSTR-targeting peptides and nonpeptide, and  bone-seeking radiopharmaceuticals. Also new radioisotopes, for example, actinium  ((225)Ac), copper ((64)Cu), scandium ((44)Sc), and terbium ((152)Tb/(161)Tb) will  be discussed briefly demonstrating the development from basic science to  precision oncology in the clinical setting.","container-title":"Seminars in nuclear medicine","DOI":"10.1053/j.semnuclmed.2019.06.002","ISSN":"1558-4623 0001-2998","issue":"5","journalAbbreviation":"Semin Nucl Med","language":"eng","license":"Copyright © 2019. Published by Elsevier Inc.","note":"publisher-place: United States\nPMID: 31470935","page":"422-437","title":"From Bench to Bedside-The Bad Berka Experience With First-in-Human Studies.","volume":"49","author":[{"family":"Zhang","given":"Jingjing"},{"family":"Singh","given":"Aviral"},{"family":"Kulkarni","given":"Harshad R."},{"family":"Schuchardt","given":"Christiane"},{"family":"Müller","given":"Dirk"},{"family":"Wester","given":"Hans-J."},{"family":"Maina","given":"Theodosia"},{"family":"Rösch","given":"Frank"},{"family":"Meulen","given":"Nicholas P.","non-dropping-particle":"van der"},{"family":"Müller","given":"Cristina"},{"family":"Mäcke","given":"Helmut"},{"family":"Baum","given":"Richard P."}],"issued":{"date-parts":[["2019",9]]}}}],"schema":"https://github.com/citation-style-language/schema/raw/master/csl-citation.json"} </w:instrText>
      </w:r>
      <w:r>
        <w:rPr>
          <w:rFonts w:cstheme="minorHAnsi"/>
          <w:sz w:val="22"/>
          <w:szCs w:val="22"/>
        </w:rPr>
        <w:fldChar w:fldCharType="separate"/>
      </w:r>
      <w:r w:rsidR="00BC4723" w:rsidRPr="00BC4723">
        <w:rPr>
          <w:rFonts w:ascii="Calibri" w:hAnsi="Calibri" w:cs="Calibri"/>
          <w:sz w:val="22"/>
        </w:rPr>
        <w:t>(25)</w:t>
      </w:r>
      <w:r>
        <w:rPr>
          <w:rFonts w:cstheme="minorHAnsi"/>
          <w:sz w:val="22"/>
          <w:szCs w:val="22"/>
        </w:rPr>
        <w:fldChar w:fldCharType="end"/>
      </w:r>
      <w:r w:rsidR="001E03AB">
        <w:rPr>
          <w:rFonts w:cstheme="minorHAnsi"/>
          <w:sz w:val="22"/>
          <w:szCs w:val="22"/>
        </w:rPr>
        <w:t>, primarily encompassed studies utilizing</w:t>
      </w:r>
      <w:r w:rsidR="00AD19E5">
        <w:rPr>
          <w:rFonts w:cstheme="minorHAnsi"/>
          <w:sz w:val="22"/>
          <w:szCs w:val="22"/>
        </w:rPr>
        <w:t xml:space="preserve"> </w:t>
      </w:r>
      <w:r w:rsidR="00E36A56">
        <w:rPr>
          <w:rFonts w:cstheme="minorHAnsi"/>
          <w:sz w:val="22"/>
          <w:szCs w:val="22"/>
        </w:rPr>
        <w:t>Ac-225</w:t>
      </w:r>
      <w:r w:rsidR="00AD19E5">
        <w:rPr>
          <w:rFonts w:cstheme="minorHAnsi"/>
          <w:sz w:val="22"/>
          <w:szCs w:val="22"/>
        </w:rPr>
        <w:t xml:space="preserve">-PSMA </w:t>
      </w:r>
      <w:r w:rsidR="00E36A56">
        <w:rPr>
          <w:rFonts w:cstheme="minorHAnsi"/>
          <w:sz w:val="22"/>
          <w:szCs w:val="22"/>
        </w:rPr>
        <w:t xml:space="preserve">ligands </w:t>
      </w:r>
      <w:r w:rsidR="00AD19E5">
        <w:rPr>
          <w:rFonts w:cstheme="minorHAnsi"/>
          <w:sz w:val="22"/>
          <w:szCs w:val="22"/>
        </w:rPr>
        <w:t xml:space="preserve">(tandem or monotherapy) and </w:t>
      </w:r>
      <w:r w:rsidR="00E36A56">
        <w:rPr>
          <w:rFonts w:cstheme="minorHAnsi"/>
          <w:sz w:val="22"/>
          <w:szCs w:val="22"/>
        </w:rPr>
        <w:t>[</w:t>
      </w:r>
      <w:r w:rsidR="00E36A56" w:rsidRPr="00F46584">
        <w:rPr>
          <w:rFonts w:cstheme="minorHAnsi"/>
          <w:sz w:val="22"/>
          <w:szCs w:val="22"/>
          <w:vertAlign w:val="superscript"/>
        </w:rPr>
        <w:t>225</w:t>
      </w:r>
      <w:r w:rsidR="00E36A56" w:rsidRPr="0018521B">
        <w:rPr>
          <w:rFonts w:cstheme="minorHAnsi"/>
          <w:sz w:val="22"/>
          <w:szCs w:val="22"/>
        </w:rPr>
        <w:t>Ac</w:t>
      </w:r>
      <w:r w:rsidR="00E36A56">
        <w:rPr>
          <w:rFonts w:cstheme="minorHAnsi"/>
          <w:sz w:val="22"/>
          <w:szCs w:val="22"/>
        </w:rPr>
        <w:t>]Ac</w:t>
      </w:r>
      <w:r w:rsidR="00E36A56" w:rsidRPr="0018521B">
        <w:rPr>
          <w:rFonts w:cstheme="minorHAnsi"/>
          <w:sz w:val="22"/>
          <w:szCs w:val="22"/>
        </w:rPr>
        <w:t>-DOTAT</w:t>
      </w:r>
      <w:r w:rsidR="00E36A56">
        <w:rPr>
          <w:rFonts w:cstheme="minorHAnsi"/>
          <w:sz w:val="22"/>
          <w:szCs w:val="22"/>
        </w:rPr>
        <w:t>OC</w:t>
      </w:r>
      <w:r w:rsidR="00AD19E5">
        <w:rPr>
          <w:rFonts w:cstheme="minorHAnsi"/>
          <w:sz w:val="22"/>
          <w:szCs w:val="22"/>
        </w:rPr>
        <w:t xml:space="preserve"> intra-arterial therapy. They reviewed</w:t>
      </w:r>
      <w:r w:rsidR="001E03AB">
        <w:rPr>
          <w:rFonts w:cstheme="minorHAnsi"/>
          <w:sz w:val="22"/>
          <w:szCs w:val="22"/>
        </w:rPr>
        <w:t xml:space="preserve"> treatment efficacy and some safety aspects of TAT as well. </w:t>
      </w:r>
      <w:r w:rsidR="00001AF6" w:rsidRPr="00001AF6">
        <w:rPr>
          <w:rFonts w:cstheme="minorHAnsi"/>
          <w:sz w:val="22"/>
          <w:szCs w:val="22"/>
        </w:rPr>
        <w:t>Sataphaty and colleagues</w:t>
      </w:r>
      <w:r w:rsidR="00001AF6">
        <w:rPr>
          <w:rFonts w:cstheme="minorHAnsi"/>
          <w:sz w:val="22"/>
          <w:szCs w:val="22"/>
        </w:rPr>
        <w:fldChar w:fldCharType="begin"/>
      </w:r>
      <w:r w:rsidR="00236E68">
        <w:rPr>
          <w:rFonts w:cstheme="minorHAnsi"/>
          <w:sz w:val="22"/>
          <w:szCs w:val="22"/>
        </w:rPr>
        <w:instrText xml:space="preserve"> ADDIN ZOTERO_ITEM CSL_CITATION {"citationID":"G3Yg7jLm","properties":{"formattedCitation":"(7)","plainCitation":"(7)","noteIndex":0},"citationItems":[{"id":48,"uris":["http://zotero.org/users/15628667/items/SIJTFWHD"],"itemData":{"id":48,"type":"article-journal","abstract":"BACKGROUND: Targeted radionuclide therapy with Actinium-225-labeled prostate-specific membrane antigen ligands ((225)Ac-PSMA) has emerged as a  promising treatment modality in the management of metastatic castration-resistant  prostate cancer (mCRPC). With its high linear energy transfer and short path  length, (225)Ac induces double-stranded DNA breaks and is expected to have  excellent efficacy and safety profile. This systematic review was conducted to  precisely evaluate the role of (225)Ac-PSMA radioligand therapy (RLT) in mCRPC.  METHODS: This systematic review followed the Preferred Reporting Items for  Systematic Reviews and Meta-analyses (PRISMA) guidelines. Searches were made  using relevant keywords in the PubMed, Embase, and Scopus databases, and articles  up to December 2020 were included. Data on efficacy and toxicity were extracted  from the individual articles. Random-effects model was used for generating pooled  estimates through meta-analysis. RESULTS: Ten articles comprising 256 patients  were included. Overall, 62.8% (95% confidence interval, CI: 53.4-71.7%) of the  patients treated with (225)Ac-PSMA RLT achieved biochemical response, i.e., ≥50%  decline in the serum prostate-specific antigen levels from baseline. Molecular  response on Gallium-68 PSMA positron emission tomography/computed tomography was  noted in 74% (95% CI: 50.1-92.1%) of the patients. The pooled estimates of median  progression-free survival and overall survival were 9.1 months (95% CI: 3.6-14.5  months) and 12.8 months (95% CI: 4.5-21.0 months), respectively. The most  commonly reported adverse event was xerostomia, which was observed in 72.7% (95%  CI: 50.5-90.1%) of the patients. However, clinically significant toxicity was  limited with grade ≥3 xerostomia, anemia, leucopenia, thrombocytopenia, and  nephrotoxicity occurring in 1.2%, 12.3%, 8.3%, 6.3%, and 3.8% of the patients,  respectively. Treatment discontinuation due to adverse events was noted in 20/208  patients. CONCLUSIONS: (225)Ac-PSMA RLT is an efficacious and safe treatment  option for patients with mCRPC. Future randomized controlled trials are required  to establish its therapeutic efficacy and survival benefit vis-à-vis other  approved treatment modalities.","container-title":"Prostate cancer and prostatic diseases","DOI":"10.1038/s41391-021-00349-w","ISSN":"1476-5608 1365-7852","issue":"3","journalAbbreviation":"Prostate Cancer Prostatic Dis","language":"eng","license":"© 2021. The Author(s), under exclusive licence to Springer Nature Limited.","note":"publisher-place: England\nPMID: 33746213","page":"880-890","title":"Evolving role of (225)Ac-PSMA radioligand therapy in metastatic castration-resistant prostate cancer-a systematic review and meta-analysis.","volume":"24","author":[{"family":"Satapathy","given":"Swayamjeet"},{"family":"Sood","given":"Ashwani"},{"family":"Das","given":"Chandan Krushna"},{"family":"Mittal","given":"Bhagwant Rai"}],"issued":{"date-parts":[["2021",9]]}}}],"schema":"https://github.com/citation-style-language/schema/raw/master/csl-citation.json"} </w:instrText>
      </w:r>
      <w:r w:rsidR="00001AF6">
        <w:rPr>
          <w:rFonts w:cstheme="minorHAnsi"/>
          <w:sz w:val="22"/>
          <w:szCs w:val="22"/>
        </w:rPr>
        <w:fldChar w:fldCharType="separate"/>
      </w:r>
      <w:r w:rsidR="00CE4AE4" w:rsidRPr="00CE4AE4">
        <w:rPr>
          <w:rFonts w:ascii="Calibri" w:hAnsi="Calibri" w:cs="Calibri"/>
          <w:sz w:val="22"/>
        </w:rPr>
        <w:t>(7)</w:t>
      </w:r>
      <w:r w:rsidR="00001AF6">
        <w:rPr>
          <w:rFonts w:cstheme="minorHAnsi"/>
          <w:sz w:val="22"/>
          <w:szCs w:val="22"/>
        </w:rPr>
        <w:fldChar w:fldCharType="end"/>
      </w:r>
      <w:r w:rsidR="00001AF6" w:rsidRPr="00001AF6">
        <w:rPr>
          <w:rFonts w:cstheme="minorHAnsi"/>
          <w:sz w:val="22"/>
          <w:szCs w:val="22"/>
        </w:rPr>
        <w:t xml:space="preserve"> concluded from collected articles up to December 2020 that the most commonly reported adverse event was xerostomia (72.7%). However, only 1.2% of the cases reported high-grade dry mouth. Clinically significant hematologic toxicity with grade ≥3 was calculated between 6.3% and 12.3%. Nephrotoxicity occurred in 3.8% of the patients. Adverse-event-related treatment discontinuation was reported in 20/208 patients.</w:t>
      </w:r>
      <w:r w:rsidR="00001AF6">
        <w:rPr>
          <w:rFonts w:cstheme="minorHAnsi"/>
          <w:sz w:val="22"/>
          <w:szCs w:val="22"/>
        </w:rPr>
        <w:t xml:space="preserve"> </w:t>
      </w:r>
    </w:p>
    <w:p w14:paraId="112BEFDB" w14:textId="37245895" w:rsidR="00001AF6" w:rsidRDefault="00001AF6" w:rsidP="00ED13C8">
      <w:pPr>
        <w:spacing w:after="120" w:line="360" w:lineRule="auto"/>
        <w:rPr>
          <w:rFonts w:cstheme="minorHAnsi"/>
          <w:sz w:val="22"/>
          <w:szCs w:val="22"/>
        </w:rPr>
      </w:pPr>
      <w:r>
        <w:rPr>
          <w:rFonts w:cstheme="minorHAnsi"/>
          <w:sz w:val="22"/>
          <w:szCs w:val="22"/>
        </w:rPr>
        <w:t xml:space="preserve">In the other paper, Zhang </w:t>
      </w:r>
      <w:r w:rsidRPr="0030687E">
        <w:rPr>
          <w:rFonts w:cstheme="minorHAnsi"/>
          <w:i/>
          <w:sz w:val="22"/>
          <w:szCs w:val="22"/>
        </w:rPr>
        <w:t>et al.</w:t>
      </w:r>
      <w:r>
        <w:rPr>
          <w:rFonts w:cstheme="minorHAnsi"/>
          <w:sz w:val="22"/>
          <w:szCs w:val="22"/>
        </w:rPr>
        <w:t xml:space="preserve"> </w:t>
      </w:r>
      <w:r>
        <w:rPr>
          <w:rFonts w:cstheme="minorHAnsi"/>
          <w:sz w:val="22"/>
          <w:szCs w:val="22"/>
        </w:rPr>
        <w:fldChar w:fldCharType="begin"/>
      </w:r>
      <w:r w:rsidR="00BC4723">
        <w:rPr>
          <w:rFonts w:cstheme="minorHAnsi"/>
          <w:sz w:val="22"/>
          <w:szCs w:val="22"/>
        </w:rPr>
        <w:instrText xml:space="preserve"> ADDIN ZOTERO_ITEM CSL_CITATION {"citationID":"bW1h7a2q","properties":{"formattedCitation":"(25)","plainCitation":"(25)","noteIndex":0},"citationItems":[{"id":139,"uris":["http://zotero.org/users/15628667/items/FLWPDFFT"],"itemData":{"id":139,"type":"article-journal","abstract":"Precision oncology is being driven by rapid advances in novel diagnostics and therapeutic interventions, with treatments targeted to the needs of individual  patients on the basis of genetic, biomarker, phenotypic, or psychosocial  characteristics that distinguish a given patient from other patients with similar  clinical presentations. Inherent in the theranostics paradigm is the assumption  that diagnostic test results can precisely determine whether an individual is  likely to benefit from a specific treatment. As part and integral in the current  era of precision oncology, theranostics in the context of nuclear medicine aims  to identify the appropriate molecular targets in neoplasms (diagnostic tool), so  that the optimal ligands and radionuclides (therapeutic tool) with favorable  labeling chemistry can be selected for personalized management of a specific  disease, taking into consideration the specific patient, and subsequently monitor  treatment response. Over the past two decades, the use of gallium-68 labeled  peptides for somatostatin receptor (SSTR)-targeted PET/CT (or PET/MRI) imaging  followed by lutetium-177 and yttrium-90 labeled SSTR-agonist for peptide receptor  radionuclide therapy has demonstrated remarkable success in the management of  neuroendocrine neoplasms, and paved the way to other indications of theranostics.  Rapid advances are being made in the development of other peptide-based  radiopharmaceuticals, small molecular-weight ligands and with newer radioisotopes  with more favorable kinetics, potentially useful for theranostics strategies for  the clinical application. The present review features the Bad Berka experience  with first-in-human studies of new radiopharmaceuticals, for example,  prostate-specific membrane antigen ligand, gastrin-releasing peptide receptor,  neurotensin receptor 1 ligand, novel SSTR-targeting peptides and nonpeptide, and  bone-seeking radiopharmaceuticals. Also new radioisotopes, for example, actinium  ((225)Ac), copper ((64)Cu), scandium ((44)Sc), and terbium ((152)Tb/(161)Tb) will  be discussed briefly demonstrating the development from basic science to  precision oncology in the clinical setting.","container-title":"Seminars in nuclear medicine","DOI":"10.1053/j.semnuclmed.2019.06.002","ISSN":"1558-4623 0001-2998","issue":"5","journalAbbreviation":"Semin Nucl Med","language":"eng","license":"Copyright © 2019. Published by Elsevier Inc.","note":"publisher-place: United States\nPMID: 31470935","page":"422-437","title":"From Bench to Bedside-The Bad Berka Experience With First-in-Human Studies.","volume":"49","author":[{"family":"Zhang","given":"Jingjing"},{"family":"Singh","given":"Aviral"},{"family":"Kulkarni","given":"Harshad R."},{"family":"Schuchardt","given":"Christiane"},{"family":"Müller","given":"Dirk"},{"family":"Wester","given":"Hans-J."},{"family":"Maina","given":"Theodosia"},{"family":"Rösch","given":"Frank"},{"family":"Meulen","given":"Nicholas P.","non-dropping-particle":"van der"},{"family":"Müller","given":"Cristina"},{"family":"Mäcke","given":"Helmut"},{"family":"Baum","given":"Richard P."}],"issued":{"date-parts":[["2019",9]]}}}],"schema":"https://github.com/citation-style-language/schema/raw/master/csl-citation.json"} </w:instrText>
      </w:r>
      <w:r>
        <w:rPr>
          <w:rFonts w:cstheme="minorHAnsi"/>
          <w:sz w:val="22"/>
          <w:szCs w:val="22"/>
        </w:rPr>
        <w:fldChar w:fldCharType="separate"/>
      </w:r>
      <w:r w:rsidR="00BC4723" w:rsidRPr="00BC4723">
        <w:rPr>
          <w:rFonts w:ascii="Calibri" w:hAnsi="Calibri" w:cs="Calibri"/>
          <w:sz w:val="22"/>
        </w:rPr>
        <w:t>(25)</w:t>
      </w:r>
      <w:r>
        <w:rPr>
          <w:rFonts w:cstheme="minorHAnsi"/>
          <w:sz w:val="22"/>
          <w:szCs w:val="22"/>
        </w:rPr>
        <w:fldChar w:fldCharType="end"/>
      </w:r>
      <w:r>
        <w:rPr>
          <w:rFonts w:cstheme="minorHAnsi"/>
          <w:sz w:val="22"/>
          <w:szCs w:val="22"/>
        </w:rPr>
        <w:t xml:space="preserve"> </w:t>
      </w:r>
      <w:r w:rsidRPr="00001AF6">
        <w:rPr>
          <w:rFonts w:cstheme="minorHAnsi"/>
          <w:sz w:val="22"/>
          <w:szCs w:val="22"/>
        </w:rPr>
        <w:t xml:space="preserve">reported the intra-arterial administration of </w:t>
      </w:r>
      <w:r w:rsidR="00E36A56">
        <w:rPr>
          <w:rFonts w:cstheme="minorHAnsi"/>
          <w:sz w:val="22"/>
          <w:szCs w:val="22"/>
        </w:rPr>
        <w:t>[</w:t>
      </w:r>
      <w:r w:rsidR="00E36A56" w:rsidRPr="00F46584">
        <w:rPr>
          <w:rFonts w:cstheme="minorHAnsi"/>
          <w:sz w:val="22"/>
          <w:szCs w:val="22"/>
          <w:vertAlign w:val="superscript"/>
        </w:rPr>
        <w:t>225</w:t>
      </w:r>
      <w:r w:rsidR="00E36A56" w:rsidRPr="0018521B">
        <w:rPr>
          <w:rFonts w:cstheme="minorHAnsi"/>
          <w:sz w:val="22"/>
          <w:szCs w:val="22"/>
        </w:rPr>
        <w:t>Ac</w:t>
      </w:r>
      <w:r w:rsidR="00E36A56">
        <w:rPr>
          <w:rFonts w:cstheme="minorHAnsi"/>
          <w:sz w:val="22"/>
          <w:szCs w:val="22"/>
        </w:rPr>
        <w:t>]Ac</w:t>
      </w:r>
      <w:r w:rsidR="00E36A56" w:rsidRPr="0018521B">
        <w:rPr>
          <w:rFonts w:cstheme="minorHAnsi"/>
          <w:sz w:val="22"/>
          <w:szCs w:val="22"/>
        </w:rPr>
        <w:t>-DOTAT</w:t>
      </w:r>
      <w:r w:rsidR="00E36A56">
        <w:rPr>
          <w:rFonts w:cstheme="minorHAnsi"/>
          <w:sz w:val="22"/>
          <w:szCs w:val="22"/>
        </w:rPr>
        <w:t>OC</w:t>
      </w:r>
      <w:r w:rsidR="00E36A56" w:rsidRPr="00001AF6">
        <w:rPr>
          <w:rFonts w:cstheme="minorHAnsi"/>
          <w:sz w:val="22"/>
          <w:szCs w:val="22"/>
        </w:rPr>
        <w:t xml:space="preserve"> </w:t>
      </w:r>
      <w:r w:rsidRPr="00001AF6">
        <w:rPr>
          <w:rFonts w:cstheme="minorHAnsi"/>
          <w:sz w:val="22"/>
          <w:szCs w:val="22"/>
        </w:rPr>
        <w:t>in previously treated neuroendocrine patients undergoing TRT.  The TAT demonstrated good tolerability, as reported in their study.</w:t>
      </w:r>
      <w:r>
        <w:rPr>
          <w:rFonts w:cstheme="minorHAnsi"/>
          <w:sz w:val="22"/>
          <w:szCs w:val="22"/>
        </w:rPr>
        <w:t xml:space="preserve"> Also, they performed the first </w:t>
      </w:r>
      <w:r w:rsidR="0069394F">
        <w:rPr>
          <w:rFonts w:cstheme="minorHAnsi"/>
          <w:sz w:val="22"/>
          <w:szCs w:val="22"/>
        </w:rPr>
        <w:t xml:space="preserve">clinical dosimetry of tandem therapy with </w:t>
      </w:r>
      <w:r w:rsidR="00E36A56" w:rsidRPr="00E36A56">
        <w:rPr>
          <w:rFonts w:cstheme="minorHAnsi"/>
          <w:sz w:val="22"/>
          <w:szCs w:val="22"/>
        </w:rPr>
        <w:t xml:space="preserve">Lu-177 </w:t>
      </w:r>
      <w:r w:rsidR="00E36A56" w:rsidRPr="00E36A56">
        <w:rPr>
          <w:rFonts w:cstheme="minorHAnsi"/>
          <w:sz w:val="22"/>
          <w:szCs w:val="22"/>
        </w:rPr>
        <w:lastRenderedPageBreak/>
        <w:t>and</w:t>
      </w:r>
      <w:r w:rsidR="00DB6C5C">
        <w:rPr>
          <w:rFonts w:cstheme="minorHAnsi"/>
          <w:sz w:val="22"/>
          <w:szCs w:val="22"/>
        </w:rPr>
        <w:t xml:space="preserve"> </w:t>
      </w:r>
      <w:r w:rsidR="00E36A56">
        <w:rPr>
          <w:rFonts w:cstheme="minorHAnsi"/>
          <w:sz w:val="22"/>
          <w:szCs w:val="22"/>
        </w:rPr>
        <w:t>Ac-225 labelled</w:t>
      </w:r>
      <w:r w:rsidR="0069394F">
        <w:rPr>
          <w:rFonts w:cstheme="minorHAnsi"/>
          <w:sz w:val="22"/>
          <w:szCs w:val="22"/>
        </w:rPr>
        <w:t xml:space="preserve"> PSMA </w:t>
      </w:r>
      <w:r w:rsidR="00E36A56">
        <w:rPr>
          <w:rFonts w:cstheme="minorHAnsi"/>
          <w:sz w:val="22"/>
          <w:szCs w:val="22"/>
        </w:rPr>
        <w:t xml:space="preserve">ligands </w:t>
      </w:r>
      <w:r w:rsidR="0069394F">
        <w:rPr>
          <w:rFonts w:cstheme="minorHAnsi"/>
          <w:sz w:val="22"/>
          <w:szCs w:val="22"/>
        </w:rPr>
        <w:t xml:space="preserve">in a small cohort of prostate cancer patients refractory to </w:t>
      </w:r>
      <w:r w:rsidR="00E36A56">
        <w:rPr>
          <w:rFonts w:cstheme="minorHAnsi"/>
          <w:sz w:val="22"/>
          <w:szCs w:val="22"/>
        </w:rPr>
        <w:t xml:space="preserve">initial </w:t>
      </w:r>
      <w:r w:rsidR="0069394F">
        <w:rPr>
          <w:rFonts w:cstheme="minorHAnsi"/>
          <w:sz w:val="22"/>
          <w:szCs w:val="22"/>
        </w:rPr>
        <w:t xml:space="preserve">TRT with </w:t>
      </w:r>
      <w:r w:rsidR="00E36A56">
        <w:rPr>
          <w:rFonts w:cstheme="minorHAnsi"/>
          <w:sz w:val="22"/>
          <w:szCs w:val="22"/>
        </w:rPr>
        <w:t>Lu-177</w:t>
      </w:r>
      <w:r w:rsidR="0069394F">
        <w:rPr>
          <w:rFonts w:cstheme="minorHAnsi"/>
          <w:sz w:val="22"/>
          <w:szCs w:val="22"/>
        </w:rPr>
        <w:t xml:space="preserve">. They concluded beside the potential treatment efficacy, there was neither reported xerostomia nor high-grade hematological and nephrological side effect. The follow-up period </w:t>
      </w:r>
      <w:r w:rsidR="00E36A56">
        <w:rPr>
          <w:rFonts w:cstheme="minorHAnsi"/>
          <w:sz w:val="22"/>
          <w:szCs w:val="22"/>
        </w:rPr>
        <w:t>was</w:t>
      </w:r>
      <w:r w:rsidR="0069394F">
        <w:rPr>
          <w:rFonts w:cstheme="minorHAnsi"/>
          <w:sz w:val="22"/>
          <w:szCs w:val="22"/>
        </w:rPr>
        <w:t xml:space="preserve"> not reported.</w:t>
      </w:r>
    </w:p>
    <w:p w14:paraId="5C506D04" w14:textId="45FD942A" w:rsidR="00981830" w:rsidRPr="0030687E" w:rsidRDefault="001E03AB" w:rsidP="00ED13C8">
      <w:pPr>
        <w:spacing w:after="120" w:line="360" w:lineRule="auto"/>
        <w:rPr>
          <w:rFonts w:cstheme="minorHAnsi"/>
          <w:sz w:val="20"/>
          <w:szCs w:val="22"/>
        </w:rPr>
      </w:pPr>
      <w:r w:rsidRPr="0030687E">
        <w:rPr>
          <w:rFonts w:eastAsia="Times New Roman" w:cstheme="minorHAnsi"/>
          <w:kern w:val="0"/>
          <w:sz w:val="22"/>
          <w:lang w:bidi="ar-SA"/>
          <w14:ligatures w14:val="none"/>
        </w:rPr>
        <w:t>While these reviews provided crucial insights into the general safety landscape of alpha t</w:t>
      </w:r>
      <w:r w:rsidR="00E36A56">
        <w:rPr>
          <w:rFonts w:eastAsia="Times New Roman" w:cstheme="minorHAnsi"/>
          <w:kern w:val="0"/>
          <w:sz w:val="22"/>
          <w:lang w:bidi="ar-SA"/>
          <w14:ligatures w14:val="none"/>
        </w:rPr>
        <w:t>herapy, our current analysis tried</w:t>
      </w:r>
      <w:r w:rsidRPr="0030687E">
        <w:rPr>
          <w:rFonts w:eastAsia="Times New Roman" w:cstheme="minorHAnsi"/>
          <w:kern w:val="0"/>
          <w:sz w:val="22"/>
          <w:lang w:bidi="ar-SA"/>
          <w14:ligatures w14:val="none"/>
        </w:rPr>
        <w:t xml:space="preserve"> to provide a holistic overview on toxicities associated Ac-225 TAT and specifically delves into the refined safety profile observed with Actinium-225 in recent clinical applications</w:t>
      </w:r>
      <w:r w:rsidR="0030687E" w:rsidRPr="0030687E">
        <w:rPr>
          <w:rFonts w:eastAsia="Times New Roman" w:cstheme="minorHAnsi"/>
          <w:kern w:val="0"/>
          <w:sz w:val="22"/>
          <w:lang w:bidi="ar-SA"/>
          <w14:ligatures w14:val="none"/>
        </w:rPr>
        <w:t>.</w:t>
      </w:r>
      <w:r w:rsidRPr="0030687E">
        <w:rPr>
          <w:rFonts w:cstheme="minorHAnsi"/>
          <w:sz w:val="20"/>
          <w:szCs w:val="22"/>
        </w:rPr>
        <w:t xml:space="preserve"> </w:t>
      </w:r>
    </w:p>
    <w:p w14:paraId="6EDF1028" w14:textId="4B2DA1DD" w:rsidR="0056459E" w:rsidRDefault="0018521B" w:rsidP="00ED13C8">
      <w:pPr>
        <w:spacing w:after="120" w:line="360" w:lineRule="auto"/>
        <w:rPr>
          <w:rFonts w:cstheme="minorHAnsi"/>
          <w:sz w:val="22"/>
          <w:szCs w:val="22"/>
        </w:rPr>
      </w:pPr>
      <w:r w:rsidRPr="0018521B">
        <w:rPr>
          <w:rFonts w:cstheme="minorHAnsi"/>
          <w:sz w:val="22"/>
          <w:szCs w:val="22"/>
        </w:rPr>
        <w:t xml:space="preserve">In addition to the two most extensively researched ligands, PSMA and DOTATATE, several additional ligands that bind Ac-225 have been investigated in other malignancies </w:t>
      </w:r>
      <w:r w:rsidR="00992C0F">
        <w:rPr>
          <w:rFonts w:cstheme="minorHAnsi"/>
          <w:sz w:val="22"/>
          <w:szCs w:val="22"/>
        </w:rPr>
        <w:fldChar w:fldCharType="begin"/>
      </w:r>
      <w:r w:rsidR="00BC4723">
        <w:rPr>
          <w:rFonts w:cstheme="minorHAnsi"/>
          <w:sz w:val="22"/>
          <w:szCs w:val="22"/>
        </w:rPr>
        <w:instrText xml:space="preserve"> ADDIN ZOTERO_ITEM CSL_CITATION {"citationID":"JJpBWs8U","properties":{"formattedCitation":"(10,26\\uc0\\u8211{}34)","plainCitation":"(10,26–34)","noteIndex":0},"citationItems":[{"id":1241,"uris":["http://zotero.org/users/15628667/items/VEQJMJSM"],"itemData":{"id":1241,"type":"article-journal","container-title":"Journal of Nuclear Medicine","DOI":"10.2967/jnumed.125.269655","ISSN":"0161-5505, 2159-662X","issue":"8","journalAbbreviation":"J Nucl Med","language":"en","page":"1239-1244","source":"DOI.org (Crossref)","title":"Efficacy, Safety, Blood Kinetics, and&lt;sup&gt;213&lt;/sup&gt; Bi Distribution Studies of [&lt;sup&gt;225&lt;/sup&gt; Ac]Ac-SibuDAB in Prostate Cancer Patients","URL":"http://jnm.snmjournals.org/lookup/doi/10.2967/jnumed.125.269655","volume":"66","author":[{"family":"Schmitl","given":"Stefan"},{"family":"Kretschmer-Chott","given":"Elisabeth"},{"family":"Patronas","given":"Eva-Maria"},{"family":"Kramer","given":"Gero"},{"family":"Ritt","given":"Philipp"},{"family":"Fuchs","given":"Elisabeth"},{"family":"Weisbrod","given":"Maximilian"},{"family":"Nics","given":"Lukas"},{"family":"Mitterhauser","given":"Markus"},{"family":"Hacker","given":"Marcus"}],"accessed":{"date-parts":[["2025",8,26]]},"issued":{"date-parts":[["2025",8]]}}},{"id":1122,"uris":["http://zotero.org/users/15628667/items/UQ46X627"],"itemData":{"id":1122,"type":"article-journal","abstract":"241340 Introduction: Lintuzumab-Ac225 (Actimab-A) is a humanized CD33 antibody conjugated to 225Ac, which delivers high energy radiation over a short range to CD33 expressing AML blasts. When administering targeted alpha therapy, dosimetry and the safety profile of the therapy become paramount because of the potent cytotoxicity of alpha emitters. In previous results from this trial, we have shown that low dose Lintuzumab-Ac225 after salvage chemotherapy improves remission rates and produces potent clearance of residual disease, thereby achieving depth of remission. Here, we report the safety results from this Phase I study along with model-based estimates of organ-specific dosimetry.Methods: This study enrolled R/R AML pts deemed fit, with adequate organ function, and with CD33 expression on &amp;gt;25% of leukemic blasts. Induction consisted of G-CSF, 300mcg/d, given D1-6, cladribine 5mg/m2, given D2-6, cytarabine2g/m2, given D2-6, and mitoxantrone 10mg/m2, given D2-4. Lintuzumab-Ac225 was administered as a single dose on day 8 ±1 day within 4 cohorts, with doses ranging from 0.25uCi/kg to 1.0 uCi/kg. Absorbed dose calculations were performed following the guidelines in the MIRD committee pamphlet nr 21. The biodistribution and time-integrated activity coefficient (TIAC) in each source organ was estimated through biokinetic modeling using a previously validated model based on targeting CD33 expressing cells in patients with hematologic malignancies. Absorbed dose estimates for individual organs were calculated by multiplying the TIAC by the corresponding S-value (absorbed dose to a target tissue per unit TIAC in a source tissue), assuming a relative biologic effect (RBE) of 5 for alpha particlesResults: From 23 patients treated at 4 different dose levels in this study, the MTD was determined to be 1.0 µCi/kg, and the RP2D was set at 0.75 µCi/kg. Within the 1.0 µCi/kg dosing cohort, 2 dose limiting toxicities (DLTs), severe mucositis and prolonged neutropenia, were observed in 5 patients. Eight subjects were administered with lintuzumab-Ac225 at RP2D (0.75 μCi/kg). Among all patients, Grade 3/4 toxicities observed in &amp;gt;10% of patients included hematologic toxicities, as expected for heavily pre-treated patients with myeloid malignancy, as well as infection, rash and hypokalemia.As shown in Table 1, absorbed dose estimates from Lintuzumab-Ac225 to potentially dose-limiting organs-at-risk were well below established tolerance limits from external beam radiation therapy (EBRT), corroborating the safety profile which showed no signs of renal, hepatobiliary, pulmonary or cardiac toxicity. A single 30-minute infusion of Lintuzumab-Ac225 at 0.75 µCi/kg resulted in rapid radiation delivery and rapid clearance. Peak radiation concentrations were detected in blood around 0.6 hours after administration and was undetectable in blood by 48 hours.Conclusions: Lintuzumab-Ac225 can be delivered with estimated radiation doses well below expected tolerance thresholds from EBRT, which was validated by the safety results of this study showing no toxicity to potential dose-limiting organs (liver, lungs, kidneys, heart, intestine) at studied dose levels of Lintuzumab-Ac225.","container-title":"Journal of Nuclear Medicine","issue":"supplement 2","journalAbbreviation":"J Nucl Med","page":"241340","title":"&lt;strong&gt;Safety and Dosimetric Analysis of Lintuzumab-Ac225 in Combination with Intensive CLAG-M Chemotherapy in Patients with Relapsed/Refractory AML&lt;/strong&gt;","URL":"http://jnm.snmjournals.org/content/65/supplement_2/241340.abstract","volume":"65","author":[{"family":"Abedin","given":"Sameem"},{"family":"Brodin","given":"Patrik"},{"family":"Chen","given":"Mary"},{"family":"Rotibi","given":"Mojisola"},{"family":"Syed","given":"Umar"},{"family":"Desai","given":"Avinash"},{"family":"Atallah","given":"Ehab"}],"issued":{"date-parts":[["2024",6,1]]}}},{"id":1126,"uris":["http://zotero.org/users/15628667/items/XX8K77FS"],"itemData":{"id":1126,"type":"article-journal","abstract":"P1036 Introduction: Over 900 inpatient radioligand therapies (RLT) were performed between February 2020 and January 2023. As per COVID-19 pandemic regulations, indications for inpatient admission included negative rapid antigen test and absence of COVID-19 related symptoms such as fever, coughing, loss of smell and/or taste as well as contact with COVID-19 positive patient in the preceding 14 days. All patients also underwent polymerase chain reaction (PCR) test before admission. In 12 patients, PCR test was came out to be positive on the second day of admission.Methods: Upon admission, patients underwent history taking (including vaccination status), physical examination and blood tests (CBC, renal &amp;amp; liver panel, tumor markers). Antibody titers (BAU/ml) against SARS-CoV-2 were measured in all patients as well as neutralizing antibodies (in %). All patients were without symptoms. RLT was performed under monitoring of vitals, and single-photon emission computed tomography (SPECT/CT) was performed one day after treatment. In our hospital setting, PCR tests require between 12-24 hours to declare results (time point starting from sample collection), some COVID-positive patients were treated without knowledge of the positive PCR test status.This table summarizes the data of 12 patients who underwent radioligand therapies and were incidentally detected as COVID-19 positive (while being asymtomatic)-Abbreviations: M - male, F - female, NET - neuroendocrine tumor, PCa - prostate cancer, Lu - Lutetium, Ac - Actinium, PSMA - Ct -cycle threshold, N/A - not availableResults: Radioligand therapies performed in PCR positive patients with neuroendocrine tumors (NET), prostate cancer (PCa) and in a sarcoma patient (Ac-225 FAP-3BP-3940) were completely uneventful. Daily monitoring of vitals was unremarkable, patients were followed-up for at least several months. High uptake of the radiotherapeutic in the metastases and normal physiologic biodistribution was noted in the posttherapy SPECT/CT scans. Positive patients were discharged after 24 hours (German regulations usually demand 48 hours stay) under appropriate radiation safety measures (the remaining radiation - gamma and beta radiation - was in all cases less than one Millisievert (1 mSv) per year at one-meter distance from the patient). High antibody titers against SARS-CoV-2 were present in the follow up blood tests of 3 patients, indicating undisturbed immune response.Conclusions: Due to global logistics of radiopharmacy delivery, patients for RLT are planned usually weeks in advance. Our data indicate that PSMA radioligand therapy as well as radiopeptide therapy (as well as FAP PTRT) can be performed in asymptomatic COVID-positive patients - without any sequelae. Therefore, COVID-19 infection is not a limiting factor for performing RLT.","container-title":"Journal of Nuclear Medicine","issue":"supplement 1","journalAbbreviation":"J Nucl Med","page":"P1036","title":"&lt;strong&gt;Radioligand therapy during incidental asymptomatic acute COVID-19 infection – a case series.&lt;/strong&gt;","URL":"http://jnm.snmjournals.org/content/64/supplement_1/P1036.abstract","volume":"64","author":[{"family":"Baum","given":"Richard P."},{"family":"Mishra","given":"Aditi"},{"family":"Landvogt","given":"Christian"},{"family":"Eismant","given":"Aleksandr"},{"family":"Mueller","given":"Corinna"}],"issued":{"date-parts":[["2023",6,1]]}}},{"id":1123,"uris":["http://zotero.org/users/15628667/items/XDCLXKVK"],"itemData":{"id":1123,"type":"article-journal","abstract":"241342 Introduction: Rosopatamab Tetraxetan (also known as DOTA-huJ591 mAb) was labeled with Ac-225, an alpha emitter for targeted radionuclide therapy (TRT) of mCRPC. Phase 1 dose escalation studies were performed with a single dose or two doses in a fractionated dosing schedule (2 doses given 2 weeks. apart). Safety data was analyzed to understand hematologic toxicity as a function of administered Ac-225 dose, and bone marrow (BM) absorbed radiation dose.Methods: Dose escalation strategy was based on Ac-RT dosimetry estimates based on 89Zr-DFO-J591-PET studies in patients with prostate Cancer (J Nucl Med 41:2093, 2014). Radiation dosimetry for select organs was estimated (Table 1) with a relative biological effectiveness (RBE) of 5 for alpha emitters. Assuming the dose limit for bone marrow (BM) is 2 Gy, the maximum Ac-RT injected dose was estimated to be 6.06 MBq (160 µCi). With a single dose, 32 patients (in 7 cohorts) received 13.3 to 93.3 KBq/Kg of Ac-RT (22 in dose escalation, 10 in expansion). With fractionated two doses, 28 patients (in 5 cohorts) received 45 to 65 KBq/Kg per each dose (90-130 KBq cumulative dose).Table 1. 225Ac-RT Dosimetry Estimation Based on 89Zr-DFO-PET Results: With a single dose of Ac-RT, only one patient experienced DLT at 80 KBq/kg, but none in cohort at 93.3 KBq/Kg and also MTD was not reached (Table 2). In the fractionated dosing schedule, DLT was experienced by one patient at 100 KBq/kg (cumulative dose), and 3 pts. at 120-130 KBq/kg (cumulative dose). Based on dosimetry, patients appear to tolerate BM dose up to 3 Gy. The majority of high-grade adverse events were hematologic with an apparent relationship to administered radioactivity. Non-hematologic adverse events, besides being low grade and were rare or uncommon. .Table 2. 225Ac-RT Dose and Hematologic toxicityConclusions: Phase I dose escalation trials indicate that in a fractionated dose regimen, administration of two doses of 55-65 KBq/kg (injected 2 weeks apart) of Ac-RT is relatively safe for the treatment of mCRPC. Clinical data suggests that 225Ac-RT radiation dosimetry estimation based on RBE of 5 may not be appropriate and may need to be optimized to understand dose-response relationships. While prior treatments (chemotherapy, PARP inhibitors, Ra-223, Lu-177 labeled antibodies or PSMA inhibitors) may reduce the tolerability to Ac-RT, this requires further study.","container-title":"Journal of Nuclear Medicine","issue":"supplement 2","journalAbbreviation":"J Nucl Med","page":"241342","title":"&lt;strong&gt;Actinium (Ac-225) Rosopatamab tetraxetan (Ac-RT) therapy in metastatic castration resistant prostate cancer (mCRPC); Radiation dosimetry, hematological toxicity, and dose-limiting toxicity (DLT)&lt;/strong&gt;","URL":"http://jnm.snmjournals.org/content/65/supplement_2/241342.abstract","volume":"65","author":[{"family":"Vallabhajosula","given":"Shankar"},{"family":"Tagawa","given":"Scott"},{"family":"Osborne","given":"Joseph"},{"family":"Nauseef","given":"Jones"},{"family":"Ricaurte Fajardo","given":"Andres"},{"family":"Castellanos","given":"Sandra"},{"family":"Davidson","given":"Zachary"},{"family":"Bander","given":"Neil H."}],"issued":{"date-parts":[["2024",6,1]]}}},{"id":1213,"uris":["http://zotero.org/users/15628667/items/TZVCXGCW"],"itemData":{"id":1213,"type":"article-journal","container-title":"European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2024","URL":"https://link.springer.com/10.1007/s00259-024-06838-z","volume":"51","author":[{"family":"Perrone E","given":""}],"accessed":{"date-parts":[["2025",7,25]]},"issued":{"date-parts":[["2024",9]]}}},{"id":1215,"uris":["http://zotero.org/users/15628667/items/QZJX4I62"],"itemData":{"id":1215,"type":"article-journal","container-title":"European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2024","URL":"https://link.springer.com/10.1007/s00259-024-06838-z","volume":"51","author":[{"family":"E perrone","given":""}],"accessed":{"date-parts":[["2025",7,25]]},"issued":{"date-parts":[["2024",9]]}}},{"id":1217,"uris":["http://zotero.org/users/15628667/items/RVHSW73D"],"itemData":{"id":1217,"type":"article-journal","container-title":"European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Zhang","given":""}],"accessed":{"date-parts":[["2025",7,25]]},"issued":{"date-parts":[["2024",9]]}}},{"id":1235,"uris":["http://zotero.org/users/15628667/items/SKUSP9JR"],"itemData":{"id":1235,"type":"article-journal","abstract":"Abstract\n              \n                Glioblastoma is the most common and malignant primary brain tumour, with a poor prognosis. Introduction of new treatment options is critically important. The study aimed to assess the appropriateness of escalation doses and toxicity of [\n                225\n                Ac]Ac-DOTA-SP therapy.\n              \n            \n            \n              Material and methods\n              \n                A total of 21 patients (age of 43.0 ± 9.5 years), with histologically confirmed recurrent or conversion glioblastoma grade 4 following a standard therapy, have been included in the study. One to 2 intracavitary port-a-cath systems were stereotactically inserted. Patients were treated with escalation dose protocol with 10, 20 and 30 MBq per cycle totally 1–6 doses of [\n                225\n                Ac]Ac-DOTA-SP in 2-month intervals. Therapeutic response was monitored by clinical performance status and MRI imaging.\n              \n            \n            \n              Results\n              \n                Treatment was well tolerated with mostly mild temporary adverse effects (oedema, epileptic seizures, aphasia, hemiparesis) mainly in the group of patients treated with 30 MBq of [\n                225\n                Ac]Ac-DOTA-SP. Only one patient treated with 30 MBq revealed thrombopenia grade 3. There was no other grade 3 and 4 toxicity related to [\n                225\n                Ac]Ac-DOTA-treatment in all groups. The median overall survival time from the primary diagnosis (OS-d) was 35.0 months and from the diagnosis of the recurrence/conversion (OS-r/c) was 13.2 months. From the start of treatment with [\n                225\n                Ac]Ac-DOTA-SP, the median PFS was 2.4 months, and the OS-t was 9.0 months. There were no statistically significant differences between the investigated dose escalation groups.\n              \n            \n            \n              Conclusions\n              \n                Treatment of recurrent glioblastoma with [\n                225\n                Ac]Ac-DOTA-SP is safe and well tolerated up to 30 MBq per cycle. The escalation dose protocol showed good tolerability. Only mild temporary adverse effects were observed. No remarkable haematological, kidney and liver toxicity was seen.","container-title":"European Journal of Nuclear Medicine and Molecular Imaging","DOI":"10.1007/s00259-021-05350-y","ISSN":"1619-7070, 1619-7089","issue":"11","journalAbbreviation":"Eur J Nucl Med Mol Imaging","language":"en","page":"3595-3605","source":"DOI.org (Crossref)","title":"Dose escalation study of targeted alpha therapy with [225Ac]Ac-DOTA-substance P in recurrence glioblastoma – safety and efficacy","URL":"https://link.springer.com/10.1007/s00259-021-05350-y","volume":"48","author":[{"family":"Królicki","given":"Leszek"},{"family":"Bruchertseifer","given":"Frank"},{"family":"Kunikowska","given":"Jolanta"},{"family":"Koziara","given":"Henryk"},{"family":"Pawlak","given":"Dariusz"},{"family":"Kuliński","given":"Radosław"},{"family":"Rola","given":"Rafał"},{"family":"Merlo","given":"Adrian"},{"family":"Morgenstern","given":"Alfred"}],"accessed":{"date-parts":[["2025",8,20]]},"issued":{"date-parts":[["2021",10]]}}},{"id":1242,"uris":["http://zotero.org/users/15628667/items/9ZZ2REQT"],"itemData":{"id":1242,"type":"article-journal","abstract":"The median survival time has been reported to vary between 5 and 8 years in low-grade (WHO grade 2) astrocytoma, and between 10 and 15 years for grade 2 oligodendroglioma. Targeted alpha therapy (TAT), using the modified peptide vector [213Bi]Bi/[225Ac]Ac-DOTA-substance P, has been developed to treat glioblastoma (GBM), a prevalent malignant brain tumor. In order to assess the risk of late neurotoxicity, assuming that reduced tumor cell proliferation and invasion should directly translate into good responses in low-grade gliomas (LGGs), a limited number of patients with diffuse invasive astrocytoma (n = 8) and oligodendroglioma (n = 3) were offered TAT. In two oligodendroglioma patients, TAT was applied as a second-line treatment for tumor progression, 10 years after targeted beta therapy using [90Y]Y-DOTA-substance P. The radiopharmaceutical was locally injected directly into the tumor via a stereotactic insertion of a capsule–catheter system. The activity used for radiolabeling was 2–2.5 GBq of Bismuth-213 and 17 to 35 MBq of Actinium-225, mostly applied in a single fraction. The recurrence-free survival times were in the range of 2 to 16 years (median 11 years) in low-grade astrocytoma (n = 8), in which TAT was administered following a biopsy or tumor debulking. Regarding oligodendroglioma, the recurrence-free survival time was 24 years in the first case treated, and 4 and 5 years in the two second-line cases. In conclusion, TAT leads to long-term tumor control in the majority of patients with LGG, and recurrence has so far not manifested in patients with low-grade (grade 2) astrocytomas who received TAT as a first-line therapy. We conclude that targeted alpha therapy has the potential to become a new treatment paradigm in LGG.","container-title":"International Journal of Molecular Sciences","DOI":"10.3390/ijms242115701","ISSN":"1422-0067","issue":"21","journalAbbreviation":"IJMS","language":"en","license":"https://creativecommons.org/licenses/by/4.0/","page":"15701","source":"DOI.org (Crossref)","title":"Long-Term Tumor Control Following Targeted Alpha Therapy (TAT) of Low-Grade Gliomas (LGGs): A New Treatment Paradigm?","title-short":"Long-Term Tumor Control Following Targeted Alpha Therapy (TAT) of Low-Grade Gliomas (LGGs)","URL":"https://www.mdpi.com/1422-0067/24/21/15701","volume":"24","author":[{"family":"Krolicki","given":"Leszek"},{"family":"Kunikowska","given":"Jolanta"},{"family":"Cordier","given":"Dominik"},{"family":"Slavova","given":"Nedelina"},{"family":"Koziara","given":"Henryk"},{"family":"Bruchertseifer","given":"Frank"},{"family":"Maecke","given":"Helmut R."},{"family":"Morgenstern","given":"Alfred"},{"family":"Merlo","given":"Adrian"}],"accessed":{"date-parts":[["2025",8,26]]},"issued":{"date-parts":[["2023",10,28]]}}},{"id":1240,"uris":["http://zotero.org/users/15628667/items/R66U5YR7"],"itemData":{"id":1240,"type":"article-journal","container-title":"Leukemia","DOI":"10.1038/s41375-025-02528-3","ISSN":"0887-6924, 1476-5551","issue":"4","journalAbbreviation":"Leukemia","language":"en","page":"837-843","source":"DOI.org (Crossref)","title":"Phase 1 study of lintuzumab-Ac225 combined with CLAG-M salvage therapy in relapsed/refractory acute myeloid leukemia","URL":"https://www.nature.com/articles/s41375-025-02528-3","volume":"39","author":[{"family":"Abedin","given":"Sameem M."},{"family":"Guru Murthy","given":"Guru Subramanian"},{"family":"Hamadani","given":"Mehdi"},{"family":"Michaelis","given":"Laura C."},{"family":"Carlson","given":"Karen-Sue"},{"family":"Runaas","given":"Lyndsey"},{"family":"Gauger","given":"Katelyn"},{"family":"Desai","given":"Avinash G."},{"family":"Chen","given":"Mary M."},{"family":"Li","given":"Kate L."},{"family":"Rotibi","given":"Mojisola"},{"family":"Syed","given":"Umar"},{"family":"Vusirikala","given":"Madhuri"},{"family":"Harrington","given":"Alexandra"},{"family":"Atallah","given":"Ehab L."}],"accessed":{"date-parts":[["2025",8,26]]},"issued":{"date-parts":[["2025",4]]}}}],"schema":"https://github.com/citation-style-language/schema/raw/master/csl-citation.json"}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(10,26–34)</w:t>
      </w:r>
      <w:r w:rsidR="00992C0F">
        <w:rPr>
          <w:rFonts w:cstheme="minorHAnsi"/>
          <w:sz w:val="22"/>
          <w:szCs w:val="22"/>
        </w:rPr>
        <w:fldChar w:fldCharType="end"/>
      </w:r>
      <w:r w:rsidRPr="0018521B">
        <w:rPr>
          <w:rFonts w:cstheme="minorHAnsi"/>
          <w:sz w:val="22"/>
          <w:szCs w:val="22"/>
        </w:rPr>
        <w:t>.</w:t>
      </w:r>
      <w:r w:rsidR="006D4B46">
        <w:rPr>
          <w:rFonts w:cstheme="minorHAnsi"/>
          <w:sz w:val="22"/>
          <w:szCs w:val="22"/>
        </w:rPr>
        <w:t xml:space="preserve"> </w:t>
      </w:r>
      <w:r w:rsidRPr="0018521B">
        <w:rPr>
          <w:rFonts w:cstheme="minorHAnsi"/>
          <w:sz w:val="22"/>
          <w:szCs w:val="22"/>
        </w:rPr>
        <w:t xml:space="preserve">FAP (3BP-3940) </w:t>
      </w:r>
      <w:r w:rsidR="00E36A56">
        <w:rPr>
          <w:rFonts w:cstheme="minorHAnsi"/>
          <w:sz w:val="22"/>
          <w:szCs w:val="22"/>
        </w:rPr>
        <w:t xml:space="preserve">was </w:t>
      </w:r>
      <w:r w:rsidRPr="0018521B">
        <w:rPr>
          <w:rFonts w:cstheme="minorHAnsi"/>
          <w:sz w:val="22"/>
          <w:szCs w:val="22"/>
        </w:rPr>
        <w:t>retrospectively investigated in various cancer-type patients as mono- or tandem</w:t>
      </w:r>
      <w:r w:rsidR="0030687E">
        <w:rPr>
          <w:rFonts w:cstheme="minorHAnsi"/>
          <w:sz w:val="22"/>
          <w:szCs w:val="22"/>
        </w:rPr>
        <w:t xml:space="preserve"> </w:t>
      </w:r>
      <w:r w:rsidRPr="0018521B">
        <w:rPr>
          <w:rFonts w:cstheme="minorHAnsi"/>
          <w:sz w:val="22"/>
          <w:szCs w:val="22"/>
        </w:rPr>
        <w:t xml:space="preserve">(combination)-PRRT with Lu-177 or Y-90 in many of the cases. In general, the authors </w:t>
      </w:r>
      <w:r w:rsidR="00992C0F">
        <w:rPr>
          <w:rFonts w:cstheme="minorHAnsi"/>
          <w:sz w:val="22"/>
          <w:szCs w:val="22"/>
        </w:rPr>
        <w:fldChar w:fldCharType="begin"/>
      </w:r>
      <w:r w:rsidR="00BC4723">
        <w:rPr>
          <w:rFonts w:cstheme="minorHAnsi"/>
          <w:sz w:val="22"/>
          <w:szCs w:val="22"/>
        </w:rPr>
        <w:instrText xml:space="preserve"> ADDIN ZOTERO_ITEM CSL_CITATION {"citationID":"pgIG1njX","properties":{"formattedCitation":"(29,31)","plainCitation":"(29,31)","noteIndex":0},"citationItems":[{"id":1213,"uris":["http://zotero.org/users/15628667/items/TZVCXGCW"],"itemData":{"id":1213,"type":"article-journal","container-title":"European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2024","URL":"https://link.springer.com/10.1007/s00259-024-06838-z","volume":"51","author":[{"family":"Perrone E","given":""}],"accessed":{"date-parts":[["2025",7,25]]},"issued":{"date-parts":[["2024",9]]}}},{"id":1217,"uris":["http://zotero.org/users/15628667/items/RVHSW73D"],"itemData":{"id":1217,"type":"article-journal","container-title":"European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Zhang","given":""}],"accessed":{"date-parts":[["2025",7,25]]},"issued":{"date-parts":[["2024",9]]}}}],"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(29,31)</w:t>
      </w:r>
      <w:r w:rsidR="00992C0F">
        <w:rPr>
          <w:rFonts w:cstheme="minorHAnsi"/>
          <w:sz w:val="22"/>
          <w:szCs w:val="22"/>
        </w:rPr>
        <w:fldChar w:fldCharType="end"/>
      </w:r>
      <w:r w:rsidRPr="0018521B">
        <w:rPr>
          <w:rFonts w:cstheme="minorHAnsi"/>
          <w:sz w:val="22"/>
          <w:szCs w:val="22"/>
        </w:rPr>
        <w:t xml:space="preserve"> stated</w:t>
      </w:r>
      <w:r w:rsidR="00E36A56">
        <w:rPr>
          <w:rFonts w:cstheme="minorHAnsi"/>
          <w:sz w:val="22"/>
          <w:szCs w:val="22"/>
        </w:rPr>
        <w:t xml:space="preserve"> that</w:t>
      </w:r>
      <w:r w:rsidRPr="0018521B">
        <w:rPr>
          <w:rFonts w:cstheme="minorHAnsi"/>
          <w:sz w:val="22"/>
          <w:szCs w:val="22"/>
        </w:rPr>
        <w:t xml:space="preserve"> </w:t>
      </w:r>
      <w:r w:rsidR="00E36A56">
        <w:rPr>
          <w:rFonts w:cstheme="minorHAnsi"/>
          <w:sz w:val="22"/>
          <w:szCs w:val="22"/>
        </w:rPr>
        <w:t xml:space="preserve">Ac-225 labelled </w:t>
      </w:r>
      <w:r w:rsidRPr="0018521B">
        <w:rPr>
          <w:rFonts w:cstheme="minorHAnsi"/>
          <w:sz w:val="22"/>
          <w:szCs w:val="22"/>
        </w:rPr>
        <w:t xml:space="preserve">FAP showed acceptable long-term toxicities—most of the events were grade 1 or 2—with no acute adverse event. Therefore, it </w:t>
      </w:r>
      <w:r w:rsidR="00E36A56">
        <w:rPr>
          <w:rFonts w:cstheme="minorHAnsi"/>
          <w:sz w:val="22"/>
          <w:szCs w:val="22"/>
        </w:rPr>
        <w:t>was</w:t>
      </w:r>
      <w:r w:rsidRPr="0018521B">
        <w:rPr>
          <w:rFonts w:cstheme="minorHAnsi"/>
          <w:sz w:val="22"/>
          <w:szCs w:val="22"/>
        </w:rPr>
        <w:t xml:space="preserve"> considered safe in terms of clinical application. In 2023, Baum et al. </w:t>
      </w:r>
      <w:r w:rsidR="00992C0F">
        <w:rPr>
          <w:rFonts w:cstheme="minorHAnsi"/>
          <w:sz w:val="22"/>
          <w:szCs w:val="22"/>
        </w:rPr>
        <w:fldChar w:fldCharType="begin"/>
      </w:r>
      <w:r w:rsidR="00BC4723">
        <w:rPr>
          <w:rFonts w:cstheme="minorHAnsi"/>
          <w:sz w:val="22"/>
          <w:szCs w:val="22"/>
        </w:rPr>
        <w:instrText xml:space="preserve"> ADDIN ZOTERO_ITEM CSL_CITATION {"citationID":"huZyC1rZ","properties":{"formattedCitation":"(27)","plainCitation":"(27)","noteIndex":0},"citationItems":[{"id":1126,"uris":["http://zotero.org/users/15628667/items/XX8K77FS"],"itemData":{"id":1126,"type":"article-journal","abstract":"P1036 Introduction: Over 900 inpatient radioligand therapies (RLT) were performed between February 2020 and January 2023. As per COVID-19 pandemic regulations, indications for inpatient admission included negative rapid antigen test and absence of COVID-19 related symptoms such as fever, coughing, loss of smell and/or taste as well as contact with COVID-19 positive patient in the preceding 14 days. All patients also underwent polymerase chain reaction (PCR) test before admission. In 12 patients, PCR test was came out to be positive on the second day of admission.Methods: Upon admission, patients underwent history taking (including vaccination status), physical examination and blood tests (CBC, renal &amp;amp; liver panel, tumor markers). Antibody titers (BAU/ml) against SARS-CoV-2 were measured in all patients as well as neutralizing antibodies (in %). All patients were without symptoms. RLT was performed under monitoring of vitals, and single-photon emission computed tomography (SPECT/CT) was performed one day after treatment. In our hospital setting, PCR tests require between 12-24 hours to declare results (time point starting from sample collection), some COVID-positive patients were treated without knowledge of the positive PCR test status.This table summarizes the data of 12 patients who underwent radioligand therapies and were incidentally detected as COVID-19 positive (while being asymtomatic)-Abbreviations: M - male, F - female, NET - neuroendocrine tumor, PCa - prostate cancer, Lu - Lutetium, Ac - Actinium, PSMA - Ct -cycle threshold, N/A - not availableResults: Radioligand therapies performed in PCR positive patients with neuroendocrine tumors (NET), prostate cancer (PCa) and in a sarcoma patient (Ac-225 FAP-3BP-3940) were completely uneventful. Daily monitoring of vitals was unremarkable, patients were followed-up for at least several months. High uptake of the radiotherapeutic in the metastases and normal physiologic biodistribution was noted in the posttherapy SPECT/CT scans. Positive patients were discharged after 24 hours (German regulations usually demand 48 hours stay) under appropriate radiation safety measures (the remaining radiation - gamma and beta radiation - was in all cases less than one Millisievert (1 mSv) per year at one-meter distance from the patient). High antibody titers against SARS-CoV-2 were present in the follow up blood tests of 3 patients, indicating undisturbed immune response.Conclusions: Due to global logistics of radiopharmacy delivery, patients for RLT are planned usually weeks in advance. Our data indicate that PSMA radioligand therapy as well as radiopeptide therapy (as well as FAP PTRT) can be performed in asymptomatic COVID-positive patients - without any sequelae. Therefore, COVID-19 infection is not a limiting factor for performing RLT.","container-title":"Journal of Nuclear Medicine","issue":"supplement 1","journalAbbreviation":"J Nucl Med","page":"P1036","title":"&lt;strong&gt;Radioligand therapy during incidental asymptomatic acute COVID-19 infection – a case series.&lt;/strong&gt;","URL":"http://jnm.snmjournals.org/content/64/supplement_1/P1036.abstract","volume":"64","author":[{"family":"Baum","given":"Richard P."},{"family":"Mishra","given":"Aditi"},{"family":"Landvogt","given":"Christian"},{"family":"Eismant","given":"Aleksandr"},{"family":"Mueller","given":"Corinna"}],"issued":{"date-parts":[["2023",6,1]]}}}],"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(27)</w:t>
      </w:r>
      <w:r w:rsidR="00992C0F">
        <w:rPr>
          <w:rFonts w:cstheme="minorHAnsi"/>
          <w:sz w:val="22"/>
          <w:szCs w:val="22"/>
        </w:rPr>
        <w:fldChar w:fldCharType="end"/>
      </w:r>
      <w:r w:rsidRPr="0018521B">
        <w:rPr>
          <w:rFonts w:cstheme="minorHAnsi"/>
          <w:sz w:val="22"/>
          <w:szCs w:val="22"/>
        </w:rPr>
        <w:t xml:space="preserve">, in the Covid era, reported an asymptomatic positive Covid patient with a diagnosis of clear-cell sarcoma TAT with Ac-225 conjugated FAP (3BP-3940) and no treatment-related adverse event. Regarding the safety and toxicity profile of TAT with actinium-225-coupled antibodies, there is limited published </w:t>
      </w:r>
      <w:r w:rsidR="00E36A56">
        <w:rPr>
          <w:rFonts w:cstheme="minorHAnsi"/>
          <w:sz w:val="22"/>
          <w:szCs w:val="22"/>
        </w:rPr>
        <w:t xml:space="preserve">clinical </w:t>
      </w:r>
      <w:r w:rsidRPr="0018521B">
        <w:rPr>
          <w:rFonts w:cstheme="minorHAnsi"/>
          <w:sz w:val="22"/>
          <w:szCs w:val="22"/>
        </w:rPr>
        <w:t xml:space="preserve">research yet. In a prospective study of 32 patients with prostate cancer and pretreated with alpha or beta PRRT, Vallabhajosula et al. </w:t>
      </w:r>
      <w:r w:rsidR="00992C0F">
        <w:rPr>
          <w:rFonts w:cstheme="minorHAnsi"/>
          <w:sz w:val="22"/>
          <w:szCs w:val="22"/>
        </w:rPr>
        <w:fldChar w:fldCharType="begin"/>
      </w:r>
      <w:r w:rsidR="00BC4723">
        <w:rPr>
          <w:rFonts w:cstheme="minorHAnsi"/>
          <w:sz w:val="22"/>
          <w:szCs w:val="22"/>
        </w:rPr>
        <w:instrText xml:space="preserve"> ADDIN ZOTERO_ITEM CSL_CITATION {"citationID":"iRFwsm9f","properties":{"formattedCitation":"(28)","plainCitation":"(28)","noteIndex":0},"citationItems":[{"id":1123,"uris":["http://zotero.org/users/15628667/items/XDCLXKVK"],"itemData":{"id":1123,"type":"article-journal","abstract":"241342 Introduction: Rosopatamab Tetraxetan (also known as DOTA-huJ591 mAb) was labeled with Ac-225, an alpha emitter for targeted radionuclide therapy (TRT) of mCRPC. Phase 1 dose escalation studies were performed with a single dose or two doses in a fractionated dosing schedule (2 doses given 2 weeks. apart). Safety data was analyzed to understand hematologic toxicity as a function of administered Ac-225 dose, and bone marrow (BM) absorbed radiation dose.Methods: Dose escalation strategy was based on Ac-RT dosimetry estimates based on 89Zr-DFO-J591-PET studies in patients with prostate Cancer (J Nucl Med 41:2093, 2014). Radiation dosimetry for select organs was estimated (Table 1) with a relative biological effectiveness (RBE) of 5 for alpha emitters. Assuming the dose limit for bone marrow (BM) is 2 Gy, the maximum Ac-RT injected dose was estimated to be 6.06 MBq (160 µCi). With a single dose, 32 patients (in 7 cohorts) received 13.3 to 93.3 KBq/Kg of Ac-RT (22 in dose escalation, 10 in expansion). With fractionated two doses, 28 patients (in 5 cohorts) received 45 to 65 KBq/Kg per each dose (90-130 KBq cumulative dose).Table 1. 225Ac-RT Dosimetry Estimation Based on 89Zr-DFO-PET Results: With a single dose of Ac-RT, only one patient experienced DLT at 80 KBq/kg, but none in cohort at 93.3 KBq/Kg and also MTD was not reached (Table 2). In the fractionated dosing schedule, DLT was experienced by one patient at 100 KBq/kg (cumulative dose), and 3 pts. at 120-130 KBq/kg (cumulative dose). Based on dosimetry, patients appear to tolerate BM dose up to 3 Gy. The majority of high-grade adverse events were hematologic with an apparent relationship to administered radioactivity. Non-hematologic adverse events, besides being low grade and were rare or uncommon. .Table 2. 225Ac-RT Dose and Hematologic toxicityConclusions: Phase I dose escalation trials indicate that in a fractionated dose regimen, administration of two doses of 55-65 KBq/kg (injected 2 weeks apart) of Ac-RT is relatively safe for the treatment of mCRPC. Clinical data suggests that 225Ac-RT radiation dosimetry estimation based on RBE of 5 may not be appropriate and may need to be optimized to understand dose-response relationships. While prior treatments (chemotherapy, PARP inhibitors, Ra-223, Lu-177 labeled antibodies or PSMA inhibitors) may reduce the tolerability to Ac-RT, this requires further study.","container-title":"Journal of Nuclear Medicine","issue":"supplement 2","journalAbbreviation":"J Nucl Med","page":"241342","title":"&lt;strong&gt;Actinium (Ac-225) Rosopatamab tetraxetan (Ac-RT) therapy in metastatic castration resistant prostate cancer (mCRPC); Radiation dosimetry, hematological toxicity, and dose-limiting toxicity (DLT)&lt;/strong&gt;","URL":"http://jnm.snmjournals.org/content/65/supplement_2/241342.abstract","volume":"65","author":[{"family":"Vallabhajosula","given":"Shankar"},{"family":"Tagawa","given":"Scott"},{"family":"Osborne","given":"Joseph"},{"family":"Nauseef","given":"Jones"},{"family":"Ricaurte Fajardo","given":"Andres"},{"family":"Castellanos","given":"Sandra"},{"family":"Davidson","given":"Zachary"},{"family":"Bander","given":"Neil H."}],"issued":{"date-parts":[["2024",6,1]]}}}],"schema":"https://github.com/citation-style-language/schema/raw/master/csl-citation.json"}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(28)</w:t>
      </w:r>
      <w:r w:rsidR="00992C0F">
        <w:rPr>
          <w:rFonts w:cstheme="minorHAnsi"/>
          <w:sz w:val="22"/>
          <w:szCs w:val="22"/>
        </w:rPr>
        <w:fldChar w:fldCharType="end"/>
      </w:r>
      <w:r w:rsidRPr="0018521B">
        <w:rPr>
          <w:rFonts w:cstheme="minorHAnsi"/>
          <w:sz w:val="22"/>
          <w:szCs w:val="22"/>
        </w:rPr>
        <w:t xml:space="preserve"> administered</w:t>
      </w:r>
      <w:r w:rsidR="00E36A56">
        <w:rPr>
          <w:rFonts w:cstheme="minorHAnsi"/>
          <w:sz w:val="22"/>
          <w:szCs w:val="22"/>
        </w:rPr>
        <w:t xml:space="preserve"> </w:t>
      </w:r>
      <w:r w:rsidR="009A0B2E">
        <w:rPr>
          <w:rFonts w:cstheme="minorHAnsi"/>
          <w:sz w:val="22"/>
          <w:szCs w:val="22"/>
        </w:rPr>
        <w:t>Ac-225 labelled</w:t>
      </w:r>
      <w:r w:rsidRPr="0018521B">
        <w:rPr>
          <w:rFonts w:cstheme="minorHAnsi"/>
          <w:sz w:val="22"/>
          <w:szCs w:val="22"/>
        </w:rPr>
        <w:t xml:space="preserve"> Rosopatamab Tetraxetan (DOTA-huJ591) and reported dose-dependent hematotoxicity as the</w:t>
      </w:r>
      <w:r w:rsidR="00E36A56">
        <w:rPr>
          <w:rFonts w:cstheme="minorHAnsi"/>
          <w:sz w:val="22"/>
          <w:szCs w:val="22"/>
        </w:rPr>
        <w:t xml:space="preserve"> most</w:t>
      </w:r>
      <w:r w:rsidRPr="0018521B">
        <w:rPr>
          <w:rFonts w:cstheme="minorHAnsi"/>
          <w:sz w:val="22"/>
          <w:szCs w:val="22"/>
        </w:rPr>
        <w:t xml:space="preserve"> common side effect. In the other study, Abedin and colleagues </w:t>
      </w:r>
      <w:r w:rsidR="00992C0F">
        <w:rPr>
          <w:rFonts w:cstheme="minorHAnsi"/>
          <w:sz w:val="22"/>
          <w:szCs w:val="22"/>
        </w:rPr>
        <w:fldChar w:fldCharType="begin"/>
      </w:r>
      <w:r w:rsidR="00BC4723">
        <w:rPr>
          <w:rFonts w:cstheme="minorHAnsi"/>
          <w:sz w:val="22"/>
          <w:szCs w:val="22"/>
        </w:rPr>
        <w:instrText xml:space="preserve"> ADDIN ZOTERO_ITEM CSL_CITATION {"citationID":"lHxBUNaZ","properties":{"formattedCitation":"(26,34)","plainCitation":"(26,34)","noteIndex":0},"citationItems":[{"id":1122,"uris":["http://zotero.org/users/15628667/items/UQ46X627"],"itemData":{"id":1122,"type":"article-journal","abstract":"241340 Introduction: Lintuzumab-Ac225 (Actimab-A) is a humanized CD33 antibody conjugated to 225Ac, which delivers high energy radiation over a short range to CD33 expressing AML blasts. When administering targeted alpha therapy, dosimetry and the safety profile of the therapy become paramount because of the potent cytotoxicity of alpha emitters. In previous results from this trial, we have shown that low dose Lintuzumab-Ac225 after salvage chemotherapy improves remission rates and produces potent clearance of residual disease, thereby achieving depth of remission. Here, we report the safety results from this Phase I study along with model-based estimates of organ-specific dosimetry.Methods: This study enrolled R/R AML pts deemed fit, with adequate organ function, and with CD33 expression on &amp;gt;25% of leukemic blasts. Induction consisted of G-CSF, 300mcg/d, given D1-6, cladribine 5mg/m2, given D2-6, cytarabine2g/m2, given D2-6, and mitoxantrone 10mg/m2, given D2-4. Lintuzumab-Ac225 was administered as a single dose on day 8 ±1 day within 4 cohorts, with doses ranging from 0.25uCi/kg to 1.0 uCi/kg. Absorbed dose calculations were performed following the guidelines in the MIRD committee pamphlet nr 21. The biodistribution and time-integrated activity coefficient (TIAC) in each source organ was estimated through biokinetic modeling using a previously validated model based on targeting CD33 expressing cells in patients with hematologic malignancies. Absorbed dose estimates for individual organs were calculated by multiplying the TIAC by the corresponding S-value (absorbed dose to a target tissue per unit TIAC in a source tissue), assuming a relative biologic effect (RBE) of 5 for alpha particlesResults: From 23 patients treated at 4 different dose levels in this study, the MTD was determined to be 1.0 µCi/kg, and the RP2D was set at 0.75 µCi/kg. Within the 1.0 µCi/kg dosing cohort, 2 dose limiting toxicities (DLTs), severe mucositis and prolonged neutropenia, were observed in 5 patients. Eight subjects were administered with lintuzumab-Ac225 at RP2D (0.75 μCi/kg). Among all patients, Grade 3/4 toxicities observed in &amp;gt;10% of patients included hematologic toxicities, as expected for heavily pre-treated patients with myeloid malignancy, as well as infection, rash and hypokalemia.As shown in Table 1, absorbed dose estimates from Lintuzumab-Ac225 to potentially dose-limiting organs-at-risk were well below established tolerance limits from external beam radiation therapy (EBRT), corroborating the safety profile which showed no signs of renal, hepatobiliary, pulmonary or cardiac toxicity. A single 30-minute infusion of Lintuzumab-Ac225 at 0.75 µCi/kg resulted in rapid radiation delivery and rapid clearance. Peak radiation concentrations were detected in blood around 0.6 hours after administration and was undetectable in blood by 48 hours.Conclusions: Lintuzumab-Ac225 can be delivered with estimated radiation doses well below expected tolerance thresholds from EBRT, which was validated by the safety results of this study showing no toxicity to potential dose-limiting organs (liver, lungs, kidneys, heart, intestine) at studied dose levels of Lintuzumab-Ac225.","container-title":"Journal of Nuclear Medicine","issue":"supplement 2","journalAbbreviation":"J Nucl Med","page":"241340","title":"&lt;strong&gt;Safety and Dosimetric Analysis of Lintuzumab-Ac225 in Combination with Intensive CLAG-M Chemotherapy in Patients with Relapsed/Refractory AML&lt;/strong&gt;","URL":"http://jnm.snmjournals.org/content/65/supplement_2/241340.abstract","volume":"65","author":[{"family":"Abedin","given":"Sameem"},{"family":"Brodin","given":"Patrik"},{"family":"Chen","given":"Mary"},{"family":"Rotibi","given":"Mojisola"},{"family":"Syed","given":"Umar"},{"family":"Desai","given":"Avinash"},{"family":"Atallah","given":"Ehab"}],"issued":{"date-parts":[["2024",6,1]]}}},{"id":1240,"uris":["http://zotero.org/users/15628667/items/R66U5YR7"],"itemData":{"id":1240,"type":"article-journal","container-title":"Leukemia","DOI":"10.1038/s41375-025-02528-3","ISSN":"0887-6924, 1476-5551","issue":"4","journalAbbreviation":"Leukemia","language":"en","page":"837-843","source":"DOI.org (Crossref)","title":"Phase 1 study of lintuzumab-Ac225 combined with CLAG-M salvage therapy in relapsed/refractory acute myeloid leukemia","URL":"https://www.nature.com/articles/s41375-025-02528-3","volume":"39","author":[{"family":"Abedin","given":"Sameem M."},{"family":"Guru Murthy","given":"Guru Subramanian"},{"family":"Hamadani","given":"Mehdi"},{"family":"Michaelis","given":"Laura C."},{"family":"Carlson","given":"Karen-Sue"},{"family":"Runaas","given":"Lyndsey"},{"family":"Gauger","given":"Katelyn"},{"family":"Desai","given":"Avinash G."},{"family":"Chen","given":"Mary M."},{"family":"Li","given":"Kate L."},{"family":"Rotibi","given":"Mojisola"},{"family":"Syed","given":"Umar"},{"family":"Vusirikala","given":"Madhuri"},{"family":"Harrington","given":"Alexandra"},{"family":"Atallah","given":"Ehab L."}],"accessed":{"date-parts":[["2025",8,26]]},"issued":{"date-parts":[["2025",4]]}}}],"schema":"https://github.com/citation-style-language/schema/raw/master/csl-citation.json"} </w:instrText>
      </w:r>
      <w:r w:rsidR="00992C0F">
        <w:rPr>
          <w:rFonts w:cstheme="minorHAnsi"/>
          <w:sz w:val="22"/>
          <w:szCs w:val="22"/>
        </w:rPr>
        <w:fldChar w:fldCharType="separate"/>
      </w:r>
      <w:r w:rsidR="00BC4723" w:rsidRPr="00BC4723">
        <w:rPr>
          <w:rFonts w:ascii="Calibri" w:hAnsi="Calibri" w:cs="Calibri"/>
          <w:sz w:val="22"/>
        </w:rPr>
        <w:t>(26,34)</w:t>
      </w:r>
      <w:r w:rsidR="00992C0F">
        <w:rPr>
          <w:rFonts w:cstheme="minorHAnsi"/>
          <w:sz w:val="22"/>
          <w:szCs w:val="22"/>
        </w:rPr>
        <w:fldChar w:fldCharType="end"/>
      </w:r>
      <w:r w:rsidRPr="0018521B">
        <w:rPr>
          <w:rFonts w:cstheme="minorHAnsi"/>
          <w:sz w:val="22"/>
          <w:szCs w:val="22"/>
        </w:rPr>
        <w:t xml:space="preserve"> </w:t>
      </w:r>
      <w:r w:rsidR="00E36A56">
        <w:rPr>
          <w:rFonts w:cstheme="minorHAnsi"/>
          <w:sz w:val="22"/>
          <w:szCs w:val="22"/>
        </w:rPr>
        <w:t xml:space="preserve">used </w:t>
      </w:r>
      <w:r w:rsidR="00E36A56" w:rsidRPr="0018521B">
        <w:rPr>
          <w:rFonts w:cstheme="minorHAnsi"/>
          <w:sz w:val="22"/>
          <w:szCs w:val="22"/>
        </w:rPr>
        <w:t>Ac-</w:t>
      </w:r>
      <w:r w:rsidR="00E36A56">
        <w:rPr>
          <w:rFonts w:cstheme="minorHAnsi"/>
          <w:sz w:val="22"/>
          <w:szCs w:val="22"/>
        </w:rPr>
        <w:t xml:space="preserve">225 labeled </w:t>
      </w:r>
      <w:r w:rsidR="00E36A56" w:rsidRPr="0018521B">
        <w:rPr>
          <w:rFonts w:cstheme="minorHAnsi"/>
          <w:sz w:val="22"/>
          <w:szCs w:val="22"/>
        </w:rPr>
        <w:t>Lintuzumab (humanised CD33)</w:t>
      </w:r>
      <w:r w:rsidR="00E36A56">
        <w:rPr>
          <w:rFonts w:cstheme="minorHAnsi"/>
          <w:sz w:val="22"/>
          <w:szCs w:val="22"/>
        </w:rPr>
        <w:t xml:space="preserve"> </w:t>
      </w:r>
      <w:r w:rsidR="00E36A56" w:rsidRPr="0018521B">
        <w:rPr>
          <w:rFonts w:cstheme="minorHAnsi"/>
          <w:sz w:val="22"/>
          <w:szCs w:val="22"/>
        </w:rPr>
        <w:t xml:space="preserve">TAT </w:t>
      </w:r>
      <w:r w:rsidRPr="0018521B">
        <w:rPr>
          <w:rFonts w:cstheme="minorHAnsi"/>
          <w:sz w:val="22"/>
          <w:szCs w:val="22"/>
        </w:rPr>
        <w:t xml:space="preserve">in patients with acute myeloid </w:t>
      </w:r>
      <w:r w:rsidR="0030687E" w:rsidRPr="0018521B">
        <w:rPr>
          <w:rFonts w:cstheme="minorHAnsi"/>
          <w:sz w:val="22"/>
          <w:szCs w:val="22"/>
        </w:rPr>
        <w:t>leukemia</w:t>
      </w:r>
      <w:r w:rsidRPr="0018521B">
        <w:rPr>
          <w:rFonts w:cstheme="minorHAnsi"/>
          <w:sz w:val="22"/>
          <w:szCs w:val="22"/>
        </w:rPr>
        <w:t>. In addition to significant mucositis and extended neutropenia in five patients, no harm was observed in dose-limiting organs.</w:t>
      </w:r>
      <w:r w:rsidR="00BC4723">
        <w:rPr>
          <w:rFonts w:cstheme="minorHAnsi"/>
          <w:sz w:val="22"/>
          <w:szCs w:val="22"/>
        </w:rPr>
        <w:t xml:space="preserve"> </w:t>
      </w:r>
    </w:p>
    <w:p w14:paraId="16D3745B" w14:textId="7043FD20" w:rsidR="0018521B" w:rsidRDefault="00D015CE" w:rsidP="00ED13C8">
      <w:pPr>
        <w:spacing w:after="120" w:line="360" w:lineRule="auto"/>
        <w:rPr>
          <w:rFonts w:cstheme="minorHAnsi"/>
          <w:sz w:val="22"/>
          <w:szCs w:val="22"/>
        </w:rPr>
      </w:pPr>
      <w:r>
        <w:rPr>
          <w:rFonts w:cstheme="minorHAnsi"/>
          <w:sz w:val="22"/>
          <w:szCs w:val="22"/>
        </w:rPr>
        <w:t xml:space="preserve">For locoregional application of Ac-225 only very limited data were reported.  Intra-cavitary </w:t>
      </w:r>
      <w:r w:rsidR="00BC4723">
        <w:rPr>
          <w:rFonts w:cstheme="minorHAnsi"/>
          <w:sz w:val="22"/>
          <w:szCs w:val="22"/>
        </w:rPr>
        <w:t xml:space="preserve">injection of </w:t>
      </w:r>
      <w:r>
        <w:rPr>
          <w:rFonts w:cstheme="minorHAnsi"/>
          <w:sz w:val="22"/>
          <w:szCs w:val="22"/>
        </w:rPr>
        <w:t>Ac-225 radiopharmaceuticals</w:t>
      </w:r>
      <w:r w:rsidR="00BC4723">
        <w:rPr>
          <w:rFonts w:cstheme="minorHAnsi"/>
          <w:sz w:val="22"/>
          <w:szCs w:val="22"/>
        </w:rPr>
        <w:t xml:space="preserve"> aiming salvage therapy of low- and high-grade gliomas </w:t>
      </w:r>
      <w:r w:rsidR="0056459E">
        <w:rPr>
          <w:rFonts w:cstheme="minorHAnsi"/>
          <w:sz w:val="22"/>
          <w:szCs w:val="22"/>
        </w:rPr>
        <w:t xml:space="preserve">has been studied in </w:t>
      </w:r>
      <w:r>
        <w:rPr>
          <w:rFonts w:cstheme="minorHAnsi"/>
          <w:sz w:val="22"/>
          <w:szCs w:val="22"/>
        </w:rPr>
        <w:t>two small studies with a limited</w:t>
      </w:r>
      <w:r w:rsidR="0056459E">
        <w:rPr>
          <w:rFonts w:cstheme="minorHAnsi"/>
          <w:sz w:val="22"/>
          <w:szCs w:val="22"/>
        </w:rPr>
        <w:t xml:space="preserve"> number of patients</w:t>
      </w:r>
      <w:r w:rsidR="0056459E">
        <w:rPr>
          <w:rFonts w:cstheme="minorHAnsi"/>
          <w:sz w:val="22"/>
          <w:szCs w:val="22"/>
        </w:rPr>
        <w:fldChar w:fldCharType="begin"/>
      </w:r>
      <w:r w:rsidR="0056459E">
        <w:rPr>
          <w:rFonts w:cstheme="minorHAnsi"/>
          <w:sz w:val="22"/>
          <w:szCs w:val="22"/>
        </w:rPr>
        <w:instrText xml:space="preserve"> ADDIN ZOTERO_ITEM CSL_CITATION {"citationID":"RNacKZvE","properties":{"formattedCitation":"(32,33)","plainCitation":"(32,33)","noteIndex":0},"citationItems":[{"id":1235,"uris":["http://zotero.org/users/15628667/items/SKUSP9JR"],"itemData":{"id":1235,"type":"article-journal","abstract":"Abstract\n              \n                Glioblastoma is the most common and malignant primary brain tumour, with a poor prognosis. Introduction of new treatment options is critically important. The study aimed to assess the appropriateness of escalation doses and toxicity of [\n                225\n                Ac]Ac-DOTA-SP therapy.\n              \n            \n            \n              Material and methods\n              \n                A total of 21 patients (age of 43.0 ± 9.5 years), with histologically confirmed recurrent or conversion glioblastoma grade 4 following a standard therapy, have been included in the study. One to 2 intracavitary port-a-cath systems were stereotactically inserted. Patients were treated with escalation dose protocol with 10, 20 and 30 MBq per cycle totally 1–6 doses of [\n                225\n                Ac]Ac-DOTA-SP in 2-month intervals. Therapeutic response was monitored by clinical performance status and MRI imaging.\n              \n            \n            \n              Results\n              \n                Treatment was well tolerated with mostly mild temporary adverse effects (oedema, epileptic seizures, aphasia, hemiparesis) mainly in the group of patients treated with 30 MBq of [\n                225\n                Ac]Ac-DOTA-SP. Only one patient treated with 30 MBq revealed thrombopenia grade 3. There was no other grade 3 and 4 toxicity related to [\n                225\n                Ac]Ac-DOTA-treatment in all groups. The median overall survival time from the primary diagnosis (OS-d) was 35.0 months and from the diagnosis of the recurrence/conversion (OS-r/c) was 13.2 months. From the start of treatment with [\n                225\n                Ac]Ac-DOTA-SP, the median PFS was 2.4 months, and the OS-t was 9.0 months. There were no statistically significant differences between the investigated dose escalation groups.\n              \n            \n            \n              Conclusions\n              \n                Treatment of recurrent glioblastoma with [\n                225\n                Ac]Ac-DOTA-SP is safe and well tolerated up to 30 MBq per cycle. The escalation dose protocol showed good tolerability. Only mild temporary adverse effects were observed. No remarkable haematological, kidney and liver toxicity was seen.","container-title":"European Journal of Nuclear Medicine and Molecular Imaging","DOI":"10.1007/s00259-021-05350-y","ISSN":"1619-7070, 1619-7089","issue":"11","journalAbbreviation":"Eur J Nucl Med Mol Imaging","language":"en","page":"3595-3605","source":"DOI.org (Crossref)","title":"Dose escalation study of targeted alpha therapy with [225Ac]Ac-DOTA-substance P in recurrence glioblastoma – safety and efficacy","URL":"https://link.springer.com/10.1007/s00259-021-05350-y","volume":"48","author":[{"family":"Królicki","given":"Leszek"},{"family":"Bruchertseifer","given":"Frank"},{"family":"Kunikowska","given":"Jolanta"},{"family":"Koziara","given":"Henryk"},{"family":"Pawlak","given":"Dariusz"},{"family":"Kuliński","given":"Radosław"},{"family":"Rola","given":"Rafał"},{"family":"Merlo","given":"Adrian"},{"family":"Morgenstern","given":"Alfred"}],"accessed":{"date-parts":[["2025",8,20]]},"issued":{"date-parts":[["2021",10]]}}},{"id":1242,"uris":["http://zotero.org/users/15628667/items/9ZZ2REQT"],"itemData":{"id":1242,"type":"article-journal","abstract":"The median survival time has been reported to vary between 5 and 8 years in low-grade (WHO grade 2) astrocytoma, and between 10 and 15 years for grade 2 oligodendroglioma. Targeted alpha therapy (TAT), using the modified peptide vector [213Bi]Bi/[225Ac]Ac-DOTA-substance P, has been developed to treat glioblastoma (GBM), a prevalent malignant brain tumor. In order to assess the risk of late neurotoxicity, assuming that reduced tumor cell proliferation and invasion should directly translate into good responses in low-grade gliomas (LGGs), a limited number of patients with diffuse invasive astrocytoma (n = 8) and oligodendroglioma (n = 3) were offered TAT. In two oligodendroglioma patients, TAT was applied as a second-line treatment for tumor progression, 10 years after targeted beta therapy using [90Y]Y-DOTA-substance P. The radiopharmaceutical was locally injected directly into the tumor via a stereotactic insertion of a capsule–catheter system. The activity used for radiolabeling was 2–2.5 GBq of Bismuth-213 and 17 to 35 MBq of Actinium-225, mostly applied in a single fraction. The recurrence-free survival times were in the range of 2 to 16 years (median 11 years) in low-grade astrocytoma (n = 8), in which TAT was administered following a biopsy or tumor debulking. Regarding oligodendroglioma, the recurrence-free survival time was 24 years in the first case treated, and 4 and 5 years in the two second-line cases. In conclusion, TAT leads to long-term tumor control in the majority of patients with LGG, and recurrence has so far not manifested in patients with low-grade (grade 2) astrocytomas who received TAT as a first-line therapy. We conclude that targeted alpha therapy has the potential to become a new treatment paradigm in LGG.","container-title":"International Journal of Molecular Sciences","DOI":"10.3390/ijms242115701","ISSN":"1422-0067","issue":"21","journalAbbreviation":"IJMS","language":"en","license":"https://creativecommons.org/licenses/by/4.0/","page":"15701","source":"DOI.org (Crossref)","title":"Long-Term Tumor Control Following Targeted Alpha Therapy (TAT) of Low-Grade Gliomas (LGGs): A New Treatment Paradigm?","title-short":"Long-Term Tumor Control Following Targeted Alpha Therapy (TAT) of Low-Grade Gliomas (LGGs)","URL":"https://www.mdpi.com/1422-0067/24/21/15701","volume":"24","author":[{"family":"Krolicki","given":"Leszek"},{"family":"Kunikowska","given":"Jolanta"},{"family":"Cordier","given":"Dominik"},{"family":"Slavova","given":"Nedelina"},{"family":"Koziara","given":"Henryk"},{"family":"Bruchertseifer","given":"Frank"},{"family":"Maecke","given":"Helmut R."},{"family":"Morgenstern","given":"Alfred"},{"family":"Merlo","given":"Adrian"}],"accessed":{"date-parts":[["2025",8,26]]},"issued":{"date-parts":[["2023",10,28]]}}}],"schema":"https://github.com/citation-style-language/schema/raw/master/csl-citation.json"} </w:instrText>
      </w:r>
      <w:r w:rsidR="0056459E">
        <w:rPr>
          <w:rFonts w:cstheme="minorHAnsi"/>
          <w:sz w:val="22"/>
          <w:szCs w:val="22"/>
        </w:rPr>
        <w:fldChar w:fldCharType="separate"/>
      </w:r>
      <w:r w:rsidR="0056459E" w:rsidRPr="0056459E">
        <w:rPr>
          <w:rFonts w:ascii="Calibri" w:hAnsi="Calibri" w:cs="Calibri"/>
          <w:sz w:val="22"/>
        </w:rPr>
        <w:t>(32,33)</w:t>
      </w:r>
      <w:r w:rsidR="0056459E">
        <w:rPr>
          <w:rFonts w:cstheme="minorHAnsi"/>
          <w:sz w:val="22"/>
          <w:szCs w:val="22"/>
        </w:rPr>
        <w:fldChar w:fldCharType="end"/>
      </w:r>
      <w:r w:rsidR="0056459E">
        <w:rPr>
          <w:rFonts w:cstheme="minorHAnsi"/>
          <w:sz w:val="22"/>
          <w:szCs w:val="22"/>
        </w:rPr>
        <w:t xml:space="preserve">. </w:t>
      </w:r>
      <w:r w:rsidR="007636D9">
        <w:rPr>
          <w:rFonts w:cstheme="minorHAnsi"/>
          <w:sz w:val="22"/>
          <w:szCs w:val="22"/>
        </w:rPr>
        <w:t xml:space="preserve">In 2021, </w:t>
      </w:r>
      <w:r w:rsidR="007636D9" w:rsidRPr="007636D9">
        <w:rPr>
          <w:rFonts w:cstheme="minorHAnsi"/>
          <w:sz w:val="22"/>
          <w:szCs w:val="22"/>
        </w:rPr>
        <w:t>Krolicki</w:t>
      </w:r>
      <w:r w:rsidR="007636D9">
        <w:rPr>
          <w:rFonts w:cstheme="minorHAnsi"/>
          <w:sz w:val="22"/>
          <w:szCs w:val="22"/>
        </w:rPr>
        <w:t xml:space="preserve"> and the </w:t>
      </w:r>
      <w:r w:rsidR="007636D9" w:rsidRPr="007636D9">
        <w:rPr>
          <w:rFonts w:cstheme="minorHAnsi"/>
          <w:sz w:val="22"/>
          <w:szCs w:val="22"/>
        </w:rPr>
        <w:t>colleagues</w:t>
      </w:r>
      <w:r w:rsidR="007636D9">
        <w:rPr>
          <w:rFonts w:cstheme="minorHAnsi"/>
          <w:sz w:val="22"/>
          <w:szCs w:val="22"/>
        </w:rPr>
        <w:t xml:space="preserve"> </w:t>
      </w:r>
      <w:r w:rsidR="00D2246A">
        <w:rPr>
          <w:rFonts w:cstheme="minorHAnsi"/>
          <w:sz w:val="22"/>
          <w:szCs w:val="22"/>
        </w:rPr>
        <w:fldChar w:fldCharType="begin"/>
      </w:r>
      <w:r w:rsidR="00D2246A">
        <w:rPr>
          <w:rFonts w:cstheme="minorHAnsi"/>
          <w:sz w:val="22"/>
          <w:szCs w:val="22"/>
        </w:rPr>
        <w:instrText xml:space="preserve"> ADDIN ZOTERO_ITEM CSL_CITATION {"citationID":"0KMZyP8z","properties":{"formattedCitation":"(32)","plainCitation":"(32)","noteIndex":0},"citationItems":[{"id":1235,"uris":["http://zotero.org/users/15628667/items/SKUSP9JR"],"itemData":{"id":1235,"type":"article-journal","abstract":"Abstract\n              \n                Glioblastoma is the most common and malignant primary brain tumour, with a poor prognosis. Introduction of new treatment options is critically important. The study aimed to assess the appropriateness of escalation doses and toxicity of [\n                225\n                Ac]Ac-DOTA-SP therapy.\n              \n            \n            \n              Material and methods\n              \n                A total of 21 patients (age of 43.0 ± 9.5 years), with histologically confirmed recurrent or conversion glioblastoma grade 4 following a standard therapy, have been included in the study. One to 2 intracavitary port-a-cath systems were stereotactically inserted. Patients were treated with escalation dose protocol with 10, 20 and 30 MBq per cycle totally 1–6 doses of [\n                225\n                Ac]Ac-DOTA-SP in 2-month intervals. Therapeutic response was monitored by clinical performance status and MRI imaging.\n              \n            \n            \n              Results\n              \n                Treatment was well tolerated with mostly mild temporary adverse effects (oedema, epileptic seizures, aphasia, hemiparesis) mainly in the group of patients treated with 30 MBq of [\n                225\n                Ac]Ac-DOTA-SP. Only one patient treated with 30 MBq revealed thrombopenia grade 3. There was no other grade 3 and 4 toxicity related to [\n                225\n                Ac]Ac-DOTA-treatment in all groups. The median overall survival time from the primary diagnosis (OS-d) was 35.0 months and from the diagnosis of the recurrence/conversion (OS-r/c) was 13.2 months. From the start of treatment with [\n                225\n                Ac]Ac-DOTA-SP, the median PFS was 2.4 months, and the OS-t was 9.0 months. There were no statistically significant differences between the investigated dose escalation groups.\n              \n            \n            \n              Conclusions\n              \n                Treatment of recurrent glioblastoma with [\n                225\n                Ac]Ac-DOTA-SP is safe and well tolerated up to 30 MBq per cycle. The escalation dose protocol showed good tolerability. Only mild temporary adverse effects were observed. No remarkable haematological, kidney and liver toxicity was seen.","container-title":"European Journal of Nuclear Medicine and Molecular Imaging","DOI":"10.1007/s00259-021-05350-y","ISSN":"1619-7070, 1619-7089","issue":"11","journalAbbreviation":"Eur J Nucl Med Mol Imaging","language":"en","page":"3595-3605","source":"DOI.org (Crossref)","title":"Dose escalation study of targeted alpha therapy with [225Ac]Ac-DOTA-substance P in recurrence glioblastoma – safety and efficacy","URL":"https://link.springer.com/10.1007/s00259-021-05350-y","volume":"48","author":[{"family":"Królicki","given":"Leszek"},{"family":"Bruchertseifer","given":"Frank"},{"family":"Kunikowska","given":"Jolanta"},{"family":"Koziara","given":"Henryk"},{"family":"Pawlak","given":"Dariusz"},{"family":"Kuliński","given":"Radosław"},{"family":"Rola","given":"Rafał"},{"family":"Merlo","given":"Adrian"},{"family":"Morgenstern","given":"Alfred"}],"accessed":{"date-parts":[["2025",8,20]]},"issued":{"date-parts":[["2021",10]]}}}],"schema":"https://github.com/citation-style-language/schema/raw/master/csl-citation.json"} </w:instrText>
      </w:r>
      <w:r w:rsidR="00D2246A">
        <w:rPr>
          <w:rFonts w:cstheme="minorHAnsi"/>
          <w:sz w:val="22"/>
          <w:szCs w:val="22"/>
        </w:rPr>
        <w:fldChar w:fldCharType="separate"/>
      </w:r>
      <w:r w:rsidR="00D2246A" w:rsidRPr="00D2246A">
        <w:rPr>
          <w:rFonts w:ascii="Calibri" w:hAnsi="Calibri" w:cs="Calibri"/>
          <w:sz w:val="22"/>
        </w:rPr>
        <w:t>(32)</w:t>
      </w:r>
      <w:r w:rsidR="00D2246A">
        <w:rPr>
          <w:rFonts w:cstheme="minorHAnsi"/>
          <w:sz w:val="22"/>
          <w:szCs w:val="22"/>
        </w:rPr>
        <w:fldChar w:fldCharType="end"/>
      </w:r>
      <w:r w:rsidR="00D2246A">
        <w:rPr>
          <w:rFonts w:cstheme="minorHAnsi"/>
          <w:sz w:val="22"/>
          <w:szCs w:val="22"/>
        </w:rPr>
        <w:t xml:space="preserve">reported the acceptable safety and well tolerability along with transient adverse events of loco-regional administration of </w:t>
      </w:r>
      <w:r>
        <w:rPr>
          <w:rFonts w:cstheme="minorHAnsi"/>
          <w:sz w:val="22"/>
          <w:szCs w:val="22"/>
        </w:rPr>
        <w:t>[</w:t>
      </w:r>
      <w:r w:rsidRPr="00F46584">
        <w:rPr>
          <w:rFonts w:cstheme="minorHAnsi"/>
          <w:sz w:val="22"/>
          <w:szCs w:val="22"/>
          <w:vertAlign w:val="superscript"/>
        </w:rPr>
        <w:t>225</w:t>
      </w:r>
      <w:r w:rsidRPr="0018521B">
        <w:rPr>
          <w:rFonts w:cstheme="minorHAnsi"/>
          <w:sz w:val="22"/>
          <w:szCs w:val="22"/>
        </w:rPr>
        <w:t>Ac</w:t>
      </w:r>
      <w:r>
        <w:rPr>
          <w:rFonts w:cstheme="minorHAnsi"/>
          <w:sz w:val="22"/>
          <w:szCs w:val="22"/>
        </w:rPr>
        <w:t>]Ac</w:t>
      </w:r>
      <w:r w:rsidRPr="0018521B">
        <w:rPr>
          <w:rFonts w:cstheme="minorHAnsi"/>
          <w:sz w:val="22"/>
          <w:szCs w:val="22"/>
        </w:rPr>
        <w:t>-</w:t>
      </w:r>
      <w:r w:rsidR="00BC0718">
        <w:rPr>
          <w:rFonts w:cstheme="minorHAnsi"/>
          <w:sz w:val="22"/>
          <w:szCs w:val="22"/>
        </w:rPr>
        <w:t>DOTA-</w:t>
      </w:r>
      <w:r w:rsidR="00D2246A">
        <w:rPr>
          <w:rFonts w:cstheme="minorHAnsi"/>
          <w:sz w:val="22"/>
          <w:szCs w:val="22"/>
        </w:rPr>
        <w:t>substance</w:t>
      </w:r>
      <w:r w:rsidR="006D4B46">
        <w:rPr>
          <w:rFonts w:cstheme="minorHAnsi"/>
          <w:sz w:val="22"/>
          <w:szCs w:val="22"/>
        </w:rPr>
        <w:t xml:space="preserve"> </w:t>
      </w:r>
      <w:r w:rsidR="00D2246A">
        <w:rPr>
          <w:rFonts w:cstheme="minorHAnsi"/>
          <w:sz w:val="22"/>
          <w:szCs w:val="22"/>
        </w:rPr>
        <w:t>P</w:t>
      </w:r>
      <w:r>
        <w:rPr>
          <w:rFonts w:cstheme="minorHAnsi"/>
          <w:sz w:val="22"/>
          <w:szCs w:val="22"/>
        </w:rPr>
        <w:t xml:space="preserve"> (SP)</w:t>
      </w:r>
      <w:r w:rsidR="00D2246A">
        <w:rPr>
          <w:rFonts w:cstheme="minorHAnsi"/>
          <w:sz w:val="22"/>
          <w:szCs w:val="22"/>
        </w:rPr>
        <w:t xml:space="preserve"> TAT in recurrence glioblastoma. They investigated dose escalation strategy in 21 cohort of patients and concluded that up to 30MBq Ac-225 SP would be safe with temporary adverse events. In another study Krolicki </w:t>
      </w:r>
      <w:r w:rsidR="00D2246A" w:rsidRPr="002762AD">
        <w:rPr>
          <w:rFonts w:cstheme="minorHAnsi"/>
          <w:i/>
          <w:sz w:val="22"/>
          <w:szCs w:val="22"/>
        </w:rPr>
        <w:t>et al</w:t>
      </w:r>
      <w:r w:rsidR="00D2246A">
        <w:rPr>
          <w:rFonts w:cstheme="minorHAnsi"/>
          <w:sz w:val="22"/>
          <w:szCs w:val="22"/>
        </w:rPr>
        <w:t>.</w:t>
      </w:r>
      <w:r w:rsidR="00D2246A">
        <w:rPr>
          <w:rFonts w:cstheme="minorHAnsi"/>
          <w:sz w:val="22"/>
          <w:szCs w:val="22"/>
        </w:rPr>
        <w:fldChar w:fldCharType="begin"/>
      </w:r>
      <w:r w:rsidR="00D2246A">
        <w:rPr>
          <w:rFonts w:cstheme="minorHAnsi"/>
          <w:sz w:val="22"/>
          <w:szCs w:val="22"/>
        </w:rPr>
        <w:instrText xml:space="preserve"> ADDIN ZOTERO_ITEM CSL_CITATION {"citationID":"iPuYkvqN","properties":{"formattedCitation":"(33)","plainCitation":"(33)","noteIndex":0},"citationItems":[{"id":1242,"uris":["http://zotero.org/users/15628667/items/9ZZ2REQT"],"itemData":{"id":1242,"type":"article-journal","abstract":"The median survival time has been reported to vary between 5 and 8 years in low-grade (WHO grade 2) astrocytoma, and between 10 and 15 years for grade 2 oligodendroglioma. Targeted alpha therapy (TAT), using the modified peptide vector [213Bi]Bi/[225Ac]Ac-DOTA-substance P, has been developed to treat glioblastoma (GBM), a prevalent malignant brain tumor. In order to assess the risk of late neurotoxicity, assuming that reduced tumor cell proliferation and invasion should directly translate into good responses in low-grade gliomas (LGGs), a limited number of patients with diffuse invasive astrocytoma (n = 8) and oligodendroglioma (n = 3) were offered TAT. In two oligodendroglioma patients, TAT was applied as a second-line treatment for tumor progression, 10 years after targeted beta therapy using [90Y]Y-DOTA-substance P. The radiopharmaceutical was locally injected directly into the tumor via a stereotactic insertion of a capsule–catheter system. The activity used for radiolabeling was 2–2.5 GBq of Bismuth-213 and 17 to 35 MBq of Actinium-225, mostly applied in a single fraction. The recurrence-free survival times were in the range of 2 to 16 years (median 11 years) in low-grade astrocytoma (n = 8), in which TAT was administered following a biopsy or tumor debulking. Regarding oligodendroglioma, the recurrence-free survival time was 24 years in the first case treated, and 4 and 5 years in the two second-line cases. In conclusion, TAT leads to long-term tumor control in the majority of patients with LGG, and recurrence has so far not manifested in patients with low-grade (grade 2) astrocytomas who received TAT as a first-line therapy. We conclude that targeted alpha therapy has the potential to become a new treatment paradigm in LGG.","container-title":"International Journal of Molecular Sciences","DOI":"10.3390/ijms242115701","ISSN":"1422-0067","issue":"21","journalAbbreviation":"IJMS","language":"en","license":"https://creativecommons.org/licenses/by/4.0/","page":"15701","source":"DOI.org (Crossref)","title":"Long-Term Tumor Control Following Targeted Alpha Therapy (TAT) of Low-Grade Gliomas (LGGs): A New Treatment Paradigm?","title-short":"Long-Term Tumor Control Following Targeted Alpha Therapy (TAT) of Low-Grade Gliomas (LGGs)","URL":"https://www.mdpi.com/1422-0067/24/21/15701","volume":"24","author":[{"family":"Krolicki","given":"Leszek"},{"family":"Kunikowska","given":"Jolanta"},{"family":"Cordier","given":"Dominik"},{"family":"Slavova","given":"Nedelina"},{"family":"Koziara","given":"Henryk"},{"family":"Bruchertseifer","given":"Frank"},{"family":"Maecke","given":"Helmut R."},{"family":"Morgenstern","given":"Alfred"},{"family":"Merlo","given":"Adrian"}],"accessed":{"date-parts":[["2025",8,26]]},"issued":{"date-parts":[["2023",10,28]]}}}],"schema":"https://github.com/citation-style-language/schema/raw/master/csl-citation.json"} </w:instrText>
      </w:r>
      <w:r w:rsidR="00D2246A">
        <w:rPr>
          <w:rFonts w:cstheme="minorHAnsi"/>
          <w:sz w:val="22"/>
          <w:szCs w:val="22"/>
        </w:rPr>
        <w:fldChar w:fldCharType="separate"/>
      </w:r>
      <w:r w:rsidR="00D2246A" w:rsidRPr="00D2246A">
        <w:rPr>
          <w:rFonts w:ascii="Calibri" w:hAnsi="Calibri" w:cs="Calibri"/>
          <w:sz w:val="22"/>
        </w:rPr>
        <w:t>(33)</w:t>
      </w:r>
      <w:r w:rsidR="00D2246A">
        <w:rPr>
          <w:rFonts w:cstheme="minorHAnsi"/>
          <w:sz w:val="22"/>
          <w:szCs w:val="22"/>
        </w:rPr>
        <w:fldChar w:fldCharType="end"/>
      </w:r>
      <w:r w:rsidR="00D2246A">
        <w:rPr>
          <w:rFonts w:cstheme="minorHAnsi"/>
          <w:sz w:val="22"/>
          <w:szCs w:val="22"/>
        </w:rPr>
        <w:t xml:space="preserve"> </w:t>
      </w:r>
      <w:r w:rsidR="00BC0718">
        <w:rPr>
          <w:rFonts w:cstheme="minorHAnsi"/>
          <w:sz w:val="22"/>
          <w:szCs w:val="22"/>
        </w:rPr>
        <w:t xml:space="preserve">investigated disease control in low-grade glioma after surgery using </w:t>
      </w:r>
      <w:r w:rsidR="006D4B46">
        <w:rPr>
          <w:rFonts w:cstheme="minorHAnsi"/>
          <w:sz w:val="22"/>
          <w:szCs w:val="22"/>
        </w:rPr>
        <w:t>[</w:t>
      </w:r>
      <w:r w:rsidR="006D4B46" w:rsidRPr="00F46584">
        <w:rPr>
          <w:rFonts w:cstheme="minorHAnsi"/>
          <w:sz w:val="22"/>
          <w:szCs w:val="22"/>
          <w:vertAlign w:val="superscript"/>
        </w:rPr>
        <w:t>225</w:t>
      </w:r>
      <w:r w:rsidR="006D4B46" w:rsidRPr="0018521B">
        <w:rPr>
          <w:rFonts w:cstheme="minorHAnsi"/>
          <w:sz w:val="22"/>
          <w:szCs w:val="22"/>
        </w:rPr>
        <w:t>Ac</w:t>
      </w:r>
      <w:r w:rsidR="006D4B46">
        <w:rPr>
          <w:rFonts w:cstheme="minorHAnsi"/>
          <w:sz w:val="22"/>
          <w:szCs w:val="22"/>
        </w:rPr>
        <w:t>]Ac</w:t>
      </w:r>
      <w:r w:rsidR="006D4B46" w:rsidRPr="0018521B">
        <w:rPr>
          <w:rFonts w:cstheme="minorHAnsi"/>
          <w:sz w:val="22"/>
          <w:szCs w:val="22"/>
        </w:rPr>
        <w:t>-</w:t>
      </w:r>
      <w:r w:rsidR="00BC0718">
        <w:rPr>
          <w:rFonts w:cstheme="minorHAnsi"/>
          <w:sz w:val="22"/>
          <w:szCs w:val="22"/>
        </w:rPr>
        <w:t>DOTA-</w:t>
      </w:r>
      <w:r>
        <w:rPr>
          <w:rFonts w:cstheme="minorHAnsi"/>
          <w:sz w:val="22"/>
          <w:szCs w:val="22"/>
        </w:rPr>
        <w:t>S</w:t>
      </w:r>
      <w:r w:rsidR="00BC0718">
        <w:rPr>
          <w:rFonts w:cstheme="minorHAnsi"/>
          <w:sz w:val="22"/>
          <w:szCs w:val="22"/>
        </w:rPr>
        <w:t xml:space="preserve">P in three patients. Mostly one injection of Ac-225 showed </w:t>
      </w:r>
      <w:r w:rsidR="00637C68">
        <w:rPr>
          <w:rFonts w:cstheme="minorHAnsi"/>
          <w:sz w:val="22"/>
          <w:szCs w:val="22"/>
        </w:rPr>
        <w:t>neither</w:t>
      </w:r>
      <w:r w:rsidR="00BC0718">
        <w:rPr>
          <w:rFonts w:cstheme="minorHAnsi"/>
          <w:sz w:val="22"/>
          <w:szCs w:val="22"/>
        </w:rPr>
        <w:t xml:space="preserve"> major nor long-term adverse event</w:t>
      </w:r>
      <w:r w:rsidR="006D4B46">
        <w:rPr>
          <w:rFonts w:cstheme="minorHAnsi"/>
          <w:sz w:val="22"/>
          <w:szCs w:val="22"/>
        </w:rPr>
        <w:t>s</w:t>
      </w:r>
      <w:r w:rsidR="00BC0718">
        <w:rPr>
          <w:rFonts w:cstheme="minorHAnsi"/>
          <w:sz w:val="22"/>
          <w:szCs w:val="22"/>
        </w:rPr>
        <w:t xml:space="preserve">. </w:t>
      </w:r>
    </w:p>
    <w:p w14:paraId="4E4E78CF" w14:textId="4CF433C5" w:rsidR="00342DBF" w:rsidRDefault="00236E68" w:rsidP="00ED13C8">
      <w:pPr>
        <w:spacing w:after="120" w:line="360" w:lineRule="auto"/>
        <w:rPr>
          <w:rFonts w:cstheme="minorHAnsi"/>
          <w:sz w:val="22"/>
          <w:szCs w:val="22"/>
        </w:rPr>
      </w:pPr>
      <w:r>
        <w:rPr>
          <w:rFonts w:cstheme="minorHAnsi"/>
          <w:sz w:val="22"/>
          <w:szCs w:val="22"/>
        </w:rPr>
        <w:lastRenderedPageBreak/>
        <w:t>There are numbers of registered trials that utilizing Ac-225 with different ligands in various cancers. As shown in supp. Table 1 majority of them are recruiting. Only one study could met our criteria for inclusion into the tables, Abedin 2024</w:t>
      </w:r>
      <w:r>
        <w:rPr>
          <w:rFonts w:cstheme="minorHAnsi"/>
          <w:sz w:val="22"/>
          <w:szCs w:val="22"/>
        </w:rPr>
        <w:fldChar w:fldCharType="begin"/>
      </w:r>
      <w:r w:rsidR="00BC4723">
        <w:rPr>
          <w:rFonts w:cstheme="minorHAnsi"/>
          <w:sz w:val="22"/>
          <w:szCs w:val="22"/>
        </w:rPr>
        <w:instrText xml:space="preserve"> ADDIN ZOTERO_ITEM CSL_CITATION {"citationID":"Dmtkevfn","properties":{"formattedCitation":"(26)","plainCitation":"(26)","noteIndex":0},"citationItems":[{"id":1122,"uris":["http://zotero.org/users/15628667/items/UQ46X627"],"itemData":{"id":1122,"type":"article-journal","abstract":"241340 Introduction: Lintuzumab-Ac225 (Actimab-A) is a humanized CD33 antibody conjugated to 225Ac, which delivers high energy radiation over a short range to CD33 expressing AML blasts. When administering targeted alpha therapy, dosimetry and the safety profile of the therapy become paramount because of the potent cytotoxicity of alpha emitters. In previous results from this trial, we have shown that low dose Lintuzumab-Ac225 after salvage chemotherapy improves remission rates and produces potent clearance of residual disease, thereby achieving depth of remission. Here, we report the safety results from this Phase I study along with model-based estimates of organ-specific dosimetry.Methods: This study enrolled R/R AML pts deemed fit, with adequate organ function, and with CD33 expression on &amp;gt;25% of leukemic blasts. Induction consisted of G-CSF, 300mcg/d, given D1-6, cladribine 5mg/m2, given D2-6, cytarabine2g/m2, given D2-6, and mitoxantrone 10mg/m2, given D2-4. Lintuzumab-Ac225 was administered as a single dose on day 8 ±1 day within 4 cohorts, with doses ranging from 0.25uCi/kg to 1.0 uCi/kg. Absorbed dose calculations were performed following the guidelines in the MIRD committee pamphlet nr 21. The biodistribution and time-integrated activity coefficient (TIAC) in each source organ was estimated through biokinetic modeling using a previously validated model based on targeting CD33 expressing cells in patients with hematologic malignancies. Absorbed dose estimates for individual organs were calculated by multiplying the TIAC by the corresponding S-value (absorbed dose to a target tissue per unit TIAC in a source tissue), assuming a relative biologic effect (RBE) of 5 for alpha particlesResults: From 23 patients treated at 4 different dose levels in this study, the MTD was determined to be 1.0 µCi/kg, and the RP2D was set at 0.75 µCi/kg. Within the 1.0 µCi/kg dosing cohort, 2 dose limiting toxicities (DLTs), severe mucositis and prolonged neutropenia, were observed in 5 patients. Eight subjects were administered with lintuzumab-Ac225 at RP2D (0.75 μCi/kg). Among all patients, Grade 3/4 toxicities observed in &amp;gt;10% of patients included hematologic toxicities, as expected for heavily pre-treated patients with myeloid malignancy, as well as infection, rash and hypokalemia.As shown in Table 1, absorbed dose estimates from Lintuzumab-Ac225 to potentially dose-limiting organs-at-risk were well below established tolerance limits from external beam radiation therapy (EBRT), corroborating the safety profile which showed no signs of renal, hepatobiliary, pulmonary or cardiac toxicity. A single 30-minute infusion of Lintuzumab-Ac225 at 0.75 µCi/kg resulted in rapid radiation delivery and rapid clearance. Peak radiation concentrations were detected in blood around 0.6 hours after administration and was undetectable in blood by 48 hours.Conclusions: Lintuzumab-Ac225 can be delivered with estimated radiation doses well below expected tolerance thresholds from EBRT, which was validated by the safety results of this study showing no toxicity to potential dose-limiting organs (liver, lungs, kidneys, heart, intestine) at studied dose levels of Lintuzumab-Ac225.","container-title":"Journal of Nuclear Medicine","issue":"supplement 2","journalAbbreviation":"J Nucl Med","page":"241340","title":"&lt;strong&gt;Safety and Dosimetric Analysis of Lintuzumab-Ac225 in Combination with Intensive CLAG-M Chemotherapy in Patients with Relapsed/Refractory AML&lt;/strong&gt;","URL":"http://jnm.snmjournals.org/content/65/supplement_2/241340.abstract","volume":"65","author":[{"family":"Abedin","given":"Sameem"},{"family":"Brodin","given":"Patrik"},{"family":"Chen","given":"Mary"},{"family":"Rotibi","given":"Mojisola"},{"family":"Syed","given":"Umar"},{"family":"Desai","given":"Avinash"},{"family":"Atallah","given":"Ehab"}],"issued":{"date-parts":[["2024",6,1]]}}}],"schema":"https://github.com/citation-style-language/schema/raw/master/csl-citation.json"} </w:instrText>
      </w:r>
      <w:r>
        <w:rPr>
          <w:rFonts w:cstheme="minorHAnsi"/>
          <w:sz w:val="22"/>
          <w:szCs w:val="22"/>
        </w:rPr>
        <w:fldChar w:fldCharType="separate"/>
      </w:r>
      <w:r w:rsidR="00BC4723" w:rsidRPr="00BC4723">
        <w:rPr>
          <w:rFonts w:ascii="Calibri" w:hAnsi="Calibri" w:cs="Calibri"/>
          <w:sz w:val="22"/>
        </w:rPr>
        <w:t>(26)</w:t>
      </w:r>
      <w:r>
        <w:rPr>
          <w:rFonts w:cstheme="minorHAnsi"/>
          <w:sz w:val="22"/>
          <w:szCs w:val="22"/>
        </w:rPr>
        <w:fldChar w:fldCharType="end"/>
      </w:r>
      <w:r w:rsidR="000B0A19">
        <w:rPr>
          <w:rFonts w:cstheme="minorHAnsi"/>
          <w:sz w:val="22"/>
          <w:szCs w:val="22"/>
        </w:rPr>
        <w:t>, b</w:t>
      </w:r>
      <w:r w:rsidR="004D0CE9">
        <w:rPr>
          <w:rFonts w:cstheme="minorHAnsi"/>
          <w:sz w:val="22"/>
          <w:szCs w:val="22"/>
        </w:rPr>
        <w:t>eside the prostate cancer, NETs, and AML conjugated Ac-225 with different ligands is investigating in plasma cell myeloma, various advanced solid tumors, and pancreatic ductal adenocarcinoma. The findings of our study are consistent with the broader landscape of trials as summarized by Jang’s review on current trials studying targeted alpha therapy</w:t>
      </w:r>
      <w:r w:rsidR="004D0CE9">
        <w:rPr>
          <w:rFonts w:cstheme="minorHAnsi"/>
          <w:sz w:val="22"/>
          <w:szCs w:val="22"/>
        </w:rPr>
        <w:fldChar w:fldCharType="begin"/>
      </w:r>
      <w:r w:rsidR="00BC4723">
        <w:rPr>
          <w:rFonts w:cstheme="minorHAnsi"/>
          <w:sz w:val="22"/>
          <w:szCs w:val="22"/>
        </w:rPr>
        <w:instrText xml:space="preserve"> ADDIN ZOTERO_ITEM CSL_CITATION {"citationID":"0M72XiYo","properties":{"formattedCitation":"(14)","plainCitation":"(14)","noteIndex":0},"citationItems":[{"id":86,"uris":["http://zotero.org/users/15628667/items/LYCENYIZ"],"itemData":{"id":86,"type":"article-journal","abstract":"Radiopharmaceuticals are rapidly developing as a field, with the successful use of targeted beta emitters in neuroendocrine tumors and prostate cancer serving as  catalysts. Targeted alpha emitters are in current development for several  potential oncologic indications. Herein, we review the three most prevalently  studied conjugated/chelated alpha emitters ((225)actinium, (212)lead, and  (211)astatine) and focus on contemporary clinical trials in an effort to more  fully appreciate the breadth of the current evaluation. Phase I trials targeting  multiple diseases are now underway, and at least one phase III trial (in selected  neuroendocrine cancers) is currently in the initial stages of recruitment.  Combination trials are now also emerging as alpha emitters are integrated with  other therapies in an effort to create solutions for those with advanced cancers.  Despite the promise of targeted alpha therapies, many challenges remain. These  challenges include the development of reliable supply chains, the need for a  better understanding of the relationships between administered dose and absorbed  dose in both tissue and tumor and how that predicts outcomes, and the incomplete  understanding of potential long-term deleterious effects of the alpha emitters.  Progress on multiple fronts is necessary to bring the potential of targeted alpha  therapies into the clinic.","container-title":"International journal of molecular sciences","DOI":"10.3390/ijms241411626","ISSN":"1422-0067","issue":"14","journalAbbreviation":"Int J Mol Sci","language":"eng","note":"publisher-place: Switzerland\nPMID: 37511386 \nPMCID: PMC10380274","title":"Targeted Alpha-Particle Therapy: A Review of Current Trials.","volume":"24","author":[{"family":"Jang","given":"Albert"},{"family":"Kendi","given":"Ayse T."},{"family":"Johnson","given":"Geoffrey B."},{"family":"Halfdanarson","given":"Thorvardur R."},{"family":"Sartor","given":"Oliver"}],"issued":{"date-parts":[["2023",7,19]]}}}],"schema":"https://github.com/citation-style-language/schema/raw/master/csl-citation.json"} </w:instrText>
      </w:r>
      <w:r w:rsidR="004D0CE9">
        <w:rPr>
          <w:rFonts w:cstheme="minorHAnsi"/>
          <w:sz w:val="22"/>
          <w:szCs w:val="22"/>
        </w:rPr>
        <w:fldChar w:fldCharType="separate"/>
      </w:r>
      <w:r w:rsidR="00BC4723" w:rsidRPr="00BC4723">
        <w:rPr>
          <w:rFonts w:ascii="Calibri" w:hAnsi="Calibri" w:cs="Calibri"/>
          <w:sz w:val="22"/>
        </w:rPr>
        <w:t>(14)</w:t>
      </w:r>
      <w:r w:rsidR="004D0CE9">
        <w:rPr>
          <w:rFonts w:cstheme="minorHAnsi"/>
          <w:sz w:val="22"/>
          <w:szCs w:val="22"/>
        </w:rPr>
        <w:fldChar w:fldCharType="end"/>
      </w:r>
      <w:r w:rsidR="004D0CE9">
        <w:rPr>
          <w:rFonts w:cstheme="minorHAnsi"/>
          <w:sz w:val="22"/>
          <w:szCs w:val="22"/>
        </w:rPr>
        <w:t xml:space="preserve">. They highlighted the variability in radioligands across different studies. In addition, </w:t>
      </w:r>
      <w:r w:rsidR="00BB1ABE">
        <w:rPr>
          <w:rFonts w:cstheme="minorHAnsi"/>
          <w:sz w:val="22"/>
          <w:szCs w:val="22"/>
        </w:rPr>
        <w:t xml:space="preserve">regarding published </w:t>
      </w:r>
      <w:r w:rsidR="00DB6C5C">
        <w:rPr>
          <w:rFonts w:cstheme="minorHAnsi"/>
          <w:sz w:val="22"/>
          <w:szCs w:val="22"/>
        </w:rPr>
        <w:t xml:space="preserve">safety </w:t>
      </w:r>
      <w:r w:rsidR="00BB1ABE">
        <w:rPr>
          <w:rFonts w:cstheme="minorHAnsi"/>
          <w:sz w:val="22"/>
          <w:szCs w:val="22"/>
        </w:rPr>
        <w:t>data, theirs findings along with ours are limited. Moreover, they emphasized it would be necessary to have the long-term follow-up data for having a strong conclusion on safety of alpha particles.</w:t>
      </w:r>
    </w:p>
    <w:p w14:paraId="45B084CB" w14:textId="31595E19" w:rsidR="008F5531" w:rsidRPr="0018521B" w:rsidRDefault="008F5531" w:rsidP="00ED13C8">
      <w:pPr>
        <w:spacing w:after="120" w:line="360" w:lineRule="auto"/>
        <w:rPr>
          <w:rFonts w:cstheme="minorHAnsi"/>
          <w:sz w:val="22"/>
          <w:szCs w:val="22"/>
        </w:rPr>
      </w:pPr>
      <w:r w:rsidRPr="00F56005">
        <w:rPr>
          <w:rFonts w:cstheme="minorHAnsi"/>
          <w:sz w:val="22"/>
          <w:szCs w:val="22"/>
        </w:rPr>
        <w:t>An open question addressing safety and potential adverse events of alpha therapy using actinium-225 is how pre-therap</w:t>
      </w:r>
      <w:r w:rsidR="00CD1614">
        <w:rPr>
          <w:rFonts w:cstheme="minorHAnsi"/>
          <w:sz w:val="22"/>
          <w:szCs w:val="22"/>
        </w:rPr>
        <w:t>eutic</w:t>
      </w:r>
      <w:r w:rsidRPr="00F56005">
        <w:rPr>
          <w:rFonts w:cstheme="minorHAnsi"/>
          <w:sz w:val="22"/>
          <w:szCs w:val="22"/>
        </w:rPr>
        <w:t xml:space="preserve"> dosimetry</w:t>
      </w:r>
      <w:r w:rsidRPr="006507B1">
        <w:rPr>
          <w:rFonts w:cstheme="minorHAnsi"/>
          <w:sz w:val="22"/>
          <w:szCs w:val="22"/>
        </w:rPr>
        <w:t xml:space="preserve"> </w:t>
      </w:r>
      <w:r w:rsidR="00CD1614">
        <w:rPr>
          <w:rFonts w:cstheme="minorHAnsi"/>
          <w:sz w:val="22"/>
          <w:szCs w:val="22"/>
        </w:rPr>
        <w:t>for</w:t>
      </w:r>
      <w:r w:rsidRPr="006507B1">
        <w:rPr>
          <w:rFonts w:cstheme="minorHAnsi"/>
          <w:sz w:val="22"/>
          <w:szCs w:val="22"/>
        </w:rPr>
        <w:t xml:space="preserve"> Ac-225-</w:t>
      </w:r>
      <w:r w:rsidR="00CD1614">
        <w:rPr>
          <w:rFonts w:cstheme="minorHAnsi"/>
          <w:sz w:val="22"/>
          <w:szCs w:val="22"/>
        </w:rPr>
        <w:t>radiopharmaceuticals</w:t>
      </w:r>
      <w:r w:rsidRPr="006507B1">
        <w:rPr>
          <w:rFonts w:cstheme="minorHAnsi"/>
          <w:sz w:val="22"/>
          <w:szCs w:val="22"/>
        </w:rPr>
        <w:t xml:space="preserve"> might or would help refining </w:t>
      </w:r>
      <w:r w:rsidRPr="008666A7">
        <w:rPr>
          <w:rFonts w:cstheme="minorHAnsi"/>
          <w:sz w:val="22"/>
          <w:szCs w:val="22"/>
        </w:rPr>
        <w:t xml:space="preserve">safety of </w:t>
      </w:r>
      <w:r w:rsidR="00CD1614">
        <w:rPr>
          <w:rFonts w:cstheme="minorHAnsi"/>
          <w:sz w:val="22"/>
          <w:szCs w:val="22"/>
        </w:rPr>
        <w:t>TAT</w:t>
      </w:r>
      <w:r w:rsidRPr="008666A7">
        <w:rPr>
          <w:rFonts w:cstheme="minorHAnsi"/>
          <w:sz w:val="22"/>
          <w:szCs w:val="22"/>
        </w:rPr>
        <w:t xml:space="preserve">. </w:t>
      </w:r>
      <w:r w:rsidR="00D9312F" w:rsidRPr="00F56005">
        <w:rPr>
          <w:rFonts w:cstheme="minorHAnsi"/>
          <w:sz w:val="22"/>
          <w:szCs w:val="22"/>
        </w:rPr>
        <w:t>Only a few studies</w:t>
      </w:r>
      <w:r w:rsidR="00D829EB">
        <w:rPr>
          <w:rFonts w:cstheme="minorHAnsi"/>
          <w:sz w:val="22"/>
          <w:szCs w:val="22"/>
        </w:rPr>
        <w:t xml:space="preserve"> </w:t>
      </w:r>
      <w:r w:rsidR="00D829EB">
        <w:rPr>
          <w:rFonts w:cstheme="minorHAnsi"/>
          <w:sz w:val="22"/>
          <w:szCs w:val="22"/>
        </w:rPr>
        <w:fldChar w:fldCharType="begin"/>
      </w:r>
      <w:r w:rsidR="00254B1E">
        <w:rPr>
          <w:rFonts w:cstheme="minorHAnsi"/>
          <w:sz w:val="22"/>
          <w:szCs w:val="22"/>
        </w:rPr>
        <w:instrText xml:space="preserve"> ADDIN ZOTERO_ITEM CSL_CITATION {"citationID":"Yjg0Fh04","properties":{"formattedCitation":"(22,35,36)","plainCitation":"(22,35,36)","noteIndex":0},"citationItems":[{"id":1142,"uris":["http://zotero.org/users/15628667/items/3738AKDT"],"itemData":{"id":1142,"type":"article-journal","abstract":"The aim of this retrospective analysis is to estimate the most appropriate single cycle and cumulative doses of 225Ac-DOTATOC in patients treated for somatostatin-receptor-expressing cancers.","container-title":"European Journal of Nuclear Medicine and Molecular Imaging","DOI":"10.1007/s00259-021-05474-1","ISSN":"1619-7089","issue":"1","journalAbbreviation":"European Journal of Nuclear Medicine and Molecular Imaging","page":"54-63","title":"Dosing 225Ac-DOTATOC in patients with somatostatin-receptor-positive solid tumors: 5-year follow-up of hematological and renal toxicity","URL":"https://doi.org/10.1007/s00259-021-05474-1","volume":"49","author":[{"family":"Kratochwil","given":"Clemens"},{"family":"Apostolidis","given":"Leonidas"},{"family":"Rathke","given":"Hendrik"},{"family":"Apostolidis","given":"Christos"},{"family":"Bicu","given":"Felix"},{"family":"Bruchertseifer","given":"Frank"},{"family":"Choyke","given":"Peter L."},{"family":"Haberkorn","given":"Uwe"},{"family":"Giesel","given":"Frederik L."},{"family":"Morgenstern","given":"Alfred"}],"issued":{"date-parts":[["2021",12,1]]}}},{"id":1248,"uris":["http://zotero.org/users/15628667/items/NKSATV9Z"],"itemData":{"id":1248,"type":"article-journal","container-title":"European Journal of Nuclear Medicine and Molecular Imaging","DOI":"10.1007/s00259-017-3817-y","ISSN":"1619-7070, 1619-7089","issue":"1","journalAbbreviation":"Eur J Nucl Med Mol Imaging","language":"en","page":"31-37","source":"DOI.org (Crossref)","title":"Targeted alpha therapy of mCRPC: Dosimetry estimate of 213Bismuth-PSMA-617","title-short":"Targeted alpha therapy of mCRPC","URL":"http://link.springer.com/10.1007/s00259-017-3817-y","volume":"45","author":[{"family":"Kratochwil","given":"Clemens"},{"family":"Schmidt","given":"Karl"},{"family":"Afshar-Oromieh","given":"Ali"},{"family":"Bruchertseifer","given":"Frank"},{"family":"Rathke","given":"Hendrik"},{"family":"Morgenstern","given":"Alfred"},{"family":"Haberkorn","given":"Uwe"},{"family":"Giesel","given":"Frederik L."}],"accessed":{"date-parts":[["2025",8,28]]},"issued":{"date-parts":[["2018",1]]}}},{"id":481,"uris":["http://zotero.org/users/15628667/items/USNRZF8T"],"itemData":{"id":481,"type":"article-journal","abstract":"The aim of this study was to develop a treatment protocol for (225)Ac-PSMA-617 α-radiation therapy in advanced-stage, metastatic castration-resistant prostate  cancer patients with prostate-specific membrane antigen (PSMA)-positive tumor  phenotype. Methods: A dosimetry estimate was calculated on the basis of  time-activity curves derived from serially obtained (177)Lu-PSMA-617 scans  extrapolated to the physical half-life of (225)Ac, assuming instant decay of  unstable daughter nuclides. Salvage therapies empirically conducted with 50 (n =  4), 100 (n = 4), 150 (n = 2), and 200 kBq/kg (n = 4) of (225)Ac-PSMA-617 were  evaluated retrospectively regarding toxicity and treatment response. Eight of 14  patients received further cycles in either 2- or 4-mo intervals with identical or  deescalated activities. Results: Dosimetry estimates for 1 MBq of  (225)Ac-PSMA-617 assuming a relative biologic effectiveness of 5 revealed mean  doses of 2.3 Sv for salivary glands, 0.7 Sv for kidneys, and 0.05 Sv for red  marrow that are composed of 99.4% α, 0.5% β, and 0.1% photon radiation,  respectively. In clinical application, severe xerostomia became the dose-limiting  toxicity if treatment activity exceeded 100 kBq/kg per cycle. At 100 kBq/kg, the  duration of prostate-specific antigen decline was less than 4 mo, but if therapy  was repeated every 2 mo patients experienced additive antitumor effects.  Treatment activities of 50 kBq/kg were without toxicity but induced insufficient  antitumor response in these high-tumor-burden patients. Remarkable antitumor  activity by means of objective radiologic response or tumor marker decline was  observed in 9 of 11 evaluable patients. Conclusion: For advanced-stage patients,  a treatment activity of 100 kBq/kg of (225)Ac-PSMA-617 per cycle repeated every 8  wk presents a reasonable trade-off between toxicity and biochemical response.","container-title":"Journal of nuclear medicine : official publication, Society of Nuclear Medicine","DOI":"10.2967/jnumed.117.191395","ISSN":"1535-5667 0161-5505","issue":"10","journalAbbreviation":"J Nucl Med","language":"eng","license":"© 2017 by the Society of Nuclear Medicine and Molecular Imaging.","note":"publisher-place: United States\nPMID: 28408529","page":"1624-1631","title":"Targeted α-Therapy of Metastatic Castration-Resistant Prostate Cancer with (225)Ac-PSMA-617: Dosimetry Estimate and Empiric Dose Finding.","volume":"58","author":[{"family":"Kratochwil","given":"Clemens"},{"family":"Bruchertseifer","given":"Frank"},{"family":"Rathke","given":"Hendrik"},{"family":"Bronzel","given":"Marcus"},{"family":"Apostolidis","given":"Christos"},{"family":"Weichert","given":"Wilko"},{"family":"Haberkorn","given":"Uwe"},{"family":"Giesel","given":"Frederik L."},{"family":"Morgenstern","given":"Alfred"}],"issued":{"date-parts":[["2017",10]]}}}],"schema":"https://github.com/citation-style-language/schema/raw/master/csl-citation.json"} </w:instrText>
      </w:r>
      <w:r w:rsidR="00D829EB">
        <w:rPr>
          <w:rFonts w:cstheme="minorHAnsi"/>
          <w:sz w:val="22"/>
          <w:szCs w:val="22"/>
        </w:rPr>
        <w:fldChar w:fldCharType="separate"/>
      </w:r>
      <w:r w:rsidR="00254B1E" w:rsidRPr="00254B1E">
        <w:rPr>
          <w:rFonts w:ascii="Calibri" w:hAnsi="Calibri" w:cs="Calibri"/>
          <w:sz w:val="22"/>
        </w:rPr>
        <w:t>(22,35,36)</w:t>
      </w:r>
      <w:r w:rsidR="00D829EB">
        <w:rPr>
          <w:rFonts w:cstheme="minorHAnsi"/>
          <w:sz w:val="22"/>
          <w:szCs w:val="22"/>
        </w:rPr>
        <w:fldChar w:fldCharType="end"/>
      </w:r>
      <w:r w:rsidR="00D829EB">
        <w:rPr>
          <w:rFonts w:cstheme="minorHAnsi"/>
          <w:sz w:val="22"/>
          <w:szCs w:val="22"/>
        </w:rPr>
        <w:t xml:space="preserve"> </w:t>
      </w:r>
      <w:r w:rsidR="00D9312F" w:rsidRPr="00F56005">
        <w:rPr>
          <w:rFonts w:cstheme="minorHAnsi"/>
          <w:sz w:val="22"/>
          <w:szCs w:val="22"/>
        </w:rPr>
        <w:t xml:space="preserve"> tried to correlate </w:t>
      </w:r>
      <w:r w:rsidR="00254B1E">
        <w:rPr>
          <w:rFonts w:cstheme="minorHAnsi"/>
          <w:sz w:val="22"/>
          <w:szCs w:val="22"/>
        </w:rPr>
        <w:t xml:space="preserve">therapy using </w:t>
      </w:r>
      <w:r w:rsidR="00D829EB">
        <w:rPr>
          <w:rFonts w:cstheme="minorHAnsi"/>
          <w:sz w:val="22"/>
          <w:szCs w:val="22"/>
        </w:rPr>
        <w:t>alpha emitters like Bismuth-213 or</w:t>
      </w:r>
      <w:r w:rsidR="00D9312F" w:rsidRPr="00F56005">
        <w:rPr>
          <w:rFonts w:cstheme="minorHAnsi"/>
          <w:sz w:val="22"/>
          <w:szCs w:val="22"/>
        </w:rPr>
        <w:t xml:space="preserve"> Ac-225 with dosimetry</w:t>
      </w:r>
      <w:r w:rsidR="00254B1E">
        <w:rPr>
          <w:rFonts w:cstheme="minorHAnsi"/>
          <w:sz w:val="22"/>
          <w:szCs w:val="22"/>
        </w:rPr>
        <w:t xml:space="preserve"> data derived from</w:t>
      </w:r>
      <w:r w:rsidR="00D9312F" w:rsidRPr="00F56005">
        <w:rPr>
          <w:rFonts w:cstheme="minorHAnsi"/>
          <w:sz w:val="22"/>
          <w:szCs w:val="22"/>
        </w:rPr>
        <w:t xml:space="preserve"> Lu-177 </w:t>
      </w:r>
      <w:r w:rsidR="00D829EB">
        <w:rPr>
          <w:rFonts w:cstheme="minorHAnsi"/>
          <w:sz w:val="22"/>
          <w:szCs w:val="22"/>
        </w:rPr>
        <w:t>or diagnostic surrogate radionuclide</w:t>
      </w:r>
      <w:r w:rsidR="00254B1E">
        <w:rPr>
          <w:rFonts w:cstheme="minorHAnsi"/>
          <w:sz w:val="22"/>
          <w:szCs w:val="22"/>
        </w:rPr>
        <w:t>s</w:t>
      </w:r>
      <w:r w:rsidR="00D829EB">
        <w:rPr>
          <w:rFonts w:cstheme="minorHAnsi"/>
          <w:sz w:val="22"/>
          <w:szCs w:val="22"/>
        </w:rPr>
        <w:t xml:space="preserve"> </w:t>
      </w:r>
      <w:r w:rsidR="00D9312F" w:rsidRPr="00F56005">
        <w:rPr>
          <w:rFonts w:cstheme="minorHAnsi"/>
          <w:sz w:val="22"/>
          <w:szCs w:val="22"/>
        </w:rPr>
        <w:t xml:space="preserve">in particular to predict </w:t>
      </w:r>
      <w:r w:rsidR="00D829EB">
        <w:rPr>
          <w:rFonts w:cstheme="minorHAnsi"/>
          <w:sz w:val="22"/>
          <w:szCs w:val="22"/>
        </w:rPr>
        <w:t xml:space="preserve">non-tumoral organ </w:t>
      </w:r>
      <w:r w:rsidR="00254B1E" w:rsidRPr="00F56005">
        <w:rPr>
          <w:rFonts w:cstheme="minorHAnsi"/>
          <w:sz w:val="22"/>
          <w:szCs w:val="22"/>
        </w:rPr>
        <w:t xml:space="preserve">toxicities </w:t>
      </w:r>
      <w:r w:rsidR="00D829EB">
        <w:rPr>
          <w:rFonts w:cstheme="minorHAnsi"/>
          <w:sz w:val="22"/>
          <w:szCs w:val="22"/>
        </w:rPr>
        <w:t xml:space="preserve">with targeted molecule expression like </w:t>
      </w:r>
      <w:r w:rsidRPr="00F56005">
        <w:rPr>
          <w:rFonts w:cstheme="minorHAnsi"/>
          <w:sz w:val="22"/>
          <w:szCs w:val="22"/>
        </w:rPr>
        <w:t xml:space="preserve">salivary glands and kidney </w:t>
      </w:r>
      <w:r w:rsidRPr="00F56005">
        <w:rPr>
          <w:rFonts w:cstheme="minorHAnsi"/>
          <w:sz w:val="22"/>
          <w:szCs w:val="22"/>
        </w:rPr>
        <w:fldChar w:fldCharType="begin"/>
      </w:r>
      <w:r w:rsidR="00D829EB">
        <w:rPr>
          <w:rFonts w:cstheme="minorHAnsi"/>
          <w:sz w:val="22"/>
          <w:szCs w:val="22"/>
        </w:rPr>
        <w:instrText xml:space="preserve"> ADDIN ZOTERO_ITEM CSL_CITATION {"citationID":"zRCOWnfF","properties":{"formattedCitation":"(37,38)","plainCitation":"(37,38)","noteIndex":0},"citationItems":[{"id":1244,"uris":["http://zotero.org/users/15628667/items/QMNJFPCT"],"itemData":{"id":1244,"type":"article-journal","abstract":"Prostate-specific membrane antigen is a type II membrane protein with folate hydrolase activity produced by prostatic epithelium. The expression of this molecule has also been documented in extraprostatic tissues, including small bowel and brain. In the present study, an extensive immunohistochemical analysis was performed on a panel of well-characterized normal and malignant human tissues to further define the pattern of prostate-specific membrane antigen (PSMA) expression. Detectable PSMA levels were identified in prostatic epithelium, duodenal mucosa, and a subset of proximal renal tubules. A subpopulation of neuroendocrine cells in the colonic crypts also exhibited PSMA immunoreactivity. All other normal tissues, including cerebral cortex and cerebellum, had undetectable levels of PSMA. Thirty-three of 35 primary prostate adenocarcinomas and 7 of 8 lymph node metastases displayed tumor cell PSMA immunostaining. Eight of 18 prostate tumors metastatic to bone expressed PSMA. All of the other nonprostatic primary tumors studied had undetectable PSMA levels. However, intense staining was observed in endothelial cells of capillary vessels in peritumoral and endotumoral areas of certain malignancies, including 8 of 17 renal cell carcinomas, 7 of 13 transitional cell carcinomas, and 3 of 19 colon carcinomas. Extraprostatic PSMA expression appears to be highly restricted. Nevertheless, its diverse anatomical distribution implies a broader functional significance than previously suspected. The decrease in PSMA immunoreactivity noted in advanced prostate cancer suggests that expression of this molecule may be linked to the degree of tumor differentiation. The neoexpression of PSMA in endothelial cells of capillary beds in certain tumors may be related to tumor angiogenesis and suggests a potential mechanism for specific targeting of tumor neovasculature.","container-title":"Clinical Cancer Research: An Official Journal of the American Association for Cancer Research","ISSN":"1078-0432","issue":"1","journalAbbreviation":"Clin Cancer Res","language":"eng","note":"PMID: 9815541","page":"81-85","source":"PubMed","title":"Prostate-specific membrane antigen expression in normal and malignant human tissues","volume":"3","author":[{"family":"Silver","given":"D. A."},{"family":"Pellicer","given":"I."},{"family":"Fair","given":"W. R."},{"family":"Heston","given":"W. D."},{"family":"Cordon-Cardo","given":"C."}],"issued":{"date-parts":[["1997",1]]}}},{"id":1246,"uris":["http://zotero.org/users/15628667/items/EKBLNK48"],"itemData":{"id":1246,"type":"article-journal","container-title":"European Journal of Nuclear Medicine and Molecular Imaging","DOI":"10.1007/s00259-015-3125-3","ISSN":"1619-7070, 1619-7089","issue":"13","journalAbbreviation":"Eur J Nucl Med Mol Imaging","language":"en","page":"1976-1983","source":"DOI.org (Crossref)","title":"Pre-therapeutic dosimetry of normal organs and tissues of 177Lu-PSMA-617 prostate-specific membrane antigen (PSMA) inhibitor in patients with castration-resistant prostate cancer","URL":"http://link.springer.com/10.1007/s00259-015-3125-3","volume":"42","author":[{"family":"Kabasakal","given":"Levent"},{"family":"AbuQbeitah","given":"Mohammad"},{"family":"Aygün","given":"Aslan"},{"family":"Yeyin","given":"Nami"},{"family":"Ocak","given":"Meltem"},{"family":"Demirci","given":"Emre"},{"family":"Toklu","given":"Turkay"}],"accessed":{"date-parts":[["2025",8,28]]},"issued":{"date-parts":[["2015",12]]}}}],"schema":"https://github.com/citation-style-language/schema/raw/master/csl-citation.json"} </w:instrText>
      </w:r>
      <w:r w:rsidRPr="00CD1614">
        <w:rPr>
          <w:rFonts w:cstheme="minorHAnsi"/>
          <w:sz w:val="22"/>
          <w:szCs w:val="22"/>
        </w:rPr>
        <w:fldChar w:fldCharType="separate"/>
      </w:r>
      <w:r w:rsidR="00D829EB" w:rsidRPr="00D829EB">
        <w:rPr>
          <w:rFonts w:ascii="Calibri" w:hAnsi="Calibri" w:cs="Calibri"/>
          <w:sz w:val="22"/>
        </w:rPr>
        <w:t>(37,38)</w:t>
      </w:r>
      <w:r w:rsidRPr="00F56005">
        <w:rPr>
          <w:rFonts w:cstheme="minorHAnsi"/>
          <w:sz w:val="22"/>
          <w:szCs w:val="22"/>
        </w:rPr>
        <w:fldChar w:fldCharType="end"/>
      </w:r>
      <w:r w:rsidR="00254B1E">
        <w:rPr>
          <w:rFonts w:cstheme="minorHAnsi"/>
          <w:sz w:val="22"/>
          <w:szCs w:val="22"/>
        </w:rPr>
        <w:t>.</w:t>
      </w:r>
      <w:r w:rsidRPr="00F56005">
        <w:rPr>
          <w:rFonts w:cstheme="minorHAnsi"/>
          <w:sz w:val="22"/>
          <w:szCs w:val="22"/>
        </w:rPr>
        <w:t xml:space="preserve"> </w:t>
      </w:r>
      <w:r w:rsidR="00D9312F" w:rsidRPr="00F56005">
        <w:rPr>
          <w:rFonts w:cstheme="minorHAnsi"/>
          <w:sz w:val="22"/>
          <w:szCs w:val="22"/>
        </w:rPr>
        <w:t xml:space="preserve">Considering the </w:t>
      </w:r>
      <w:r w:rsidR="008666A7">
        <w:rPr>
          <w:rFonts w:cstheme="minorHAnsi"/>
          <w:sz w:val="22"/>
          <w:szCs w:val="22"/>
        </w:rPr>
        <w:t xml:space="preserve">lack of a hands-on software for alpha emitter dosimetry, daughter nuclide localization regarding target molecule internalization, and </w:t>
      </w:r>
      <w:r w:rsidRPr="00F56005">
        <w:rPr>
          <w:rFonts w:cstheme="minorHAnsi"/>
          <w:sz w:val="22"/>
          <w:szCs w:val="22"/>
        </w:rPr>
        <w:t xml:space="preserve">low-range of radiation in alpha emitters like actinium-225 </w:t>
      </w:r>
      <w:r w:rsidR="00D9312F" w:rsidRPr="00F56005">
        <w:rPr>
          <w:rFonts w:cstheme="minorHAnsi"/>
          <w:sz w:val="22"/>
          <w:szCs w:val="22"/>
        </w:rPr>
        <w:t xml:space="preserve">aspects of </w:t>
      </w:r>
      <w:r w:rsidRPr="00F56005">
        <w:rPr>
          <w:rFonts w:cstheme="minorHAnsi"/>
          <w:sz w:val="22"/>
          <w:szCs w:val="22"/>
        </w:rPr>
        <w:t>micro dosimetr</w:t>
      </w:r>
      <w:r w:rsidR="0066340E">
        <w:rPr>
          <w:rFonts w:cstheme="minorHAnsi"/>
          <w:sz w:val="22"/>
          <w:szCs w:val="22"/>
        </w:rPr>
        <w:t xml:space="preserve">y </w:t>
      </w:r>
      <w:r w:rsidR="00254B1E" w:rsidRPr="00F56005">
        <w:rPr>
          <w:rFonts w:cstheme="minorHAnsi"/>
          <w:sz w:val="22"/>
          <w:szCs w:val="22"/>
        </w:rPr>
        <w:t>may become additionally important</w:t>
      </w:r>
      <w:r w:rsidR="00254B1E">
        <w:rPr>
          <w:rFonts w:cstheme="minorHAnsi"/>
          <w:sz w:val="22"/>
          <w:szCs w:val="22"/>
        </w:rPr>
        <w:t xml:space="preserve"> </w:t>
      </w:r>
      <w:r w:rsidR="0066340E">
        <w:rPr>
          <w:rFonts w:cstheme="minorHAnsi"/>
          <w:sz w:val="22"/>
          <w:szCs w:val="22"/>
        </w:rPr>
        <w:fldChar w:fldCharType="begin"/>
      </w:r>
      <w:r w:rsidR="008666A7">
        <w:rPr>
          <w:rFonts w:cstheme="minorHAnsi"/>
          <w:sz w:val="22"/>
          <w:szCs w:val="22"/>
        </w:rPr>
        <w:instrText xml:space="preserve"> ADDIN ZOTERO_ITEM CSL_CITATION {"citationID":"3mueOLLn","properties":{"formattedCitation":"(39,40)","plainCitation":"(39,40)","noteIndex":0},"citationItems":[{"id":1247,"uris":["http://zotero.org/users/15628667/items/J4FXICQE"],"itemData":{"id":1247,"type":"article-journal","container-title":"The Quarterly Journal of Nuclear Medicine and Molecular Imaging","DOI":"10.23736/S1824-4785.20.03266-5","ISSN":"18244785, 18271936","issue":"3","journalAbbreviation":"Q J Nucl Med Mol Imaging","source":"DOI.org (Crossref)","title":"Targeted alpha therapy: a critical review of translational dosimetry research with emphasis on actinium-225","title-short":"Targeted alpha therapy","URL":"https://www.minervamedica.it/index2.php?show=R39Y2020N03A0265","volume":"64","author":[{"family":"Castillo Seoane","given":"Dayana"},{"family":"De Saint-Hubert","given":"Marijke"},{"family":"Crabbe","given":"Melissa"},{"family":"Struelens","given":"Lara"},{"family":"Koole","given":"Michel"}],"accessed":{"date-parts":[["2025",8,28]]},"issued":{"date-parts":[["2020",7]]}}},{"id":1250,"uris":["http://zotero.org/users/15628667/items/ZL9LUPFB"],"itemData":{"id":1250,"type":"article-journal","container-title":"Seminars in Nuclear Medicine","DOI":"10.1053/j.semnuclmed.2019.11.002","ISSN":"00012998","issue":"2","journalAbbreviation":"Seminars in Nuclear Medicine","language":"en","page":"124-132","source":"DOI.org (Crossref)","title":"Dosimetry, Radiobiology and Synthetic Lethality: Radiopharmaceutical Therapy (RPT) With Alpha-Particle-Emitters","title-short":"Dosimetry, Radiobiology and Synthetic Lethality","URL":"https://linkinghub.elsevier.com/retrieve/pii/S0001299819300996","volume":"50","author":[{"family":"Sgouros","given":"George"}],"accessed":{"date-parts":[["2025",8,28]]},"issued":{"date-parts":[["2020",3]]}}}],"schema":"https://github.com/citation-style-language/schema/raw/master/csl-citation.json"} </w:instrText>
      </w:r>
      <w:r w:rsidR="0066340E">
        <w:rPr>
          <w:rFonts w:cstheme="minorHAnsi"/>
          <w:sz w:val="22"/>
          <w:szCs w:val="22"/>
        </w:rPr>
        <w:fldChar w:fldCharType="separate"/>
      </w:r>
      <w:r w:rsidR="008666A7" w:rsidRPr="008666A7">
        <w:rPr>
          <w:rFonts w:ascii="Calibri" w:hAnsi="Calibri" w:cs="Calibri"/>
          <w:sz w:val="22"/>
        </w:rPr>
        <w:t>(39,40)</w:t>
      </w:r>
      <w:r w:rsidR="0066340E">
        <w:rPr>
          <w:rFonts w:cstheme="minorHAnsi"/>
          <w:sz w:val="22"/>
          <w:szCs w:val="22"/>
        </w:rPr>
        <w:fldChar w:fldCharType="end"/>
      </w:r>
      <w:r w:rsidR="00D9312F" w:rsidRPr="00F56005">
        <w:rPr>
          <w:rFonts w:cstheme="minorHAnsi"/>
          <w:sz w:val="22"/>
          <w:szCs w:val="22"/>
        </w:rPr>
        <w:t xml:space="preserve">. From the </w:t>
      </w:r>
      <w:r w:rsidR="00D9312F" w:rsidRPr="00F56005">
        <w:rPr>
          <w:rFonts w:cstheme="minorHAnsi"/>
          <w:sz w:val="22"/>
          <w:szCs w:val="22"/>
        </w:rPr>
        <w:t>published data</w:t>
      </w:r>
      <w:r w:rsidR="008666A7">
        <w:rPr>
          <w:rFonts w:cstheme="minorHAnsi"/>
          <w:sz w:val="22"/>
          <w:szCs w:val="22"/>
        </w:rPr>
        <w:t xml:space="preserve"> and current knowledge,</w:t>
      </w:r>
      <w:r w:rsidR="00D9312F" w:rsidRPr="00F56005">
        <w:rPr>
          <w:rFonts w:cstheme="minorHAnsi"/>
          <w:sz w:val="22"/>
          <w:szCs w:val="22"/>
        </w:rPr>
        <w:t xml:space="preserve"> no conclusion can be drawn </w:t>
      </w:r>
      <w:r w:rsidR="008666A7">
        <w:rPr>
          <w:rFonts w:cstheme="minorHAnsi"/>
          <w:sz w:val="22"/>
          <w:szCs w:val="22"/>
        </w:rPr>
        <w:t>addressing</w:t>
      </w:r>
      <w:r w:rsidR="00D9312F" w:rsidRPr="00F56005">
        <w:rPr>
          <w:rFonts w:cstheme="minorHAnsi"/>
          <w:sz w:val="22"/>
          <w:szCs w:val="22"/>
        </w:rPr>
        <w:t xml:space="preserve"> a rational for or against pre-therapeutic dosimetry </w:t>
      </w:r>
      <w:r w:rsidR="008666A7">
        <w:rPr>
          <w:rFonts w:cstheme="minorHAnsi"/>
          <w:sz w:val="22"/>
          <w:szCs w:val="22"/>
        </w:rPr>
        <w:t>of actinium-225 radiopharmaceutical.</w:t>
      </w:r>
    </w:p>
    <w:p w14:paraId="7D9AD9B1" w14:textId="1350BAF1" w:rsidR="0018521B" w:rsidRPr="0018521B" w:rsidRDefault="0018521B" w:rsidP="00ED13C8">
      <w:pPr>
        <w:spacing w:after="120" w:line="360" w:lineRule="auto"/>
        <w:rPr>
          <w:rFonts w:cstheme="minorHAnsi"/>
          <w:sz w:val="22"/>
          <w:szCs w:val="22"/>
        </w:rPr>
      </w:pPr>
      <w:r w:rsidRPr="0018521B">
        <w:rPr>
          <w:rFonts w:cstheme="minorHAnsi"/>
          <w:sz w:val="22"/>
          <w:szCs w:val="22"/>
        </w:rPr>
        <w:t xml:space="preserve">Our comprehensive review has </w:t>
      </w:r>
      <w:r w:rsidR="00D9312F">
        <w:rPr>
          <w:rFonts w:cstheme="minorHAnsi"/>
          <w:sz w:val="22"/>
          <w:szCs w:val="22"/>
        </w:rPr>
        <w:t xml:space="preserve">certain </w:t>
      </w:r>
      <w:r w:rsidRPr="0018521B">
        <w:rPr>
          <w:rFonts w:cstheme="minorHAnsi"/>
          <w:sz w:val="22"/>
          <w:szCs w:val="22"/>
        </w:rPr>
        <w:t>limitations. The overall methodological quality (retrospective design) of the included primary studies varied,</w:t>
      </w:r>
      <w:r w:rsidR="00EC3EA9">
        <w:rPr>
          <w:rFonts w:cstheme="minorHAnsi"/>
          <w:sz w:val="22"/>
          <w:szCs w:val="22"/>
        </w:rPr>
        <w:t xml:space="preserve"> with very limited dedicated safety data from prospective controlled trials </w:t>
      </w:r>
      <w:r w:rsidR="00EC3EA9" w:rsidRPr="0018521B">
        <w:rPr>
          <w:rFonts w:cstheme="minorHAnsi"/>
          <w:sz w:val="22"/>
          <w:szCs w:val="22"/>
        </w:rPr>
        <w:t>and a lack of blinding</w:t>
      </w:r>
      <w:r w:rsidR="00EC3EA9">
        <w:rPr>
          <w:rFonts w:cstheme="minorHAnsi"/>
          <w:sz w:val="22"/>
          <w:szCs w:val="22"/>
        </w:rPr>
        <w:t>. A</w:t>
      </w:r>
      <w:r w:rsidRPr="0018521B">
        <w:rPr>
          <w:rFonts w:cstheme="minorHAnsi"/>
          <w:sz w:val="22"/>
          <w:szCs w:val="22"/>
        </w:rPr>
        <w:t xml:space="preserve"> notable proportion </w:t>
      </w:r>
      <w:r w:rsidR="00EC3EA9">
        <w:rPr>
          <w:rFonts w:cstheme="minorHAnsi"/>
          <w:sz w:val="22"/>
          <w:szCs w:val="22"/>
        </w:rPr>
        <w:t xml:space="preserve">of reports </w:t>
      </w:r>
      <w:r w:rsidRPr="0018521B">
        <w:rPr>
          <w:rFonts w:cstheme="minorHAnsi"/>
          <w:sz w:val="22"/>
          <w:szCs w:val="22"/>
        </w:rPr>
        <w:t>exhibit</w:t>
      </w:r>
      <w:r w:rsidR="00EC3EA9">
        <w:rPr>
          <w:rFonts w:cstheme="minorHAnsi"/>
          <w:sz w:val="22"/>
          <w:szCs w:val="22"/>
        </w:rPr>
        <w:t xml:space="preserve"> a</w:t>
      </w:r>
      <w:r w:rsidR="0030687E">
        <w:rPr>
          <w:rFonts w:cstheme="minorHAnsi"/>
          <w:sz w:val="22"/>
          <w:szCs w:val="22"/>
        </w:rPr>
        <w:t xml:space="preserve"> </w:t>
      </w:r>
      <w:r w:rsidRPr="0018521B">
        <w:rPr>
          <w:rFonts w:cstheme="minorHAnsi"/>
          <w:sz w:val="22"/>
          <w:szCs w:val="22"/>
        </w:rPr>
        <w:t xml:space="preserve">rather small sample size. In addition, we included the most relevant and recent abstracts that presented at either SNMMI or EANM meetings. However, they </w:t>
      </w:r>
      <w:r w:rsidR="008806F3">
        <w:rPr>
          <w:rFonts w:cstheme="minorHAnsi"/>
          <w:sz w:val="22"/>
          <w:szCs w:val="22"/>
        </w:rPr>
        <w:t xml:space="preserve">typically </w:t>
      </w:r>
      <w:r w:rsidRPr="0018521B">
        <w:rPr>
          <w:rFonts w:cstheme="minorHAnsi"/>
          <w:sz w:val="22"/>
          <w:szCs w:val="22"/>
        </w:rPr>
        <w:t>presented novel and perspective information, they lack of comprehensive data and long-term follow-up in most of the cases</w:t>
      </w:r>
      <w:r w:rsidR="00E36A56">
        <w:rPr>
          <w:rFonts w:cstheme="minorHAnsi"/>
          <w:sz w:val="22"/>
          <w:szCs w:val="22"/>
        </w:rPr>
        <w:t>, which would highly improve in particular the safety data of the studies</w:t>
      </w:r>
      <w:r w:rsidRPr="0018521B">
        <w:rPr>
          <w:rFonts w:cstheme="minorHAnsi"/>
          <w:sz w:val="22"/>
          <w:szCs w:val="22"/>
        </w:rPr>
        <w:t>.</w:t>
      </w:r>
    </w:p>
    <w:p w14:paraId="2F46B86A" w14:textId="77777777" w:rsidR="0030687E" w:rsidRDefault="0018521B" w:rsidP="00ED13C8">
      <w:pPr>
        <w:spacing w:after="120" w:line="360" w:lineRule="auto"/>
        <w:rPr>
          <w:rFonts w:cstheme="minorHAnsi"/>
          <w:sz w:val="22"/>
          <w:szCs w:val="22"/>
        </w:rPr>
      </w:pPr>
      <w:r w:rsidRPr="0018521B">
        <w:rPr>
          <w:rFonts w:cstheme="minorHAnsi"/>
          <w:sz w:val="22"/>
          <w:szCs w:val="22"/>
        </w:rPr>
        <w:t>Heterogeneity among the papers regarding the ligand, sample size, etc. made direct comparisons challenging and necessitated a narrative synthesis.</w:t>
      </w:r>
    </w:p>
    <w:p w14:paraId="6C240FE3" w14:textId="57E9614D" w:rsidR="0018521B" w:rsidRPr="0018521B" w:rsidRDefault="0018521B" w:rsidP="00ED13C8">
      <w:pPr>
        <w:spacing w:after="120" w:line="360" w:lineRule="auto"/>
        <w:rPr>
          <w:rFonts w:cstheme="minorHAnsi"/>
          <w:sz w:val="22"/>
          <w:szCs w:val="22"/>
        </w:rPr>
      </w:pPr>
      <w:r w:rsidRPr="0018521B">
        <w:rPr>
          <w:rFonts w:cstheme="minorHAnsi"/>
          <w:sz w:val="22"/>
          <w:szCs w:val="22"/>
        </w:rPr>
        <w:t>Furthermore, given the limited life span of the studied patients, nature of the study designs, and current guideline recommendations that recommend RLT, especially TAT, in later course of disease as a palliative care and trial therapy, long-term follow-up information regarding safety data is limited.</w:t>
      </w:r>
    </w:p>
    <w:p w14:paraId="3E825593" w14:textId="1A8BBD96" w:rsidR="0018521B" w:rsidRDefault="0018521B" w:rsidP="00ED13C8">
      <w:pPr>
        <w:spacing w:after="120" w:line="360" w:lineRule="auto"/>
        <w:rPr>
          <w:rFonts w:cstheme="minorHAnsi"/>
          <w:sz w:val="22"/>
          <w:szCs w:val="22"/>
        </w:rPr>
      </w:pPr>
      <w:r w:rsidRPr="0018521B">
        <w:rPr>
          <w:rFonts w:cstheme="minorHAnsi"/>
          <w:sz w:val="22"/>
          <w:szCs w:val="22"/>
        </w:rPr>
        <w:lastRenderedPageBreak/>
        <w:t>Many of the included studies had relatively short follow-up periods, limiting our ability to draw conclusions about the long-term effects of Ac-225.</w:t>
      </w:r>
    </w:p>
    <w:p w14:paraId="535A82A0" w14:textId="0A02D306" w:rsidR="00EC3EA9" w:rsidRPr="00ED13C8" w:rsidRDefault="00EC3EA9" w:rsidP="00CD1614">
      <w:pPr>
        <w:spacing w:before="240" w:after="240" w:line="276" w:lineRule="auto"/>
        <w:rPr>
          <w:b/>
          <w:bCs/>
          <w:sz w:val="32"/>
        </w:rPr>
      </w:pPr>
      <w:r w:rsidRPr="00ED13C8">
        <w:rPr>
          <w:b/>
          <w:bCs/>
          <w:sz w:val="32"/>
        </w:rPr>
        <w:t xml:space="preserve">Conclusion </w:t>
      </w:r>
    </w:p>
    <w:p w14:paraId="67981F6B" w14:textId="03F02581" w:rsidR="00A02D85" w:rsidRPr="00CD1614" w:rsidRDefault="00A02D85" w:rsidP="00CD1614">
      <w:pPr>
        <w:spacing w:after="120" w:line="360" w:lineRule="auto"/>
        <w:rPr>
          <w:rFonts w:cstheme="minorHAnsi"/>
          <w:sz w:val="22"/>
          <w:szCs w:val="22"/>
        </w:rPr>
      </w:pPr>
      <w:r w:rsidRPr="00CD1614">
        <w:rPr>
          <w:rFonts w:cstheme="minorHAnsi"/>
          <w:sz w:val="22"/>
          <w:szCs w:val="22"/>
        </w:rPr>
        <w:t xml:space="preserve">In summary, </w:t>
      </w:r>
      <w:r w:rsidR="00DB6C5C" w:rsidRPr="00CD1614">
        <w:rPr>
          <w:rFonts w:cstheme="minorHAnsi"/>
          <w:sz w:val="22"/>
          <w:szCs w:val="22"/>
        </w:rPr>
        <w:t xml:space="preserve">the studies reviewed indicate that </w:t>
      </w:r>
      <w:r w:rsidR="00041872" w:rsidRPr="00CD1614">
        <w:rPr>
          <w:rFonts w:cstheme="minorHAnsi"/>
          <w:sz w:val="22"/>
          <w:szCs w:val="22"/>
        </w:rPr>
        <w:t>Ac-225</w:t>
      </w:r>
      <w:r w:rsidRPr="00CD1614">
        <w:rPr>
          <w:rFonts w:cstheme="minorHAnsi"/>
          <w:sz w:val="22"/>
          <w:szCs w:val="22"/>
        </w:rPr>
        <w:t>-TAT seem</w:t>
      </w:r>
      <w:r w:rsidR="00DB6C5C" w:rsidRPr="00CD1614">
        <w:rPr>
          <w:rFonts w:cstheme="minorHAnsi"/>
          <w:sz w:val="22"/>
          <w:szCs w:val="22"/>
        </w:rPr>
        <w:t>s</w:t>
      </w:r>
      <w:r w:rsidRPr="00CD1614">
        <w:rPr>
          <w:rFonts w:cstheme="minorHAnsi"/>
          <w:sz w:val="22"/>
          <w:szCs w:val="22"/>
        </w:rPr>
        <w:t xml:space="preserve"> to be generally safe and well-tolerated, with the majority reporting acceptable toxicity profiles. No instances of severe acute toxicity have been reported.</w:t>
      </w:r>
    </w:p>
    <w:p w14:paraId="2CA16448" w14:textId="43B14BA2" w:rsidR="00EC3EA9" w:rsidRDefault="0018521B" w:rsidP="00CD1614">
      <w:pPr>
        <w:spacing w:after="120" w:line="360" w:lineRule="auto"/>
        <w:rPr>
          <w:rFonts w:cstheme="minorHAnsi"/>
          <w:sz w:val="22"/>
          <w:szCs w:val="22"/>
        </w:rPr>
      </w:pPr>
      <w:r w:rsidRPr="0018521B">
        <w:rPr>
          <w:rFonts w:cstheme="minorHAnsi"/>
          <w:sz w:val="22"/>
          <w:szCs w:val="22"/>
        </w:rPr>
        <w:t xml:space="preserve">Despite </w:t>
      </w:r>
      <w:r w:rsidR="00EC3EA9">
        <w:rPr>
          <w:rFonts w:cstheme="minorHAnsi"/>
          <w:sz w:val="22"/>
          <w:szCs w:val="22"/>
        </w:rPr>
        <w:t xml:space="preserve">several </w:t>
      </w:r>
      <w:r w:rsidRPr="0018521B">
        <w:rPr>
          <w:rFonts w:cstheme="minorHAnsi"/>
          <w:sz w:val="22"/>
          <w:szCs w:val="22"/>
        </w:rPr>
        <w:t xml:space="preserve">limitations, this paper provides, to the best of our knowledge, the most comprehensive </w:t>
      </w:r>
      <w:r w:rsidR="00DB6C5C">
        <w:rPr>
          <w:rFonts w:cstheme="minorHAnsi"/>
          <w:sz w:val="22"/>
          <w:szCs w:val="22"/>
        </w:rPr>
        <w:t xml:space="preserve">collection of </w:t>
      </w:r>
      <w:r w:rsidRPr="0018521B">
        <w:rPr>
          <w:rFonts w:cstheme="minorHAnsi"/>
          <w:sz w:val="22"/>
          <w:szCs w:val="22"/>
        </w:rPr>
        <w:t>clinical data on safety of different radiotracer conjugated Ac-225 TAT in different cancer patients</w:t>
      </w:r>
      <w:r w:rsidR="00A02D85">
        <w:rPr>
          <w:rFonts w:cstheme="minorHAnsi"/>
          <w:sz w:val="22"/>
          <w:szCs w:val="22"/>
        </w:rPr>
        <w:t xml:space="preserve"> until today</w:t>
      </w:r>
      <w:r w:rsidRPr="0018521B">
        <w:rPr>
          <w:rFonts w:cstheme="minorHAnsi"/>
          <w:sz w:val="22"/>
          <w:szCs w:val="22"/>
        </w:rPr>
        <w:t>.</w:t>
      </w:r>
      <w:r w:rsidR="009A0B2E">
        <w:rPr>
          <w:rFonts w:cstheme="minorHAnsi"/>
          <w:sz w:val="22"/>
          <w:szCs w:val="22"/>
        </w:rPr>
        <w:t xml:space="preserve"> </w:t>
      </w:r>
      <w:r w:rsidR="00A02D85">
        <w:rPr>
          <w:rFonts w:cstheme="minorHAnsi"/>
          <w:sz w:val="22"/>
          <w:szCs w:val="22"/>
        </w:rPr>
        <w:t>We aim</w:t>
      </w:r>
      <w:r w:rsidR="00DB6C5C">
        <w:rPr>
          <w:rFonts w:cstheme="minorHAnsi"/>
          <w:sz w:val="22"/>
          <w:szCs w:val="22"/>
        </w:rPr>
        <w:t>ed to</w:t>
      </w:r>
      <w:r w:rsidR="00A02D85">
        <w:rPr>
          <w:rFonts w:cstheme="minorHAnsi"/>
          <w:sz w:val="22"/>
          <w:szCs w:val="22"/>
        </w:rPr>
        <w:t xml:space="preserve"> </w:t>
      </w:r>
      <w:r w:rsidR="00DB6C5C">
        <w:rPr>
          <w:rFonts w:cstheme="minorHAnsi"/>
          <w:sz w:val="22"/>
          <w:szCs w:val="22"/>
        </w:rPr>
        <w:t xml:space="preserve">provide </w:t>
      </w:r>
      <w:r w:rsidR="00D711CB">
        <w:rPr>
          <w:rFonts w:cstheme="minorHAnsi"/>
          <w:sz w:val="22"/>
          <w:szCs w:val="22"/>
        </w:rPr>
        <w:t>a</w:t>
      </w:r>
      <w:r w:rsidR="009A0B2E">
        <w:rPr>
          <w:rFonts w:cstheme="minorHAnsi"/>
          <w:sz w:val="22"/>
          <w:szCs w:val="22"/>
        </w:rPr>
        <w:t xml:space="preserve"> useful reference for clinical trial planning and application involving the described and novel Ac-225 radiopharmaceuticals. </w:t>
      </w:r>
      <w:r w:rsidR="00EC3EA9">
        <w:rPr>
          <w:rFonts w:cstheme="minorHAnsi"/>
          <w:sz w:val="22"/>
          <w:szCs w:val="22"/>
        </w:rPr>
        <w:t>Currently a great number of prospective</w:t>
      </w:r>
      <w:r w:rsidR="00A02D85">
        <w:rPr>
          <w:rFonts w:cstheme="minorHAnsi"/>
          <w:sz w:val="22"/>
          <w:szCs w:val="22"/>
        </w:rPr>
        <w:t xml:space="preserve"> controlled c</w:t>
      </w:r>
      <w:r w:rsidR="00EC3EA9">
        <w:rPr>
          <w:rFonts w:cstheme="minorHAnsi"/>
          <w:sz w:val="22"/>
          <w:szCs w:val="22"/>
        </w:rPr>
        <w:t xml:space="preserve">linical trials </w:t>
      </w:r>
      <w:r w:rsidR="00A02D85">
        <w:rPr>
          <w:rFonts w:cstheme="minorHAnsi"/>
          <w:sz w:val="22"/>
          <w:szCs w:val="22"/>
        </w:rPr>
        <w:t>are</w:t>
      </w:r>
      <w:r w:rsidR="00EC3EA9">
        <w:rPr>
          <w:rFonts w:cstheme="minorHAnsi"/>
          <w:sz w:val="22"/>
          <w:szCs w:val="22"/>
        </w:rPr>
        <w:t xml:space="preserve"> ongoing with very limited data being published</w:t>
      </w:r>
      <w:r w:rsidR="008806F3">
        <w:rPr>
          <w:rFonts w:cstheme="minorHAnsi"/>
          <w:sz w:val="22"/>
          <w:szCs w:val="22"/>
        </w:rPr>
        <w:t xml:space="preserve"> so far</w:t>
      </w:r>
      <w:r w:rsidR="00EC3EA9">
        <w:rPr>
          <w:rFonts w:cstheme="minorHAnsi"/>
          <w:sz w:val="22"/>
          <w:szCs w:val="22"/>
        </w:rPr>
        <w:t>, in particular related to safety</w:t>
      </w:r>
      <w:r w:rsidR="00A02D85">
        <w:rPr>
          <w:rFonts w:cstheme="minorHAnsi"/>
          <w:sz w:val="22"/>
          <w:szCs w:val="22"/>
        </w:rPr>
        <w:t xml:space="preserve"> and potential adverse events</w:t>
      </w:r>
      <w:r w:rsidR="00EC3EA9">
        <w:rPr>
          <w:rFonts w:cstheme="minorHAnsi"/>
          <w:sz w:val="22"/>
          <w:szCs w:val="22"/>
        </w:rPr>
        <w:t xml:space="preserve">. </w:t>
      </w:r>
      <w:r w:rsidR="00D56B2B" w:rsidRPr="00D56B2B">
        <w:rPr>
          <w:rFonts w:cstheme="minorHAnsi"/>
          <w:sz w:val="22"/>
          <w:szCs w:val="22"/>
        </w:rPr>
        <w:t>In addition, data on long-term effects are missing in this regard. These data are expected to become publicly available in the coming years and will certainly strengthen the knowledge of short- and long-term toxicities associated with administering Ac-225-coupled radiotracers and would facilitate risk/benefit assessments.</w:t>
      </w:r>
    </w:p>
    <w:p w14:paraId="2919C7A3" w14:textId="76EB10FB" w:rsidR="0018521B" w:rsidRPr="00ED13C8" w:rsidRDefault="00771185" w:rsidP="00CD1614">
      <w:pPr>
        <w:spacing w:before="240" w:after="240" w:line="276" w:lineRule="auto"/>
        <w:rPr>
          <w:b/>
          <w:bCs/>
          <w:sz w:val="32"/>
        </w:rPr>
      </w:pPr>
      <w:r w:rsidRPr="00ED13C8">
        <w:rPr>
          <w:b/>
          <w:bCs/>
          <w:sz w:val="32"/>
        </w:rPr>
        <w:t>References</w:t>
      </w:r>
    </w:p>
    <w:p w14:paraId="016CAE73" w14:textId="77777777" w:rsidR="008666A7" w:rsidRDefault="00771185" w:rsidP="008666A7">
      <w:pPr>
        <w:pStyle w:val="Literaturverzeichnis"/>
      </w:pPr>
      <w:r w:rsidRPr="00041872">
        <w:rPr>
          <w:rFonts w:cstheme="minorHAnsi"/>
          <w:sz w:val="22"/>
          <w:szCs w:val="22"/>
        </w:rPr>
        <w:fldChar w:fldCharType="begin"/>
      </w:r>
      <w:r w:rsidRPr="00041872">
        <w:rPr>
          <w:rFonts w:cstheme="minorHAnsi"/>
          <w:sz w:val="22"/>
          <w:szCs w:val="22"/>
        </w:rPr>
        <w:instrText xml:space="preserve"> ADDIN ZOTERO_BIBL {"uncited":[],"omitted":[],"custom":[]} CSL_BIBLIOGRAPHY </w:instrText>
      </w:r>
      <w:r w:rsidRPr="00041872">
        <w:rPr>
          <w:rFonts w:cstheme="minorHAnsi"/>
          <w:sz w:val="22"/>
          <w:szCs w:val="22"/>
        </w:rPr>
        <w:fldChar w:fldCharType="separate"/>
      </w:r>
      <w:r w:rsidR="008666A7">
        <w:t>1.</w:t>
      </w:r>
      <w:r w:rsidR="008666A7">
        <w:tab/>
        <w:t>Siegel RL, Giaquinto AN, Jemal A. Cancer statistics, 2024. CA Cancer J Clin [Internet]. 2024 Jan [cited 2025 July 25];74(1):12–49. Available from: https://acsjournals.onlinelibrary.wiley.com/doi/10.3322/caac.21820</w:t>
      </w:r>
    </w:p>
    <w:p w14:paraId="416D23AE" w14:textId="77777777" w:rsidR="008666A7" w:rsidRDefault="008666A7" w:rsidP="008666A7">
      <w:pPr>
        <w:pStyle w:val="Literaturverzeichnis"/>
      </w:pPr>
      <w:r>
        <w:t>2.</w:t>
      </w:r>
      <w:r>
        <w:tab/>
        <w:t>Aboagye EO, Barwick TD, Haberkorn U. Radiotheranostics in oncology: Making precision medicine possible. CA Cancer J Clin [Internet]. 2023 May [cited 2025 July 25];73(3):255–74. Available from: https://acsjournals.onlinelibrary.wiley.com/doi/10.3322/caac.21768</w:t>
      </w:r>
    </w:p>
    <w:p w14:paraId="12FEA301" w14:textId="77777777" w:rsidR="008666A7" w:rsidRDefault="008666A7" w:rsidP="008666A7">
      <w:pPr>
        <w:pStyle w:val="Literaturverzeichnis"/>
      </w:pPr>
      <w:r>
        <w:t>3.</w:t>
      </w:r>
      <w:r>
        <w:tab/>
        <w:t xml:space="preserve">Cruz-Nova P, Trujillo-Nolasco M, Aranda-Lara L, Ferro-Flores G, Ocampo-García B. Radiobiological effect of alpha particles. The scientific basis of targeted alpha-particle therapy. Nucl Med Biol. 2025 July;146–147:109044. </w:t>
      </w:r>
    </w:p>
    <w:p w14:paraId="4DC025AB" w14:textId="77777777" w:rsidR="008666A7" w:rsidRDefault="008666A7" w:rsidP="008666A7">
      <w:pPr>
        <w:pStyle w:val="Literaturverzeichnis"/>
      </w:pPr>
      <w:r>
        <w:t>4.</w:t>
      </w:r>
      <w:r>
        <w:tab/>
        <w:t>Targeted Alpha Therapy Working Group, Parker C, Lewington V, Shore N, Kratochwil C, Levy M, et al. Targeted Alpha Therapy, an Emerging Class of Cancer Agents: A Review. JAMA Oncol [Internet]. 2018 Dec 1 [cited 2025 July 25];4(12):1765. Available from: http://oncology.jamanetwork.com/article.aspx?doi=10.1001/jamaoncol.2018.4044</w:t>
      </w:r>
    </w:p>
    <w:p w14:paraId="5F71F5D3" w14:textId="77777777" w:rsidR="008666A7" w:rsidRDefault="008666A7" w:rsidP="008666A7">
      <w:pPr>
        <w:pStyle w:val="Literaturverzeichnis"/>
      </w:pPr>
      <w:r>
        <w:lastRenderedPageBreak/>
        <w:t>5.</w:t>
      </w:r>
      <w:r>
        <w:tab/>
        <w:t xml:space="preserve">Rahman AKMR, Babu MH, Ovi MK, Zilani MdM, Eithu IS, Chakraborty A. Actinium-225 in Targeted Alpha Therapy. J Med Phys. 2024 Apr;49(2):137–47. </w:t>
      </w:r>
    </w:p>
    <w:p w14:paraId="31F07E4A" w14:textId="77777777" w:rsidR="008666A7" w:rsidRDefault="008666A7" w:rsidP="008666A7">
      <w:pPr>
        <w:pStyle w:val="Literaturverzeichnis"/>
      </w:pPr>
      <w:r>
        <w:t>6.</w:t>
      </w:r>
      <w:r>
        <w:tab/>
        <w:t>Garo ML, Ovčariček PP, Fanti S, Giovanella L. [</w:t>
      </w:r>
      <w:r>
        <w:rPr>
          <w:vertAlign w:val="superscript"/>
        </w:rPr>
        <w:t>225</w:t>
      </w:r>
      <w:r>
        <w:t>Ac]Ac‐PSMA for the treatment of metastatic castration‐resistant prostate cancer: A systematic review and meta‐analysis. Eur J Clin Invest [Internet]. 2025 May [cited 2025 July 25];55(5). Available from: https://onlinelibrary.wiley.com/doi/10.1111/eci.14358</w:t>
      </w:r>
    </w:p>
    <w:p w14:paraId="7229A02A" w14:textId="77777777" w:rsidR="008666A7" w:rsidRDefault="008666A7" w:rsidP="008666A7">
      <w:pPr>
        <w:pStyle w:val="Literaturverzeichnis"/>
      </w:pPr>
      <w:r>
        <w:t>7.</w:t>
      </w:r>
      <w:r>
        <w:tab/>
        <w:t xml:space="preserve">Satapathy S, Sood A, Das CK, Mittal BR. Evolving role of (225)Ac-PSMA radioligand therapy in metastatic castration-resistant prostate cancer-a systematic review and meta-analysis. Prostate Cancer Prostatic Dis. 2021 Sept;24(3):880–90. </w:t>
      </w:r>
    </w:p>
    <w:p w14:paraId="41F26FCE" w14:textId="77777777" w:rsidR="008666A7" w:rsidRDefault="008666A7" w:rsidP="008666A7">
      <w:pPr>
        <w:pStyle w:val="Literaturverzeichnis"/>
      </w:pPr>
      <w:r>
        <w:t>8.</w:t>
      </w:r>
      <w:r>
        <w:tab/>
        <w:t>De Kruijff R, Wolterbeek H, Denkova A. A Critical Review of Alpha Radionuclide Therapy—How to Deal with Recoiling Daughters? Pharmaceuticals [Internet]. 2015 June 10 [cited 2025 July 25];8(2):321–36. Available from: https://www.mdpi.com/1424-8247/8/2/321</w:t>
      </w:r>
    </w:p>
    <w:p w14:paraId="0CB8181E" w14:textId="77777777" w:rsidR="008666A7" w:rsidRDefault="008666A7" w:rsidP="008666A7">
      <w:pPr>
        <w:pStyle w:val="Literaturverzeichnis"/>
      </w:pPr>
      <w:r>
        <w:t>9.</w:t>
      </w:r>
      <w:r>
        <w:tab/>
        <w:t>Common Terminology Criteria  for Adverse Events (CTCAE) Version 5.0 [Internet]. 2017. Available from: https://dctd.cancer.gov/research/ctep-trials/for-sites/adverse-events/ctcae-v5-8x11.pdf</w:t>
      </w:r>
    </w:p>
    <w:p w14:paraId="0D81E80E" w14:textId="77777777" w:rsidR="008666A7" w:rsidRDefault="008666A7" w:rsidP="008666A7">
      <w:pPr>
        <w:pStyle w:val="Literaturverzeichnis"/>
      </w:pPr>
      <w:r w:rsidRPr="008666A7">
        <w:rPr>
          <w:lang w:val="de-DE"/>
        </w:rPr>
        <w:t>10.</w:t>
      </w:r>
      <w:r w:rsidRPr="008666A7">
        <w:rPr>
          <w:lang w:val="de-DE"/>
        </w:rPr>
        <w:tab/>
        <w:t xml:space="preserve">Schmitl S, Kretschmer-Chott E, Patronas EM, Kramer G, Ritt P, Fuchs E, et al. </w:t>
      </w:r>
      <w:r>
        <w:t>Efficacy, Safety, Blood Kinetics, and</w:t>
      </w:r>
      <w:r>
        <w:rPr>
          <w:vertAlign w:val="superscript"/>
        </w:rPr>
        <w:t>213</w:t>
      </w:r>
      <w:r>
        <w:t xml:space="preserve"> Bi Distribution Studies of [</w:t>
      </w:r>
      <w:r>
        <w:rPr>
          <w:vertAlign w:val="superscript"/>
        </w:rPr>
        <w:t>225</w:t>
      </w:r>
      <w:r>
        <w:t xml:space="preserve"> Ac]Ac-SibuDAB in Prostate Cancer Patients. J Nucl Med [Internet]. 2025 Aug [cited 2025 Aug 26];66(8):1239–44. Available from: http://jnm.snmjournals.org/lookup/doi/10.2967/jnumed.125.269655</w:t>
      </w:r>
    </w:p>
    <w:p w14:paraId="4BB01A8E" w14:textId="77777777" w:rsidR="008666A7" w:rsidRDefault="008666A7" w:rsidP="008666A7">
      <w:pPr>
        <w:pStyle w:val="Literaturverzeichnis"/>
      </w:pPr>
      <w:r>
        <w:t>11.</w:t>
      </w:r>
      <w:r>
        <w:tab/>
        <w:t>Al-Ibraheem A, Moghrabi S, Sathekge MM, Abdlkadir AS. Evaluating Xerostomia as a side effect of [255Ac]Ac-PSMA therapy in prostate cancer: a systematic review and meta-analysis. Eur J Nucl Med Mol Imaging [Internet]. 2025 July [cited 2025 July 28];52(8):2906–17. Available from: https://link.springer.com/10.1007/s00259-025-07168-4</w:t>
      </w:r>
    </w:p>
    <w:p w14:paraId="3DF79FA4" w14:textId="77777777" w:rsidR="008666A7" w:rsidRDefault="008666A7" w:rsidP="008666A7">
      <w:pPr>
        <w:pStyle w:val="Literaturverzeichnis"/>
      </w:pPr>
      <w:r>
        <w:t>12.</w:t>
      </w:r>
      <w:r>
        <w:tab/>
        <w:t>Besiroglu H, Kadihasanoglu M. The Safety and Efficacy of Targeted Alpha Therapy, Ac‐225 Prostate‐Specific Membrane Antigen, in Patients With Metastatic Castration‐Resistant Prostate Cancer: A Systematic Review and Meta‐Analysis. The Prostate [Internet]. 2025 May [cited 2025 July 28];85(6):541–57. Available from: https://onlinelibrary.wiley.com/doi/10.1002/pros.24857</w:t>
      </w:r>
    </w:p>
    <w:p w14:paraId="5FB41930" w14:textId="77777777" w:rsidR="008666A7" w:rsidRDefault="008666A7" w:rsidP="008666A7">
      <w:pPr>
        <w:pStyle w:val="Literaturverzeichnis"/>
      </w:pPr>
      <w:r>
        <w:t>13.</w:t>
      </w:r>
      <w:r>
        <w:tab/>
        <w:t>Vorster M, Grana CM, Travascio L, Sathekge MM. Alpha therapies: where and when is the future in neuroendocrine tumours? Clin Transl Imaging [Internet]. 2025 Mar 26 [cited 2025 July 25]; Available from: https://link.springer.com/10.1007/s40336-025-00692-1</w:t>
      </w:r>
    </w:p>
    <w:p w14:paraId="1B3732A3" w14:textId="77777777" w:rsidR="008666A7" w:rsidRDefault="008666A7" w:rsidP="008666A7">
      <w:pPr>
        <w:pStyle w:val="Literaturverzeichnis"/>
      </w:pPr>
      <w:r>
        <w:t>14.</w:t>
      </w:r>
      <w:r>
        <w:tab/>
        <w:t xml:space="preserve">Jang A, Kendi AT, Johnson GB, Halfdanarson TR, Sartor O. Targeted Alpha-Particle Therapy: A Review of Current Trials. Int J Mol Sci. 2023 July 19;24(14). </w:t>
      </w:r>
    </w:p>
    <w:p w14:paraId="2F9E55C8" w14:textId="77777777" w:rsidR="008666A7" w:rsidRDefault="008666A7" w:rsidP="008666A7">
      <w:pPr>
        <w:pStyle w:val="Literaturverzeichnis"/>
      </w:pPr>
      <w:r>
        <w:t>15.</w:t>
      </w:r>
      <w:r>
        <w:tab/>
        <w:t>Lee DY, Kim Y il. Efficiency and Safety of Targeted Alpha Therapy in Metastatic Neuroendocrine Tumors: A Meta-analysis. Clin Nucl Med [Internet]. 2025 Jan [cited 2025 July 28];50(1):e1–6. Available from: https://journals.lww.com/10.1097/RLU.0000000000005404</w:t>
      </w:r>
    </w:p>
    <w:p w14:paraId="684DA6D5" w14:textId="77777777" w:rsidR="008666A7" w:rsidRDefault="008666A7" w:rsidP="008666A7">
      <w:pPr>
        <w:pStyle w:val="Literaturverzeichnis"/>
      </w:pPr>
      <w:r w:rsidRPr="008666A7">
        <w:rPr>
          <w:lang w:val="de-DE"/>
        </w:rPr>
        <w:lastRenderedPageBreak/>
        <w:t>16.</w:t>
      </w:r>
      <w:r w:rsidRPr="008666A7">
        <w:rPr>
          <w:lang w:val="de-DE"/>
        </w:rPr>
        <w:tab/>
        <w:t xml:space="preserve">Dai YH, Chen PH, Lee DJ, Andrade G, Vallis KA. </w:t>
      </w:r>
      <w:r>
        <w:t>A Meta-Analysis and Meta-Regression of the Efficacy, Toxicity, and Quality of Life Outcomes Following Prostate-Specific Membrane Antigen Radioligand Therapy Utilising Lutetium-177 and Actinium-225 in Metastatic Prostate Cancer. Eur Urol [Internet]. 2025 Apr [cited 2025 July 28];87(4):398–408. Available from: https://linkinghub.elsevier.com/retrieve/pii/S0302283824026083</w:t>
      </w:r>
    </w:p>
    <w:p w14:paraId="060616AB" w14:textId="77777777" w:rsidR="008666A7" w:rsidRDefault="008666A7" w:rsidP="008666A7">
      <w:pPr>
        <w:pStyle w:val="Literaturverzeichnis"/>
      </w:pPr>
      <w:r w:rsidRPr="008666A7">
        <w:rPr>
          <w:lang w:val="de-DE"/>
        </w:rPr>
        <w:t>17.</w:t>
      </w:r>
      <w:r w:rsidRPr="008666A7">
        <w:rPr>
          <w:lang w:val="de-DE"/>
        </w:rPr>
        <w:tab/>
        <w:t xml:space="preserve">Feuerecker B, Gafita A, Langbein T, Tauber R, Seidl C, Bruchertseifer F, et al. </w:t>
      </w:r>
      <w:r>
        <w:t>Comparative Analysis of Morphological and Functional Effects of 225Ac- and 177Lu-PSMA Radioligand Therapies (RLTs) on Salivary Glands. Int J Mol Sci [Internet]. 2023 Nov 28 [cited 2025 Aug 26];24(23):16845. Available from: https://www.mdpi.com/1422-0067/24/23/16845</w:t>
      </w:r>
    </w:p>
    <w:p w14:paraId="32A05711" w14:textId="77777777" w:rsidR="008666A7" w:rsidRDefault="008666A7" w:rsidP="008666A7">
      <w:pPr>
        <w:pStyle w:val="Literaturverzeichnis"/>
      </w:pPr>
      <w:r>
        <w:t>18.</w:t>
      </w:r>
      <w:r>
        <w:tab/>
        <w:t>Theodoropoulou M, Stalla GK. Somatostatin receptors: From signaling to clinical practice. Front Neuroendocrinol [Internet]. 2013 Aug [cited 2025 July 28];34(3):228–52. Available from: https://linkinghub.elsevier.com/retrieve/pii/S0091302213000393</w:t>
      </w:r>
    </w:p>
    <w:p w14:paraId="4C3902D0" w14:textId="77777777" w:rsidR="008666A7" w:rsidRDefault="008666A7" w:rsidP="008666A7">
      <w:pPr>
        <w:pStyle w:val="Literaturverzeichnis"/>
      </w:pPr>
      <w:r>
        <w:t>19.</w:t>
      </w:r>
      <w:r>
        <w:tab/>
        <w:t>Satapathy S, Sood A, Das CK, Kavanal AJ, Mittal BR. Alpha Before Beta: Exceptional Response to First-Line 225Ac-DOTATATE in a Patient of Metastatic Neuroendocrine Tumor With Extensive Skeletal Involvement. Clin Nucl Med [Internet]. 2022 Feb [cited 2025 July 25];47(2):e156–7. Available from: https://journals.lww.com/10.1097/RLU.0000000000003823</w:t>
      </w:r>
    </w:p>
    <w:p w14:paraId="422DC505" w14:textId="77777777" w:rsidR="008666A7" w:rsidRDefault="008666A7" w:rsidP="008666A7">
      <w:pPr>
        <w:pStyle w:val="Literaturverzeichnis"/>
      </w:pPr>
      <w:r>
        <w:t>20.</w:t>
      </w:r>
      <w:r>
        <w:tab/>
        <w:t>Kamaleshwaran KK, Kumar R. &lt;strong&gt;Actinium225 –DOTATATE peptide receptor radionuclide therapy(PRRT) as first line treatment in two cases of bowel Neuroendocrine tumors .&lt;/strong&gt;. J Nucl Med [Internet]. 2023 June 1;64(supplement 1):P148. Available from: http://jnm.snmjournals.org/content/64/supplement_1/P148.abstract</w:t>
      </w:r>
    </w:p>
    <w:p w14:paraId="70EC3A63" w14:textId="77777777" w:rsidR="008666A7" w:rsidRDefault="008666A7" w:rsidP="008666A7">
      <w:pPr>
        <w:pStyle w:val="Literaturverzeichnis"/>
      </w:pPr>
      <w:r>
        <w:t>21.</w:t>
      </w:r>
      <w:r>
        <w:tab/>
        <w:t xml:space="preserve">Yadav MP, Ballal S, Sahoo RK, Bal C. Efficacy and safety of (225)Ac-DOTATATE targeted alpha therapy in metastatic paragangliomas: a pilot study. Eur J Nucl Med Mol Imaging. 2022 Apr;49(5):1595–606. </w:t>
      </w:r>
    </w:p>
    <w:p w14:paraId="3188E58C" w14:textId="77777777" w:rsidR="008666A7" w:rsidRDefault="008666A7" w:rsidP="008666A7">
      <w:pPr>
        <w:pStyle w:val="Literaturverzeichnis"/>
      </w:pPr>
      <w:r>
        <w:t>22.</w:t>
      </w:r>
      <w:r>
        <w:tab/>
        <w:t>Kratochwil C, Apostolidis L, Rathke H, Apostolidis C, Bicu F, Bruchertseifer F, et al. Dosing 225Ac-DOTATOC in patients with somatostatin-receptor-positive solid tumors: 5-year follow-up of hematological and renal toxicity. Eur J Nucl Med Mol Imaging [Internet]. 2021 Dec 1;49(1):54–63. Available from: https://doi.org/10.1007/s00259-021-05474-1</w:t>
      </w:r>
    </w:p>
    <w:p w14:paraId="6BDAEFD1" w14:textId="77777777" w:rsidR="008666A7" w:rsidRDefault="008666A7" w:rsidP="008666A7">
      <w:pPr>
        <w:pStyle w:val="Literaturverzeichnis"/>
      </w:pPr>
      <w:r>
        <w:t>23.</w:t>
      </w:r>
      <w:r>
        <w:tab/>
        <w:t>Kulkarni. Annual Congress of the European Association of Nuclear Medicine October 15-19, 2022 Barcelona, Spain. Eur J Nucl Med Mol Imaging [Internet]. 2022 Sept [cited 2025 July 25];49(S1):1–751. Available from: https://link.springer.com/10.1007/s00259-022-05924-4</w:t>
      </w:r>
    </w:p>
    <w:p w14:paraId="492F1B76" w14:textId="77777777" w:rsidR="008666A7" w:rsidRDefault="008666A7" w:rsidP="008666A7">
      <w:pPr>
        <w:pStyle w:val="Literaturverzeichnis"/>
      </w:pPr>
      <w:r>
        <w:t>24.</w:t>
      </w:r>
      <w:r>
        <w:tab/>
        <w:t>Chandekar KR, Bal C. Advances With 225Ac-DOTATATE Targeted Alpha Therapy in Somatostatin Receptor Positive Neuroendocrine Tumors. Semin Nucl Med [Internet]. 2025 July [cited 2025 July 25]; Available from: https://linkinghub.elsevier.com/retrieve/pii/S0001299825000728</w:t>
      </w:r>
    </w:p>
    <w:p w14:paraId="2F3D657F" w14:textId="77777777" w:rsidR="008666A7" w:rsidRDefault="008666A7" w:rsidP="008666A7">
      <w:pPr>
        <w:pStyle w:val="Literaturverzeichnis"/>
      </w:pPr>
      <w:r w:rsidRPr="008666A7">
        <w:rPr>
          <w:lang w:val="de-DE"/>
        </w:rPr>
        <w:lastRenderedPageBreak/>
        <w:t>25.</w:t>
      </w:r>
      <w:r w:rsidRPr="008666A7">
        <w:rPr>
          <w:lang w:val="de-DE"/>
        </w:rPr>
        <w:tab/>
        <w:t xml:space="preserve">Zhang J, Singh A, Kulkarni HR, Schuchardt C, Müller D, Wester HJ, et al. </w:t>
      </w:r>
      <w:r>
        <w:t xml:space="preserve">From Bench to Bedside-The Bad Berka Experience With First-in-Human Studies. Semin Nucl Med. 2019 Sept;49(5):422–37. </w:t>
      </w:r>
    </w:p>
    <w:p w14:paraId="616B74A1" w14:textId="77777777" w:rsidR="008666A7" w:rsidRDefault="008666A7" w:rsidP="008666A7">
      <w:pPr>
        <w:pStyle w:val="Literaturverzeichnis"/>
      </w:pPr>
      <w:r>
        <w:t>26.</w:t>
      </w:r>
      <w:r>
        <w:tab/>
        <w:t>Abedin S, Brodin P, Chen M, Rotibi M, Syed U, Desai A, et al. &lt;strong&gt;Safety and Dosimetric Analysis of Lintuzumab-Ac225 in Combination with Intensive CLAG-M Chemotherapy in Patients with Relapsed/Refractory AML&lt;/strong&gt;. J Nucl Med [Internet]. 2024 June 1;65(supplement 2):241340. Available from: http://jnm.snmjournals.org/content/65/supplement_2/241340.abstract</w:t>
      </w:r>
    </w:p>
    <w:p w14:paraId="726626DE" w14:textId="77777777" w:rsidR="008666A7" w:rsidRDefault="008666A7" w:rsidP="008666A7">
      <w:pPr>
        <w:pStyle w:val="Literaturverzeichnis"/>
      </w:pPr>
      <w:r>
        <w:t>27.</w:t>
      </w:r>
      <w:r>
        <w:tab/>
        <w:t>Baum RP, Mishra A, Landvogt C, Eismant A, Mueller C. &lt;strong&gt;Radioligand therapy during incidental asymptomatic acute COVID-19 infection – a case series.&lt;/strong&gt;. J Nucl Med [Internet]. 2023 June 1;64(supplement 1):P1036. Available from: http://jnm.snmjournals.org/content/64/supplement_1/P1036.abstract</w:t>
      </w:r>
    </w:p>
    <w:p w14:paraId="53EDFF72" w14:textId="77777777" w:rsidR="008666A7" w:rsidRDefault="008666A7" w:rsidP="008666A7">
      <w:pPr>
        <w:pStyle w:val="Literaturverzeichnis"/>
      </w:pPr>
      <w:r>
        <w:t>28.</w:t>
      </w:r>
      <w:r>
        <w:tab/>
        <w:t>Vallabhajosula S, Tagawa S, Osborne J, Nauseef J, Ricaurte Fajardo A, Castellanos S, et al. &lt;strong&gt;Actinium (Ac-225) Rosopatamab tetraxetan (Ac-RT) therapy in metastatic castration resistant prostate cancer (mCRPC); Radiation dosimetry, hematological toxicity, and dose-limiting toxicity (DLT)&lt;/strong&gt;. J Nucl Med [Internet]. 2024 June 1;65(supplement 2):241342. Available from: http://jnm.snmjournals.org/content/65/supplement_2/241342.abstract</w:t>
      </w:r>
    </w:p>
    <w:p w14:paraId="6C6D885C" w14:textId="77777777" w:rsidR="008666A7" w:rsidRDefault="008666A7" w:rsidP="008666A7">
      <w:pPr>
        <w:pStyle w:val="Literaturverzeichnis"/>
      </w:pPr>
      <w:r>
        <w:t>29.</w:t>
      </w:r>
      <w:r>
        <w:tab/>
        <w:t>Perrone E. EANM’24 Abstract Book Congress Oct 19-23, 2024. Eur J Nucl Med Mol Imaging [Internet]. 2024 Sept [cited 2025 July 25];51(S1):1–1026. Available from: https://link.springer.com/10.1007/s00259-024-06838-z</w:t>
      </w:r>
    </w:p>
    <w:p w14:paraId="41152A5B" w14:textId="77777777" w:rsidR="008666A7" w:rsidRDefault="008666A7" w:rsidP="008666A7">
      <w:pPr>
        <w:pStyle w:val="Literaturverzeichnis"/>
      </w:pPr>
      <w:r>
        <w:t>30.</w:t>
      </w:r>
      <w:r>
        <w:tab/>
        <w:t>E perrone. EANM’24 Abstract Book Congress Oct 19-23, 2024. Eur J Nucl Med Mol Imaging [Internet]. 2024 Sept [cited 2025 July 25];51(S1):1–1026. Available from: https://link.springer.com/10.1007/s00259-024-06838-z</w:t>
      </w:r>
    </w:p>
    <w:p w14:paraId="6406C57D" w14:textId="77777777" w:rsidR="008666A7" w:rsidRDefault="008666A7" w:rsidP="008666A7">
      <w:pPr>
        <w:pStyle w:val="Literaturverzeichnis"/>
      </w:pPr>
      <w:r>
        <w:t>31.</w:t>
      </w:r>
      <w:r>
        <w:tab/>
        <w:t>Zhang. EANM’24 Abstract Book Congress Oct 19-23, 2024. Eur J Nucl Med Mol Imaging [Internet]. 2024 Sept [cited 2025 July 25];51(S1):1–1026. Available from: https://link.springer.com/10.1007/s00259-024-06838-z</w:t>
      </w:r>
    </w:p>
    <w:p w14:paraId="72D343D8" w14:textId="77777777" w:rsidR="008666A7" w:rsidRDefault="008666A7" w:rsidP="008666A7">
      <w:pPr>
        <w:pStyle w:val="Literaturverzeichnis"/>
      </w:pPr>
      <w:r>
        <w:t>32.</w:t>
      </w:r>
      <w:r>
        <w:tab/>
        <w:t>Królicki L, Bruchertseifer F, Kunikowska J, Koziara H, Pawlak D, Kuliński R, et al. Dose escalation study of targeted alpha therapy with [225Ac]Ac-DOTA-substance P in recurrence glioblastoma – safety and efficacy. Eur J Nucl Med Mol Imaging [Internet]. 2021 Oct [cited 2025 Aug 20];48(11):3595–605. Available from: https://link.springer.com/10.1007/s00259-021-05350-y</w:t>
      </w:r>
    </w:p>
    <w:p w14:paraId="2DDEA3D7" w14:textId="77777777" w:rsidR="008666A7" w:rsidRDefault="008666A7" w:rsidP="008666A7">
      <w:pPr>
        <w:pStyle w:val="Literaturverzeichnis"/>
      </w:pPr>
      <w:r>
        <w:t>33.</w:t>
      </w:r>
      <w:r>
        <w:tab/>
        <w:t>Krolicki L, Kunikowska J, Cordier D, Slavova N, Koziara H, Bruchertseifer F, et al. Long-Term Tumor Control Following Targeted Alpha Therapy (TAT) of Low-Grade Gliomas (LGGs): A New Treatment Paradigm? Int J Mol Sci [Internet]. 2023 Oct 28 [cited 2025 Aug 26];24(21):15701. Available from: https://www.mdpi.com/1422-0067/24/21/15701</w:t>
      </w:r>
    </w:p>
    <w:p w14:paraId="51403803" w14:textId="77777777" w:rsidR="008666A7" w:rsidRDefault="008666A7" w:rsidP="008666A7">
      <w:pPr>
        <w:pStyle w:val="Literaturverzeichnis"/>
      </w:pPr>
      <w:r>
        <w:lastRenderedPageBreak/>
        <w:t>34.</w:t>
      </w:r>
      <w:r>
        <w:tab/>
        <w:t>Abedin SM, Guru Murthy GS, Hamadani M, Michaelis LC, Carlson KS, Runaas L, et al. Phase 1 study of lintuzumab-Ac225 combined with CLAG-M salvage therapy in relapsed/refractory acute myeloid leukemia. Leukemia [Internet]. 2025 Apr [cited 2025 Aug 26];39(4):837–43. Available from: https://www.nature.com/articles/s41375-025-02528-3</w:t>
      </w:r>
    </w:p>
    <w:p w14:paraId="27B19AD1" w14:textId="77777777" w:rsidR="008666A7" w:rsidRDefault="008666A7" w:rsidP="008666A7">
      <w:pPr>
        <w:pStyle w:val="Literaturverzeichnis"/>
      </w:pPr>
      <w:r w:rsidRPr="008666A7">
        <w:rPr>
          <w:lang w:val="de-DE"/>
        </w:rPr>
        <w:t>35.</w:t>
      </w:r>
      <w:r w:rsidRPr="008666A7">
        <w:rPr>
          <w:lang w:val="de-DE"/>
        </w:rPr>
        <w:tab/>
        <w:t xml:space="preserve">Kratochwil C, Schmidt K, Afshar-Oromieh A, Bruchertseifer F, Rathke H, Morgenstern A, et al. </w:t>
      </w:r>
      <w:r>
        <w:t>Targeted alpha therapy of mCRPC: Dosimetry estimate of 213Bismuth-PSMA-617. Eur J Nucl Med Mol Imaging [Internet]. 2018 Jan [cited 2025 Aug 28];45(1):31–7. Available from: http://link.springer.com/10.1007/s00259-017-3817-y</w:t>
      </w:r>
    </w:p>
    <w:p w14:paraId="638D0197" w14:textId="77777777" w:rsidR="008666A7" w:rsidRDefault="008666A7" w:rsidP="008666A7">
      <w:pPr>
        <w:pStyle w:val="Literaturverzeichnis"/>
      </w:pPr>
      <w:r>
        <w:t>36.</w:t>
      </w:r>
      <w:r>
        <w:tab/>
        <w:t xml:space="preserve">Kratochwil C, Bruchertseifer F, Rathke H, Bronzel M, Apostolidis C, Weichert W, et al. Targeted α-Therapy of Metastatic Castration-Resistant Prostate Cancer with (225)Ac-PSMA-617: Dosimetry Estimate and Empiric Dose Finding. J Nucl Med Off Publ Soc Nucl Med. 2017 Oct;58(10):1624–31. </w:t>
      </w:r>
    </w:p>
    <w:p w14:paraId="3382EA81" w14:textId="77777777" w:rsidR="008666A7" w:rsidRDefault="008666A7" w:rsidP="008666A7">
      <w:pPr>
        <w:pStyle w:val="Literaturverzeichnis"/>
      </w:pPr>
      <w:r>
        <w:t>37.</w:t>
      </w:r>
      <w:r>
        <w:tab/>
        <w:t xml:space="preserve">Silver DA, Pellicer I, Fair WR, Heston WD, Cordon-Cardo C. Prostate-specific membrane antigen expression in normal and malignant human tissues. Clin Cancer Res Off J Am Assoc Cancer Res. 1997 Jan;3(1):81–5. </w:t>
      </w:r>
    </w:p>
    <w:p w14:paraId="406B18E0" w14:textId="77777777" w:rsidR="008666A7" w:rsidRDefault="008666A7" w:rsidP="008666A7">
      <w:pPr>
        <w:pStyle w:val="Literaturverzeichnis"/>
      </w:pPr>
      <w:r>
        <w:t>38.</w:t>
      </w:r>
      <w:r>
        <w:tab/>
        <w:t>Kabasakal L, AbuQbeitah M, Aygün A, Yeyin N, Ocak M, Demirci E, et al. Pre-therapeutic dosimetry of normal organs and tissues of 177Lu-PSMA-617 prostate-specific membrane antigen (PSMA) inhibitor in patients with castration-resistant prostate cancer. Eur J Nucl Med Mol Imaging [Internet]. 2015 Dec [cited 2025 Aug 28];42(13):1976–83. Available from: http://link.springer.com/10.1007/s00259-015-3125-3</w:t>
      </w:r>
    </w:p>
    <w:p w14:paraId="67A62430" w14:textId="77777777" w:rsidR="008666A7" w:rsidRDefault="008666A7" w:rsidP="008666A7">
      <w:pPr>
        <w:pStyle w:val="Literaturverzeichnis"/>
      </w:pPr>
      <w:r>
        <w:t>39.</w:t>
      </w:r>
      <w:r>
        <w:tab/>
        <w:t>Castillo Seoane D, De Saint-Hubert M, Crabbe M, Struelens L, Koole M. Targeted alpha therapy: a critical review of translational dosimetry research with emphasis on actinium-225. Q J Nucl Med Mol Imaging [Internet]. 2020 July [cited 2025 Aug 28];64(3). Available from: https://www.minervamedica.it/index2.php?show=R39Y2020N03A0265</w:t>
      </w:r>
    </w:p>
    <w:p w14:paraId="6BC724F8" w14:textId="77777777" w:rsidR="008666A7" w:rsidRDefault="008666A7" w:rsidP="008666A7">
      <w:pPr>
        <w:pStyle w:val="Literaturverzeichnis"/>
      </w:pPr>
      <w:r>
        <w:t>40.</w:t>
      </w:r>
      <w:r>
        <w:tab/>
        <w:t>Sgouros G. Dosimetry, Radiobiology and Synthetic Lethality: Radiopharmaceutical Therapy (RPT) With Alpha-Particle-Emitters. Semin Nucl Med [Internet]. 2020 Mar [cited 2025 Aug 28];50(2):124–32. Available from: https://linkinghub.elsevier.com/retrieve/pii/S0001299819300996</w:t>
      </w:r>
    </w:p>
    <w:p w14:paraId="51E22EA3" w14:textId="77777777" w:rsidR="008666A7" w:rsidRPr="008666A7" w:rsidRDefault="008666A7" w:rsidP="008666A7">
      <w:pPr>
        <w:pStyle w:val="Literaturverzeichnis"/>
        <w:rPr>
          <w:lang w:val="de-DE"/>
        </w:rPr>
      </w:pPr>
      <w:r>
        <w:t>41.</w:t>
      </w:r>
      <w:r>
        <w:tab/>
        <w:t xml:space="preserve">Sathekge MM, Lawal IO, Bal C, Bruchertseifer F, Ballal S, Cardaci G, et al. Actinium-225-PSMA radioligand therapy of metastatic castration-resistant prostate cancer (WARMTH Act): a multicentre, retrospective study. </w:t>
      </w:r>
      <w:r w:rsidRPr="008666A7">
        <w:rPr>
          <w:lang w:val="de-DE"/>
        </w:rPr>
        <w:t xml:space="preserve">Lancet Oncol. 2024 Feb;25(2):175–83. </w:t>
      </w:r>
    </w:p>
    <w:p w14:paraId="6D23F675" w14:textId="77777777" w:rsidR="008666A7" w:rsidRDefault="008666A7" w:rsidP="008666A7">
      <w:pPr>
        <w:pStyle w:val="Literaturverzeichnis"/>
      </w:pPr>
      <w:r w:rsidRPr="008666A7">
        <w:rPr>
          <w:lang w:val="de-DE"/>
        </w:rPr>
        <w:t>42.</w:t>
      </w:r>
      <w:r w:rsidRPr="008666A7">
        <w:rPr>
          <w:lang w:val="de-DE"/>
        </w:rPr>
        <w:tab/>
        <w:t xml:space="preserve">Rathke H, Winter E, Bruchertseifer F, Röhrich M, Giesel FL, Haberkorn U, et al. </w:t>
      </w:r>
      <w:r>
        <w:t xml:space="preserve">Deescalated 225Ac-PSMA-617 Versus 177Lu/225Ac-PSMA-617 Cocktail Therapy: A Single-Center Retrospective Analysis of 233 Patients. J Nucl Med Off Publ Soc Nucl Med. 2024 July 1;65(7):1057–63. </w:t>
      </w:r>
    </w:p>
    <w:p w14:paraId="17B2DF24" w14:textId="77777777" w:rsidR="008666A7" w:rsidRDefault="008666A7" w:rsidP="008666A7">
      <w:pPr>
        <w:pStyle w:val="Literaturverzeichnis"/>
      </w:pPr>
      <w:r>
        <w:lastRenderedPageBreak/>
        <w:t>43.</w:t>
      </w:r>
      <w:r>
        <w:tab/>
        <w:t>Perrone E. EANM’24 Abstract Book Congress Oct 19-23, 2024. Eur J Nucl Med Mol Imaging [Internet]. 2024 Sept [cited 2025 July 24];51(S1):1–1026. Available from: https://link.springer.com/10.1007/s00259-024-06838-z</w:t>
      </w:r>
    </w:p>
    <w:p w14:paraId="44272CA3" w14:textId="77777777" w:rsidR="008666A7" w:rsidRDefault="008666A7" w:rsidP="008666A7">
      <w:pPr>
        <w:pStyle w:val="Literaturverzeichnis"/>
      </w:pPr>
      <w:r>
        <w:t>44.</w:t>
      </w:r>
      <w:r>
        <w:tab/>
        <w:t>Budlewski T. EANM’24 Abstract Book Congress Oct 19-23, 2024. Eur J Nucl Med Mol Imaging [Internet]. 2024 Sept [cited 2025 July 24];51(S1):1–1026. Available from: https://link.springer.com/10.1007/s00259-024-06838-z</w:t>
      </w:r>
    </w:p>
    <w:p w14:paraId="2DE84AC6" w14:textId="77777777" w:rsidR="008666A7" w:rsidRDefault="008666A7" w:rsidP="008666A7">
      <w:pPr>
        <w:pStyle w:val="Literaturverzeichnis"/>
      </w:pPr>
      <w:r>
        <w:t>45.</w:t>
      </w:r>
      <w:r>
        <w:tab/>
        <w:t>Novruzov F, Mehdi E, Shukurov R, Dadashov Z, Guliyev F, Musayev T, et al. &lt;strong&gt;225Ac-PSMA / 177Lu-PSMA Tandem Therapy for Metastatic Castration-Resistant Prostate Cancer â&amp;#128;&amp;#147; A Prospective Phase 3 Randomized Study from Azerbaijan&lt;/strong&gt;. J Nucl Med [Internet]. 2024 June 1;65(supplement 2):241054. Available from: http://jnm.snmjournals.org/content/65/supplement_2/241054.abstract</w:t>
      </w:r>
    </w:p>
    <w:p w14:paraId="43895470" w14:textId="77777777" w:rsidR="008666A7" w:rsidRDefault="008666A7" w:rsidP="008666A7">
      <w:pPr>
        <w:pStyle w:val="Literaturverzeichnis"/>
      </w:pPr>
      <w:r>
        <w:t>46.</w:t>
      </w:r>
      <w:r>
        <w:tab/>
        <w:t>Ballal S, Yadav MP, Satapathy S, Raju S, Tripathi M, Damle NA, et al. Long-term survival outcomes of salvage [225Ac]Ac-PSMA-617 targeted alpha therapy in patients with PSMA-expressing end-stage metastatic castration-resistant prostate cancer: a real-world study. Eur J Nucl Med Mol Imaging [Internet]. 2023 Oct [cited 2025 July 24];50(12):3777–89. Available from: https://link.springer.com/10.1007/s00259-023-06340-y</w:t>
      </w:r>
    </w:p>
    <w:p w14:paraId="0679239C" w14:textId="77777777" w:rsidR="008666A7" w:rsidRDefault="008666A7" w:rsidP="008666A7">
      <w:pPr>
        <w:pStyle w:val="Literaturverzeichnis"/>
      </w:pPr>
      <w:r>
        <w:t>47.</w:t>
      </w:r>
      <w:r>
        <w:tab/>
        <w:t>Sheikh. EANM’23 Abstract Book Congress Sep 9-13, 2023. Eur J Nucl Med Mol Imaging [Internet]. 2023 Sept [cited 2025 July 24];50(S1):1–898. Available from: https://link.springer.com/10.1007/s00259-023-06333-x</w:t>
      </w:r>
    </w:p>
    <w:p w14:paraId="7057BFC2" w14:textId="77777777" w:rsidR="008666A7" w:rsidRDefault="008666A7" w:rsidP="008666A7">
      <w:pPr>
        <w:pStyle w:val="Literaturverzeichnis"/>
      </w:pPr>
      <w:r>
        <w:t>48.</w:t>
      </w:r>
      <w:r>
        <w:tab/>
        <w:t>Alan-Selcuk N, Beydagi G, Demirci E, Ocak M, Celik S, Oven BB, et al. Clinical Experience with [</w:t>
      </w:r>
      <w:r>
        <w:rPr>
          <w:vertAlign w:val="superscript"/>
        </w:rPr>
        <w:t>225</w:t>
      </w:r>
      <w:r>
        <w:t>Ac]Ac-PSMA Treatment in Patients with [</w:t>
      </w:r>
      <w:r>
        <w:rPr>
          <w:vertAlign w:val="superscript"/>
        </w:rPr>
        <w:t>177</w:t>
      </w:r>
      <w:r>
        <w:t>Lu]Lu-PSMA–Refractory Metastatic Castration-Resistant Prostate Cancer. J Nucl Med [Internet]. 2023 Oct [cited 2025 July 24];64(10):1574–80. Available from: http://jnm.snmjournals.org/lookup/doi/10.2967/jnumed.123.265546</w:t>
      </w:r>
    </w:p>
    <w:p w14:paraId="71645622" w14:textId="77777777" w:rsidR="008666A7" w:rsidRDefault="008666A7" w:rsidP="008666A7">
      <w:pPr>
        <w:pStyle w:val="Literaturverzeichnis"/>
      </w:pPr>
      <w:r>
        <w:t>49.</w:t>
      </w:r>
      <w:r>
        <w:tab/>
        <w:t xml:space="preserve">Lawal IO, Morgenstern A, Vorster M, Knoesen O, Mahapane J, Hlongwa KN, et al. Hematologic toxicity profile and efficacy of [(225)Ac]Ac-PSMA-617 α-radioligand therapy of patients with extensive skeletal metastases of castration-resistant  prostate cancer. Eur J Nucl Med Mol Imaging. 2022 Aug;49(10):3581–92. </w:t>
      </w:r>
    </w:p>
    <w:p w14:paraId="31493C7B" w14:textId="77777777" w:rsidR="008666A7" w:rsidRDefault="008666A7" w:rsidP="008666A7">
      <w:pPr>
        <w:pStyle w:val="Literaturverzeichnis"/>
      </w:pPr>
      <w:r>
        <w:t>50.</w:t>
      </w:r>
      <w:r>
        <w:tab/>
        <w:t xml:space="preserve">Sathekge M, Bruchertseifer F, Vorster M, Lawal IO, Knoesen O, Mahapane J, et al. mCRPC Patients Receiving (225)Ac-PSMA-617 Therapy in the Post-Androgen Deprivation Therapy Setting: Response to Treatment and Survival Analysis. J Nucl Med Off Publ Soc Nucl Med. 2022 Oct;63(10):1496–502. </w:t>
      </w:r>
    </w:p>
    <w:p w14:paraId="61A20456" w14:textId="77777777" w:rsidR="008666A7" w:rsidRDefault="008666A7" w:rsidP="008666A7">
      <w:pPr>
        <w:pStyle w:val="Literaturverzeichnis"/>
      </w:pPr>
      <w:r>
        <w:t>51.</w:t>
      </w:r>
      <w:r>
        <w:tab/>
        <w:t xml:space="preserve">Sen I, Thakral P, Tiwari P, Pant V, Das SS, Manda D, et al. Therapeutic efficacy of 225Ac-PSMA-617 targeted alpha therapy in patients of metastatic castrate resistant prostate cancer after taxane-based chemotherapy. Ann Nucl Med. 2021 July;35(7):794–810. </w:t>
      </w:r>
    </w:p>
    <w:p w14:paraId="1F8D464A" w14:textId="77777777" w:rsidR="008666A7" w:rsidRPr="008666A7" w:rsidRDefault="008666A7" w:rsidP="008666A7">
      <w:pPr>
        <w:pStyle w:val="Literaturverzeichnis"/>
        <w:rPr>
          <w:lang w:val="de-DE"/>
        </w:rPr>
      </w:pPr>
      <w:r>
        <w:lastRenderedPageBreak/>
        <w:t>52.</w:t>
      </w:r>
      <w:r>
        <w:tab/>
        <w:t xml:space="preserve">van der Doelen MJ, Mehra N, van Oort IM, Looijen-Salamon MG, Janssen MJR, Custers JAE, et al. Clinical outcomes and molecular profiling of advanced metastatic castration-resistant prostate cancer patients treated with (225)Ac-PSMA-617  targeted alpha-radiation therapy. </w:t>
      </w:r>
      <w:r w:rsidRPr="008666A7">
        <w:rPr>
          <w:lang w:val="de-DE"/>
        </w:rPr>
        <w:t xml:space="preserve">Urol Oncol. 2021 Oct;39(10):729.e7-729.e16. </w:t>
      </w:r>
    </w:p>
    <w:p w14:paraId="09CE3FB5" w14:textId="77777777" w:rsidR="008666A7" w:rsidRDefault="008666A7" w:rsidP="008666A7">
      <w:pPr>
        <w:pStyle w:val="Literaturverzeichnis"/>
      </w:pPr>
      <w:r w:rsidRPr="008666A7">
        <w:rPr>
          <w:lang w:val="de-DE"/>
        </w:rPr>
        <w:t>53.</w:t>
      </w:r>
      <w:r w:rsidRPr="008666A7">
        <w:rPr>
          <w:lang w:val="de-DE"/>
        </w:rPr>
        <w:tab/>
        <w:t xml:space="preserve">Rosar F, Hau F, Bartholomä M, Maus S, Stemler T, Linxweiler J, et al. </w:t>
      </w:r>
      <w:r>
        <w:t xml:space="preserve">Molecular imaging and biochemical response assessment after a single cycle of [225Ac]Ac-PSMA-617/[177Lu]Lu-PSMA-617 tandem therapy in mCRPC patients who have progressed on [177Lu]Lu-PSMA-617 monotherapy. Theranostics. 2021;11(9):4050–60. </w:t>
      </w:r>
    </w:p>
    <w:p w14:paraId="486EA66B" w14:textId="77777777" w:rsidR="008666A7" w:rsidRDefault="008666A7" w:rsidP="008666A7">
      <w:pPr>
        <w:pStyle w:val="Literaturverzeichnis"/>
      </w:pPr>
      <w:r>
        <w:t>54.</w:t>
      </w:r>
      <w:r>
        <w:tab/>
        <w:t xml:space="preserve">Feuerecker B, Tauber R, Knorr K, Heck M, Beheshti A, Seidl C, et al. Activity and Adverse Events of Actinium-225-PSMA-617 in Advanced Metastatic Castration-resistant Prostate Cancer After Failure of Lutetium-177-PSMA. Eur Urol. 2021 Mar;79(3):343–50. </w:t>
      </w:r>
    </w:p>
    <w:p w14:paraId="57F34264" w14:textId="77777777" w:rsidR="008666A7" w:rsidRPr="008666A7" w:rsidRDefault="008666A7" w:rsidP="008666A7">
      <w:pPr>
        <w:pStyle w:val="Literaturverzeichnis"/>
        <w:rPr>
          <w:lang w:val="de-DE"/>
        </w:rPr>
      </w:pPr>
      <w:r>
        <w:t>55.</w:t>
      </w:r>
      <w:r>
        <w:tab/>
        <w:t xml:space="preserve">Satapathy S, Mittal BR, Sood A, Das CK, Singh SK, Mavuduru RS, et al. Health-Related Quality-of-Life Outcomes with Actinium-225-Prostate-Specific Membrane Antigen-617 Therapy in Patients with Heavily Pretreated Metastatic  Castration-Resistant Prostate Cancer. Indian J Nucl Med IJNM Off J Soc Nucl Med India. </w:t>
      </w:r>
      <w:r w:rsidRPr="008666A7">
        <w:rPr>
          <w:lang w:val="de-DE"/>
        </w:rPr>
        <w:t xml:space="preserve">2020 Dec;35(4):299–304. </w:t>
      </w:r>
    </w:p>
    <w:p w14:paraId="2A46E945" w14:textId="77777777" w:rsidR="008666A7" w:rsidRDefault="008666A7" w:rsidP="008666A7">
      <w:pPr>
        <w:pStyle w:val="Literaturverzeichnis"/>
      </w:pPr>
      <w:r w:rsidRPr="008666A7">
        <w:rPr>
          <w:lang w:val="de-DE"/>
        </w:rPr>
        <w:t>56.</w:t>
      </w:r>
      <w:r w:rsidRPr="008666A7">
        <w:rPr>
          <w:lang w:val="de-DE"/>
        </w:rPr>
        <w:tab/>
        <w:t xml:space="preserve">Zacherl MJ, Gildehaus FJ, Mittlmeier L, Böning G, Gosewisch A, Wenter V, et al. </w:t>
      </w:r>
      <w:r>
        <w:t xml:space="preserve">First Clinical Results for PSMA-Targeted α-Therapy Using (225)Ac-PSMA-I&amp;T in Advanced-mCRPC Patients. J Nucl Med Off Publ Soc Nucl Med. 2021 May 10;62(5):669–74. </w:t>
      </w:r>
    </w:p>
    <w:p w14:paraId="7D6FC7F7" w14:textId="77777777" w:rsidR="008666A7" w:rsidRDefault="008666A7" w:rsidP="008666A7">
      <w:pPr>
        <w:pStyle w:val="Literaturverzeichnis"/>
      </w:pPr>
      <w:r>
        <w:t>57.</w:t>
      </w:r>
      <w:r>
        <w:tab/>
        <w:t>Khreish F, Ebert N, Ries M, Maus S, Rosar F, Bohnenberger H, et al. 225Ac-PSMA-617/177Lu-PSMA-617 tandem therapy of metastatic castration-resistant prostate cancer: pilot experience. Eur J Nucl Med Mol Imaging [Internet]. 2020 Mar [cited 2025 July 25];47(3):721–8. Available from: http://link.springer.com/10.1007/s00259-019-04612-0</w:t>
      </w:r>
    </w:p>
    <w:p w14:paraId="44574F02" w14:textId="77777777" w:rsidR="008666A7" w:rsidRDefault="008666A7" w:rsidP="008666A7">
      <w:pPr>
        <w:pStyle w:val="Literaturverzeichnis"/>
      </w:pPr>
      <w:r>
        <w:t>58.</w:t>
      </w:r>
      <w:r>
        <w:tab/>
        <w:t xml:space="preserve">Sathekge M, Bruchertseifer F, Vorster M, Lawal IO, Knoesen O, Mahapane J, et al. Predictors of Overall and Disease-Free Survival in Metastatic Castration-Resistant Prostate Cancer Patients Receiving (225)Ac-PSMA-617  Radioligand Therapy. J Nucl Med Off Publ Soc Nucl Med. 2020 Jan;61(1):62–9. </w:t>
      </w:r>
    </w:p>
    <w:p w14:paraId="647ED85D" w14:textId="77777777" w:rsidR="008666A7" w:rsidRDefault="008666A7" w:rsidP="008666A7">
      <w:pPr>
        <w:pStyle w:val="Literaturverzeichnis"/>
      </w:pPr>
      <w:r>
        <w:t>59.</w:t>
      </w:r>
      <w:r>
        <w:tab/>
        <w:t xml:space="preserve">Yadav MP, Ballal S, Sahoo RK, Tripathi M, Seth A, Bal C. Efficacy and safety of (225)Ac-PSMA-617 targeted alpha therapy in metastatic castration-resistant Prostate Cancer patients. Theranostics. 2020;10(20):9364–77. </w:t>
      </w:r>
    </w:p>
    <w:p w14:paraId="713F636A" w14:textId="77777777" w:rsidR="008666A7" w:rsidRDefault="008666A7" w:rsidP="008666A7">
      <w:pPr>
        <w:pStyle w:val="Literaturverzeichnis"/>
      </w:pPr>
      <w:r>
        <w:t>60.</w:t>
      </w:r>
      <w:r>
        <w:tab/>
        <w:t xml:space="preserve">Sathekge M, Bruchertseifer F, Knoesen O, Reyneke F, Lawal I, Lengana T, et al. (225)Ac-PSMA-617 in chemotherapy-naive patients with advanced prostate cancer: a pilot study. Eur J Nucl Med Mol Imaging. 2019 Jan;46(1):129–38. </w:t>
      </w:r>
    </w:p>
    <w:p w14:paraId="27D5CE79" w14:textId="77777777" w:rsidR="008666A7" w:rsidRDefault="008666A7" w:rsidP="008666A7">
      <w:pPr>
        <w:pStyle w:val="Literaturverzeichnis"/>
      </w:pPr>
      <w:r>
        <w:t>61.</w:t>
      </w:r>
      <w:r>
        <w:tab/>
        <w:t xml:space="preserve">Kratochwil C, Bruchertseifer F, Rathke H, Hohenfellner M, Giesel FL, Haberkorn U, et al. Targeted α-Therapy of Metastatic Castration-Resistant Prostate Cancer with (225)Ac-PSMA-617: Swimmer-Plot Analysis Suggests Efficacy Regarding Duration of  Tumor Control. J Nucl Med Off Publ Soc Nucl Med. 2018 May;59(5):795–802. </w:t>
      </w:r>
    </w:p>
    <w:p w14:paraId="505EC043" w14:textId="77777777" w:rsidR="008666A7" w:rsidRDefault="008666A7" w:rsidP="008666A7">
      <w:pPr>
        <w:pStyle w:val="Literaturverzeichnis"/>
      </w:pPr>
      <w:r>
        <w:lastRenderedPageBreak/>
        <w:t>62.</w:t>
      </w:r>
      <w:r>
        <w:tab/>
        <w:t xml:space="preserve">Kratochwil C, Bruchertseifer F, Giesel FL, Weis M, Verburg FA, Mottaghy F, et al. 225Ac-PSMA-617 for PSMA-Targeted α-Radiation Therapy of Metastatic Castration-Resistant Prostate Cancer. J Nucl Med Off Publ Soc Nucl Med. 2016 Dec;57(12):1941–4. </w:t>
      </w:r>
    </w:p>
    <w:p w14:paraId="5E02AF0B" w14:textId="77777777" w:rsidR="008666A7" w:rsidRDefault="008666A7" w:rsidP="008666A7">
      <w:pPr>
        <w:pStyle w:val="Literaturverzeichnis"/>
      </w:pPr>
      <w:r>
        <w:t>63.</w:t>
      </w:r>
      <w:r>
        <w:tab/>
        <w:t>Yang H, Zhang Y, Li H, Zhang Y, Feng Y, Yang X, et al. Efficacy and Safety of 225Ac-DOTATATE in the Treatment of Neuroendocrine Neoplasms With High SSTR Expression. Clin Nucl Med [Internet]. 2024 June [cited 2025 July 25];49(6):505–12. Available from: https://journals.lww.com/10.1097/RLU.0000000000005149</w:t>
      </w:r>
    </w:p>
    <w:p w14:paraId="280217A2" w14:textId="77777777" w:rsidR="008666A7" w:rsidRDefault="008666A7" w:rsidP="008666A7">
      <w:pPr>
        <w:pStyle w:val="Literaturverzeichnis"/>
      </w:pPr>
      <w:r w:rsidRPr="008666A7">
        <w:rPr>
          <w:lang w:val="de-DE"/>
        </w:rPr>
        <w:t>64.</w:t>
      </w:r>
      <w:r w:rsidRPr="008666A7">
        <w:rPr>
          <w:lang w:val="de-DE"/>
        </w:rPr>
        <w:tab/>
        <w:t xml:space="preserve">Morris M, Ulaner G, Halperin DM, Strosberg J, Mehr S, Li D, et al. </w:t>
      </w:r>
      <w:r>
        <w:t>&lt;strong&gt;Phase Ib portion of the ACTION-1 phase Ib/3 trial of RYZ101 in gastroenteropancreatic neuroendocrine tumors (GEP-NET) progressing after 177Lu somatostatin analogue (SSA) therapy: safety and efficacy findings&lt;/strong&gt;. J Nucl Med [Internet]. 2024 June 1;65(supplement 2):241428. Available from: http://jnm.snmjournals.org/content/65/supplement_2/241428.abstract</w:t>
      </w:r>
    </w:p>
    <w:p w14:paraId="73516522" w14:textId="77777777" w:rsidR="008666A7" w:rsidRDefault="008666A7" w:rsidP="008666A7">
      <w:pPr>
        <w:pStyle w:val="Literaturverzeichnis"/>
      </w:pPr>
      <w:r>
        <w:t>65.</w:t>
      </w:r>
      <w:r>
        <w:tab/>
        <w:t xml:space="preserve">Ballal S, Yadav MP, Tripathi M, Sahoo RK, Bal C. Survival Outcomes in Metastatic Gastroenteropancreatic Neuroendocrine Tumor Patients receiving Concomitant (225)Ac-DOTATATE Targeted Alpha Therapy and  Capecitabine: A Real-world Scenario Management Based Long-term Outcome Study. J Nucl Med Off Publ Soc Nucl Med. 2022 July 21;jnumed.122.264043. </w:t>
      </w:r>
    </w:p>
    <w:p w14:paraId="14A1CDE7" w14:textId="77777777" w:rsidR="008666A7" w:rsidRDefault="008666A7" w:rsidP="008666A7">
      <w:pPr>
        <w:pStyle w:val="Literaturverzeichnis"/>
      </w:pPr>
      <w:r>
        <w:t>66.</w:t>
      </w:r>
      <w:r>
        <w:tab/>
        <w:t xml:space="preserve">Demirci E, Alan Selçuk N, Beydağı G, Ocak M, Toklu T, Akçay K, et al. Initial Findings on the Use of [(225)Ac]Ac-DOTATATE Therapy as a Theranostic Application in Patients with Neuroendocrine Tumors. Mol Imaging Radionucl Ther. 2023 Oct 20;32(3):226–32. </w:t>
      </w:r>
    </w:p>
    <w:p w14:paraId="1E64D6D6" w14:textId="77777777" w:rsidR="008666A7" w:rsidRDefault="008666A7" w:rsidP="008666A7">
      <w:pPr>
        <w:pStyle w:val="Literaturverzeichnis"/>
      </w:pPr>
      <w:r>
        <w:t>67.</w:t>
      </w:r>
      <w:r>
        <w:tab/>
        <w:t xml:space="preserve">Ballal S, Yadav MP, Bal C, Sahoo RK, Tripathi M. Broadening horizons with (225)Ac-DOTATATE targeted alpha therapy for gastroenteropancreatic neuroendocrine tumour patients stable or refractory to  (177)Lu-DOTATATE PRRT: first clinical experience on the efficacy and safety. Eur J Nucl Med Mol Imaging. 2020 Apr;47(4):934–46. </w:t>
      </w:r>
    </w:p>
    <w:p w14:paraId="4E7B9AB6" w14:textId="2D42E2FB" w:rsidR="00771185" w:rsidRDefault="00771185" w:rsidP="0018521B">
      <w:pPr>
        <w:pStyle w:val="StandardWeb"/>
        <w:rPr>
          <w:rFonts w:asciiTheme="minorHAnsi" w:hAnsiTheme="minorHAnsi" w:cstheme="minorHAnsi"/>
          <w:sz w:val="22"/>
          <w:szCs w:val="22"/>
        </w:rPr>
      </w:pPr>
      <w:r w:rsidRPr="00041872">
        <w:rPr>
          <w:rFonts w:asciiTheme="minorHAnsi" w:hAnsiTheme="minorHAnsi" w:cstheme="minorHAnsi"/>
          <w:sz w:val="22"/>
          <w:szCs w:val="22"/>
        </w:rPr>
        <w:fldChar w:fldCharType="end"/>
      </w:r>
    </w:p>
    <w:p w14:paraId="6550806B" w14:textId="5C81A4E1" w:rsidR="000A3731" w:rsidRDefault="000A3731" w:rsidP="0018521B">
      <w:pPr>
        <w:pStyle w:val="StandardWeb"/>
        <w:rPr>
          <w:rFonts w:asciiTheme="minorHAnsi" w:hAnsiTheme="minorHAnsi" w:cstheme="minorHAnsi"/>
          <w:sz w:val="22"/>
          <w:szCs w:val="22"/>
        </w:rPr>
      </w:pPr>
    </w:p>
    <w:p w14:paraId="4F60CA91" w14:textId="4B51C272" w:rsidR="000A3731" w:rsidRDefault="000A3731" w:rsidP="000A3731">
      <w:pPr>
        <w:pageBreakBefore/>
      </w:pPr>
      <w:r w:rsidRPr="00C700BA">
        <w:lastRenderedPageBreak/>
        <w:t>Table 1</w:t>
      </w:r>
      <w:r w:rsidR="00D87B34">
        <w:t>:</w:t>
      </w:r>
      <w:r w:rsidRPr="00C700BA">
        <w:t xml:space="preserve"> The characteristics of t</w:t>
      </w:r>
      <w:r>
        <w:t xml:space="preserve">he studies: </w:t>
      </w:r>
    </w:p>
    <w:p w14:paraId="7AA1A4A3" w14:textId="3B235F53" w:rsidR="00D87B34" w:rsidRPr="007F5EA2" w:rsidRDefault="00D87B34" w:rsidP="00D87B34">
      <w:r>
        <w:t>Table 1a_ PSMA ligands</w:t>
      </w:r>
    </w:p>
    <w:tbl>
      <w:tblPr>
        <w:tblStyle w:val="Tabellenraster"/>
        <w:tblW w:w="9351" w:type="dxa"/>
        <w:tblLayout w:type="fixed"/>
        <w:tblLook w:val="04A0" w:firstRow="1" w:lastRow="0" w:firstColumn="1" w:lastColumn="0" w:noHBand="0" w:noVBand="1"/>
      </w:tblPr>
      <w:tblGrid>
        <w:gridCol w:w="1696"/>
        <w:gridCol w:w="993"/>
        <w:gridCol w:w="850"/>
        <w:gridCol w:w="1973"/>
        <w:gridCol w:w="2138"/>
        <w:gridCol w:w="1701"/>
      </w:tblGrid>
      <w:tr w:rsidR="000A3731" w:rsidRPr="00AA1159" w14:paraId="25957B44" w14:textId="77777777" w:rsidTr="000A3731">
        <w:tc>
          <w:tcPr>
            <w:tcW w:w="1696" w:type="dxa"/>
          </w:tcPr>
          <w:p w14:paraId="4F480619" w14:textId="77777777" w:rsidR="000A3731" w:rsidRPr="00AA1159" w:rsidRDefault="000A3731" w:rsidP="000A3731">
            <w:pPr>
              <w:rPr>
                <w:sz w:val="18"/>
              </w:rPr>
            </w:pPr>
            <w:r w:rsidRPr="00AA1159">
              <w:rPr>
                <w:rFonts w:cstheme="minorHAnsi"/>
                <w:b/>
                <w:bCs/>
                <w:sz w:val="18"/>
                <w:lang w:val="en-US"/>
              </w:rPr>
              <w:t>Author/Year/(Ref)</w:t>
            </w:r>
          </w:p>
        </w:tc>
        <w:tc>
          <w:tcPr>
            <w:tcW w:w="993" w:type="dxa"/>
          </w:tcPr>
          <w:p w14:paraId="191EDCBA" w14:textId="77777777" w:rsidR="000A3731" w:rsidRPr="00AA1159" w:rsidRDefault="000A3731" w:rsidP="000A3731">
            <w:pPr>
              <w:jc w:val="center"/>
              <w:rPr>
                <w:sz w:val="18"/>
              </w:rPr>
            </w:pPr>
            <w:r w:rsidRPr="00AA1159">
              <w:rPr>
                <w:rFonts w:cstheme="minorHAnsi"/>
                <w:b/>
                <w:bCs/>
                <w:sz w:val="18"/>
                <w:lang w:val="en-US"/>
              </w:rPr>
              <w:t>Ligand</w:t>
            </w:r>
          </w:p>
        </w:tc>
        <w:tc>
          <w:tcPr>
            <w:tcW w:w="850" w:type="dxa"/>
          </w:tcPr>
          <w:p w14:paraId="500697C6" w14:textId="77777777" w:rsidR="000A3731" w:rsidRPr="000A3731" w:rsidRDefault="000A3731" w:rsidP="000A3731">
            <w:pPr>
              <w:jc w:val="center"/>
              <w:rPr>
                <w:sz w:val="18"/>
                <w:lang w:val="en-GB"/>
              </w:rPr>
            </w:pPr>
            <w:r w:rsidRPr="000A3731">
              <w:rPr>
                <w:rFonts w:cstheme="minorHAnsi"/>
                <w:b/>
                <w:bCs/>
                <w:kern w:val="2"/>
                <w:sz w:val="18"/>
                <w:lang w:val="en-GB"/>
                <w14:ligatures w14:val="standardContextual"/>
              </w:rPr>
              <w:t>Type of Cancer/Pts No</w:t>
            </w:r>
          </w:p>
        </w:tc>
        <w:tc>
          <w:tcPr>
            <w:tcW w:w="1973" w:type="dxa"/>
          </w:tcPr>
          <w:p w14:paraId="27F9565B" w14:textId="77777777" w:rsidR="000A3731" w:rsidRPr="00AA1159" w:rsidRDefault="000A3731" w:rsidP="000A3731">
            <w:pPr>
              <w:rPr>
                <w:sz w:val="18"/>
              </w:rPr>
            </w:pPr>
            <w:r w:rsidRPr="00AA1159">
              <w:rPr>
                <w:rFonts w:cstheme="minorHAnsi"/>
                <w:b/>
                <w:bCs/>
                <w:sz w:val="18"/>
                <w:lang w:val="en-US"/>
              </w:rPr>
              <w:t>Study type(Control arm)</w:t>
            </w:r>
          </w:p>
        </w:tc>
        <w:tc>
          <w:tcPr>
            <w:tcW w:w="2138" w:type="dxa"/>
          </w:tcPr>
          <w:p w14:paraId="2372A937" w14:textId="77777777" w:rsidR="000A3731" w:rsidRPr="00AA1159" w:rsidRDefault="000A3731" w:rsidP="000A3731">
            <w:pPr>
              <w:rPr>
                <w:sz w:val="18"/>
              </w:rPr>
            </w:pPr>
            <w:r w:rsidRPr="00AA1159">
              <w:rPr>
                <w:rFonts w:cstheme="minorHAnsi"/>
                <w:b/>
                <w:bCs/>
                <w:sz w:val="18"/>
                <w:lang w:val="en-US"/>
              </w:rPr>
              <w:t>Previous TRT/Pts No.</w:t>
            </w:r>
          </w:p>
        </w:tc>
        <w:tc>
          <w:tcPr>
            <w:tcW w:w="1701" w:type="dxa"/>
          </w:tcPr>
          <w:p w14:paraId="00D279C0" w14:textId="77777777" w:rsidR="000A3731" w:rsidRPr="000A3731" w:rsidRDefault="000A3731" w:rsidP="000A3731">
            <w:pPr>
              <w:rPr>
                <w:sz w:val="18"/>
                <w:lang w:val="en-GB"/>
              </w:rPr>
            </w:pPr>
            <w:r w:rsidRPr="00AA1159">
              <w:rPr>
                <w:rFonts w:cstheme="minorHAnsi"/>
                <w:b/>
                <w:bCs/>
                <w:sz w:val="18"/>
                <w:lang w:val="en-US"/>
              </w:rPr>
              <w:t>Dose per Cycle (No. Cycle)</w:t>
            </w:r>
          </w:p>
        </w:tc>
      </w:tr>
      <w:tr w:rsidR="000A3731" w:rsidRPr="00AA1159" w14:paraId="6E6C582D" w14:textId="77777777" w:rsidTr="000A3731">
        <w:tc>
          <w:tcPr>
            <w:tcW w:w="1696" w:type="dxa"/>
            <w:vAlign w:val="center"/>
          </w:tcPr>
          <w:p w14:paraId="72A6A23D" w14:textId="2B4BAFAB" w:rsidR="000A3731" w:rsidRPr="00AA1159" w:rsidRDefault="000A3731" w:rsidP="000A3731">
            <w:pPr>
              <w:widowControl w:val="0"/>
              <w:jc w:val="center"/>
              <w:rPr>
                <w:rFonts w:cstheme="minorHAnsi"/>
                <w:sz w:val="18"/>
                <w:lang w:val="en-US"/>
              </w:rPr>
            </w:pPr>
            <w:r w:rsidRPr="00AA1159">
              <w:rPr>
                <w:rFonts w:cstheme="minorHAnsi"/>
                <w:sz w:val="18"/>
                <w:lang w:val="en-US"/>
              </w:rPr>
              <w:t>Sathekge/2024</w:t>
            </w:r>
            <w:r w:rsidRPr="00AA1159">
              <w:rPr>
                <w:rFonts w:cstheme="minorHAnsi"/>
                <w:sz w:val="18"/>
              </w:rPr>
              <w:fldChar w:fldCharType="begin"/>
            </w:r>
            <w:r w:rsidR="008666A7">
              <w:rPr>
                <w:rFonts w:cstheme="minorHAnsi"/>
                <w:sz w:val="18"/>
                <w:lang w:val="en-US"/>
              </w:rPr>
              <w:instrText xml:space="preserve"> ADDIN ZOTERO_ITEM CSL_CITATION {"citationID":"SMxoYTg2","properties":{"formattedCitation":"(41)","plainCitation":"(41)","noteIndex":0},"citationItems":[{"id":2,"uris":["http://zotero.org/users/15628667/items/27IGFHTE"],"itemData":{"id":2,"type":"article-journal","abstract":"BACKGROUND: Actinium-225 ((225)Ac) prostate-specific membrane antigen (PSMA) radioligand therapy (RLT) is a novel therapy for metastatic castration-resistant  prostate cancer (mCRPC). We aimed to report the safety and antitumour activity of  (225)Ac-PSMA RLT of mCRPC in a large cohort of patients treated at multiple  centres across the world. METHODS: This retrospective study included patients  treated at seven centres in Australia, India, Germany, and South Africa. We  pooled data of consecutive patients of any age and Eastern Cooperative Oncology  Group performance status with histopathologically confirmed adenocarcinoma of the  prostate who were treated with one or more cycles of 8 MBq (225)Ac-PSMA RLT  administered intravenously for mCRPC. Previous lines of mCRPC treatment included  taxane-based chemotherapy, androgen-receptor-axis inhibitors, lutetium-177  ((177)Lu) PSMA RLT, and radium-223 dichloride. The primary outcomes were overall  survival and progression-free survival. FINDINGS: Between Jan 1, 2016, and May  31, 2023, 488 men with mCRPC received 1174 cycles of (225)Ac-PSMA RLT (median two  cycles, IQR 2-4). The mean age of the patients was 68·1 years (SD 8·8), and the  median baseline prostate-specific antigen was 169·5 ng/mL (IQR 34·6-519·8).  Previous lines of treatment were docetaxel in 324 (66%) patients, cabazitaxel in  103 (21%) patients, abiraterone in 191 (39%) patients, enzalutamide in 188 (39%)  patients, (177)Lu-PSMA RLT in 154 (32%) patients, and radium-223 dichloride in 18  (4%) patients. The median follow-up duration was 9·0 months (IQR 5·0-17·5). The  median overall survival was 15·5 months (95% CI 13·4-18·3) and median  progression-free survival was 7·9 months (6·8-8·9). In 347 (71%) of 488 patients,  information regarding treatment-induced xerostomia was available, and 236 (68%)  of the 347 patients reported xerostomia after the first cycle of (225)Ac-PSMA  RLT. All patients who received more than seven cycles of (225)Ac-PSMA RLT  reported xerostomia. Grade 3 or higher anaemia occurred in 64 (13%) of 488  patients, leukopenia in 19 (4%), thrombocytopenia in 32 (7%), and renal toxicity  in 22 (5%). No serious adverse events or treatment-related deaths were recorded.  INTERPRETATION: (225)Ac-PSMA RLT shows a substantial antitumour effect in mCRPC  and represents a viable therapy option in patients treated with previous lines of  approved agents. Xerostomia is a common side-effect. Severe bone marrow and renal  toxicity are less common adverse events. FUNDING: None.","container-title":"The Lancet. Oncology","DOI":"10.1016/S1470-2045(23)00638-1","ISSN":"1474-5488 1470-2045","issue":"2","journalAbbreviation":"Lancet Oncol","language":"eng","license":"Copyright © 2024 Elsevier Ltd. All rights reserved.","note":"publisher-place: England\nPMID: 38218192","page":"175-183","title":"Actinium-225-PSMA radioligand therapy of metastatic castration-resistant prostate cancer (WARMTH Act): a multicentre, retrospective study.","volume":"25","author":[{"family":"Sathekge","given":"Mike M."},{"family":"Lawal","given":"Ismaheel O."},{"family":"Bal","given":"Chandrasekhar"},{"family":"Bruchertseifer","given":"Frank"},{"family":"Ballal","given":"Sajana"},{"family":"Cardaci","given":"Giuseppe"},{"family":"Davis","given":"Cindy"},{"family":"Eiber","given":"Mathias"},{"family":"Hekimsoy","given":"Türkay"},{"family":"Knoesen","given":"Otto"},{"family":"Kratochwil","given":"Clemens"},{"family":"Lenzo","given":"Nat P."},{"family":"Mahapane","given":"Johncy"},{"family":"Maserumule","given":"Letjie C."},{"family":"Mdlophane","given":"Amanda H."},{"family":"Mokoala","given":"Kgomotso M. G."},{"family":"Ndlovu","given":"Honest"},{"family":"Pant","given":"Vineet"},{"family":"Rathke","given":"Hendrik"},{"family":"Reed","given":"Janet"},{"family":"Sen","given":"Ishita B."},{"family":"Singh","given":"Aviral"},{"family":"Sood","given":"Ashwani"},{"family":"Tauber","given":"Robert"},{"family":"Thakral","given":"Parul"},{"family":"Yadav","given":"Madhav Prasad"},{"family":"Morgenstern","given":"Alfred"}],"issued":{"date-parts":[["2024",2]]}}}],"schema":"https://github.com/citation-style-language/schema/raw/master/csl-citation.json"}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(41)</w:t>
            </w:r>
            <w:r w:rsidRPr="00AA1159">
              <w:rPr>
                <w:rFonts w:cstheme="minorHAnsi"/>
                <w:sz w:val="18"/>
              </w:rPr>
              <w:fldChar w:fldCharType="end"/>
            </w:r>
          </w:p>
        </w:tc>
        <w:tc>
          <w:tcPr>
            <w:tcW w:w="993" w:type="dxa"/>
            <w:vAlign w:val="center"/>
          </w:tcPr>
          <w:p w14:paraId="7DAAEEE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219B724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PC/488</w:t>
            </w:r>
          </w:p>
        </w:tc>
        <w:tc>
          <w:tcPr>
            <w:tcW w:w="1973" w:type="dxa"/>
            <w:vAlign w:val="center"/>
          </w:tcPr>
          <w:p w14:paraId="637BD25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Retrospective/multicenter (single-arm)</w:t>
            </w:r>
          </w:p>
        </w:tc>
        <w:tc>
          <w:tcPr>
            <w:tcW w:w="2138" w:type="dxa"/>
            <w:vAlign w:val="center"/>
          </w:tcPr>
          <w:p w14:paraId="2041A84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TRT/154 Ra-223/18</w:t>
            </w:r>
          </w:p>
        </w:tc>
        <w:tc>
          <w:tcPr>
            <w:tcW w:w="1701" w:type="dxa"/>
            <w:vAlign w:val="center"/>
          </w:tcPr>
          <w:p w14:paraId="11E08C20"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8MBq/Cycle  (2-4)</w:t>
            </w:r>
          </w:p>
        </w:tc>
      </w:tr>
      <w:tr w:rsidR="000A3731" w:rsidRPr="00AA1159" w14:paraId="573A0155" w14:textId="77777777" w:rsidTr="000A3731">
        <w:tc>
          <w:tcPr>
            <w:tcW w:w="1696" w:type="dxa"/>
            <w:vAlign w:val="center"/>
          </w:tcPr>
          <w:p w14:paraId="4D7FAB29" w14:textId="683ABFF6" w:rsidR="000A3731" w:rsidRPr="00AA1159" w:rsidRDefault="000A3731" w:rsidP="000A3731">
            <w:pPr>
              <w:widowControl w:val="0"/>
              <w:jc w:val="center"/>
              <w:rPr>
                <w:rFonts w:cstheme="minorHAnsi"/>
                <w:sz w:val="18"/>
                <w:lang w:val="en-US"/>
              </w:rPr>
            </w:pPr>
            <w:r w:rsidRPr="00AA1159">
              <w:rPr>
                <w:rFonts w:cstheme="minorHAnsi"/>
                <w:sz w:val="18"/>
                <w:lang w:val="en-US"/>
              </w:rPr>
              <w:t>Rathke/2024</w:t>
            </w:r>
            <w:r w:rsidRPr="00AA1159">
              <w:rPr>
                <w:rFonts w:cstheme="minorHAnsi"/>
                <w:sz w:val="18"/>
              </w:rPr>
              <w:fldChar w:fldCharType="begin"/>
            </w:r>
            <w:r w:rsidR="008666A7">
              <w:rPr>
                <w:rFonts w:cstheme="minorHAnsi"/>
                <w:sz w:val="18"/>
                <w:lang w:val="en-US"/>
              </w:rPr>
              <w:instrText xml:space="preserve"> ADDIN ZOTERO_ITEM CSL_CITATION {"citationID":"ZkWLx3zE","properties":{"formattedCitation":"(42)","plainCitation":"(42)","noteIndex":0},"citationItems":[{"id":1160,"uris":["http://zotero.org/users/15628667/items/9LZFQBP6"],"itemData":{"id":1160,"type":"article-journal","abstract":"The aim of this work is to evaluate our clinical real-world data obtained with 225Ac-PSMA-617 (AcPSMA), which were acquired under compassionate care regulations in patients with advanced-stage prostate cancer. The objective parameters that could be derived from this evaluation are compared with previous literature about AcPSMA and 177Lu-PSMA-617 (LuPSMA). Methods: The medical files of all patients who had received AcPSMA on an individual patient basis at the Heidelberg University Hospital since January 2014 were analyzed retrospectively. Previously published patients were excluded. The remaining patients were tailored into 2 subgroups with different treatment strategies: group 1 received AcPSMA as a deescalated monotherapy, and group 2 received LuPSMA plus AcPSMA as a cocktail regimen. Baseline characteristics, serum prostate-specific antigen (PSA) response, and overall survival were compared with the most appropriate historical controls. Results: Of 287 patients treated, 54 were excluded because of previous publication and 233 were evaluated, 104 of whom received AcPSMA monotherapy (median, 6 MBq). In this group, 55 patients (53%) presented with a best PSA response of at least 50%. The other 129 patients received a cocktail therapy of AcPSMA (median, 4 MBq) plus LuPSMA (4 GBq). In this group, a best PSA response of at least 50% was observed in 74 patients (57%). The median overall survival in the monogroup was 9 mo and in the cocktail group was 15 mo. If adjusted for prognostic baseline characteristics, the efficacy of both regimens was not significantly different. Conclusion: Deescalated treatment activities of AcPSMA or AcPSMA and LuPSMA cocktail regimens present better tolerability with regard to xerostomia than previous regimens of at least 100 kBq/kg while retaining high antitumor activity in poor-prognosis prostate cancer patients.","container-title":"Journal of Nuclear Medicine: Official Publication, Society of Nuclear Medicine","DOI":"10.2967/jnumed.123.267206","ISSN":"1535-5667","issue":"7","journalAbbreviation":"J Nucl Med","language":"eng","note":"PMID: 38844358","page":"1057-1063","source":"PubMed","title":"Deescalated 225Ac-PSMA-617 Versus 177Lu/225Ac-PSMA-617 Cocktail Therapy: A Single-Center Retrospective Analysis of 233 Patients","title-short":"Deescalated 225Ac-PSMA-617 Versus 177Lu/225Ac-PSMA-617 Cocktail Therapy","volume":"65","author":[{"family":"Rathke","given":"Hendrik"},{"family":"Winter","given":"Erik"},{"family":"Bruchertseifer","given":"Frank"},{"family":"Röhrich","given":"Manuel"},{"family":"Giesel","given":"Frederik Lars"},{"family":"Haberkorn","given":"Uwe"},{"family":"Morgenstern","given":"Alfred"},{"family":"Kratochwil","given":"Clemens"}],"issued":{"date-parts":[["2024",7,1]]}}}],"schema":"https://github.com/citation-style-language/schema/raw/master/csl-citation.json"} </w:instrText>
            </w:r>
            <w:r w:rsidRPr="00AA1159">
              <w:rPr>
                <w:rFonts w:cstheme="minorHAnsi"/>
                <w:sz w:val="18"/>
              </w:rPr>
              <w:fldChar w:fldCharType="separate"/>
            </w:r>
            <w:r w:rsidR="008666A7" w:rsidRPr="00F77128">
              <w:rPr>
                <w:rFonts w:ascii="Calibri" w:hAnsi="Calibri" w:cs="Calibri"/>
                <w:sz w:val="18"/>
                <w:lang w:val="en-GB"/>
              </w:rPr>
              <w:t>(42)</w:t>
            </w:r>
            <w:r w:rsidRPr="00AA1159">
              <w:rPr>
                <w:rFonts w:cstheme="minorHAnsi"/>
                <w:sz w:val="18"/>
              </w:rPr>
              <w:fldChar w:fldCharType="end"/>
            </w:r>
          </w:p>
        </w:tc>
        <w:tc>
          <w:tcPr>
            <w:tcW w:w="993" w:type="dxa"/>
            <w:vAlign w:val="center"/>
          </w:tcPr>
          <w:p w14:paraId="35D624A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7347FB1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PC/233</w:t>
            </w:r>
          </w:p>
        </w:tc>
        <w:tc>
          <w:tcPr>
            <w:tcW w:w="1973" w:type="dxa"/>
            <w:vAlign w:val="center"/>
          </w:tcPr>
          <w:p w14:paraId="2B77BF6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2BF7830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Combination(cocktail) 177Lu-based TRT/129</w:t>
            </w:r>
          </w:p>
        </w:tc>
        <w:tc>
          <w:tcPr>
            <w:tcW w:w="1701" w:type="dxa"/>
            <w:vAlign w:val="center"/>
          </w:tcPr>
          <w:p w14:paraId="51697F00" w14:textId="77777777" w:rsidR="000A3731" w:rsidRPr="00ED13C8" w:rsidRDefault="000A3731" w:rsidP="000A3731">
            <w:pPr>
              <w:widowControl w:val="0"/>
              <w:jc w:val="center"/>
              <w:rPr>
                <w:rFonts w:cstheme="minorHAnsi"/>
                <w:sz w:val="16"/>
                <w:lang w:val="en-US"/>
              </w:rPr>
            </w:pPr>
            <w:r w:rsidRPr="00ED13C8">
              <w:rPr>
                <w:rFonts w:cstheme="minorHAnsi"/>
                <w:sz w:val="16"/>
                <w:lang w:val="en-US"/>
              </w:rPr>
              <w:t>6.6MBq/Cycle (monotherapy)/ 4.3Mbq/Cycle (cocktail+4Gbq177Lu-PSMA)</w:t>
            </w:r>
          </w:p>
        </w:tc>
      </w:tr>
      <w:tr w:rsidR="000A3731" w:rsidRPr="00AA1159" w14:paraId="58E4CB6D" w14:textId="77777777" w:rsidTr="000A3731">
        <w:tc>
          <w:tcPr>
            <w:tcW w:w="1696" w:type="dxa"/>
            <w:vAlign w:val="center"/>
          </w:tcPr>
          <w:p w14:paraId="67520E04" w14:textId="31BB9D85" w:rsidR="000A3731" w:rsidRPr="00AA1159" w:rsidRDefault="000A3731" w:rsidP="000A3731">
            <w:pPr>
              <w:widowControl w:val="0"/>
              <w:jc w:val="center"/>
              <w:rPr>
                <w:rFonts w:cstheme="minorHAnsi"/>
                <w:sz w:val="18"/>
                <w:lang w:val="en-US"/>
              </w:rPr>
            </w:pPr>
            <w:r w:rsidRPr="00AA1159">
              <w:rPr>
                <w:rFonts w:cstheme="minorHAnsi"/>
                <w:sz w:val="18"/>
                <w:lang w:val="en-US"/>
              </w:rPr>
              <w:t>Perrone/2024</w:t>
            </w:r>
            <w:r w:rsidRPr="00AA1159">
              <w:rPr>
                <w:rFonts w:cstheme="minorHAnsi"/>
                <w:sz w:val="18"/>
              </w:rPr>
              <w:fldChar w:fldCharType="begin"/>
            </w:r>
            <w:r w:rsidR="008666A7">
              <w:rPr>
                <w:rFonts w:cstheme="minorHAnsi"/>
                <w:sz w:val="18"/>
                <w:lang w:val="en-US"/>
              </w:rPr>
              <w:instrText xml:space="preserve"> ADDIN ZOTERO_ITEM CSL_CITATION {"citationID":"VmwbJQDk","properties":{"formattedCitation":"(43)","plainCitation":"(43)","noteIndex":0},"citationItems":[{"id":1164,"uris":["http://zotero.org/users/15628667/items/A7DUV7W8"],"itemData":{"id":1164,"type":"article-journal","collection-title":"op-759","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Perrone","given":"E"}],"accessed":{"date-parts":[["2025",7,24]]},"issued":{"date-parts":[["2024",9]]}}}],"schema":"https://github.com/citation-style-language/schema/raw/master/csl-citation.json"} </w:instrText>
            </w:r>
            <w:r w:rsidRPr="00AA1159">
              <w:rPr>
                <w:rFonts w:cstheme="minorHAnsi"/>
                <w:sz w:val="18"/>
              </w:rPr>
              <w:fldChar w:fldCharType="separate"/>
            </w:r>
            <w:r w:rsidR="008666A7" w:rsidRPr="00F77128">
              <w:rPr>
                <w:rFonts w:ascii="Calibri" w:hAnsi="Calibri" w:cs="Calibri"/>
                <w:sz w:val="18"/>
                <w:lang w:val="en-GB"/>
              </w:rPr>
              <w:t>(43)</w:t>
            </w:r>
            <w:r w:rsidRPr="00AA1159">
              <w:rPr>
                <w:rFonts w:cstheme="minorHAnsi"/>
                <w:sz w:val="18"/>
              </w:rPr>
              <w:fldChar w:fldCharType="end"/>
            </w:r>
          </w:p>
        </w:tc>
        <w:tc>
          <w:tcPr>
            <w:tcW w:w="993" w:type="dxa"/>
            <w:vAlign w:val="center"/>
          </w:tcPr>
          <w:p w14:paraId="51F09E1F"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w:t>
            </w:r>
          </w:p>
        </w:tc>
        <w:tc>
          <w:tcPr>
            <w:tcW w:w="850" w:type="dxa"/>
            <w:vAlign w:val="center"/>
          </w:tcPr>
          <w:p w14:paraId="16EEEFF8"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PC/80</w:t>
            </w:r>
          </w:p>
        </w:tc>
        <w:tc>
          <w:tcPr>
            <w:tcW w:w="1973" w:type="dxa"/>
            <w:vAlign w:val="center"/>
          </w:tcPr>
          <w:p w14:paraId="6778B55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1CD29A70"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Combination 177Lu-based TRT/ N/A</w:t>
            </w:r>
          </w:p>
        </w:tc>
        <w:tc>
          <w:tcPr>
            <w:tcW w:w="1701" w:type="dxa"/>
            <w:vAlign w:val="center"/>
          </w:tcPr>
          <w:p w14:paraId="567B728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132 cycles in total</w:t>
            </w:r>
          </w:p>
        </w:tc>
      </w:tr>
      <w:tr w:rsidR="000A3731" w:rsidRPr="00AA1159" w14:paraId="6190DD63" w14:textId="77777777" w:rsidTr="000A3731">
        <w:tc>
          <w:tcPr>
            <w:tcW w:w="1696" w:type="dxa"/>
            <w:vAlign w:val="center"/>
          </w:tcPr>
          <w:p w14:paraId="5C5D0B82" w14:textId="6905130E" w:rsidR="000A3731" w:rsidRPr="00AA1159" w:rsidRDefault="000A3731" w:rsidP="000A3731">
            <w:pPr>
              <w:widowControl w:val="0"/>
              <w:jc w:val="center"/>
              <w:rPr>
                <w:rFonts w:cstheme="minorHAnsi"/>
                <w:sz w:val="18"/>
                <w:lang w:val="en-US"/>
              </w:rPr>
            </w:pPr>
            <w:r w:rsidRPr="00AA1159">
              <w:rPr>
                <w:rFonts w:cstheme="minorHAnsi"/>
                <w:sz w:val="18"/>
                <w:lang w:val="en-US"/>
              </w:rPr>
              <w:t>Budlewski/2024</w:t>
            </w:r>
            <w:r w:rsidRPr="00AA1159">
              <w:rPr>
                <w:rFonts w:cstheme="minorHAnsi"/>
                <w:sz w:val="18"/>
              </w:rPr>
              <w:fldChar w:fldCharType="begin"/>
            </w:r>
            <w:r w:rsidR="008666A7">
              <w:rPr>
                <w:rFonts w:cstheme="minorHAnsi"/>
                <w:sz w:val="18"/>
                <w:lang w:val="en-US"/>
              </w:rPr>
              <w:instrText xml:space="preserve"> ADDIN ZOTERO_ITEM CSL_CITATION {"citationID":"4oMLFITQ","properties":{"formattedCitation":"(44)","plainCitation":"(44)","noteIndex":0},"citationItems":[{"id":1166,"uris":["http://zotero.org/users/15628667/items/PBY3J9PF"],"itemData":{"id":1166,"type":"article-journal","collection-title":"EP-0621","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Budlewski","given":"T"}],"accessed":{"date-parts":[["2025",7,24]]},"issued":{"date-parts":[["2024",9]]}}}],"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(44)</w:t>
            </w:r>
            <w:r w:rsidRPr="00AA1159">
              <w:rPr>
                <w:rFonts w:cstheme="minorHAnsi"/>
                <w:sz w:val="18"/>
              </w:rPr>
              <w:fldChar w:fldCharType="end"/>
            </w:r>
          </w:p>
        </w:tc>
        <w:tc>
          <w:tcPr>
            <w:tcW w:w="993" w:type="dxa"/>
            <w:vAlign w:val="center"/>
          </w:tcPr>
          <w:p w14:paraId="788F5E2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PSMA-I&amp;T</w:t>
            </w:r>
          </w:p>
        </w:tc>
        <w:tc>
          <w:tcPr>
            <w:tcW w:w="850" w:type="dxa"/>
            <w:vAlign w:val="center"/>
          </w:tcPr>
          <w:p w14:paraId="2F1CF064"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PC/10</w:t>
            </w:r>
          </w:p>
        </w:tc>
        <w:tc>
          <w:tcPr>
            <w:tcW w:w="1973" w:type="dxa"/>
            <w:vAlign w:val="center"/>
          </w:tcPr>
          <w:p w14:paraId="043EF28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7DEB532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N/A</w:t>
            </w:r>
          </w:p>
        </w:tc>
        <w:tc>
          <w:tcPr>
            <w:tcW w:w="1701" w:type="dxa"/>
            <w:vAlign w:val="center"/>
          </w:tcPr>
          <w:p w14:paraId="47E2C448"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0,1MBq/kg  (4)</w:t>
            </w:r>
          </w:p>
        </w:tc>
      </w:tr>
      <w:tr w:rsidR="000A3731" w:rsidRPr="00AA1159" w14:paraId="006238DE" w14:textId="77777777" w:rsidTr="000A3731">
        <w:tc>
          <w:tcPr>
            <w:tcW w:w="1696" w:type="dxa"/>
            <w:vAlign w:val="center"/>
          </w:tcPr>
          <w:p w14:paraId="0D8A1A00" w14:textId="175678C7" w:rsidR="000A3731" w:rsidRPr="00AA1159" w:rsidRDefault="000A3731" w:rsidP="000A3731">
            <w:pPr>
              <w:widowControl w:val="0"/>
              <w:jc w:val="center"/>
              <w:rPr>
                <w:rFonts w:cstheme="minorHAnsi"/>
                <w:sz w:val="18"/>
                <w:lang w:val="en-US"/>
              </w:rPr>
            </w:pPr>
            <w:r w:rsidRPr="00AA1159">
              <w:rPr>
                <w:rFonts w:cstheme="minorHAnsi"/>
                <w:sz w:val="18"/>
                <w:lang w:val="en-US"/>
              </w:rPr>
              <w:t>Novruzov/2024</w:t>
            </w:r>
            <w:r w:rsidRPr="00AA1159">
              <w:rPr>
                <w:rFonts w:cstheme="minorHAnsi"/>
                <w:sz w:val="18"/>
              </w:rPr>
              <w:fldChar w:fldCharType="begin"/>
            </w:r>
            <w:r w:rsidR="008666A7">
              <w:rPr>
                <w:rFonts w:cstheme="minorHAnsi"/>
                <w:sz w:val="18"/>
                <w:lang w:val="en-US"/>
              </w:rPr>
              <w:instrText xml:space="preserve"> ADDIN ZOTERO_ITEM CSL_CITATION {"citationID":"nOm28u7a","properties":{"formattedCitation":"(45)","plainCitation":"(45)","noteIndex":0},"citationItems":[{"id":1119,"uris":["http://zotero.org/users/15628667/items/DN73ESES"],"itemData":{"id":1119,"type":"article-journal","abstract":"241054 Introduction: Our study presents preliminary findings from a phase 3, single-center, prospective, randomized, two-arm controlled study.Methods: Patients with advanced-stage mCRPC, resistant to ADT (e.g., enzalutamide or abiraterone acetate), were randomized to receive a combination of 225-Actinium / 177- Lutetium labeled PSMA (PSMA tandem treatment) or the current standard-of-care with docetaxel. Control visits were conducted to evaluate PFS and OS in both arms. Serial prostate-specific antigen (PSA) measurements were obtained for response assessment. Hematological and non-hematological adverse effects were recorded.The study was conducted according to the protocol approved by the institutional committee on ethics in human investigation, following the principles of the Declaration of Helsinki of the World Medical Association.Results: A total of 93 patients were included in the study (table1). In the PSMA arm (PA), 110 cycles (median 2; range 1-6) were administered, while the Standard arm (SA) received 73 cycles (median of 2 cycles (range 1-10).In the PA, no severe hematologic toxicity or nephrotoxicity was noted; the commonest toxicity reported was grade I-II xerostomia, observed in 36% of patients. In the SA, treatment discontinuation due to toxicities affected less than 10% of patients.Conclusions: We established, for the first time through randomization, the benefit of PSMA radiolabeled tandem therapy in mCRPC patients. Combining alpha (225Ac) and beta (177Lu) radionuclides minimized adverse effects, while preserving treatment efficacy. PSMA radiolabeled therapy opens doors to a brighter future for patients, promising to significantly extend the boundaries of disease progression delay.","container-title":"Journal of Nuclear Medicine","issue":"supplement 2","journalAbbreviation":"J Nucl Med","page":"241054","title":"&lt;strong&gt;225Ac-PSMA / 177Lu-PSMA Tandem Therapy for Metastatic Castration-Resistant Prostate Cancer â&amp;#128;&amp;#147; A Prospective Phase 3 Randomized Study from Azerbaijan&lt;/strong&gt;","URL":"http://jnm.snmjournals.org/content/65/supplement_2/241054.abstract","volume":"65","author":[{"family":"Novruzov","given":"Fuad"},{"family":"Mehdi","given":"Elnur"},{"family":"Shukurov","given":"Razim"},{"family":"Dadashov","given":"Zamil"},{"family":"Guliyev","given":"Fuad"},{"family":"Musayev","given":"Teymur"},{"family":"Paez","given":"Diana"},{"family":"Aliyev","given":"Altay"},{"family":"Giammarile","given":"Francesco"},{"family":"Aliyev","given":"Jamil"}],"issued":{"date-parts":[["2024",6,1]]}}}],"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(45)</w:t>
            </w:r>
            <w:r w:rsidRPr="00AA1159">
              <w:rPr>
                <w:rFonts w:cstheme="minorHAnsi"/>
                <w:sz w:val="18"/>
              </w:rPr>
              <w:fldChar w:fldCharType="end"/>
            </w:r>
          </w:p>
        </w:tc>
        <w:tc>
          <w:tcPr>
            <w:tcW w:w="993" w:type="dxa"/>
            <w:vAlign w:val="center"/>
          </w:tcPr>
          <w:p w14:paraId="06142F38"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w:t>
            </w:r>
          </w:p>
        </w:tc>
        <w:tc>
          <w:tcPr>
            <w:tcW w:w="850" w:type="dxa"/>
            <w:vAlign w:val="center"/>
          </w:tcPr>
          <w:p w14:paraId="4F643A2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PC/93</w:t>
            </w:r>
          </w:p>
        </w:tc>
        <w:tc>
          <w:tcPr>
            <w:tcW w:w="1973" w:type="dxa"/>
            <w:vAlign w:val="center"/>
          </w:tcPr>
          <w:p w14:paraId="5318D173" w14:textId="77777777" w:rsidR="000A3731" w:rsidRPr="00AA1159" w:rsidRDefault="000A3731" w:rsidP="000A3731">
            <w:pPr>
              <w:widowControl w:val="0"/>
              <w:jc w:val="center"/>
              <w:rPr>
                <w:rFonts w:cstheme="minorHAnsi"/>
                <w:sz w:val="18"/>
                <w:lang w:val="en-US"/>
              </w:rPr>
            </w:pPr>
            <w:r w:rsidRPr="00ED13C8">
              <w:rPr>
                <w:rFonts w:cstheme="minorHAnsi"/>
                <w:sz w:val="16"/>
                <w:lang w:val="en-US"/>
              </w:rPr>
              <w:t>Prospective(single-center, randomized, two-arm controlled study(SoC chemo)</w:t>
            </w:r>
          </w:p>
        </w:tc>
        <w:tc>
          <w:tcPr>
            <w:tcW w:w="2138" w:type="dxa"/>
            <w:vAlign w:val="center"/>
          </w:tcPr>
          <w:p w14:paraId="7A28015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Combination 177Lu-based TRT/ N/A</w:t>
            </w:r>
          </w:p>
        </w:tc>
        <w:tc>
          <w:tcPr>
            <w:tcW w:w="1701" w:type="dxa"/>
            <w:vAlign w:val="center"/>
          </w:tcPr>
          <w:p w14:paraId="6BC85B44"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110 cycles in total(1-6)</w:t>
            </w:r>
          </w:p>
        </w:tc>
      </w:tr>
      <w:tr w:rsidR="000A3731" w:rsidRPr="00AA1159" w14:paraId="33ACCBAB" w14:textId="77777777" w:rsidTr="000A3731">
        <w:tc>
          <w:tcPr>
            <w:tcW w:w="1696" w:type="dxa"/>
            <w:vAlign w:val="center"/>
          </w:tcPr>
          <w:p w14:paraId="532C452F" w14:textId="642A2C37" w:rsidR="000A3731" w:rsidRPr="00AA1159" w:rsidRDefault="000A3731" w:rsidP="000A3731">
            <w:pPr>
              <w:widowControl w:val="0"/>
              <w:jc w:val="center"/>
              <w:rPr>
                <w:rFonts w:cstheme="minorHAnsi"/>
                <w:sz w:val="18"/>
                <w:lang w:val="en-US"/>
              </w:rPr>
            </w:pPr>
            <w:r w:rsidRPr="00AA1159">
              <w:rPr>
                <w:rFonts w:cstheme="minorHAnsi"/>
                <w:sz w:val="18"/>
                <w:lang w:val="en-US"/>
              </w:rPr>
              <w:t>Ballal/2023</w:t>
            </w:r>
            <w:r w:rsidRPr="00AA1159">
              <w:rPr>
                <w:rFonts w:cstheme="minorHAnsi"/>
                <w:sz w:val="18"/>
              </w:rPr>
              <w:fldChar w:fldCharType="begin"/>
            </w:r>
            <w:r w:rsidR="008666A7">
              <w:rPr>
                <w:rFonts w:cstheme="minorHAnsi"/>
                <w:sz w:val="18"/>
                <w:lang w:val="en-US"/>
              </w:rPr>
              <w:instrText xml:space="preserve"> ADDIN ZOTERO_ITEM CSL_CITATION {"citationID":"3aAWRaTE","properties":{"formattedCitation":"(46)","plainCitation":"(46)","noteIndex":0},"citationItems":[{"id":1169,"uris":["http://zotero.org/users/15628667/items/66SS77TL"],"itemData":{"id":1169,"type":"article-journal","container-title":"European Journal of Nuclear Medicine and Molecular Imaging","DOI":"10.1007/s00259-023-06340-y","ISSN":"1619-7070, 1619-7089","issue":"12","journalAbbreviation":"Eur J Nucl Med Mol Imaging","language":"en","license":"https://www.springernature.com/gp/researchers/text-and-data-mining","note":"publisher: Springer Science and Business Media LLC","page":"3777-3789","source":"Crossref","title":"Long-term survival outcomes of salvage [225Ac]Ac-PSMA-617 targeted alpha therapy in patients with PSMA-expressing end-stage metastatic castration-resistant prostate cancer: a real-world study","title-short":"Long-term survival outcomes of salvage [225Ac]Ac-PSMA-617 targeted alpha therapy in patients with PSMA-expressing end-stage metastatic castration-resistant prostate cancer","URL":"https://link.springer.com/10.1007/s00259-023-06340-y","volume":"50","author":[{"family":"Ballal","given":"Sanjana"},{"family":"Yadav","given":"Madhav P"},{"family":"Satapathy","given":"Swayamjeet"},{"family":"Raju","given":"Shobhana"},{"family":"Tripathi","given":"Madhavi"},{"family":"Damle","given":"Nishikant A"},{"family":"Sahoo","given":"Ranjit K"},{"family":"Bal","given":"Chandrasekhar"}],"accessed":{"date-parts":[["2025",7,24]]},"issued":{"date-parts":[["2023",10]]}}}],"schema":"https://github.com/citation-style-language/schema/raw/master/csl-citation.json"}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(46)</w:t>
            </w:r>
            <w:r w:rsidRPr="00AA1159">
              <w:rPr>
                <w:rFonts w:cstheme="minorHAnsi"/>
                <w:sz w:val="18"/>
              </w:rPr>
              <w:fldChar w:fldCharType="end"/>
            </w:r>
          </w:p>
        </w:tc>
        <w:tc>
          <w:tcPr>
            <w:tcW w:w="993" w:type="dxa"/>
            <w:vAlign w:val="center"/>
          </w:tcPr>
          <w:p w14:paraId="6467002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5E7EC05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PC/56</w:t>
            </w:r>
          </w:p>
        </w:tc>
        <w:tc>
          <w:tcPr>
            <w:tcW w:w="1973" w:type="dxa"/>
            <w:vAlign w:val="center"/>
          </w:tcPr>
          <w:p w14:paraId="3FA5F5C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(two subgroups)</w:t>
            </w:r>
          </w:p>
        </w:tc>
        <w:tc>
          <w:tcPr>
            <w:tcW w:w="2138" w:type="dxa"/>
            <w:vAlign w:val="center"/>
          </w:tcPr>
          <w:p w14:paraId="5CD32FF5"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TRT/27 (Lu-177 refractory group)</w:t>
            </w:r>
          </w:p>
        </w:tc>
        <w:tc>
          <w:tcPr>
            <w:tcW w:w="1701" w:type="dxa"/>
            <w:vAlign w:val="center"/>
          </w:tcPr>
          <w:p w14:paraId="2CE3A13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0,1-0,15 MBq/kg (2-9)</w:t>
            </w:r>
          </w:p>
        </w:tc>
      </w:tr>
      <w:tr w:rsidR="000A3731" w:rsidRPr="00AA1159" w14:paraId="04D7A46C" w14:textId="77777777" w:rsidTr="000A3731">
        <w:tc>
          <w:tcPr>
            <w:tcW w:w="1696" w:type="dxa"/>
            <w:vAlign w:val="center"/>
          </w:tcPr>
          <w:p w14:paraId="070E2F4C" w14:textId="162E084D" w:rsidR="000A3731" w:rsidRPr="00AA1159" w:rsidRDefault="000A3731" w:rsidP="000A3731">
            <w:pPr>
              <w:widowControl w:val="0"/>
              <w:jc w:val="center"/>
              <w:rPr>
                <w:rFonts w:cstheme="minorHAnsi"/>
                <w:sz w:val="18"/>
                <w:lang w:val="en-US"/>
              </w:rPr>
            </w:pPr>
            <w:r w:rsidRPr="00AA1159">
              <w:rPr>
                <w:rFonts w:cstheme="minorHAnsi"/>
                <w:sz w:val="18"/>
                <w:lang w:val="en-US"/>
              </w:rPr>
              <w:t>Sheikh/2023</w:t>
            </w:r>
            <w:r w:rsidRPr="00AA1159">
              <w:rPr>
                <w:rFonts w:cstheme="minorHAnsi"/>
                <w:sz w:val="18"/>
              </w:rPr>
              <w:fldChar w:fldCharType="begin"/>
            </w:r>
            <w:r w:rsidR="008666A7">
              <w:rPr>
                <w:rFonts w:cstheme="minorHAnsi"/>
                <w:sz w:val="18"/>
                <w:lang w:val="en-US"/>
              </w:rPr>
              <w:instrText xml:space="preserve"> ADDIN ZOTERO_ITEM CSL_CITATION {"citationID":"LRNXVIAq","properties":{"formattedCitation":"(47)","plainCitation":"(47)","noteIndex":0},"citationItems":[{"id":1171,"uris":["http://zotero.org/users/15628667/items/VICYEQQV"],"itemData":{"id":1171,"type":"article-journal","container-title":"European Journal of Nuclear Medicine and Molecular Imaging","DOI":"10.1007/s00259-023-06333-x","ISSN":"1619-7070, 1619-7089","issue":"S1","journalAbbreviation":"Eur J Nucl Med Mol Imaging","language":"en","license":"https://www.springernature.com/gp/researchers/text-and-data-mining","note":"publisher: Springer Science and Business Media LLC","page":"1-898","source":"Crossref","title":"EANM’23 Abstract Book Congress Sep 9-13, 2023","URL":"https://link.springer.com/10.1007/s00259-023-06333-x","volume":"50","author":[{"family":"Sheikh","given":""}],"accessed":{"date-parts":[["2025",7,24]]},"issued":{"date-parts":[["2023",9]]}}}],"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(47)</w:t>
            </w:r>
            <w:r w:rsidRPr="00AA1159">
              <w:rPr>
                <w:rFonts w:cstheme="minorHAnsi"/>
                <w:sz w:val="18"/>
              </w:rPr>
              <w:fldChar w:fldCharType="end"/>
            </w:r>
          </w:p>
        </w:tc>
        <w:tc>
          <w:tcPr>
            <w:tcW w:w="993" w:type="dxa"/>
            <w:vAlign w:val="center"/>
          </w:tcPr>
          <w:p w14:paraId="463937B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PSMA-I&amp;T</w:t>
            </w:r>
          </w:p>
        </w:tc>
        <w:tc>
          <w:tcPr>
            <w:tcW w:w="850" w:type="dxa"/>
            <w:vAlign w:val="center"/>
          </w:tcPr>
          <w:p w14:paraId="1C1B882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PC/22</w:t>
            </w:r>
          </w:p>
        </w:tc>
        <w:tc>
          <w:tcPr>
            <w:tcW w:w="1973" w:type="dxa"/>
            <w:vAlign w:val="center"/>
          </w:tcPr>
          <w:p w14:paraId="67421E3F"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Prospective (three subgroups)</w:t>
            </w:r>
          </w:p>
        </w:tc>
        <w:tc>
          <w:tcPr>
            <w:tcW w:w="2138" w:type="dxa"/>
            <w:vAlign w:val="center"/>
          </w:tcPr>
          <w:p w14:paraId="6E8F42E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Combination 177Lu-based TRT/ 22</w:t>
            </w:r>
          </w:p>
        </w:tc>
        <w:tc>
          <w:tcPr>
            <w:tcW w:w="1701" w:type="dxa"/>
            <w:vAlign w:val="center"/>
          </w:tcPr>
          <w:p w14:paraId="0907A1D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4-8 MBq/Cycle  (2)</w:t>
            </w:r>
          </w:p>
        </w:tc>
      </w:tr>
      <w:tr w:rsidR="000A3731" w:rsidRPr="00AA1159" w14:paraId="7F6EBDD5" w14:textId="77777777" w:rsidTr="000A3731">
        <w:tc>
          <w:tcPr>
            <w:tcW w:w="1696" w:type="dxa"/>
            <w:vAlign w:val="center"/>
          </w:tcPr>
          <w:p w14:paraId="5FCB8060" w14:textId="2176000A" w:rsidR="000A3731" w:rsidRPr="00AA1159" w:rsidRDefault="000A3731" w:rsidP="000A3731">
            <w:pPr>
              <w:widowControl w:val="0"/>
              <w:jc w:val="center"/>
              <w:rPr>
                <w:rFonts w:cstheme="minorHAnsi"/>
                <w:sz w:val="18"/>
                <w:lang w:val="en-US"/>
              </w:rPr>
            </w:pPr>
            <w:r w:rsidRPr="00AA1159">
              <w:rPr>
                <w:rFonts w:cstheme="minorHAnsi"/>
                <w:sz w:val="18"/>
                <w:lang w:val="en-US"/>
              </w:rPr>
              <w:t>Alan-Selcuk/2023</w:t>
            </w:r>
            <w:r w:rsidRPr="00AA1159">
              <w:rPr>
                <w:rFonts w:cstheme="minorHAnsi"/>
                <w:sz w:val="18"/>
              </w:rPr>
              <w:fldChar w:fldCharType="begin"/>
            </w:r>
            <w:r w:rsidR="008666A7">
              <w:rPr>
                <w:rFonts w:cstheme="minorHAnsi"/>
                <w:sz w:val="18"/>
                <w:lang w:val="en-US"/>
              </w:rPr>
              <w:instrText xml:space="preserve"> ADDIN ZOTERO_ITEM CSL_CITATION {"citationID":"VNpAgH0U","properties":{"formattedCitation":"(48)","plainCitation":"(48)","noteIndex":0},"citationItems":[{"id":1175,"uris":["http://zotero.org/users/15628667/items/2C455ZYP"],"itemData":{"id":1175,"type":"article-journal","container-title":"Journal of Nuclear Medicine","DOI":"10.2967/jnumed.123.265546","ISSN":"0161-5505, 2159-662X","issue":"10","journalAbbreviation":"J Nucl Med","language":"en","note":"publisher: Society of Nuclear Medicine","page":"1574-1580","source":"Crossref","title":"Clinical Experience with [&lt;sup&gt;225&lt;/sup&gt;Ac]Ac-PSMA Treatment in Patients with [&lt;sup&gt;177&lt;/sup&gt;Lu]Lu-PSMA–Refractory Metastatic Castration-Resistant Prostate Cancer","URL":"http://jnm.snmjournals.org/lookup/doi/10.2967/jnumed.123.265546","volume":"64","author":[{"family":"Alan-Selcuk","given":"Nalan"},{"family":"Beydagi","given":"Gamze"},{"family":"Demirci","given":"Emre"},{"family":"Ocak","given":"Meltem"},{"family":"Celik","given":"Serkan"},{"family":"Oven","given":"Bala B."},{"family":"Toklu","given":"Turkay"},{"family":"Karaaslan","given":"Ipek"},{"family":"Akcay","given":"Kaan"},{"family":"Sonmez","given":"Omer"},{"family":"Kabasakal","given":"Levent"}],"accessed":{"date-parts":[["2025",7,24]]},"issued":{"date-parts":[["2023",10]]}}}],"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(48)</w:t>
            </w:r>
            <w:r w:rsidRPr="00AA1159">
              <w:rPr>
                <w:rFonts w:cstheme="minorHAnsi"/>
                <w:sz w:val="18"/>
              </w:rPr>
              <w:fldChar w:fldCharType="end"/>
            </w:r>
          </w:p>
        </w:tc>
        <w:tc>
          <w:tcPr>
            <w:tcW w:w="993" w:type="dxa"/>
            <w:vAlign w:val="center"/>
          </w:tcPr>
          <w:p w14:paraId="1D08C51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w:t>
            </w:r>
          </w:p>
        </w:tc>
        <w:tc>
          <w:tcPr>
            <w:tcW w:w="850" w:type="dxa"/>
            <w:vAlign w:val="center"/>
          </w:tcPr>
          <w:p w14:paraId="747E7BA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PC/23</w:t>
            </w:r>
          </w:p>
        </w:tc>
        <w:tc>
          <w:tcPr>
            <w:tcW w:w="1973" w:type="dxa"/>
            <w:vAlign w:val="center"/>
          </w:tcPr>
          <w:p w14:paraId="335B2750"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4AFFF9F5"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TRT/23</w:t>
            </w:r>
          </w:p>
        </w:tc>
        <w:tc>
          <w:tcPr>
            <w:tcW w:w="1701" w:type="dxa"/>
            <w:vAlign w:val="center"/>
          </w:tcPr>
          <w:p w14:paraId="59251A4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7.6MBq/Cycle (1-4)</w:t>
            </w:r>
          </w:p>
        </w:tc>
      </w:tr>
      <w:tr w:rsidR="000A3731" w:rsidRPr="00AA1159" w14:paraId="7DD5A608" w14:textId="77777777" w:rsidTr="000A3731">
        <w:tc>
          <w:tcPr>
            <w:tcW w:w="1696" w:type="dxa"/>
            <w:vAlign w:val="center"/>
          </w:tcPr>
          <w:p w14:paraId="5675879E" w14:textId="4C1A1A50" w:rsidR="000A3731" w:rsidRPr="00AA1159" w:rsidRDefault="000A3731" w:rsidP="000A3731">
            <w:pPr>
              <w:widowControl w:val="0"/>
              <w:jc w:val="center"/>
              <w:rPr>
                <w:rFonts w:cstheme="minorHAnsi"/>
                <w:sz w:val="18"/>
                <w:lang w:val="en-US"/>
              </w:rPr>
            </w:pPr>
            <w:r w:rsidRPr="00AA1159">
              <w:rPr>
                <w:rFonts w:cstheme="minorHAnsi"/>
                <w:sz w:val="18"/>
                <w:lang w:val="en-US"/>
              </w:rPr>
              <w:t>Lawal/2022</w:t>
            </w:r>
            <w:r w:rsidRPr="00AA1159">
              <w:rPr>
                <w:rFonts w:cstheme="minorHAnsi"/>
                <w:sz w:val="18"/>
              </w:rPr>
              <w:fldChar w:fldCharType="begin"/>
            </w:r>
            <w:r w:rsidR="008666A7">
              <w:rPr>
                <w:rFonts w:cstheme="minorHAnsi"/>
                <w:sz w:val="18"/>
                <w:lang w:val="en-US"/>
              </w:rPr>
              <w:instrText xml:space="preserve"> ADDIN ZOTERO_ITEM CSL_CITATION {"citationID":"G1YJ55Ut","properties":{"formattedCitation":"(49)","plainCitation":"(49)","noteIndex":0},"citationItems":[{"id":31,"uris":["http://zotero.org/users/15628667/items/SMNWJQHK"],"itemData":{"id":31,"type":"article-journal","abstract":"PURPOSE: Actinium-225-labeled prostate-specific membrane antigen ([(225)Ac]Ac-PSMA-617) is safe and effective in the treatment of metastatic  castration-resistant prostate cancer (mCRPC). No study has specifically assessed  its safety in patients with extensive skeletal metastases of mCRPC. We aimed to  investigate the hematologic toxicity and efficacy of [(225)Ac]Ac-PSMA-617 therapy  in patients with extensive skeletal metastases of mCRPC. METHODS: We  retrospectively reviewed the medical record of patients treated with  [(225)Ac]Ac-PSMA-617 for mCRPC. We included patients with a superscan pattern of  skeletal metastases and those with 20 or more multifocal sites of skeletal  metastases on baseline [(68) Ga]Ga-PSMA-11 PET/CT. We reviewed the levels of  hemoglobin, white blood cell (WBC), and platelet prior to each cycle of treatment  and determined the presence of impaired bone marrow function at baseline and the  grade of toxicity in the hematologic parameters induced by treatment. We  evaluated the predictors of hematologic toxicity using binary logistic regression  analysis. We also determined the presence of renal dysfunction before or during  treatment. We assessed response to treatment using prostate-specific antigen  response and the progression-free survival (PFS) and overall survival (OS).  RESULTS: A total of 106 patients were included. Skeletal metastasis was in the  superscan pattern in 34 patients (32.1%) and multifocal in 72 patients (67.9%).  The median treatment cycle was 4 (range = 1-9). Ninety-eight patients (92.5%) had  abnormal baseline hematologic parameters. One patient had grade 4  thrombocytopenia. Grade 3 anemia, leukopenia, and thrombocytopenia were seen in 1  (0.9%), 3 (2.8%), and 2 (1.9%) patients, respectively. Age, the number of  treatment cycles, and the presence of renal dysfunction were significant  predictors of hematologic toxicity. Eighty-five patients (80.2%) achieved PSA  response. The median PFS and OS of the study population were 14:00 (95%CI:  8.15-19.86) months and 15.0 (95%CI: 12.8-17.2) months, respectively. CONCLUSIONS:  [(225)Ac]Ac-PSMA-617 induces a good anti-tumor effect in about 80% of patients  with extensive skeletal metastases of mCRPC with a rare incidence of severe  hematologic toxicity. Age, number of treatment cycles, and the presence of renal  dysfunction were significant risk factors for hematologic toxicity of  [(225)Ac]Ac-PSMA-617 therapy.","container-title":"European journal of nuclear medicine and molecular imaging","DOI":"10.1007/s00259-022-05778-w","ISSN":"1619-7089 1619-7070","issue":"10","journalAbbreviation":"Eur J Nucl Med Mol Imaging","language":"eng","license":"© 2022. The Author(s), under exclusive licence to Springer-Verlag GmbH Germany, part of Springer Nature.","note":"publisher-place: Germany\nPMID: 35384462","page":"3581-3592","title":"Hematologic toxicity profile and efficacy of [(225)Ac]Ac-PSMA-617 α-radioligand therapy of patients with extensive skeletal metastases of castration-resistant  prostate cancer.","volume":"49","author":[{"family":"Lawal","given":"Ismaheel O."},{"family":"Morgenstern","given":"Alfred"},{"family":"Vorster","given":"Mariza"},{"family":"Knoesen","given":"Otto"},{"family":"Mahapane","given":"Johncy"},{"family":"Hlongwa","given":"Khanyisile N."},{"family":"Maserumule","given":"Letjie C."},{"family":"Ndlovu","given":"Honest"},{"family":"Reed","given":"Janet D."},{"family":"Popoola","given":"Gbenga O."},{"family":"Mokoala","given":"Kgomotso M. G."},{"family":"Mdlophane","given":"Amanda"},{"family":"Bruchertseifer","given":"Frank"},{"family":"Sathekge","given":"Mike M."}],"issued":{"date-parts":[["2022",8]]}}}],"schema":"https://github.com/citation-style-language/schema/raw/master/csl-citation.json"}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(49)</w:t>
            </w:r>
            <w:r w:rsidRPr="00AA1159">
              <w:rPr>
                <w:rFonts w:cstheme="minorHAnsi"/>
                <w:sz w:val="18"/>
              </w:rPr>
              <w:fldChar w:fldCharType="end"/>
            </w:r>
          </w:p>
        </w:tc>
        <w:tc>
          <w:tcPr>
            <w:tcW w:w="993" w:type="dxa"/>
            <w:vAlign w:val="center"/>
          </w:tcPr>
          <w:p w14:paraId="75E0A05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45736785"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PC/106</w:t>
            </w:r>
          </w:p>
        </w:tc>
        <w:tc>
          <w:tcPr>
            <w:tcW w:w="1973" w:type="dxa"/>
            <w:vAlign w:val="center"/>
          </w:tcPr>
          <w:p w14:paraId="77572B5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662764A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TRT/7  Ra-223/2</w:t>
            </w:r>
          </w:p>
        </w:tc>
        <w:tc>
          <w:tcPr>
            <w:tcW w:w="1701" w:type="dxa"/>
            <w:vAlign w:val="center"/>
          </w:tcPr>
          <w:p w14:paraId="104D3AC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8MBq/Cycle  (1-9)</w:t>
            </w:r>
          </w:p>
        </w:tc>
      </w:tr>
      <w:tr w:rsidR="000A3731" w:rsidRPr="00AA1159" w14:paraId="18FA241C" w14:textId="77777777" w:rsidTr="000A3731">
        <w:tc>
          <w:tcPr>
            <w:tcW w:w="1696" w:type="dxa"/>
            <w:vAlign w:val="center"/>
          </w:tcPr>
          <w:p w14:paraId="084F7FC3" w14:textId="36F5BD1A" w:rsidR="000A3731" w:rsidRPr="00AA1159" w:rsidRDefault="000A3731" w:rsidP="000A3731">
            <w:pPr>
              <w:widowControl w:val="0"/>
              <w:jc w:val="center"/>
              <w:rPr>
                <w:rFonts w:cstheme="minorHAnsi"/>
                <w:sz w:val="18"/>
                <w:lang w:val="en-US"/>
              </w:rPr>
            </w:pPr>
            <w:r w:rsidRPr="00AA1159">
              <w:rPr>
                <w:rFonts w:cstheme="minorHAnsi"/>
                <w:sz w:val="18"/>
                <w:lang w:val="en-US"/>
              </w:rPr>
              <w:t>Sathekge/2022</w:t>
            </w:r>
            <w:r w:rsidRPr="00AA1159">
              <w:rPr>
                <w:rFonts w:cstheme="minorHAnsi"/>
                <w:sz w:val="18"/>
              </w:rPr>
              <w:fldChar w:fldCharType="begin"/>
            </w:r>
            <w:r w:rsidR="008666A7">
              <w:rPr>
                <w:rFonts w:cstheme="minorHAnsi"/>
                <w:sz w:val="18"/>
                <w:lang w:val="en-US"/>
              </w:rPr>
              <w:instrText xml:space="preserve"> ADDIN ZOTERO_ITEM CSL_CITATION {"citationID":"uKHobSvW","properties":{"formattedCitation":"(50)","plainCitation":"(50)","noteIndex":0},"citationItems":[{"id":426,"uris":["http://zotero.org/users/15628667/items/IRY4Z4E8"],"itemData":{"id":426,"type":"article-journal","abstract":"(225)Ac-PSMA-617, targeting the prostate-specific membrane antigen (PSMA), which is overexpressed on prostate cancer cells, has shown a remarkable therapeutic  efficacy in heavily pretreated patients with metastatic castration-resistant  prostate carcinoma (mCRPC). Here, we report on treatment outcome and survival  using this novel treatment modality in a series of 53 patients with mCRPC  directly after their androgen deprivation treatment (ADT). Methods:  (225)Ac-PSMA-617 was administered to 53 such patients. (68)Ga-PSMA PET/CT was  obtained at baseline, before every treatment cycle, and on follow-up to select  patients for treatment, determine the activity to be administered, and assess  their response. Serial prostate-specific antigen (PSA) measurements were obtained  for response assessment. Results: The median age of the patients was 63.4 y  (range, 45-83 y). In total, 167 cycles were administered (median, 3; range, 1-7).  Forty-eight patients (91%) had a PSA decline of at least 50%, and 51 patients  (96%) had any decline in PSA. (68)Ga-PSMA PET findings became negative in 30  patients. In the multivariate analysis, a PSA decline of at least 50% proved  predictive of both progression-free survival (PFS) and overall survival (OS), and  platelet count also proved predictive for PFS. The median estimated OS was 9 mo  for patients with a PSA decline of less than 50% but was not yet reached at the  latest follow-up (55 mo) for patients with a PSA decline of 50% or more. The  estimated median PFS was 22 mo for patients with a PSA decline of at least 50%  and 4 mo for patients with a PSA decline of less than 50%. No severe  hematotoxicity was noted, and only 3 patients had grade III-IV nephrotoxicity.  The commonest toxicity seen was grade I-II xerostomia, observed in 81% of  patients. Conclusion: In 91% of 53 patients with mCRPC, treatment with  (225)Ac-PSMA-617 immediately after ADT resulted in at least a 50% decrease in PSA  level. Furthermore, a PSA decline of at least 50% proved the single most  important factor predicting PFS and OS after (225)Ac-PSMA-617 treatment. Of  interest, median OS in patients with a PSA decline of at least 50% was not yet  reached at the latest follow-up (55 mo). These favorable results suggest that it  would be of major clinical relevance to perform a prospective randomized study  comparing (225)Ac-PSMA-617 with current standard-of-care treatment options such  as enzalutamide, abiraterone acetate, and docetaxel after ADT.","container-title":"Journal of nuclear medicine : official publication, Society of Nuclear Medicine","DOI":"10.2967/jnumed.121.263618","ISSN":"1535-5667 0161-5505","issue":"10","journalAbbreviation":"J Nucl Med","language":"eng","license":"© 2022 by the Society of Nuclear Medicine and Molecular Imaging.","note":"publisher-place: United States\nPMID: 35177427 \nPMCID: PMC9536711","page":"1496-1502","title":"mCRPC Patients Receiving (225)Ac-PSMA-617 Therapy in the Post-Androgen Deprivation Therapy Setting: Response to Treatment and Survival Analysis.","volume":"63","author":[{"family":"Sathekge","given":"Mike"},{"family":"Bruchertseifer","given":"Frank"},{"family":"Vorster","given":"Mariza"},{"family":"Lawal","given":"Ismaheel O."},{"family":"Knoesen","given":"Otto"},{"family":"Mahapane","given":"Johncy"},{"family":"Davis","given":"Cindy"},{"family":"Mdlophane","given":"Amanda"},{"family":"Maes","given":"Alex"},{"family":"Mokoala","given":"Kgomotso"},{"family":"Mathabe","given":"Kgomotso"},{"family":"Van","given":"Christophe"},{"family":"Wiele","given":"de"},{"family":"Morgenstern","given":"Alfred"}],"issued":{"date-parts":[["2022",10]]}}}],"schema":"https://github.com/citation-style-language/schema/raw/master/csl-citation.json"} </w:instrText>
            </w:r>
            <w:r w:rsidRPr="00AA1159">
              <w:rPr>
                <w:rFonts w:cstheme="minorHAnsi"/>
                <w:sz w:val="18"/>
              </w:rPr>
              <w:fldChar w:fldCharType="separate"/>
            </w:r>
            <w:r w:rsidR="008666A7" w:rsidRPr="00F77128">
              <w:rPr>
                <w:rFonts w:ascii="Calibri" w:hAnsi="Calibri" w:cs="Calibri"/>
                <w:sz w:val="18"/>
                <w:lang w:val="en-GB"/>
              </w:rPr>
              <w:t>(50)</w:t>
            </w:r>
            <w:r w:rsidRPr="00AA1159">
              <w:rPr>
                <w:rFonts w:cstheme="minorHAnsi"/>
                <w:sz w:val="18"/>
              </w:rPr>
              <w:fldChar w:fldCharType="end"/>
            </w:r>
          </w:p>
        </w:tc>
        <w:tc>
          <w:tcPr>
            <w:tcW w:w="993" w:type="dxa"/>
            <w:vAlign w:val="center"/>
          </w:tcPr>
          <w:p w14:paraId="6CE5233E" w14:textId="77777777" w:rsidR="000A3731" w:rsidRPr="00AA1159" w:rsidRDefault="000A3731" w:rsidP="000A3731">
            <w:pPr>
              <w:widowControl w:val="0"/>
              <w:jc w:val="center"/>
              <w:rPr>
                <w:rFonts w:ascii="Calibri" w:hAnsi="Calibri" w:cs="Calibri"/>
                <w:color w:val="000000"/>
                <w:sz w:val="18"/>
                <w:lang w:val="en-US"/>
              </w:rPr>
            </w:pPr>
            <w:r w:rsidRPr="00AA1159">
              <w:rPr>
                <w:rFonts w:ascii="Calibri" w:hAnsi="Calibri" w:cs="Calibri"/>
                <w:color w:val="000000"/>
                <w:sz w:val="18"/>
                <w:lang w:val="en-US"/>
              </w:rPr>
              <w:t>PSMA-617</w:t>
            </w:r>
          </w:p>
        </w:tc>
        <w:tc>
          <w:tcPr>
            <w:tcW w:w="850" w:type="dxa"/>
            <w:vAlign w:val="center"/>
          </w:tcPr>
          <w:p w14:paraId="2D8605B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PC/53</w:t>
            </w:r>
          </w:p>
        </w:tc>
        <w:tc>
          <w:tcPr>
            <w:tcW w:w="1973" w:type="dxa"/>
            <w:vAlign w:val="center"/>
          </w:tcPr>
          <w:p w14:paraId="09956764"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43AC261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No prior TRT</w:t>
            </w:r>
          </w:p>
        </w:tc>
        <w:tc>
          <w:tcPr>
            <w:tcW w:w="1701" w:type="dxa"/>
            <w:vAlign w:val="center"/>
          </w:tcPr>
          <w:p w14:paraId="3E3F2EF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4-8MBq/Cycle  (1-7)</w:t>
            </w:r>
          </w:p>
        </w:tc>
      </w:tr>
      <w:tr w:rsidR="000A3731" w:rsidRPr="00AA1159" w14:paraId="2F11570D" w14:textId="77777777" w:rsidTr="000A3731">
        <w:tc>
          <w:tcPr>
            <w:tcW w:w="1696" w:type="dxa"/>
            <w:vAlign w:val="center"/>
          </w:tcPr>
          <w:p w14:paraId="4F48003E" w14:textId="7596A7CC" w:rsidR="000A3731" w:rsidRPr="00AA1159" w:rsidRDefault="000A3731" w:rsidP="000A3731">
            <w:pPr>
              <w:widowControl w:val="0"/>
              <w:jc w:val="center"/>
              <w:rPr>
                <w:rFonts w:cstheme="minorHAnsi"/>
                <w:sz w:val="18"/>
                <w:lang w:val="en-US"/>
              </w:rPr>
            </w:pPr>
            <w:r w:rsidRPr="00AA1159">
              <w:rPr>
                <w:rFonts w:cstheme="minorHAnsi"/>
                <w:sz w:val="18"/>
                <w:lang w:val="en-US"/>
              </w:rPr>
              <w:t>Sen/2021</w:t>
            </w:r>
            <w:r w:rsidRPr="00AA1159">
              <w:rPr>
                <w:rFonts w:cstheme="minorHAnsi"/>
                <w:sz w:val="18"/>
              </w:rPr>
              <w:fldChar w:fldCharType="begin"/>
            </w:r>
            <w:r w:rsidR="008666A7">
              <w:rPr>
                <w:rFonts w:cstheme="minorHAnsi"/>
                <w:sz w:val="18"/>
                <w:lang w:val="en-US"/>
              </w:rPr>
              <w:instrText xml:space="preserve"> ADDIN ZOTERO_ITEM CSL_CITATION {"citationID":"utGLNbzR","properties":{"formattedCitation":"(51)","plainCitation":"(51)","noteIndex":0},"citationItems":[{"id":1180,"uris":["http://zotero.org/users/15628667/items/28BQ93AT"],"itemData":{"id":1180,"type":"article-journal","abstract":"OBJECTIVES: 225Ac-PSMA-617 therapy has shown good response in many recent studies. We report our experience of targeted alpha therapy with 225Ac-PSMA-617 in mCRPC patients who have failed therapy with taxanes.\nMATERIALS AND METHODS: Thirty-eight patients with CRPC with progressive disease following at least one taxane-based chemotherapy received 225Ac-PSMA-617 between July 2017 and Nov 2019. Primary end point was a composite 50% PSA and radiological response. Secondary endpoints were PFS, OS, and changes in QOL. The differences in outcomes between patients with skeletal and lymph-node metastases versus those with visceral metastases were also studied.\nRESULTS: A composite response by predetermined criteria was observed in 25 (66%) of 38 patients. The median PFS was 8 months (95% CI 5.3-10.6 months). Median overall survival was 12 months (95% CI 9.1-14.9) with 16 patients alive at the time of censorship. There was no difference in response rates or survival statistics between patients with visceral metastases versus those with only bone and lymph-node metastases (Chi-square 1.51, df 1, Sig 0.218). The most common adverse effect was xerostomia. On the QOL Symptom score, Pain, Fatigue Insomnia, and constipation showed a significant improvement as compared to baseline.\nCONCLUSIONS: 225Ac-PSMA-617 is a safe and tolerable treatment option for mCRPC that demonstrates marked anti-tumour activity with improvement in quality of life even in patients of metastatic CRPC who have been previously treated with taxane-based chemotherapy.","container-title":"Annals of Nuclear Medicine","DOI":"10.1007/s12149-021-01617-4","ISSN":"1864-6433","issue":"7","journalAbbreviation":"Ann Nucl Med","language":"eng","note":"PMID: 34059998","page":"794-810","source":"PubMed","title":"Therapeutic efficacy of 225Ac-PSMA-617 targeted alpha therapy in patients of metastatic castrate resistant prostate cancer after taxane-based chemotherapy","volume":"35","author":[{"family":"Sen","given":"Ishita"},{"family":"Thakral","given":"Parul"},{"family":"Tiwari","given":"Priya"},{"family":"Pant","given":"Vineet"},{"family":"Das","given":"Subha Shankar"},{"family":"Manda","given":"Divya"},{"family":"Raina","given":"Vinod"}],"issued":{"date-parts":[["2021",7]]}}}],"schema":"https://github.com/citation-style-language/schema/raw/master/csl-citation.json"}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(51)</w:t>
            </w:r>
            <w:r w:rsidRPr="00AA1159">
              <w:rPr>
                <w:rFonts w:cstheme="minorHAnsi"/>
                <w:sz w:val="18"/>
              </w:rPr>
              <w:fldChar w:fldCharType="end"/>
            </w:r>
          </w:p>
        </w:tc>
        <w:tc>
          <w:tcPr>
            <w:tcW w:w="993" w:type="dxa"/>
            <w:vAlign w:val="center"/>
          </w:tcPr>
          <w:p w14:paraId="183E1B9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21B5849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PC/38</w:t>
            </w:r>
          </w:p>
        </w:tc>
        <w:tc>
          <w:tcPr>
            <w:tcW w:w="1973" w:type="dxa"/>
            <w:vAlign w:val="center"/>
          </w:tcPr>
          <w:p w14:paraId="4BAC5DAF"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2E92F1B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TRT/9  Ra-223/2</w:t>
            </w:r>
          </w:p>
        </w:tc>
        <w:tc>
          <w:tcPr>
            <w:tcW w:w="1701" w:type="dxa"/>
            <w:vAlign w:val="center"/>
          </w:tcPr>
          <w:p w14:paraId="564EFB7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 MBq/kg  (2-5)</w:t>
            </w:r>
          </w:p>
        </w:tc>
      </w:tr>
      <w:tr w:rsidR="000A3731" w:rsidRPr="00AA1159" w14:paraId="4897BB86" w14:textId="77777777" w:rsidTr="000A3731">
        <w:tc>
          <w:tcPr>
            <w:tcW w:w="1696" w:type="dxa"/>
            <w:vAlign w:val="center"/>
          </w:tcPr>
          <w:p w14:paraId="47455342" w14:textId="039A0970" w:rsidR="000A3731" w:rsidRPr="00AA1159" w:rsidRDefault="000A3731" w:rsidP="000A3731">
            <w:pPr>
              <w:widowControl w:val="0"/>
              <w:jc w:val="center"/>
              <w:rPr>
                <w:rFonts w:cstheme="minorHAnsi"/>
                <w:sz w:val="18"/>
                <w:lang w:val="en-US"/>
              </w:rPr>
            </w:pPr>
            <w:r w:rsidRPr="00AA1159">
              <w:rPr>
                <w:rFonts w:cstheme="minorHAnsi"/>
                <w:sz w:val="18"/>
                <w:lang w:val="en-US"/>
              </w:rPr>
              <w:t>van der Doelen/2021</w:t>
            </w:r>
            <w:r w:rsidRPr="00AA1159">
              <w:rPr>
                <w:rFonts w:cstheme="minorHAnsi"/>
                <w:sz w:val="18"/>
              </w:rPr>
              <w:fldChar w:fldCharType="begin"/>
            </w:r>
            <w:r w:rsidR="008666A7">
              <w:rPr>
                <w:rFonts w:cstheme="minorHAnsi"/>
                <w:sz w:val="18"/>
                <w:lang w:val="en-US"/>
              </w:rPr>
              <w:instrText xml:space="preserve"> ADDIN ZOTERO_ITEM CSL_CITATION {"citationID":"ZIa2Yvb6","properties":{"formattedCitation":"(52)","plainCitation":"(52)","noteIndex":0},"citationItems":[{"id":53,"uris":["http://zotero.org/users/15628667/items/266BGQRZ"],"itemData":{"id":53,"type":"article-journal","abstract":"INTRODUCTION: Targeted alpha-radiation therapy (TAT) with (225)Ac-labeled prostate-specific membrane antigen (PSMA) ligands is a promising novel treatment  option for metastatic castration-resistant prostate cancer (mCRPC) patients.  However, limited data are available on efficacy, quality of life (QoL), and  pretherapeutic biomarkers. The aim of this study was to evaluate the efficacy of  (225)Ac-PSMA TAT and impact on QoL in advanced mCRPC, and to explore predictive  biomarkers on pretherapeutic metastatic tissue biopsies. METHODS: Observational  cohort study including consecutive patients treated with (225)Ac-PSMA TAT between  February 2016 and July 2018. Primary endpoint was overall survival (OS).  Furthermore, prostate-specific antigen (PSA) changes, radiological response,  safety, QoL, and xerostomia were evaluated. Biopsies were analyzed with  immunohistochemistry and next-generation sequencing. RESULTS: Thirteen patients  were included. Median OS was 8.5 months for the total cohort and 12.6 months for  PSMA radioligand therapy-naïve patients. PSA declines of ≥90% and ≥50% were  observed in 46% and 69% of patients, respectively. Six patients were  radiologically evaluable; 50% showed partial response. All patients showed &gt;90%  total tumor volume reduction on PET imaging. Patients experienced clinically  relevant decrease of pain and QoL improvement in physical and role functioning  domains. Xerostomia persisted during follow-up. Patients with high baseline  immunohistochemical PSMA expression or DNA damage repair alterations tended to  have longer OS. CONCLUSIONS: TAT with (225)Ac-PSMA resulted in remarkable  survival and biochemical responses in advanced mCRPC patients. Patients  experienced clinically relevant QoL improvement, although xerostomia was found to  be nontransient. Baseline immunohistochemical PSMA expression and DNA damage  repair status are potential predictive biomarkers of response to (225)Ac-PSMA  TAT.","container-title":"Urologic oncology","DOI":"10.1016/j.urolonc.2020.12.002","ISSN":"1873-2496 1078-1439","issue":"10","journalAbbreviation":"Urol Oncol","language":"eng","license":"Copyright © 2020 The Author(s). Published by Elsevier Inc. All rights reserved.","note":"publisher-place: United States\nPMID: 33353867","page":"729.e7-729.e16","title":"Clinical outcomes and molecular profiling of advanced metastatic castration-resistant prostate cancer patients treated with (225)Ac-PSMA-617  targeted alpha-radiation therapy.","volume":"39","author":[{"family":"Doelen","given":"Maarten J.","non-dropping-particle":"van der"},{"family":"Mehra","given":"Niven"},{"family":"Oort","given":"Inge M.","non-dropping-particle":"van"},{"family":"Looijen-Salamon","given":"Monika G."},{"family":"Janssen","given":"Marcel J. R."},{"family":"Custers","given":"José A. E."},{"family":"Slootbeek","given":"Peter H. J."},{"family":"Kroeze","given":"Leonie I."},{"family":"Bruchertseifer","given":"Frank"},{"family":"Morgenstern","given":"Alfred"},{"family":"Haberkorn","given":"Uwe"},{"family":"Kratochwil","given":"Clemens"},{"family":"Nagarajah","given":"James"},{"family":"Gerritsen","given":"Winald R."}],"issued":{"date-parts":[["2021",10]]}}}],"schema":"https://github.com/citation-style-language/schema/raw/master/csl-citation.json"}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(52)</w:t>
            </w:r>
            <w:r w:rsidRPr="00AA1159">
              <w:rPr>
                <w:rFonts w:cstheme="minorHAnsi"/>
                <w:sz w:val="18"/>
              </w:rPr>
              <w:fldChar w:fldCharType="end"/>
            </w:r>
          </w:p>
        </w:tc>
        <w:tc>
          <w:tcPr>
            <w:tcW w:w="993" w:type="dxa"/>
            <w:vAlign w:val="center"/>
          </w:tcPr>
          <w:p w14:paraId="4997D408"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60AE149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PC/13</w:t>
            </w:r>
          </w:p>
        </w:tc>
        <w:tc>
          <w:tcPr>
            <w:tcW w:w="1973" w:type="dxa"/>
            <w:vAlign w:val="center"/>
          </w:tcPr>
          <w:p w14:paraId="1157DA7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(Observational cohort)</w:t>
            </w:r>
          </w:p>
        </w:tc>
        <w:tc>
          <w:tcPr>
            <w:tcW w:w="2138" w:type="dxa"/>
            <w:vAlign w:val="center"/>
          </w:tcPr>
          <w:p w14:paraId="7264CE4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TRT/2  Ra-223/4</w:t>
            </w:r>
          </w:p>
        </w:tc>
        <w:tc>
          <w:tcPr>
            <w:tcW w:w="1701" w:type="dxa"/>
            <w:vAlign w:val="center"/>
          </w:tcPr>
          <w:p w14:paraId="2049C1A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6-8MBq/Cycle  (1-4)</w:t>
            </w:r>
          </w:p>
        </w:tc>
      </w:tr>
      <w:tr w:rsidR="000A3731" w:rsidRPr="00AA1159" w14:paraId="6BE13F80" w14:textId="77777777" w:rsidTr="000A3731">
        <w:tc>
          <w:tcPr>
            <w:tcW w:w="1696" w:type="dxa"/>
            <w:vAlign w:val="center"/>
          </w:tcPr>
          <w:p w14:paraId="0001EDEF" w14:textId="631D4195" w:rsidR="000A3731" w:rsidRPr="00AA1159" w:rsidRDefault="000A3731" w:rsidP="000A3731">
            <w:pPr>
              <w:widowControl w:val="0"/>
              <w:jc w:val="center"/>
              <w:rPr>
                <w:rFonts w:cstheme="minorHAnsi"/>
                <w:sz w:val="18"/>
                <w:lang w:val="en-US"/>
              </w:rPr>
            </w:pPr>
            <w:r w:rsidRPr="00AA1159">
              <w:rPr>
                <w:rFonts w:cstheme="minorHAnsi"/>
                <w:sz w:val="18"/>
                <w:lang w:val="en-US"/>
              </w:rPr>
              <w:t>Rosar/ 2021</w:t>
            </w:r>
            <w:r w:rsidRPr="00AA1159">
              <w:rPr>
                <w:rFonts w:cstheme="minorHAnsi"/>
                <w:sz w:val="18"/>
              </w:rPr>
              <w:fldChar w:fldCharType="begin"/>
            </w:r>
            <w:r w:rsidR="008666A7">
              <w:rPr>
                <w:rFonts w:cstheme="minorHAnsi"/>
                <w:sz w:val="18"/>
                <w:lang w:val="en-US"/>
              </w:rPr>
              <w:instrText xml:space="preserve"> ADDIN ZOTERO_ITEM CSL_CITATION {"citationID":"mMFBMK30","properties":{"formattedCitation":"(53)","plainCitation":"(53)","noteIndex":0},"citationItems":[{"id":1184,"uris":["http://zotero.org/users/15628667/items/LGEASR99"],"itemData":{"id":1184,"type":"article-journal","abstract":"Rationale: Despite the promising results of prostate-specific membrane antigen (PSMA)-targeted 177Lu radioligand therapy in metastatic castration-resistant prostate carcinoma (mCRPC), some patients do not respond and other patients with initially good response develop resistance to this treatment. In this study, we investigated molecular imaging and biochemical responses after a single cycle of [225Ac]Ac-PSMA-617/[177Lu]Lu-PSMA-617 tandem therapy in patients who had progressed on [177Lu]Lu-PSMA-617 monotherapy. Methods: Seventeen patients with mCRPC were included in a retrospective, monocenter study. Molecular imaging-based response was assessed by modified PERCIST criteria using the whole-body total lesion PSMA (TLP) and molecular tumour volume (MTV) derived from [68Ga]Ga-PSMA-11 PET/CT. Biochemical response was evaluated according to PCWG3 criteria using the prostate-specific antigen (PSA) serum value. Concordance and correlation statistics as well as survival analyses were performed. Results: Based on the molecular imaging-based response assessment, 5 (29.4%) patients showed partial remission and 7 (41.2%) had stable disease. The remaining 5 (29.4%) patients had further progression, four with an increase in TLP/MTV of &gt;30% and one with stable TLP/MTV but appearance of new metastases. Based on the biochemical response assessment, 5 (29.4%), 8 (47.1%), and 4 (23.5%) patients showed partial remission, stable disease, and progressive disease, respectively. A comparison of the response assessment methods showed a concordance of 100% (17/17) between TLP and MTV and 70.6% (12/17) between TLP/MTV and PSA. Patients with partial remission, independently assessed by each method, had better overall survival (OS) than patients with either stable or progressive disease. The difference in OS was statistically significant for the molecular imaging response assessment (median OS not reached vs. 8.3 m, p = 0.044), but not for the biochemical response assessment (median OS 18.1 m vs. 9.4 m, p = 0.468). Conclusion: Based on both assessment methods, [225Ac]Ac-PSMA-617/[177Lu]Lu-PSMA-617 tandem therapy is an effective treatment for the highly challenging cohort of patients with mCRPC who have progressed on [177Lu]Lu-PSMA-617 monotherapy. Molecular imaging response and biochemical PSA response were mostly concordant, though a considerable number of cases (29.4%) were discordant. Molecular imaging response reflecting the change in total viable tumour burden appears to be superior to PSA change in estimating survival outcome after tandem therapy.","container-title":"Theranostics","DOI":"10.7150/thno.56211","ISSN":"1838-7640","issue":"9","journalAbbreviation":"Theranostics","language":"eng","note":"PMID: 33754047\nPMCID: PMC7977444","page":"4050-4060","source":"PubMed","title":"Molecular imaging and biochemical response assessment after a single cycle of [225Ac]Ac-PSMA-617/[177Lu]Lu-PSMA-617 tandem therapy in mCRPC patients who have progressed on [177Lu]Lu-PSMA-617 monotherapy","volume":"11","author":[{"family":"Rosar","given":"Florian"},{"family":"Hau","given":"Fabian"},{"family":"Bartholomä","given":"Mark"},{"family":"Maus","given":"Stephan"},{"family":"Stemler","given":"Tobias"},{"family":"Linxweiler","given":"Johannes"},{"family":"Ezziddin","given":"Samer"},{"family":"Khreish","given":"Fadi"}],"issued":{"date-parts":[["2021"]]}}}],"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(53)</w:t>
            </w:r>
            <w:r w:rsidRPr="00AA1159">
              <w:rPr>
                <w:rFonts w:cstheme="minorHAnsi"/>
                <w:sz w:val="18"/>
              </w:rPr>
              <w:fldChar w:fldCharType="end"/>
            </w:r>
          </w:p>
        </w:tc>
        <w:tc>
          <w:tcPr>
            <w:tcW w:w="993" w:type="dxa"/>
            <w:vAlign w:val="center"/>
          </w:tcPr>
          <w:p w14:paraId="65118CA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6D4E415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PC/15</w:t>
            </w:r>
          </w:p>
        </w:tc>
        <w:tc>
          <w:tcPr>
            <w:tcW w:w="1973" w:type="dxa"/>
            <w:vAlign w:val="center"/>
          </w:tcPr>
          <w:p w14:paraId="6E2E2176"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7AC6B12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Combination 177Lu-based TRT/ 15      Ra-223/3</w:t>
            </w:r>
          </w:p>
        </w:tc>
        <w:tc>
          <w:tcPr>
            <w:tcW w:w="1701" w:type="dxa"/>
            <w:vAlign w:val="center"/>
          </w:tcPr>
          <w:p w14:paraId="3387777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2.7 ± 1.1</w:t>
            </w:r>
          </w:p>
          <w:p w14:paraId="6EFFF184"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MBq/cycle</w:t>
            </w:r>
          </w:p>
        </w:tc>
      </w:tr>
      <w:tr w:rsidR="000A3731" w:rsidRPr="00AA1159" w14:paraId="3A910E20" w14:textId="77777777" w:rsidTr="000A3731">
        <w:tc>
          <w:tcPr>
            <w:tcW w:w="1696" w:type="dxa"/>
            <w:vAlign w:val="center"/>
          </w:tcPr>
          <w:p w14:paraId="3B4DF6BB" w14:textId="149B89A0" w:rsidR="000A3731" w:rsidRPr="00AA1159" w:rsidRDefault="000A3731" w:rsidP="000A3731">
            <w:pPr>
              <w:widowControl w:val="0"/>
              <w:jc w:val="center"/>
              <w:rPr>
                <w:rFonts w:cstheme="minorHAnsi"/>
                <w:sz w:val="18"/>
                <w:lang w:val="en-US"/>
              </w:rPr>
            </w:pPr>
            <w:r w:rsidRPr="00AA1159">
              <w:rPr>
                <w:rFonts w:cstheme="minorHAnsi"/>
                <w:sz w:val="18"/>
                <w:lang w:val="en-US"/>
              </w:rPr>
              <w:t>Feuerecker/2020</w:t>
            </w:r>
            <w:r w:rsidRPr="00AA1159">
              <w:rPr>
                <w:rFonts w:cstheme="minorHAnsi"/>
                <w:sz w:val="18"/>
              </w:rPr>
              <w:fldChar w:fldCharType="begin"/>
            </w:r>
            <w:r w:rsidR="008666A7">
              <w:rPr>
                <w:rFonts w:cstheme="minorHAnsi"/>
                <w:sz w:val="18"/>
                <w:lang w:val="en-US"/>
              </w:rPr>
              <w:instrText xml:space="preserve"> ADDIN ZOTERO_ITEM CSL_CITATION {"citationID":"oe11O9GZ","properties":{"formattedCitation":"(54)","plainCitation":"(54)","noteIndex":0},"citationItems":[{"id":4,"uris":["http://zotero.org/users/15628667/items/P4ZJUMZN"],"itemData":{"id":4,"type":"article-journal","abstract":"BACKGROUND: Beta-emitting Lu-177-labeled prostate-specific membrane antigen (PSMA) radioligand therapy (RLT) is a new option for metastatic  castration-resistant prostate cancer (mCRPC), but its antitumor effect can  decrease over time. OBJECTIVE: To report the safety and activity of  alpha-emitting Ac-225-PSMA-617 RLT in mCRPC that has progressed after  Lu-177-PSMA. DESIGN, SETTING, AND PARTICIPANTS: Twenty-six patients were treated  under a compassionate use protocol. The eligibility criteria included previous  treatment with abiraterone or enzalutamide, previous taxane-based chemotherapy,  progression after Lu-177-PSMA, and positive PSMA-ligand uptake. The median number  of previous mCRPC regimens was 6. Ac-225-PSMA-617 was given every 8 wk until  progression/intolerable side effects. OUTCOME MEASUREMENTS AND STATISTICAL  ANALYSIS: Prostate-specific antigen (PSA) decline, PSA progression-free survival  (PSA-PFS), clinical progression-free survival (cPFS), overall survival (OS), and  toxicity were measured. RESULTS AND LIMITATIONS: Sixty-one cycles of  Ac-225-PSMA-617 (median number of cycles 2; median activity 9 MBq) were  administered. A PSA decline of ≥50% was achieved in 17/26 patients. The median  PSA-PFS, cPFS, and OS periods were 3.5 (95% confidence interval [CI] 1.8-11.2),  4.1 (95% CI 3-14.8), and 7.7 (95% CI 4.5-12.1) mo, respectively. Liver metastases  were associated with shorter PSA-PFS (median 1.9 vs 4.0 mo; p = 0.02), cPFS  (median 1.8 vs 5.2 mo; p = 0.001), and OS (median 4.3 vs 10.4 mo; p = 0.01).  Hematological grade 3/4 toxicities were anemia (35%), leucopenia (27%), and  thrombocytopenia (19%). All patients experienced grade 1/2 xerostomia. Two and  six patients stopped due to hematological toxicity and xerostomia, respectively.  A limitation is the retrospective design. CONCLUSIONS: Ac-225-PSMA-617 showed  measurable antitumor effect after Lu-177-PSMA failure in late-stage mCRPC. Grade  3/4 hematological side effects were observed in up to one-third of patients, and  xerostomia led to treatment halt in a relevant number of patients. PATIENT  SUMMARY: Ac-225-labeled prostate-specific membrane antigen (PSMA)-617 therapy  showed substantial antitumor effect in late metastatic castration-resistant  prostate cancer after Lu-177-PSMA failure. However, dry mouth is a common side  effect that caused about a quarter of patients to stop therapy.","container-title":"European urology","DOI":"10.1016/j.eururo.2020.11.013","ISSN":"1873-7560 0302-2838","issue":"3","journalAbbreviation":"Eur Urol","language":"eng","license":"Copyright © 2020 European Association of Urology. Published by Elsevier B.V. All rights reserved.","note":"publisher-place: Switzerland\nPMID: 33293081","page":"343-350","title":"Activity and Adverse Events of Actinium-225-PSMA-617 in Advanced Metastatic Castration-resistant Prostate Cancer After Failure of Lutetium-177-PSMA.","volume":"79","author":[{"family":"Feuerecker","given":"Benedikt"},{"family":"Tauber","given":"Robert"},{"family":"Knorr","given":"Karina"},{"family":"Heck","given":"Matthias"},{"family":"Beheshti","given":"Ali"},{"family":"Seidl","given":"Christof"},{"family":"Bruchertseifer","given":"Frank"},{"family":"Pickhard","given":"Anja"},{"family":"Gafita","given":"Andrei"},{"family":"Kratochwil","given":"Clemens"},{"family":"Retz","given":"Margitta"},{"family":"Gschwend","given":"Jürgen E."},{"family":"Weber","given":"Wolfgang A."},{"family":"D'Alessandria","given":"Calogero"},{"family":"Morgenstern","given":"Alfred"},{"family":"Eiber","given":"Matthias"}],"issued":{"date-parts":[["2021",3]]}}}],"schema":"https://github.com/citation-style-language/schema/raw/master/csl-citation.json"}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(54)</w:t>
            </w:r>
            <w:r w:rsidRPr="00AA1159">
              <w:rPr>
                <w:rFonts w:cstheme="minorHAnsi"/>
                <w:sz w:val="18"/>
              </w:rPr>
              <w:fldChar w:fldCharType="end"/>
            </w:r>
          </w:p>
        </w:tc>
        <w:tc>
          <w:tcPr>
            <w:tcW w:w="993" w:type="dxa"/>
            <w:vAlign w:val="center"/>
          </w:tcPr>
          <w:p w14:paraId="38FF26B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2F7C4E6F"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PC/26</w:t>
            </w:r>
          </w:p>
        </w:tc>
        <w:tc>
          <w:tcPr>
            <w:tcW w:w="1973" w:type="dxa"/>
            <w:vAlign w:val="center"/>
          </w:tcPr>
          <w:p w14:paraId="4ED9D50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15CDA205"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TRT/26  Ra-223/6</w:t>
            </w:r>
          </w:p>
        </w:tc>
        <w:tc>
          <w:tcPr>
            <w:tcW w:w="1701" w:type="dxa"/>
            <w:vAlign w:val="center"/>
          </w:tcPr>
          <w:p w14:paraId="0CCD49B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9MBq/Cycle  (2-5)</w:t>
            </w:r>
          </w:p>
        </w:tc>
      </w:tr>
      <w:tr w:rsidR="000A3731" w:rsidRPr="00AA1159" w14:paraId="170A722C" w14:textId="77777777" w:rsidTr="000A3731">
        <w:tc>
          <w:tcPr>
            <w:tcW w:w="1696" w:type="dxa"/>
            <w:vAlign w:val="center"/>
          </w:tcPr>
          <w:p w14:paraId="69D7C102" w14:textId="61704D15" w:rsidR="000A3731" w:rsidRPr="00AA1159" w:rsidRDefault="000A3731" w:rsidP="000A3731">
            <w:pPr>
              <w:widowControl w:val="0"/>
              <w:jc w:val="center"/>
              <w:rPr>
                <w:rFonts w:cstheme="minorHAnsi"/>
                <w:sz w:val="18"/>
                <w:lang w:val="en-US"/>
              </w:rPr>
            </w:pPr>
            <w:r w:rsidRPr="00AA1159">
              <w:rPr>
                <w:rFonts w:cstheme="minorHAnsi"/>
                <w:sz w:val="18"/>
                <w:lang w:val="en-US"/>
              </w:rPr>
              <w:t>Satapathty/2020</w:t>
            </w:r>
            <w:r w:rsidRPr="00AA1159">
              <w:rPr>
                <w:rFonts w:cstheme="minorHAnsi"/>
                <w:sz w:val="18"/>
              </w:rPr>
              <w:fldChar w:fldCharType="begin"/>
            </w:r>
            <w:r w:rsidR="008666A7">
              <w:rPr>
                <w:rFonts w:cstheme="minorHAnsi"/>
                <w:sz w:val="18"/>
                <w:lang w:val="en-US"/>
              </w:rPr>
              <w:instrText xml:space="preserve"> ADDIN ZOTERO_ITEM CSL_CITATION {"citationID":"JcyunsQ9","properties":{"formattedCitation":"(55)","plainCitation":"(55)","noteIndex":0},"citationItems":[{"id":432,"uris":["http://zotero.org/users/15628667/items/YQUBHMUP"],"itemData":{"id":432,"type":"article-journal","abstract":"AIMS: Actinium-225 ((225)Ac) labeled prostate-specific membrane antigen (PSMA)-617 is a novel treatment modality in the management of metastatic  castration-resistant prostate cancer (mCRPC). The present study was conducted to  assess the impact of (225)Ac-PSMA-617 therapy on the quality-of-life of patients  with heavily pretreated mCRPC using the National Comprehensive Cancer  Network-Functional Assessment of Cancer Therapy-Prostate Symptom Index-17  (NCCN-FACT-FPSI-17) questionnaire. MATERIALS AND METHODS: This was a  retrospective single-center study where data of consecutive heavily pretreated  mCRPC patients treated with (225)Ac-PSMA-617 from January 2019 to February 2020,  was collected and analyzed for the biochemical response, quality-of-life outcomes  and treatment-related toxicity. RESULTS: Eleven heavily pretreated mCRPC patients  received a median cumulative dose of 8.3 MBq (interquartile range [IQR] 5.6-20.4  MBq) (225)Ac-PSMA-617 over 1-4 cycles. 5/11 patients (46%) showed a ≥50% decline  in Prostate Specific Antigen (PSA), while stable values and PSA progression were  observed in 3/11 (27%) patients each. Pre- and post-therapy NCCN-FACT-FPSI-17  questionnaires revealed statistically significant improvement in the total FPSI  score (P = 0.003) as well as the disease-related symptoms-physical (P = 0.004)  and disease-related symptoms-emotional (P = 0.046) subscores. Among the physical  symptoms, significant improvement was noted with respect to pain, difficulty in  urination, bone pain, fatigue, and restriction in physical activity. No  significant change was noted in the treatment side-effects subscore. Of the  treatment-related adverse effects, Grade 3 dryness of the mouth, anemia, and  nephrotoxicity was observed in 1/11 patients (9%) each and Grade 3  thrombocytopenia in 2/11 patients (18%). CONCLUSION: Health-related  quality-of-life of the mCRPC patients improved significantly with  (225)Ac-PSMA-617 despite extensive pretreatment and advanced nature of the  disease.","container-title":"Indian journal of nuclear medicine : IJNM : the official journal of the Society of Nuclear Medicine, India","DOI":"10.4103/ijnm.IJNM_130_20","ISSN":"0972-3919 0974-0244","issue":"4","journalAbbreviation":"Indian J Nucl Med","language":"eng","license":"Copyright: © 2020 Indian Journal of Nuclear Medicine.","note":"publisher-place: India\nPMID: 33642753 \nPMCID: PMC7905268","page":"299-304","title":"Health-Related Quality-of-Life Outcomes with Actinium-225-Prostate-Specific Membrane Antigen-617 Therapy in Patients with Heavily Pretreated Metastatic  Castration-Resistant Prostate Cancer.","volume":"35","author":[{"family":"Satapathy","given":"Swayamjeet"},{"family":"Mittal","given":"Bhagwant Rai"},{"family":"Sood","given":"Ashwani"},{"family":"Das","given":"Chandan Krushna"},{"family":"Singh","given":"Shrawan Kumar"},{"family":"Mavuduru","given":"Ravimohan Suryanarayan"},{"family":"Bora","given":"Girdhar Singh"}],"issued":{"date-parts":[["2020",12]]}}}],"schema":"https://github.com/citation-style-language/schema/raw/master/csl-citation.json"}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(55)</w:t>
            </w:r>
            <w:r w:rsidRPr="00AA1159">
              <w:rPr>
                <w:rFonts w:cstheme="minorHAnsi"/>
                <w:sz w:val="18"/>
              </w:rPr>
              <w:fldChar w:fldCharType="end"/>
            </w:r>
          </w:p>
        </w:tc>
        <w:tc>
          <w:tcPr>
            <w:tcW w:w="993" w:type="dxa"/>
            <w:vAlign w:val="center"/>
          </w:tcPr>
          <w:p w14:paraId="15144C56"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46C1343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PC/11</w:t>
            </w:r>
          </w:p>
        </w:tc>
        <w:tc>
          <w:tcPr>
            <w:tcW w:w="1973" w:type="dxa"/>
            <w:vAlign w:val="center"/>
          </w:tcPr>
          <w:p w14:paraId="7CFD0BE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12BF7D2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TRT/57</w:t>
            </w:r>
          </w:p>
        </w:tc>
        <w:tc>
          <w:tcPr>
            <w:tcW w:w="1701" w:type="dxa"/>
            <w:vAlign w:val="center"/>
          </w:tcPr>
          <w:p w14:paraId="57313D5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 MBq/kg  (1-4)</w:t>
            </w:r>
          </w:p>
        </w:tc>
      </w:tr>
      <w:tr w:rsidR="000A3731" w:rsidRPr="00AA1159" w14:paraId="6A9B9016" w14:textId="77777777" w:rsidTr="000A3731">
        <w:tc>
          <w:tcPr>
            <w:tcW w:w="1696" w:type="dxa"/>
            <w:vAlign w:val="center"/>
          </w:tcPr>
          <w:p w14:paraId="06CAAD5F" w14:textId="4055179A" w:rsidR="000A3731" w:rsidRPr="00AA1159" w:rsidRDefault="000A3731" w:rsidP="000A3731">
            <w:pPr>
              <w:widowControl w:val="0"/>
              <w:jc w:val="center"/>
              <w:rPr>
                <w:rFonts w:cstheme="minorHAnsi"/>
                <w:sz w:val="18"/>
                <w:lang w:val="en-US"/>
              </w:rPr>
            </w:pPr>
            <w:r w:rsidRPr="00AA1159">
              <w:rPr>
                <w:rFonts w:cstheme="minorHAnsi"/>
                <w:sz w:val="18"/>
                <w:lang w:val="en-US"/>
              </w:rPr>
              <w:t>Zacherl/2020</w:t>
            </w:r>
            <w:r w:rsidRPr="00AA1159">
              <w:rPr>
                <w:rFonts w:cstheme="minorHAnsi"/>
                <w:sz w:val="18"/>
              </w:rPr>
              <w:fldChar w:fldCharType="begin"/>
            </w:r>
            <w:r w:rsidR="008666A7">
              <w:rPr>
                <w:rFonts w:cstheme="minorHAnsi"/>
                <w:sz w:val="18"/>
                <w:lang w:val="en-US"/>
              </w:rPr>
              <w:instrText xml:space="preserve"> ADDIN ZOTERO_ITEM CSL_CITATION {"citationID":"BOfisMqf","properties":{"formattedCitation":"(56)","plainCitation":"(56)","noteIndex":0},"citationItems":[{"id":178,"uris":["http://zotero.org/users/15628667/items/H2G6U5KC"],"itemData":{"id":178,"type":"article-journal","abstract":"Treatment of advanced metastatic castration-resistant prostate cancer after failure of approved therapy options remains challenging. Prostate-specific  membrane antigen (PSMA)-targeting β- and α-emitters have been introduced, with  promising response rates. Here, we present the first-to our knowledge-clinical  data for PSMA-targeted α-therapy (TAT) using (225)Ac-PSMA imaging and therapy  (I&amp;T). Methods: Fourteen patients receiving (225)Ac-PSMA-I&amp;T were included in  this retrospective analysis. Eleven of the 14 had prior second-line antiandrogen  treatment with abiraterone or enzalutamide, prior chemotherapy, and prior  (177)Lu-PSMA treatment. Patients were treated at bimonthly intervals until  progression or intolerable side effects. Prostate-specific antigen (PSA) was  measured for response assessment. Hematologic and nonhematologic side effects  were recorded according to the Common Terminology Criteria for Adverse Events,  version 5.0. Results: Thirty-four cycles of (225)Ac-PSMA-I&amp;T were applied (median  dose, 7.8 MBq; range, 6.0-8.5), with 1 cycle in 3 patients, 2 cycles in 7  patients, 4 cycles in 3 patients, and 5 cycles in 1 patient. No acute toxicity  was observed during hospitalization. Baseline PSA was 112 ng/mL (range, 20.5-818  ng/mL). The best PSA response after TAT (a PSA decline ≥ 50%) was observed in 7  patients, and a PSA decline of any amount was observed in 11 patients. Three  patients had no PSA decline at any time. A subgroup analysis of 11 patients with  prior (177)Lu-PSMA treatment showed any PSA decline in 8 patients and a decline  of at least 50% in 5 patients. After TAT, grade 3 anemia was observed in 3 of the  14 patients, with 2 of them presenting with grade 2 anemia already at baseline.  Grade 3 leukopenia was observed in 1 patient. Eight patients with preexisting  xerostomia after (177)Lu-PSMA showed no worsening after TAT. Newly diagnosed  grade 1 or 2 xerostomia after TAT was observed in 5 patients. One patient  reported no xerostomia at all. Conclusion: Our first clinical data for TAT using  (225)Ac-PSMA-I&amp;T showed a promising antitumor effect in advanced metastatic  castration-resistant prostate cancer. These results are highly comparable to data  on (225)Ac-PSMA-617 TAT.","container-title":"Journal of nuclear medicine : official publication, Society of Nuclear Medicine","DOI":"10.2967/jnumed.120.251017","ISSN":"1535-5667 0161-5505","issue":"5","journalAbbreviation":"J Nucl Med","language":"eng","license":"© 2021 by the Society of Nuclear Medicine and Molecular Imaging.","note":"publisher-place: United States\nPMID: 33008928","page":"669-674","title":"First Clinical Results for PSMA-Targeted α-Therapy Using (225)Ac-PSMA-I&amp;T in Advanced-mCRPC Patients.","volume":"62","author":[{"family":"Zacherl","given":"Mathias Johannes"},{"family":"Gildehaus","given":"Franz Josef"},{"family":"Mittlmeier","given":"Lena"},{"family":"Böning","given":"Guido"},{"family":"Gosewisch","given":"Astrid"},{"family":"Wenter","given":"Vera"},{"family":"Unterrainer","given":"Marcus"},{"family":"Schmidt-Hegemann","given":"Nina"},{"family":"Belka","given":"Claus"},{"family":"Kretschmer","given":"Alexander"},{"family":"Casuscelli","given":"Jozefina"},{"family":"Stief","given":"Christian G."},{"family":"Unterrainer","given":"Marcus"},{"family":"Bartenstein","given":"Peter"},{"family":"Todica","given":"Andrei"},{"family":"Ilhan","given":"Harun"}],"issued":{"date-parts":[["2021",5,10]]}}}],"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(56)</w:t>
            </w:r>
            <w:r w:rsidRPr="00AA1159">
              <w:rPr>
                <w:rFonts w:cstheme="minorHAnsi"/>
                <w:sz w:val="18"/>
              </w:rPr>
              <w:fldChar w:fldCharType="end"/>
            </w:r>
          </w:p>
        </w:tc>
        <w:tc>
          <w:tcPr>
            <w:tcW w:w="993" w:type="dxa"/>
            <w:vAlign w:val="center"/>
          </w:tcPr>
          <w:p w14:paraId="2869CF8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PSMA-I&amp;T</w:t>
            </w:r>
          </w:p>
        </w:tc>
        <w:tc>
          <w:tcPr>
            <w:tcW w:w="850" w:type="dxa"/>
            <w:vAlign w:val="center"/>
          </w:tcPr>
          <w:p w14:paraId="7E4A7854"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PC/14</w:t>
            </w:r>
          </w:p>
        </w:tc>
        <w:tc>
          <w:tcPr>
            <w:tcW w:w="1973" w:type="dxa"/>
            <w:vAlign w:val="center"/>
          </w:tcPr>
          <w:p w14:paraId="09F7210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68BA122E"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TRT/11</w:t>
            </w:r>
          </w:p>
        </w:tc>
        <w:tc>
          <w:tcPr>
            <w:tcW w:w="1701" w:type="dxa"/>
            <w:vAlign w:val="center"/>
          </w:tcPr>
          <w:p w14:paraId="4558615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 MBq/kg  (1-5)</w:t>
            </w:r>
          </w:p>
        </w:tc>
      </w:tr>
      <w:tr w:rsidR="000A3731" w:rsidRPr="00AA1159" w14:paraId="5A8A538D" w14:textId="77777777" w:rsidTr="000A3731">
        <w:tc>
          <w:tcPr>
            <w:tcW w:w="1696" w:type="dxa"/>
            <w:vAlign w:val="center"/>
          </w:tcPr>
          <w:p w14:paraId="6CF38663" w14:textId="6E94A110" w:rsidR="000A3731" w:rsidRPr="00AA1159" w:rsidRDefault="000A3731" w:rsidP="000A3731">
            <w:pPr>
              <w:widowControl w:val="0"/>
              <w:jc w:val="center"/>
              <w:rPr>
                <w:rFonts w:cstheme="minorHAnsi"/>
                <w:sz w:val="18"/>
                <w:lang w:val="en-US"/>
              </w:rPr>
            </w:pPr>
            <w:r w:rsidRPr="00AA1159">
              <w:rPr>
                <w:rFonts w:cstheme="minorHAnsi"/>
                <w:sz w:val="18"/>
                <w:lang w:val="en-US"/>
              </w:rPr>
              <w:t>Khreish/ 2020</w:t>
            </w:r>
            <w:r w:rsidRPr="00AA1159">
              <w:rPr>
                <w:rFonts w:cstheme="minorHAnsi"/>
                <w:sz w:val="18"/>
              </w:rPr>
              <w:fldChar w:fldCharType="begin"/>
            </w:r>
            <w:r w:rsidR="008666A7">
              <w:rPr>
                <w:rFonts w:cstheme="minorHAnsi"/>
                <w:sz w:val="18"/>
                <w:lang w:val="en-US"/>
              </w:rPr>
              <w:instrText xml:space="preserve"> ADDIN ZOTERO_ITEM CSL_CITATION {"citationID":"JlHGrd6z","properties":{"formattedCitation":"(57)","plainCitation":"(57)","noteIndex":0},"citationItems":[{"id":1200,"uris":["http://zotero.org/users/15628667/items/A3ACEW3G"],"itemData":{"id":1200,"type":"article-journal","container-title":"European Journal of Nuclear Medicine and Molecular Imaging","DOI":"10.1007/s00259-019-04612-0","ISSN":"1619-7070, 1619-7089","issue":"3","journalAbbreviation":"Eur J Nucl Med Mol Imaging","language":"en","license":"http://www.springer.com/tdm","note":"publisher: Springer Science and Business Media LLC","page":"721-728","source":"Crossref","title":"225Ac-PSMA-617/177Lu-PSMA-617 tandem therapy of metastatic castration-resistant prostate cancer: pilot experience","title-short":"225Ac-PSMA-617/177Lu-PSMA-617 tandem therapy of metastatic castration-resistant prostate cancer","URL":"http://link.springer.com/10.1007/s00259-019-04612-0","volume":"47","author":[{"family":"Khreish","given":"Fadi"},{"family":"Ebert","given":"Niklas"},{"family":"Ries","given":"Martin"},{"family":"Maus","given":"Stephan"},{"family":"Rosar","given":"Florian"},{"family":"Bohnenberger","given":"Hendrik"},{"family":"Stemler","given":"Tobias"},{"family":"Saar","given":"Matthias"},{"family":"Bartholomä","given":"Mark"},{"family":"Ezziddin","given":"Samer"}],"accessed":{"date-parts":[["2025",7,25]]},"issued":{"date-parts":[["2020",3]]}}}],"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(57)</w:t>
            </w:r>
            <w:r w:rsidRPr="00AA1159">
              <w:rPr>
                <w:rFonts w:cstheme="minorHAnsi"/>
                <w:sz w:val="18"/>
              </w:rPr>
              <w:fldChar w:fldCharType="end"/>
            </w:r>
          </w:p>
        </w:tc>
        <w:tc>
          <w:tcPr>
            <w:tcW w:w="993" w:type="dxa"/>
            <w:vAlign w:val="center"/>
          </w:tcPr>
          <w:p w14:paraId="55778178"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64AEBC06"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PC/20</w:t>
            </w:r>
          </w:p>
        </w:tc>
        <w:tc>
          <w:tcPr>
            <w:tcW w:w="1973" w:type="dxa"/>
            <w:vAlign w:val="center"/>
          </w:tcPr>
          <w:p w14:paraId="1E700D7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4BC08B08"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combination 177Lu-based TRT/20   Ra-223/4</w:t>
            </w:r>
          </w:p>
        </w:tc>
        <w:tc>
          <w:tcPr>
            <w:tcW w:w="1701" w:type="dxa"/>
            <w:vAlign w:val="center"/>
          </w:tcPr>
          <w:p w14:paraId="34A289B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 xml:space="preserve">tandem therapy </w:t>
            </w:r>
            <w:r w:rsidRPr="00AA1159">
              <w:rPr>
                <w:rFonts w:cstheme="minorHAnsi"/>
                <w:sz w:val="18"/>
                <w:lang w:val="en-US"/>
              </w:rPr>
              <w:br/>
              <w:t>5.3MBq/cycle</w:t>
            </w:r>
          </w:p>
        </w:tc>
      </w:tr>
      <w:tr w:rsidR="000A3731" w:rsidRPr="00AA1159" w14:paraId="52C89301" w14:textId="77777777" w:rsidTr="000A3731">
        <w:tc>
          <w:tcPr>
            <w:tcW w:w="1696" w:type="dxa"/>
            <w:vAlign w:val="center"/>
          </w:tcPr>
          <w:p w14:paraId="07B41DCB" w14:textId="06AF069D" w:rsidR="000A3731" w:rsidRPr="00AA1159" w:rsidRDefault="000A3731" w:rsidP="000A3731">
            <w:pPr>
              <w:widowControl w:val="0"/>
              <w:jc w:val="center"/>
              <w:rPr>
                <w:rFonts w:cstheme="minorHAnsi"/>
                <w:sz w:val="18"/>
                <w:lang w:val="en-US"/>
              </w:rPr>
            </w:pPr>
            <w:r w:rsidRPr="00AA1159">
              <w:rPr>
                <w:rFonts w:cstheme="minorHAnsi"/>
                <w:sz w:val="18"/>
                <w:lang w:val="en-US"/>
              </w:rPr>
              <w:t>Sathekge/2020</w:t>
            </w:r>
            <w:r w:rsidRPr="00AA1159">
              <w:rPr>
                <w:rFonts w:cstheme="minorHAnsi"/>
                <w:sz w:val="18"/>
              </w:rPr>
              <w:fldChar w:fldCharType="begin"/>
            </w:r>
            <w:r w:rsidR="008666A7">
              <w:rPr>
                <w:rFonts w:cstheme="minorHAnsi"/>
                <w:sz w:val="18"/>
                <w:lang w:val="en-US"/>
              </w:rPr>
              <w:instrText xml:space="preserve"> ADDIN ZOTERO_ITEM CSL_CITATION {"citationID":"pisKDsdG","properties":{"formattedCitation":"(58)","plainCitation":"(58)","noteIndex":0},"citationItems":[{"id":485,"uris":["http://zotero.org/users/15628667/items/QRM7LCZ6"],"itemData":{"id":485,"type":"article-journal","abstract":"Metastatic prostate carcinoma overexpresses prostate-specific membrane antigen (PSMA), making this antigen a suitable target for radioligand therapy of the  disease. Here we report on our experience with a series of 73  castration-resistant prostate carcinoma patients treated with (225)Ac-PSMA-617,  identifying variables predictive for overall survival (OS) and progression-free  survival (PFS) after (225)Ac-PSMA-617 treatment. Methods:(225)Ac-PSMA-617 was  administered to patients who had metastatic castration-resistant prostate  carcinoma and who had exhausted available therapy options for their disease. Full  blood count, glomerular filtration rate, and liver function test were obtained at  baseline and on follow-up for evaluation of toxicity. (68)Ga-PSMA PET/CT was  obtained at baseline, before every treatment cycle, and on follow-up for  selection of patients for treatment, to determine the activity of the treatment  agent to be administered, and for response assessment. Serial prostate-specific  antigen (PSA) was obtained for PSA response assessment. Results: Seventy-three  men (mean age, 69 y; range, 45-85 y) with metastatic castration-resistant  prostate carcinoma were treated with 210 cycles of (225)Ac-PSMA-617. In 70% of  patients, a PSA decline of greater than or equal to 50% was obtained; 82% of  patients had any PSA decline. In 29% of patients, all lesions on (68)Ga-PSMA PET  resolved in response to treatment. During follow-up, 23 patients experienced  disease progression, whereas 13 patients died from their disease. The estimated  median PFS and OS were 15.2 mo (95% CI, 13.1-17.4) and 18 mo (95% CI, 16.2-19.9),  respectively. In univariate analyses, factors such as baseline PSA, any PSA  decline, PSA decline of greater than or equal to 50%, prior chemotherapy, prior  radiation therapy, and baseline hemoglobin level were associated with longer PFS  and OS (all Ps &lt; 0.05). In multivariate analyses, there was a negative  association between prior (177)Lu-PSMA therapy and PFS, and a positive  association between PSA decline of greater or equal to 50% and PFS. Only a PSA  decline of greater than or equal to 50% remained significantly associated with OS  on multivariate analyses. Xerostomia was seen in 85% of patients but was not  severe enough to warrant discontinuing treatment. Anemia was seen in 27 patients;  no patients had grade IV bone marrow toxicity. Renal failure of grade III or IV  was seen in 5 patients with baseline renal impairment. Conclusion: In this study,  a PSA decline of greater than or equal to 50% after treatment with  (225)Ac-PSMA-617 was proven by multivariate analyses to be significantly  associated with OS and PFS. Furthermore, previous (177)Lu-PSMA treatment was  negatively associated with PFS in both univariate and multivariate analyses.","container-title":"Journal of nuclear medicine : official publication, Society of Nuclear Medicine","DOI":"10.2967/jnumed.119.229229","ISSN":"1535-5667 0161-5505","issue":"1","journalAbbreviation":"J Nucl Med","language":"eng","license":"© 2020 by the Society of Nuclear Medicine and Molecular Imaging.","note":"publisher-place: United States\nPMID: 31101746","page":"62-69","title":"Predictors of Overall and Disease-Free Survival in Metastatic Castration-Resistant Prostate Cancer Patients Receiving (225)Ac-PSMA-617  Radioligand Therapy.","volume":"61","author":[{"family":"Sathekge","given":"Mike"},{"family":"Bruchertseifer","given":"Frank"},{"family":"Vorster","given":"Mariza"},{"family":"Lawal","given":"Ismaheel O."},{"family":"Knoesen","given":"Otto"},{"family":"Mahapane","given":"Johncy"},{"family":"Davis","given":"Cindy"},{"family":"Reyneke","given":"Florette"},{"family":"Maes","given":"Alex"},{"family":"Kratochwil","given":"Clemens"},{"family":"Lengana","given":"Thabo"},{"family":"Giesel","given":"Frederik L."},{"family":"Van de Wiele","given":"Christophe"},{"family":"Morgenstern","given":"Alfred"}],"issued":{"date-parts":[["2020",1]]}}}],"schema":"https://github.com/citation-style-language/schema/raw/master/csl-citation.json"}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(58)</w:t>
            </w:r>
            <w:r w:rsidRPr="00AA1159">
              <w:rPr>
                <w:rFonts w:cstheme="minorHAnsi"/>
                <w:sz w:val="18"/>
              </w:rPr>
              <w:fldChar w:fldCharType="end"/>
            </w:r>
          </w:p>
        </w:tc>
        <w:tc>
          <w:tcPr>
            <w:tcW w:w="993" w:type="dxa"/>
            <w:vAlign w:val="center"/>
          </w:tcPr>
          <w:p w14:paraId="23E7B8D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w:t>
            </w:r>
          </w:p>
        </w:tc>
        <w:tc>
          <w:tcPr>
            <w:tcW w:w="850" w:type="dxa"/>
            <w:vAlign w:val="center"/>
          </w:tcPr>
          <w:p w14:paraId="0BAB87A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PC/73</w:t>
            </w:r>
          </w:p>
        </w:tc>
        <w:tc>
          <w:tcPr>
            <w:tcW w:w="1973" w:type="dxa"/>
            <w:vAlign w:val="center"/>
          </w:tcPr>
          <w:p w14:paraId="4E808A5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344899B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TRT/14</w:t>
            </w:r>
          </w:p>
        </w:tc>
        <w:tc>
          <w:tcPr>
            <w:tcW w:w="1701" w:type="dxa"/>
            <w:vAlign w:val="center"/>
          </w:tcPr>
          <w:p w14:paraId="603E5826"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210 cycles in total(1-8 cycle)</w:t>
            </w:r>
          </w:p>
        </w:tc>
      </w:tr>
      <w:tr w:rsidR="000A3731" w:rsidRPr="00AA1159" w14:paraId="49E1C0A4" w14:textId="77777777" w:rsidTr="000A3731">
        <w:tc>
          <w:tcPr>
            <w:tcW w:w="1696" w:type="dxa"/>
            <w:vAlign w:val="center"/>
          </w:tcPr>
          <w:p w14:paraId="73BC6819" w14:textId="483EF31D" w:rsidR="000A3731" w:rsidRPr="00AA1159" w:rsidRDefault="000A3731" w:rsidP="000A3731">
            <w:pPr>
              <w:widowControl w:val="0"/>
              <w:jc w:val="center"/>
              <w:rPr>
                <w:rFonts w:cstheme="minorHAnsi"/>
                <w:sz w:val="18"/>
                <w:lang w:val="en-US"/>
              </w:rPr>
            </w:pPr>
            <w:r w:rsidRPr="00AA1159">
              <w:rPr>
                <w:rFonts w:cstheme="minorHAnsi"/>
                <w:sz w:val="18"/>
                <w:lang w:val="en-US"/>
              </w:rPr>
              <w:t>Yadav/2020</w:t>
            </w:r>
            <w:r w:rsidRPr="00AA1159">
              <w:rPr>
                <w:rFonts w:cstheme="minorHAnsi"/>
                <w:sz w:val="18"/>
              </w:rPr>
              <w:fldChar w:fldCharType="begin"/>
            </w:r>
            <w:r w:rsidR="008666A7">
              <w:rPr>
                <w:rFonts w:cstheme="minorHAnsi"/>
                <w:sz w:val="18"/>
                <w:lang w:val="en-US"/>
              </w:rPr>
              <w:instrText xml:space="preserve"> ADDIN ZOTERO_ITEM CSL_CITATION {"citationID":"O4a0SNHe","properties":{"formattedCitation":"(59)","plainCitation":"(59)","noteIndex":0},"citationItems":[{"id":265,"uris":["http://zotero.org/users/15628667/items/QYDPBNM6"],"itemData":{"id":265,"type":"article-journal","abstract":"Rationale: Despite the success of several standards of care treatment options in metastatic castration-resistant prostate cancer (mCRPC), a significant number of  patients attain therapeutic resistance and eventually develop disease  progression. Managing these patients are currently challenging. Hence, there is  an unmet need for further efficient therapeutic options that induce anti-tumor  activity and improve survival. The objective of this study was to assess the  safety and therapeutic efficacy of (225)Ac-PSMA-617 targeted alpha therapy (TAT)  in mCRPC patients in real-world conditions. Methods: In this prospective study,  we recruited patients with mCRPC who either were refractory to (177)Lu-PSMA-617  radioligand therapy (RLT) or did not receive previous (177)Lu-PSMA-617 RLT.  Patients were treated with (225)Ac-PSMA-617 TAT (100 KBq/Kg body weight) at  8-weekly intervals. The primary endpoint included the assessment of biochemical  response by measuring the serum prostate-specific antigen (PSA) response rate as  per the prostate cancer working group criteria (PCWG3). Secondary endpoints  comprised the estimation of overall survival (OS), progression-free survival  (PFS), molecular tumor response assessment (PERCIST 1 criteria), disease control  rate (DCR), toxicity according to CTCAE v5.0, and clinical response evaluation.  Results: A total of 28 patients were recruited for this cohort study among whom  15 (54%) received prior (177)Lu-PSMA-617 RLT and the remaining 13 (46%) patients  were (177)Lu-PSMA-617 RLT naïve. The mean age was 69.7 years (range: 46-87  years). All patients, except one, had extensive skeletal metastases on baseline  (68)Ga-PSMA-11 PET/CT scan; one patient had lymph node dominant disease and  advanced primary prostatic tumor. The mean activity administered was 26.5 ± 12  MBq (range: 9.25 - 62.9 MBq) [715.5 ± 327 µCi, range: 250 - 1700 µCi] with a  median of 3 cycles (range: 1 - 7 cycles). At 8(th) week of post first cycle of  (225)Ac-PSMA-617 therapy (initial follow-up) and the end of the follow-up, &gt;50%  decline in PSA was observed in 25% and 39%, respectively. The median PFS and OS  were 12 months (95% CI: 9 - 13 months) and 17 months (95% CI: 16 months - upper  limit not reached), respectively. Molecular tumor response by PERCIST 1 criteria  could be conducted in 22/28 (78.6%) patients, which revealed complete response in  2/22 (9%), partial response in 10/22 (45.4%) patients, 2/22 (9%) with stable  disease, and 8/22 (36%) with progressive diseases. The disease control rate,  according to the biochemical and molecular tumor response criteria, was 82% and  63.6%, respectively. Multivariate analysis revealed PSA progression as adverse  prognostic indicator of OS, and any PSA decline as a good prognostic indicator of  PFS. There was no Grade III/IV toxicity noted in this series. The most common  side-effect was transient fatigue (50%) followed by grade I/II xerostomia (29%).  Conclusion:(225)Ac-PSMA-617 TAT showed promising disease control rate, even when  all other therapeutic options were exhausted, with low treatment-related  toxicities.","container-title":"Theranostics","DOI":"10.7150/thno.48107","ISSN":"1838-7640","issue":"20","journalAbbreviation":"Theranostics","language":"eng","license":"© The author(s).","note":"publisher-place: Australia\nPMID: 32802197 \nPMCID: PMC7415797","page":"9364-9377","title":"Efficacy and safety of (225)Ac-PSMA-617 targeted alpha therapy in metastatic castration-resistant Prostate Cancer patients.","volume":"10","author":[{"family":"Yadav","given":"Madhav Prasad"},{"family":"Ballal","given":"Sanjana"},{"family":"Sahoo","given":"Ranjit Kumar"},{"family":"Tripathi","given":"Madhavi"},{"family":"Seth","given":"Amlesh"},{"family":"Bal","given":"Chandrasekhar"}],"issued":{"date-parts":[["2020"]]}}}],"schema":"https://github.com/citation-style-language/schema/raw/master/csl-citation.json"}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(59)</w:t>
            </w:r>
            <w:r w:rsidRPr="00AA1159">
              <w:rPr>
                <w:rFonts w:cstheme="minorHAnsi"/>
                <w:sz w:val="18"/>
              </w:rPr>
              <w:fldChar w:fldCharType="end"/>
            </w:r>
          </w:p>
        </w:tc>
        <w:tc>
          <w:tcPr>
            <w:tcW w:w="993" w:type="dxa"/>
            <w:vAlign w:val="center"/>
          </w:tcPr>
          <w:p w14:paraId="1DF2860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w:t>
            </w:r>
          </w:p>
        </w:tc>
        <w:tc>
          <w:tcPr>
            <w:tcW w:w="850" w:type="dxa"/>
            <w:vAlign w:val="center"/>
          </w:tcPr>
          <w:p w14:paraId="7C0BEF8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PC/28</w:t>
            </w:r>
          </w:p>
        </w:tc>
        <w:tc>
          <w:tcPr>
            <w:tcW w:w="1973" w:type="dxa"/>
            <w:vAlign w:val="center"/>
          </w:tcPr>
          <w:p w14:paraId="70F161C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Prospective (single-arm)</w:t>
            </w:r>
          </w:p>
        </w:tc>
        <w:tc>
          <w:tcPr>
            <w:tcW w:w="2138" w:type="dxa"/>
            <w:vAlign w:val="center"/>
          </w:tcPr>
          <w:p w14:paraId="7741688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TRT/15</w:t>
            </w:r>
          </w:p>
        </w:tc>
        <w:tc>
          <w:tcPr>
            <w:tcW w:w="1701" w:type="dxa"/>
            <w:vAlign w:val="center"/>
          </w:tcPr>
          <w:p w14:paraId="2353333F"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 MBq/kg  (1-7)</w:t>
            </w:r>
          </w:p>
        </w:tc>
      </w:tr>
      <w:tr w:rsidR="000A3731" w:rsidRPr="00AA1159" w14:paraId="7025ECC4" w14:textId="77777777" w:rsidTr="000A3731">
        <w:tc>
          <w:tcPr>
            <w:tcW w:w="1696" w:type="dxa"/>
            <w:vAlign w:val="center"/>
          </w:tcPr>
          <w:p w14:paraId="74A83BBA" w14:textId="1766C72B" w:rsidR="000A3731" w:rsidRPr="00AA1159" w:rsidRDefault="000A3731" w:rsidP="000A3731">
            <w:pPr>
              <w:widowControl w:val="0"/>
              <w:jc w:val="center"/>
              <w:rPr>
                <w:rFonts w:cstheme="minorHAnsi"/>
                <w:sz w:val="18"/>
                <w:lang w:val="en-US"/>
              </w:rPr>
            </w:pPr>
            <w:r w:rsidRPr="00AA1159">
              <w:rPr>
                <w:rFonts w:cstheme="minorHAnsi"/>
                <w:sz w:val="18"/>
                <w:lang w:val="en-US"/>
              </w:rPr>
              <w:t>Sathekge/2019</w:t>
            </w:r>
            <w:r w:rsidRPr="00AA1159">
              <w:rPr>
                <w:rFonts w:cstheme="minorHAnsi"/>
                <w:sz w:val="18"/>
              </w:rPr>
              <w:fldChar w:fldCharType="begin"/>
            </w:r>
            <w:r w:rsidR="008666A7">
              <w:rPr>
                <w:rFonts w:cstheme="minorHAnsi"/>
                <w:sz w:val="18"/>
                <w:lang w:val="en-US"/>
              </w:rPr>
              <w:instrText xml:space="preserve"> ADDIN ZOTERO_ITEM CSL_CITATION {"citationID":"DNKx9BmV","properties":{"formattedCitation":"(60)","plainCitation":"(60)","noteIndex":0},"citationItems":[{"id":46,"uris":["http://zotero.org/users/15628667/items/N7BUGN98"],"itemData":{"id":46,"type":"article-journal","abstract":"BACKGROUND: A remarkable therapeutic efficacy has been demonstrated with (225)Ac-prostate-specific membrane antigen (PSMA)-617 in heavily pre-treated  metastatic castration-resistant prostate cancer (mCRPC) patients. We report our  experience with (225)Ac-PSMA-617 therapy in chemotherapy-naïve patients with  advanced metastatic prostate carcinoma. METHODS: Seventeen patients with advanced  prostate cancer were selected for treatment with (225)Ac-PSMA-617 in 2-month  intervals, with initial activity of 8 MBq, then de-escalation to 7 MBq, 6 MBq or  4 MBq in cases of good response. In one patient, activity was escalated to 13 MBq  in the third cycle. Fourteen patients had three treatment cycles administered,  while in three patients treatment was discontinued after two cycles due to good  response. Six out of 17 patients received additional treatments after the third  cycle. Prostate-specific antigen (PSA) was measured every 4 weeks for PSA  response assessment. (68)Ga-PSMA-PET/CT was used for functional response  assessment before each subsequent treatment cycle. Serial full blood count, renal  function test, and liver function were obtained to determine treatment-related  side effects. RESULTS: Good antitumor activity assessed by serum PSA level and  (68)Ga-PSMA-PET/CT was seen in 16/17 patients. In 14/17 patients, PSA decline  ≥90% was seen after treatment, including seven patients with undetectable serum  PSA following two (2/7) or three cycles (5/7) cycles of (225)Ac-PSMA-617. Fifteen  of 17 patients had a &gt; 50% decline in lesions avidity for tracer on  (68)Ga-PSMA-PET/CT including 11 patients with complete resolution (PET-negative  and either stable sclerosis on CT for bone or resolution of lymph node  metastases) of all metastatic lesions. Grade 1/2 xerostomia was seen in all  patients, and none was severe enough to lead to discontinuation of treatment. One  patient had with extensive bone marrow metastases and a background anemia  developed a grade 3 anemia while another patient with solitary kidney and  pre-treatment grade 3 renal failure developed grade 4 renal toxicity following  treatment. The group presented with significant palliation of bone pain and  reduced toxicity to salivary glands due to de-escalation. CONCLUSIONS:  (225)Ac-PSMA-617 RLT of chemotherapy-naïve patients with advanced metastatic  prostate carcinoma led to a ≥ 90% decline in serum PSA in 82% of patients  including 41% of patients with undetectable serum PSA who remained in remission  12 months after therapy. The remarkable therapeutic efficacy reported in this  study could be achieved with reduced toxicity to salivary glands due to  de-escalation of administered activities in subsequent treatment cycles. This  necessitates further exploration for informing clinical practice and clinical  trial design.","container-title":"European journal of nuclear medicine and molecular imaging","DOI":"10.1007/s00259-018-4167-0","ISSN":"1619-7089 1619-7070","issue":"1","journalAbbreviation":"Eur J Nucl Med Mol Imaging","language":"eng","note":"publisher-place: Germany\nPMID: 30232539 \nPMCID: PMC6267694","page":"129-138","title":"(225)Ac-PSMA-617 in chemotherapy-naive patients with advanced prostate cancer: a pilot study.","volume":"46","author":[{"family":"Sathekge","given":"Mike"},{"family":"Bruchertseifer","given":"Frank"},{"family":"Knoesen","given":"Otto"},{"family":"Reyneke","given":"Florette"},{"family":"Lawal","given":"Ismaheel"},{"family":"Lengana","given":"Thabo"},{"family":"Davis","given":"Cindy"},{"family":"Mahapane","given":"Johncy"},{"family":"Corbett","given":"Ceceila"},{"family":"Vorster","given":"Mariza"},{"family":"Morgenstern","given":"Alfred"}],"issued":{"date-parts":[["2019",1]]}}}],"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(60)</w:t>
            </w:r>
            <w:r w:rsidRPr="00AA1159">
              <w:rPr>
                <w:rFonts w:cstheme="minorHAnsi"/>
                <w:sz w:val="18"/>
              </w:rPr>
              <w:fldChar w:fldCharType="end"/>
            </w:r>
          </w:p>
        </w:tc>
        <w:tc>
          <w:tcPr>
            <w:tcW w:w="993" w:type="dxa"/>
            <w:vAlign w:val="center"/>
          </w:tcPr>
          <w:p w14:paraId="75083AD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57C63613"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PC/17</w:t>
            </w:r>
          </w:p>
        </w:tc>
        <w:tc>
          <w:tcPr>
            <w:tcW w:w="1973" w:type="dxa"/>
            <w:vAlign w:val="center"/>
          </w:tcPr>
          <w:p w14:paraId="6A156D5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5311694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 xml:space="preserve">(Chemo-naïve/17) 177Lu-based TRT/1 </w:t>
            </w:r>
          </w:p>
        </w:tc>
        <w:tc>
          <w:tcPr>
            <w:tcW w:w="1701" w:type="dxa"/>
            <w:vAlign w:val="center"/>
          </w:tcPr>
          <w:p w14:paraId="5E013A4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7.4 ± 1.5 MBq (2-6)</w:t>
            </w:r>
          </w:p>
        </w:tc>
      </w:tr>
      <w:tr w:rsidR="000A3731" w:rsidRPr="00AA1159" w14:paraId="2B7BAD64" w14:textId="77777777" w:rsidTr="000A3731">
        <w:tc>
          <w:tcPr>
            <w:tcW w:w="1696" w:type="dxa"/>
            <w:vAlign w:val="center"/>
          </w:tcPr>
          <w:p w14:paraId="79F90AC5" w14:textId="5CE74099" w:rsidR="000A3731" w:rsidRPr="00AA1159" w:rsidRDefault="000A3731" w:rsidP="000A3731">
            <w:pPr>
              <w:widowControl w:val="0"/>
              <w:jc w:val="center"/>
              <w:rPr>
                <w:rFonts w:cstheme="minorHAnsi"/>
                <w:sz w:val="18"/>
                <w:lang w:val="en-US"/>
              </w:rPr>
            </w:pPr>
            <w:r w:rsidRPr="00AA1159">
              <w:rPr>
                <w:rFonts w:cstheme="minorHAnsi"/>
                <w:sz w:val="18"/>
                <w:lang w:val="en-US"/>
              </w:rPr>
              <w:t>Kratochwil/2018</w:t>
            </w:r>
            <w:r w:rsidRPr="00AA1159">
              <w:rPr>
                <w:rFonts w:cstheme="minorHAnsi"/>
                <w:sz w:val="18"/>
              </w:rPr>
              <w:fldChar w:fldCharType="begin"/>
            </w:r>
            <w:r w:rsidR="008666A7">
              <w:rPr>
                <w:rFonts w:cstheme="minorHAnsi"/>
                <w:sz w:val="18"/>
                <w:lang w:val="en-US"/>
              </w:rPr>
              <w:instrText xml:space="preserve"> ADDIN ZOTERO_ITEM CSL_CITATION {"citationID":"oV5tfZ0W","properties":{"formattedCitation":"(61)","plainCitation":"(61)","noteIndex":0},"citationItems":[{"id":542,"uris":["http://zotero.org/users/15628667/items/RSQPSECF"],"itemData":{"id":542,"type":"article-journal","abstract":"The aim of this evaluation was to identify the first indicators of efficacy for (225)Ac-labeled prostate-specific membrane antigen (PSMA)-617 therapy in a  retrospectively analyzed group of patients. Methods: Forty patients with  metastatic castration-resistant prostate cancer were selected for treatment with  three 100 kBq/kg cycles of (225)Ac-PSMA-617 at 2-mo intervals. Prostate-specific  antigen (PSA) and blood cell count were measured every 4 wk. PSMA PET/CT or PSMA  SPECT/CT were used for baseline staging and imaging follow-up at month 6.  Follow-up included the duration of PSA response and radiologic progression-free  survival at month 6. Patient histories were reviewed for the duration of previous  treatment lines, and a swimmer plot was used to intraindividually compare the  duration of tumor control by PSMA therapy versus prior treatment modalities.  Results: Thirty-one of 40 patients were treated per protocol. Five patients  discontinued treatment because of nonresponse, and 4 because of xerostomia. Of  the 38 patients surviving at least 8 wk, 24 (63%) had a PSA decline of more than  50%, and 33 (87%) had a PSA response of any degree. The median duration of tumor  control under (225)Ac-PSMA-617 last-line therapy was 9.0 mo; 5 patients had an  enduring response of more than 2 y. Because all patients had advanced disease,  this result compares favorably with the tumor control rates associated with  earlier-phase disease; the most common preceding first-, second-, third-, and  fourth-line therapies were abiraterone (median duration 10.0 mo), docetaxel (6.5  mo), enzalutamide (6.5 mo), and cabazitaxel (6.0 mo), respectively. Conclusion: A  positive response for surrogate parameters demonstrates remarkable antitumor  activity for (225)Ac-PSMA-617. Swimmer-plot analysis indicates a promising  duration of tumor control, especially considering the unfavorable prognostic  profile of the selected advanced-stage patients. Xerostomia was the main reason  patients discontinued therapy or refused additional administrations and was in  the same dimension as nonresponse; this finding indicates that further  modifications of the treatment regimen with regard to side effects might be  necessary to further enhance the therapeutic range.","container-title":"Journal of nuclear medicine : official publication, Society of Nuclear Medicine","DOI":"10.2967/jnumed.117.203539","ISSN":"1535-5667 0161-5505","issue":"5","journalAbbreviation":"J Nucl Med","language":"eng","license":"© 2018 by the Society of Nuclear Medicine and Molecular Imaging.","note":"publisher-place: United States\nPMID: 29326358","page":"795-802","title":"Targeted α-Therapy of Metastatic Castration-Resistant Prostate Cancer with (225)Ac-PSMA-617: Swimmer-Plot Analysis Suggests Efficacy Regarding Duration of  Tumor Control.","volume":"59","author":[{"family":"Kratochwil","given":"Clemens"},{"family":"Bruchertseifer","given":"Frank"},{"family":"Rathke","given":"Hendrik"},{"family":"Hohenfellner","given":"Markus"},{"family":"Giesel","given":"Frederik L."},{"family":"Haberkorn","given":"Uwe"},{"family":"Morgenstern","given":"Alfred"}],"issued":{"date-parts":[["2018",5]]}}}],"schema":"https://github.com/citation-style-language/schema/raw/master/csl-citation.json"}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lang w:val="en-US"/>
              </w:rPr>
              <w:t>(61)</w:t>
            </w:r>
            <w:r w:rsidRPr="00AA1159">
              <w:rPr>
                <w:rFonts w:cstheme="minorHAnsi"/>
                <w:sz w:val="18"/>
              </w:rPr>
              <w:fldChar w:fldCharType="end"/>
            </w:r>
          </w:p>
        </w:tc>
        <w:tc>
          <w:tcPr>
            <w:tcW w:w="993" w:type="dxa"/>
            <w:vAlign w:val="center"/>
          </w:tcPr>
          <w:p w14:paraId="621F133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5D31E5BF"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PC/40</w:t>
            </w:r>
          </w:p>
        </w:tc>
        <w:tc>
          <w:tcPr>
            <w:tcW w:w="1973" w:type="dxa"/>
            <w:vAlign w:val="center"/>
          </w:tcPr>
          <w:p w14:paraId="5E47C161"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Prospective (single-arm)</w:t>
            </w:r>
          </w:p>
        </w:tc>
        <w:tc>
          <w:tcPr>
            <w:tcW w:w="2138" w:type="dxa"/>
            <w:vAlign w:val="center"/>
          </w:tcPr>
          <w:p w14:paraId="01D27CC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TRT/9  Ra-223/9</w:t>
            </w:r>
          </w:p>
        </w:tc>
        <w:tc>
          <w:tcPr>
            <w:tcW w:w="1701" w:type="dxa"/>
            <w:vAlign w:val="center"/>
          </w:tcPr>
          <w:p w14:paraId="0309D6A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0,1 MBq/kg  (1-3)</w:t>
            </w:r>
          </w:p>
        </w:tc>
      </w:tr>
      <w:tr w:rsidR="000A3731" w:rsidRPr="00AA1159" w14:paraId="5CA59063" w14:textId="77777777" w:rsidTr="000A3731">
        <w:tc>
          <w:tcPr>
            <w:tcW w:w="1696" w:type="dxa"/>
            <w:vAlign w:val="center"/>
          </w:tcPr>
          <w:p w14:paraId="42B7AA11" w14:textId="373D6EFE" w:rsidR="000A3731" w:rsidRPr="00AA1159" w:rsidRDefault="000A3731" w:rsidP="000A3731">
            <w:pPr>
              <w:widowControl w:val="0"/>
              <w:jc w:val="center"/>
              <w:rPr>
                <w:rFonts w:cstheme="minorHAnsi"/>
                <w:sz w:val="18"/>
                <w:lang w:val="en-US"/>
              </w:rPr>
            </w:pPr>
            <w:r w:rsidRPr="00AA1159">
              <w:rPr>
                <w:rFonts w:cstheme="minorHAnsi"/>
                <w:sz w:val="18"/>
                <w:lang w:val="en-US"/>
              </w:rPr>
              <w:t>Kratochwil/2017</w:t>
            </w:r>
            <w:r w:rsidRPr="00AA1159">
              <w:rPr>
                <w:rFonts w:cstheme="minorHAnsi"/>
                <w:sz w:val="18"/>
              </w:rPr>
              <w:fldChar w:fldCharType="begin"/>
            </w:r>
            <w:r w:rsidR="00D829EB">
              <w:rPr>
                <w:rFonts w:cstheme="minorHAnsi"/>
                <w:sz w:val="18"/>
                <w:lang w:val="en-US"/>
              </w:rPr>
              <w:instrText xml:space="preserve"> ADDIN ZOTERO_ITEM CSL_CITATION {"citationID":"Jp2Vaz89","properties":{"formattedCitation":"(36)","plainCitation":"(36)","noteIndex":0},"citationItems":[{"id":481,"uris":["http://zotero.org/users/15628667/items/USNRZF8T"],"itemData":{"id":481,"type":"article-journal","abstract":"The aim of this study was to develop a treatment protocol for (225)Ac-PSMA-617 α-radiation therapy in advanced-stage, metastatic castration-resistant prostate  cancer patients with prostate-specific membrane antigen (PSMA)-positive tumor  phenotype. Methods: A dosimetry estimate was calculated on the basis of  time-activity curves derived from serially obtained (177)Lu-PSMA-617 scans  extrapolated to the physical half-life of (225)Ac, assuming instant decay of  unstable daughter nuclides. Salvage therapies empirically conducted with 50 (n =  4), 100 (n = 4), 150 (n = 2), and 200 kBq/kg (n = 4) of (225)Ac-PSMA-617 were  evaluated retrospectively regarding toxicity and treatment response. Eight of 14  patients received further cycles in either 2- or 4-mo intervals with identical or  deescalated activities. Results: Dosimetry estimates for 1 MBq of  (225)Ac-PSMA-617 assuming a relative biologic effectiveness of 5 revealed mean  doses of 2.3 Sv for salivary glands, 0.7 Sv for kidneys, and 0.05 Sv for red  marrow that are composed of 99.4% α, 0.5% β, and 0.1% photon radiation,  respectively. In clinical application, severe xerostomia became the dose-limiting  toxicity if treatment activity exceeded 100 kBq/kg per cycle. At 100 kBq/kg, the  duration of prostate-specific antigen decline was less than 4 mo, but if therapy  was repeated every 2 mo patients experienced additive antitumor effects.  Treatment activities of 50 kBq/kg were without toxicity but induced insufficient  antitumor response in these high-tumor-burden patients. Remarkable antitumor  activity by means of objective radiologic response or tumor marker decline was  observed in 9 of 11 evaluable patients. Conclusion: For advanced-stage patients,  a treatment activity of 100 kBq/kg of (225)Ac-PSMA-617 per cycle repeated every 8  wk presents a reasonable trade-off between toxicity and biochemical response.","container-title":"Journal of nuclear medicine : official publication, Society of Nuclear Medicine","DOI":"10.2967/jnumed.117.191395","ISSN":"1535-5667 0161-5505","issue":"10","journalAbbreviation":"J Nucl Med","language":"eng","license":"© 2017 by the Society of Nuclear Medicine and Molecular Imaging.","note":"publisher-place: United States\nPMID: 28408529","page":"1624-1631","title":"Targeted α-Therapy of Metastatic Castration-Resistant Prostate Cancer with (225)Ac-PSMA-617: Dosimetry Estimate and Empiric Dose Finding.","volume":"58","author":[{"family":"Kratochwil","given":"Clemens"},{"family":"Bruchertseifer","given":"Frank"},{"family":"Rathke","given":"Hendrik"},{"family":"Bronzel","given":"Marcus"},{"family":"Apostolidis","given":"Christos"},{"family":"Weichert","given":"Wilko"},{"family":"Haberkorn","given":"Uwe"},{"family":"Giesel","given":"Frederik L."},{"family":"Morgenstern","given":"Alfred"}],"issued":{"date-parts":[["2017",10]]}}}],"schema":"https://github.com/citation-style-language/schema/raw/master/csl-citation.json"} </w:instrText>
            </w:r>
            <w:r w:rsidRPr="00AA1159">
              <w:rPr>
                <w:rFonts w:cstheme="minorHAnsi"/>
                <w:sz w:val="18"/>
              </w:rPr>
              <w:fldChar w:fldCharType="separate"/>
            </w:r>
            <w:r w:rsidR="00D829EB" w:rsidRPr="00D829EB">
              <w:rPr>
                <w:rFonts w:ascii="Calibri" w:hAnsi="Calibri" w:cs="Calibri"/>
                <w:sz w:val="18"/>
                <w:lang w:val="en-US"/>
              </w:rPr>
              <w:t>(36)</w:t>
            </w:r>
            <w:r w:rsidRPr="00AA1159">
              <w:rPr>
                <w:rFonts w:cstheme="minorHAnsi"/>
                <w:sz w:val="18"/>
              </w:rPr>
              <w:fldChar w:fldCharType="end"/>
            </w:r>
          </w:p>
        </w:tc>
        <w:tc>
          <w:tcPr>
            <w:tcW w:w="993" w:type="dxa"/>
            <w:vAlign w:val="center"/>
          </w:tcPr>
          <w:p w14:paraId="1B043115"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0ADBC37B"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PC/14</w:t>
            </w:r>
          </w:p>
        </w:tc>
        <w:tc>
          <w:tcPr>
            <w:tcW w:w="1973" w:type="dxa"/>
            <w:vAlign w:val="center"/>
          </w:tcPr>
          <w:p w14:paraId="2BE6F8C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56E30C36"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TRT/1  Ra-223/2  I-131 PSMA/2</w:t>
            </w:r>
          </w:p>
        </w:tc>
        <w:tc>
          <w:tcPr>
            <w:tcW w:w="1701" w:type="dxa"/>
            <w:vAlign w:val="center"/>
          </w:tcPr>
          <w:p w14:paraId="5F58619C"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0,05-0,2 MBq/kg (1-4)</w:t>
            </w:r>
          </w:p>
        </w:tc>
      </w:tr>
      <w:tr w:rsidR="000A3731" w:rsidRPr="00AA1159" w14:paraId="1838AAA0" w14:textId="77777777" w:rsidTr="000A3731">
        <w:tc>
          <w:tcPr>
            <w:tcW w:w="1696" w:type="dxa"/>
            <w:vAlign w:val="center"/>
          </w:tcPr>
          <w:p w14:paraId="56A10353" w14:textId="4FCFC673" w:rsidR="000A3731" w:rsidRPr="00AA1159" w:rsidRDefault="000A3731" w:rsidP="000A3731">
            <w:pPr>
              <w:widowControl w:val="0"/>
              <w:jc w:val="center"/>
              <w:rPr>
                <w:rFonts w:cstheme="minorHAnsi"/>
                <w:sz w:val="18"/>
                <w:lang w:val="en-US"/>
              </w:rPr>
            </w:pPr>
            <w:r w:rsidRPr="00AA1159">
              <w:rPr>
                <w:rFonts w:cstheme="minorHAnsi"/>
                <w:sz w:val="18"/>
                <w:lang w:val="en-US"/>
              </w:rPr>
              <w:t>Kratochwil/2016</w:t>
            </w:r>
            <w:r w:rsidRPr="00AA1159">
              <w:rPr>
                <w:rFonts w:cstheme="minorHAnsi"/>
                <w:sz w:val="18"/>
              </w:rPr>
              <w:fldChar w:fldCharType="begin"/>
            </w:r>
            <w:r w:rsidR="008666A7">
              <w:rPr>
                <w:rFonts w:cstheme="minorHAnsi"/>
                <w:sz w:val="18"/>
                <w:lang w:val="en-US"/>
              </w:rPr>
              <w:instrText xml:space="preserve"> ADDIN ZOTERO_ITEM CSL_CITATION {"citationID":"gtf1AmVm","properties":{"formattedCitation":"(62)","plainCitation":"(62)","noteIndex":0},"citationItems":[{"id":167,"uris":["http://zotero.org/users/15628667/items/JDSMV9AD"],"itemData":{"id":167,"type":"article-journal","abstract":"Prostate-specific membrane antigen (PSMA) is a promising target in prostate cancer. Recently, we started the first-in-human treatment with an  α-radionuclide-labeled PSMA ligand. Although the case series is still ongoing, we  here report in advance about two patients in highly challenging clinical  situations who showed a complete response to (225)Ac-PSMA-617 therapy. METHODS:  (68)Ga-PSMA-11 PET/CT validated the presence of the PSMA-positive tumor  phenotype. A 100-kBq activity of (225)Ac-PSMA-617 per kilogram of body weight was  administered bimonthly. Prostate-specific antigen response and hematologic  toxicity were measured at least every 4 wk. Restaging was performed with  (68)Ga-PSMA-11 PET/CT. RESULTS: Both patients experienced a prostate-specific  antigen decline to below the measurable level and showed a complete response on  imaging. No relevant hematologic toxicity was observed. Xerostomia was the only  mentionable clinical side effect. CONCLUSION: Targeted α-therapy with  (225)Ac-PSMA-617, although still experimental, obviously has strong potential to  significantly benefit advanced-stage prostate cancer patients.","container-title":"Journal of nuclear medicine : official publication, Society of Nuclear Medicine","DOI":"10.2967/jnumed.116.178673","ISSN":"1535-5667 0161-5505","issue":"12","journalAbbreviation":"J Nucl Med","language":"eng","license":"© 2016 by the Society of Nuclear Medicine and Molecular Imaging, Inc.","note":"publisher-place: United States\nPMID: 27390158","page":"1941-1944","title":"225Ac-PSMA-617 for PSMA-Targeted α-Radiation Therapy of Metastatic Castration-Resistant Prostate Cancer.","volume":"57","author":[{"family":"Kratochwil","given":"Clemens"},{"family":"Bruchertseifer","given":"Frank"},{"family":"Giesel","given":"Frederik L."},{"family":"Weis","given":"Mirjam"},{"family":"Verburg","given":"Frederik A."},{"family":"Mottaghy","given":"Felix"},{"family":"Kopka","given":"Klaus"},{"family":"Apostolidis","given":"Christos"},{"family":"Haberkorn","given":"Uwe"},{"family":"Morgenstern","given":"Alfred"}],"issued":{"date-parts":[["2016",12]]}}}],"schema":"https://github.com/citation-style-language/schema/raw/master/csl-citation.json"} </w:instrText>
            </w:r>
            <w:r w:rsidRPr="00AA1159">
              <w:rPr>
                <w:rFonts w:cstheme="minorHAnsi"/>
                <w:sz w:val="18"/>
              </w:rPr>
              <w:fldChar w:fldCharType="separate"/>
            </w:r>
            <w:r w:rsidR="008666A7" w:rsidRPr="008666A7">
              <w:rPr>
                <w:rFonts w:ascii="Calibri" w:hAnsi="Calibri" w:cs="Calibri"/>
                <w:sz w:val="18"/>
              </w:rPr>
              <w:t>(62)</w:t>
            </w:r>
            <w:r w:rsidRPr="00AA1159">
              <w:rPr>
                <w:rFonts w:cstheme="minorHAnsi"/>
                <w:sz w:val="18"/>
              </w:rPr>
              <w:fldChar w:fldCharType="end"/>
            </w:r>
          </w:p>
        </w:tc>
        <w:tc>
          <w:tcPr>
            <w:tcW w:w="993" w:type="dxa"/>
            <w:vAlign w:val="center"/>
          </w:tcPr>
          <w:p w14:paraId="7A096D6D"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PSMA-617</w:t>
            </w:r>
          </w:p>
        </w:tc>
        <w:tc>
          <w:tcPr>
            <w:tcW w:w="850" w:type="dxa"/>
            <w:vAlign w:val="center"/>
          </w:tcPr>
          <w:p w14:paraId="56B7EC7A"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PC/2</w:t>
            </w:r>
          </w:p>
        </w:tc>
        <w:tc>
          <w:tcPr>
            <w:tcW w:w="1973" w:type="dxa"/>
            <w:vAlign w:val="center"/>
          </w:tcPr>
          <w:p w14:paraId="68F7E427"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Retrospective (single-arm)</w:t>
            </w:r>
          </w:p>
        </w:tc>
        <w:tc>
          <w:tcPr>
            <w:tcW w:w="2138" w:type="dxa"/>
            <w:vAlign w:val="center"/>
          </w:tcPr>
          <w:p w14:paraId="08F89239"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177Lu-based TRT/2(Pt1)  Ra-223/6 (Pt2)</w:t>
            </w:r>
          </w:p>
        </w:tc>
        <w:tc>
          <w:tcPr>
            <w:tcW w:w="1701" w:type="dxa"/>
            <w:vAlign w:val="center"/>
          </w:tcPr>
          <w:p w14:paraId="430E5752" w14:textId="77777777" w:rsidR="000A3731" w:rsidRPr="00AA1159" w:rsidRDefault="000A3731" w:rsidP="000A3731">
            <w:pPr>
              <w:widowControl w:val="0"/>
              <w:jc w:val="center"/>
              <w:rPr>
                <w:rFonts w:cstheme="minorHAnsi"/>
                <w:sz w:val="18"/>
                <w:lang w:val="en-US"/>
              </w:rPr>
            </w:pPr>
            <w:r w:rsidRPr="00AA1159">
              <w:rPr>
                <w:rFonts w:cstheme="minorHAnsi"/>
                <w:sz w:val="18"/>
                <w:lang w:val="en-US"/>
              </w:rPr>
              <w:t xml:space="preserve">0,1 MBq/kg (3-4) </w:t>
            </w:r>
          </w:p>
        </w:tc>
      </w:tr>
      <w:tr w:rsidR="00E90EC9" w:rsidRPr="00AA1159" w14:paraId="7FF89CAD" w14:textId="77777777" w:rsidTr="000A3731">
        <w:tc>
          <w:tcPr>
            <w:tcW w:w="1696" w:type="dxa"/>
            <w:vAlign w:val="center"/>
          </w:tcPr>
          <w:p w14:paraId="77FDEDCC" w14:textId="08C15A21" w:rsidR="00E90EC9" w:rsidRPr="00AA1159" w:rsidRDefault="00E90EC9" w:rsidP="00E90EC9">
            <w:pPr>
              <w:widowControl w:val="0"/>
              <w:jc w:val="center"/>
              <w:rPr>
                <w:rFonts w:cstheme="minorHAnsi"/>
                <w:sz w:val="18"/>
              </w:rPr>
            </w:pPr>
            <w:r>
              <w:rPr>
                <w:rFonts w:cstheme="minorHAnsi"/>
                <w:sz w:val="18"/>
                <w:szCs w:val="18"/>
              </w:rPr>
              <w:t>Schmitl/2025</w:t>
            </w:r>
            <w:r>
              <w:rPr>
                <w:rFonts w:cstheme="minorHAnsi"/>
                <w:sz w:val="18"/>
                <w:szCs w:val="18"/>
              </w:rPr>
              <w:fldChar w:fldCharType="begin"/>
            </w:r>
            <w:r w:rsidR="00BC4723">
              <w:rPr>
                <w:rFonts w:cstheme="minorHAnsi"/>
                <w:sz w:val="18"/>
                <w:szCs w:val="18"/>
              </w:rPr>
              <w:instrText xml:space="preserve"> ADDIN ZOTERO_ITEM CSL_CITATION {"citationID":"4UrnOHfn","properties":{"formattedCitation":"(10)","plainCitation":"(10)","noteIndex":0},"citationItems":[{"id":1241,"uris":["http://zotero.org/users/15628667/items/VEQJMJSM"],"itemData":{"id":1241,"type":"article-journal","container-title":"Journal of Nuclear Medicine","DOI":"10.2967/jnumed.125.269655","ISSN":"0161-5505, 2159-662X","issue":"8","journalAbbreviation":"J Nucl Med","language":"en","page":"1239-1244","source":"DOI.org (Crossref)","title":"Efficacy, Safety, Blood Kinetics, and&lt;sup&gt;213&lt;/sup&gt; Bi Distribution Studies of [&lt;sup&gt;225&lt;/sup&gt; Ac]Ac-SibuDAB in Prostate Cancer Patients","URL":"http://jnm.snmjournals.org/lookup/doi/10.2967/jnumed.125.269655","volume":"66","author":[{"family":"Schmitl","given":"Stefan"},{"family":"Kretschmer-Chott","given":"Elisabeth"},{"family":"Patronas","given":"Eva-Maria"},{"family":"Kramer","given":"Gero"},{"family":"Ritt","given":"Philipp"},{"family":"Fuchs","given":"Elisabeth"},{"family":"Weisbrod","given":"Maximilian"},{"family":"Nics","given":"Lukas"},{"family":"Mitterhauser","given":"Markus"},{"family":"Hacker","given":"Marcus"}],"accessed":{"date-parts":[["2025",8,26]]},"issued":{"date-parts":[["2025",8]]}}}],"schema":"https://github.com/citation-style-language/schema/raw/master/csl-citation.json"} </w:instrText>
            </w:r>
            <w:r>
              <w:rPr>
                <w:rFonts w:cstheme="minorHAnsi"/>
                <w:sz w:val="18"/>
                <w:szCs w:val="18"/>
              </w:rPr>
              <w:fldChar w:fldCharType="separate"/>
            </w:r>
            <w:r w:rsidR="00BC4723" w:rsidRPr="00BC4723">
              <w:rPr>
                <w:rFonts w:ascii="Calibri" w:hAnsi="Calibri" w:cs="Calibri"/>
                <w:sz w:val="18"/>
              </w:rPr>
              <w:t>(10)</w:t>
            </w:r>
            <w:r>
              <w:rPr>
                <w:rFonts w:cstheme="minorHAnsi"/>
                <w:sz w:val="18"/>
                <w:szCs w:val="18"/>
              </w:rPr>
              <w:fldChar w:fldCharType="end"/>
            </w:r>
          </w:p>
        </w:tc>
        <w:tc>
          <w:tcPr>
            <w:tcW w:w="993" w:type="dxa"/>
            <w:vAlign w:val="center"/>
          </w:tcPr>
          <w:p w14:paraId="63989BBA" w14:textId="70937E60" w:rsidR="00E90EC9" w:rsidRPr="00AA1159" w:rsidRDefault="00E90EC9" w:rsidP="00E90EC9">
            <w:pPr>
              <w:widowControl w:val="0"/>
              <w:jc w:val="center"/>
              <w:rPr>
                <w:rFonts w:cstheme="minorHAnsi"/>
                <w:sz w:val="18"/>
              </w:rPr>
            </w:pPr>
            <w:r w:rsidRPr="00E6640B">
              <w:rPr>
                <w:rFonts w:cstheme="minorHAnsi"/>
                <w:sz w:val="18"/>
                <w:szCs w:val="18"/>
              </w:rPr>
              <w:t>SibuDAB</w:t>
            </w:r>
          </w:p>
        </w:tc>
        <w:tc>
          <w:tcPr>
            <w:tcW w:w="850" w:type="dxa"/>
            <w:vAlign w:val="center"/>
          </w:tcPr>
          <w:p w14:paraId="709B08B5" w14:textId="65641D29" w:rsidR="00E90EC9" w:rsidRPr="00AA1159" w:rsidRDefault="00E90EC9" w:rsidP="00E90EC9">
            <w:pPr>
              <w:widowControl w:val="0"/>
              <w:jc w:val="center"/>
              <w:rPr>
                <w:rFonts w:cstheme="minorHAnsi"/>
                <w:sz w:val="18"/>
              </w:rPr>
            </w:pPr>
            <w:r>
              <w:rPr>
                <w:rFonts w:cstheme="minorHAnsi"/>
                <w:sz w:val="18"/>
                <w:szCs w:val="18"/>
              </w:rPr>
              <w:t>PC/15</w:t>
            </w:r>
          </w:p>
        </w:tc>
        <w:tc>
          <w:tcPr>
            <w:tcW w:w="1973" w:type="dxa"/>
            <w:vAlign w:val="center"/>
          </w:tcPr>
          <w:p w14:paraId="06A9F54E" w14:textId="4CBFAA80" w:rsidR="00E90EC9" w:rsidRPr="00AA1159" w:rsidRDefault="00E90EC9" w:rsidP="00E90EC9">
            <w:pPr>
              <w:widowControl w:val="0"/>
              <w:jc w:val="center"/>
              <w:rPr>
                <w:rFonts w:cstheme="minorHAnsi"/>
                <w:sz w:val="18"/>
              </w:rPr>
            </w:pPr>
            <w:r w:rsidRPr="00AA1159">
              <w:rPr>
                <w:rFonts w:cstheme="minorHAnsi"/>
                <w:sz w:val="18"/>
                <w:szCs w:val="18"/>
                <w:lang w:val="en-US"/>
              </w:rPr>
              <w:t>Retrospective (single-arm)</w:t>
            </w:r>
          </w:p>
        </w:tc>
        <w:tc>
          <w:tcPr>
            <w:tcW w:w="2138" w:type="dxa"/>
            <w:vAlign w:val="center"/>
          </w:tcPr>
          <w:p w14:paraId="41345407" w14:textId="6FFCCCF5" w:rsidR="00E90EC9" w:rsidRPr="00AA1159" w:rsidRDefault="00E90EC9" w:rsidP="00E90EC9">
            <w:pPr>
              <w:widowControl w:val="0"/>
              <w:jc w:val="center"/>
              <w:rPr>
                <w:rFonts w:cstheme="minorHAnsi"/>
                <w:sz w:val="18"/>
              </w:rPr>
            </w:pPr>
            <w:r w:rsidRPr="00AA1159">
              <w:rPr>
                <w:rFonts w:cstheme="minorHAnsi"/>
                <w:sz w:val="18"/>
                <w:szCs w:val="18"/>
                <w:lang w:val="en-US"/>
              </w:rPr>
              <w:t>177Lu-based TRT/</w:t>
            </w:r>
            <w:r>
              <w:rPr>
                <w:rFonts w:cstheme="minorHAnsi"/>
                <w:sz w:val="18"/>
                <w:szCs w:val="18"/>
                <w:lang w:val="en-US"/>
              </w:rPr>
              <w:t>13</w:t>
            </w:r>
          </w:p>
        </w:tc>
        <w:tc>
          <w:tcPr>
            <w:tcW w:w="1701" w:type="dxa"/>
            <w:vAlign w:val="center"/>
          </w:tcPr>
          <w:p w14:paraId="0F886E35" w14:textId="504FD8C0" w:rsidR="00E90EC9" w:rsidRPr="00CD1614" w:rsidRDefault="00E90EC9" w:rsidP="00E90EC9">
            <w:pPr>
              <w:widowControl w:val="0"/>
              <w:jc w:val="center"/>
              <w:rPr>
                <w:rFonts w:cstheme="minorHAnsi"/>
                <w:sz w:val="18"/>
                <w:lang w:val="en-US"/>
              </w:rPr>
            </w:pPr>
            <w:r>
              <w:rPr>
                <w:rFonts w:cstheme="minorHAnsi"/>
                <w:sz w:val="18"/>
                <w:szCs w:val="18"/>
                <w:lang w:val="en-US"/>
              </w:rPr>
              <w:t>6</w:t>
            </w:r>
            <w:r w:rsidRPr="00AA1159">
              <w:rPr>
                <w:rFonts w:cstheme="minorHAnsi"/>
                <w:sz w:val="18"/>
                <w:szCs w:val="18"/>
                <w:lang w:val="en-US"/>
              </w:rPr>
              <w:t xml:space="preserve"> MBq per cycle</w:t>
            </w:r>
            <w:r>
              <w:rPr>
                <w:rFonts w:cstheme="minorHAnsi"/>
                <w:sz w:val="18"/>
                <w:szCs w:val="18"/>
                <w:lang w:val="en-US"/>
              </w:rPr>
              <w:t>(25 cycles in total)</w:t>
            </w:r>
          </w:p>
        </w:tc>
      </w:tr>
    </w:tbl>
    <w:p w14:paraId="50F67AB0" w14:textId="77777777" w:rsidR="000A3731" w:rsidRDefault="000A3731" w:rsidP="000A3731"/>
    <w:p w14:paraId="1ACDA57B" w14:textId="45814C61" w:rsidR="000A3731" w:rsidRPr="007F5EA2" w:rsidRDefault="000A3731" w:rsidP="000A3731">
      <w:pPr>
        <w:keepNext/>
      </w:pPr>
      <w:r>
        <w:t xml:space="preserve">Table </w:t>
      </w:r>
      <w:r w:rsidR="00D87B34">
        <w:t>1b</w:t>
      </w:r>
      <w:r w:rsidRPr="00C700BA">
        <w:t xml:space="preserve">. </w:t>
      </w:r>
      <w:r>
        <w:t>Non-PSMA ligands</w:t>
      </w:r>
    </w:p>
    <w:tbl>
      <w:tblPr>
        <w:tblStyle w:val="Tabellenraster"/>
        <w:tblW w:w="9164" w:type="dxa"/>
        <w:tblLayout w:type="fixed"/>
        <w:tblLook w:val="04A0" w:firstRow="1" w:lastRow="0" w:firstColumn="1" w:lastColumn="0" w:noHBand="0" w:noVBand="1"/>
      </w:tblPr>
      <w:tblGrid>
        <w:gridCol w:w="1555"/>
        <w:gridCol w:w="992"/>
        <w:gridCol w:w="1134"/>
        <w:gridCol w:w="1843"/>
        <w:gridCol w:w="1842"/>
        <w:gridCol w:w="1784"/>
        <w:gridCol w:w="14"/>
      </w:tblGrid>
      <w:tr w:rsidR="000A3731" w:rsidRPr="00AA1159" w14:paraId="4F6FBE5B" w14:textId="77777777" w:rsidTr="000A3731">
        <w:trPr>
          <w:gridAfter w:val="1"/>
          <w:wAfter w:w="14" w:type="dxa"/>
        </w:trPr>
        <w:tc>
          <w:tcPr>
            <w:tcW w:w="1555" w:type="dxa"/>
          </w:tcPr>
          <w:p w14:paraId="5E52169B" w14:textId="77777777" w:rsidR="000A3731" w:rsidRPr="00AA1159" w:rsidRDefault="000A3731" w:rsidP="000A3731">
            <w:pPr>
              <w:keepNext/>
              <w:rPr>
                <w:sz w:val="18"/>
              </w:rPr>
            </w:pPr>
            <w:r w:rsidRPr="00AA1159">
              <w:rPr>
                <w:rFonts w:cstheme="minorHAnsi"/>
                <w:b/>
                <w:bCs/>
                <w:sz w:val="18"/>
                <w:lang w:val="en-US"/>
              </w:rPr>
              <w:t>Author/Year/(Ref)</w:t>
            </w:r>
          </w:p>
        </w:tc>
        <w:tc>
          <w:tcPr>
            <w:tcW w:w="992" w:type="dxa"/>
          </w:tcPr>
          <w:p w14:paraId="0E3A179F" w14:textId="77777777" w:rsidR="000A3731" w:rsidRPr="00AA1159" w:rsidRDefault="000A3731" w:rsidP="000A3731">
            <w:pPr>
              <w:keepNext/>
              <w:jc w:val="center"/>
              <w:rPr>
                <w:sz w:val="18"/>
              </w:rPr>
            </w:pPr>
            <w:r w:rsidRPr="00AA1159">
              <w:rPr>
                <w:rFonts w:cstheme="minorHAnsi"/>
                <w:b/>
                <w:bCs/>
                <w:sz w:val="18"/>
                <w:lang w:val="en-US"/>
              </w:rPr>
              <w:t>Ligand</w:t>
            </w:r>
          </w:p>
        </w:tc>
        <w:tc>
          <w:tcPr>
            <w:tcW w:w="1134" w:type="dxa"/>
          </w:tcPr>
          <w:p w14:paraId="65A8E409" w14:textId="77777777" w:rsidR="000A3731" w:rsidRPr="000A3731" w:rsidRDefault="000A3731" w:rsidP="000A3731">
            <w:pPr>
              <w:keepNext/>
              <w:jc w:val="center"/>
              <w:rPr>
                <w:sz w:val="18"/>
                <w:lang w:val="en-GB"/>
              </w:rPr>
            </w:pPr>
            <w:r w:rsidRPr="000A3731">
              <w:rPr>
                <w:rFonts w:cstheme="minorHAnsi"/>
                <w:b/>
                <w:bCs/>
                <w:kern w:val="2"/>
                <w:sz w:val="18"/>
                <w:lang w:val="en-GB"/>
                <w14:ligatures w14:val="standardContextual"/>
              </w:rPr>
              <w:t>Type of Cancer/Pts No</w:t>
            </w:r>
          </w:p>
        </w:tc>
        <w:tc>
          <w:tcPr>
            <w:tcW w:w="1843" w:type="dxa"/>
          </w:tcPr>
          <w:p w14:paraId="1B410CBB" w14:textId="77777777" w:rsidR="000A3731" w:rsidRPr="00AA1159" w:rsidRDefault="000A3731" w:rsidP="000A3731">
            <w:pPr>
              <w:keepNext/>
              <w:rPr>
                <w:sz w:val="18"/>
              </w:rPr>
            </w:pPr>
            <w:r w:rsidRPr="00AA1159">
              <w:rPr>
                <w:rFonts w:cstheme="minorHAnsi"/>
                <w:b/>
                <w:bCs/>
                <w:sz w:val="18"/>
                <w:lang w:val="en-US"/>
              </w:rPr>
              <w:t>Study type(Control arm)</w:t>
            </w:r>
          </w:p>
        </w:tc>
        <w:tc>
          <w:tcPr>
            <w:tcW w:w="1842" w:type="dxa"/>
          </w:tcPr>
          <w:p w14:paraId="29922525" w14:textId="77777777" w:rsidR="000A3731" w:rsidRPr="00AA1159" w:rsidRDefault="000A3731" w:rsidP="000A3731">
            <w:pPr>
              <w:keepNext/>
              <w:rPr>
                <w:sz w:val="18"/>
              </w:rPr>
            </w:pPr>
            <w:r w:rsidRPr="00AA1159">
              <w:rPr>
                <w:rFonts w:cstheme="minorHAnsi"/>
                <w:b/>
                <w:bCs/>
                <w:sz w:val="18"/>
                <w:lang w:val="en-US"/>
              </w:rPr>
              <w:t>Previous TRT/Pts No.</w:t>
            </w:r>
          </w:p>
        </w:tc>
        <w:tc>
          <w:tcPr>
            <w:tcW w:w="1784" w:type="dxa"/>
          </w:tcPr>
          <w:p w14:paraId="66A7D3A8" w14:textId="77777777" w:rsidR="000A3731" w:rsidRPr="000A3731" w:rsidRDefault="000A3731" w:rsidP="000A3731">
            <w:pPr>
              <w:keepNext/>
              <w:rPr>
                <w:sz w:val="18"/>
                <w:lang w:val="en-GB"/>
              </w:rPr>
            </w:pPr>
            <w:r w:rsidRPr="00AA1159">
              <w:rPr>
                <w:rFonts w:cstheme="minorHAnsi"/>
                <w:b/>
                <w:bCs/>
                <w:sz w:val="18"/>
                <w:lang w:val="en-US"/>
              </w:rPr>
              <w:t>Dose per Cycle (No. Cycle)</w:t>
            </w:r>
          </w:p>
        </w:tc>
      </w:tr>
      <w:tr w:rsidR="000A3731" w14:paraId="64CF2633" w14:textId="77777777" w:rsidTr="000A3731">
        <w:tc>
          <w:tcPr>
            <w:tcW w:w="1555" w:type="dxa"/>
            <w:vAlign w:val="center"/>
          </w:tcPr>
          <w:p w14:paraId="0CE6793C" w14:textId="3ABD370E"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Yang/ 2024</w:t>
            </w:r>
            <w:r w:rsidRPr="00AA1159">
              <w:rPr>
                <w:rFonts w:cstheme="minorHAnsi"/>
                <w:sz w:val="18"/>
                <w:szCs w:val="18"/>
              </w:rPr>
              <w:fldChar w:fldCharType="begin"/>
            </w:r>
            <w:r w:rsidR="008666A7">
              <w:rPr>
                <w:rFonts w:cstheme="minorHAnsi"/>
                <w:sz w:val="18"/>
                <w:szCs w:val="18"/>
                <w:lang w:val="en-US"/>
              </w:rPr>
              <w:instrText xml:space="preserve"> ADDIN ZOTERO_ITEM CSL_CITATION {"citationID":"oJcqOfge","properties":{"formattedCitation":"(63)","plainCitation":"(63)","noteIndex":0},"citationItems":[{"id":1204,"uris":["http://zotero.org/users/15628667/items/S8NL4QWR"],"itemData":{"id":1204,"type":"article-journal","abstract":"Purpose            We aimed to evaluate the efficacy and safety of 225Ac-DOTATATE targeted α therapy (TAT) in various neuroendocrine neoplasms (NENs) with high somatostatin receptor (SSTR) expression.                                Patients and Methods            This single-center prospective study included 10 patients with histologically diagnosed NENs that exhibited increased SSTR expression on 68Ga-DOTATATE PET/CT imaging. All patients received 225Ac-DOTATATE TAT. The primary end points were molecular imaging–based response and disease control rate (DCR), measured using the slightly modified Positron Emission Tomography Response Criteria in Solid Tumors 1.0. The secondary end points were adverse event profiles and clinical responses. The adverse event profile was determined according to the Common Terminology Criteria for Adverse Events version 5.0. Clinical response was assessed using the EORTC QLQ-C30 v3.0 (European Organization for Research and Treatment of Cancer Core Quality of Life questionnaire version 3.0).                                Results            A molecular imaging–based partial response was observed in 40% of all patients, SD in 40%, PD in 20%, and DCR in 80%. The DCR was 83.3% (5/6) in patients who were previously treated with 177Lu-DOTATATE. According to the EORTC QLQ-C30 v3.0 score, most symptoms improved after 225Ac-DOTATATE treatment, with only diarrhea showing no improvement. Grade III/IV hematological, kidney, and liver toxicities were not observed. The median follow-up time was 14 months (7–22 months), and no deaths were reported.                                Conclusions            This initial study suggests that 225Ac-DOTATATE is a potentially promising option for treating NENs with elevated SSTR expression, with an acceptable toxicity profile and well-tolerated adverse effects.","container-title":"Clinical Nuclear Medicine","DOI":"10.1097/rlu.0000000000005149","ISSN":"1536-0229, 0363-9762","issue":"6","journalAbbreviation":"Clin Nucl Med","language":"en","note":"publisher: Ovid Technologies (Wolters Kluwer Health)","page":"505-512","source":"Crossref","title":"Efficacy and Safety of 225Ac-DOTATATE in the Treatment of Neuroendocrine Neoplasms With High SSTR Expression","URL":"https://journals.lww.com/10.1097/RLU.0000000000005149","volume":"49","author":[{"family":"Yang","given":"Hongyu"},{"family":"Zhang","given":"Yu"},{"family":"Li","given":"Hongmei"},{"family":"Zhang","given":"Yu"},{"family":"Feng","given":"Yue"},{"family":"Yang","given":"Xiqun"},{"family":"Chen","given":"Yue"}],"accessed":{"date-parts":[["2025",7,25]]},"issued":{"date-parts":[["2024",6]]}}}],"schema":"https://github.com/citation-style-language/schema/raw/master/csl-citation.json"} </w:instrText>
            </w:r>
            <w:r w:rsidRPr="00AA1159">
              <w:rPr>
                <w:rFonts w:cstheme="minorHAnsi"/>
                <w:sz w:val="18"/>
                <w:szCs w:val="18"/>
              </w:rPr>
              <w:fldChar w:fldCharType="separate"/>
            </w:r>
            <w:r w:rsidR="008666A7" w:rsidRPr="008666A7">
              <w:rPr>
                <w:rFonts w:ascii="Calibri" w:hAnsi="Calibri" w:cs="Calibri"/>
                <w:sz w:val="18"/>
              </w:rPr>
              <w:t>(63)</w:t>
            </w:r>
            <w:r w:rsidRPr="00AA1159">
              <w:rPr>
                <w:rFonts w:cstheme="minorHAnsi"/>
                <w:sz w:val="18"/>
                <w:szCs w:val="18"/>
              </w:rPr>
              <w:fldChar w:fldCharType="end"/>
            </w:r>
          </w:p>
        </w:tc>
        <w:tc>
          <w:tcPr>
            <w:tcW w:w="992" w:type="dxa"/>
            <w:vAlign w:val="center"/>
          </w:tcPr>
          <w:p w14:paraId="00C5B3E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3B93C591"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NET/10</w:t>
            </w:r>
          </w:p>
        </w:tc>
        <w:tc>
          <w:tcPr>
            <w:tcW w:w="1843" w:type="dxa"/>
            <w:vAlign w:val="center"/>
          </w:tcPr>
          <w:p w14:paraId="2F0F0FF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trial (N/A)</w:t>
            </w:r>
          </w:p>
        </w:tc>
        <w:tc>
          <w:tcPr>
            <w:tcW w:w="1842" w:type="dxa"/>
            <w:vAlign w:val="center"/>
          </w:tcPr>
          <w:p w14:paraId="6FE33B55"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TRT/6</w:t>
            </w:r>
          </w:p>
        </w:tc>
        <w:tc>
          <w:tcPr>
            <w:tcW w:w="1798" w:type="dxa"/>
            <w:gridSpan w:val="2"/>
            <w:vAlign w:val="center"/>
          </w:tcPr>
          <w:p w14:paraId="7B68213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0,1 MBq/kg  (2-6)</w:t>
            </w:r>
          </w:p>
        </w:tc>
      </w:tr>
      <w:tr w:rsidR="000A3731" w14:paraId="26A67E0F" w14:textId="77777777" w:rsidTr="000A3731">
        <w:tc>
          <w:tcPr>
            <w:tcW w:w="1555" w:type="dxa"/>
            <w:vAlign w:val="center"/>
          </w:tcPr>
          <w:p w14:paraId="79F97007" w14:textId="6F18AE9A" w:rsidR="000A3731" w:rsidRPr="00AA1159" w:rsidRDefault="000A3731" w:rsidP="000A3731">
            <w:pPr>
              <w:widowControl w:val="0"/>
              <w:rPr>
                <w:rFonts w:cstheme="minorHAnsi"/>
                <w:sz w:val="18"/>
                <w:szCs w:val="18"/>
                <w:lang w:val="en-US"/>
              </w:rPr>
            </w:pPr>
            <w:r w:rsidRPr="00AA1159">
              <w:rPr>
                <w:rFonts w:cstheme="minorHAnsi"/>
                <w:sz w:val="18"/>
                <w:szCs w:val="18"/>
                <w:lang w:val="en-US"/>
              </w:rPr>
              <w:t>Morris/2024</w:t>
            </w:r>
            <w:r w:rsidRPr="00AA1159">
              <w:rPr>
                <w:rFonts w:cstheme="minorHAnsi"/>
                <w:sz w:val="18"/>
                <w:szCs w:val="18"/>
              </w:rPr>
              <w:fldChar w:fldCharType="begin"/>
            </w:r>
            <w:r w:rsidR="008666A7">
              <w:rPr>
                <w:rFonts w:cstheme="minorHAnsi"/>
                <w:sz w:val="18"/>
                <w:szCs w:val="18"/>
                <w:lang w:val="en-US"/>
              </w:rPr>
              <w:instrText xml:space="preserve"> ADDIN ZOTERO_ITEM CSL_CITATION {"citationID":"KA7MdJPm","properties":{"formattedCitation":"(64)","plainCitation":"(64)","noteIndex":0},"citationItems":[{"id":1121,"uris":["http://zotero.org/users/15628667/items/DMY52GN3"],"itemData":{"id":1121,"type":"article-journal","abstract":"241428 Introduction: RYZ101 (225Ac-DOTATATE) is an alpha-emitting radiopharmaceutical in development for SSTR2+ solid tumors. Alpha-particles have a shorter path length/higher linear energy transfer than beta-particles, causing more frequent double-strand DNA breaks and potentially improved therapeutic index. ACTION-1 (NCT05477576) is a 2-part, global, randomized, controlled, open-label, phase 1b/3 trial of RYZ101 in advanced, well-differentiated SSTR+ GEP-NETs progressing after 177Lu-SSA therapy. Herein, we report updated results from the phase Ib portion of the trial.Methods: The phase Ib portion of the trial had a dose de-escalation/Bayesian optimal interval design with boundaries based on a dose-limiting toxicity (DLT) rate of 25%. Patients received RYZ101 IV every 8 weeks for 4 cycles. Planned dose levels (n=6/level): Level 0 (starting dose) 120 kBq/kg; Level –1 90 kBq/kg; Level –2 60 kBq/kg. DLT was assessed for 56 days after the first RYZ101 dose. Treatment-emergent adverse events (TEAEs) were graded by NCI-CTCAE v5.0. Dose de-escalation decisions/safety data were overseen by a Data Review Committee. Tumor response was assessed locally by RECIST v1.1.Results: 17 patients have received at least one dose of RYZ101 at 120 kBq/kg (4 doses: 15 patients; 2 doses: 2 patients; median 8.3 MBq). Baseline characteristics: median age 63 years; male (n=11); ECOG PS 0/1 (n=10/7); primary tumor site GI/pancreas (n=12/5). As of June 30 2023, the most frequent TEAEs were nausea (58.8%) and fatigue (52.9%). Serious adverse events (SAEs) were observed in 6 patients (none were treatment related); grade ≥3 AEs occurred in 9 patients (5 were treatment related). No AEs led to treatment discontinuation. 4 patients had TEAEs leading to dose modification, dose hold, and/or delays. The confirmed objective response rate was 29.4% (n=5; all partial responses); 1 patient had an unconfirmed partial response. 8 patients (47.1%) had stable disease and 3 patients (17.6%) had progressive disease. Updated safety and efficacy data, including duration of response and progression-free survival, will be presented.Conclusions: RYZ101 was well tolerated and a fixed dose of 10.2 MBq was declared the recommended phase 3 dose. Initial data suggest promising efficacy. Longer-term safety and efficacy data will be presented. Part 2 (phase 3) is enrolling and will compare RYZ101 at 10.2 MBq every 8 weeks for 4 cycles with standard of care in patients with advanced SSTR2+ GEP-NETs progressing following prior 177Lu-labeled SSAs.","container-title":"Journal of Nuclear Medicine","issue":"supplement 2","journalAbbreviation":"J Nucl Med","page":"241428","title":"&lt;strong&gt;Phase Ib portion of the ACTION-1 phase Ib/3 trial of RYZ101 in gastroenteropancreatic neuroendocrine tumors (GEP-NET) progressing after 177Lu somatostatin analogue (SSA) therapy: safety and efficacy findings&lt;/strong&gt;","URL":"http://jnm.snmjournals.org/content/65/supplement_2/241428.abstract","volume":"65","author":[{"family":"Morris","given":"Michael"},{"family":"Ulaner","given":"Gary"},{"family":"Halperin","given":"Daniel M"},{"family":"Strosberg","given":"Jonathan"},{"family":"Mehr","given":"Sam"},{"family":"Li","given":"Daneng"},{"family":"Soares","given":"Heloisa"},{"family":"Anthony","given":"Lowell"},{"family":"Kotiah","given":"Sandy"},{"family":"Jacene","given":"Heather"},{"family":"Pavel","given":"Marianne"},{"family":"Kunz","given":"Pamela"},{"family":"Ferreira","given":"Denis"},{"family":"Li","given":"Joanne"},{"family":"Ma","given":"Kimberly"},{"family":"Rearden","given":"Jessica"},{"family":"Moran","given":"Susan"},{"family":"Singh","given":"Simron"},{"family":"Hope","given":"Thomas"}],"issued":{"date-parts":[["2024",6,1]]}}}],"schema":"https://github.com/citation-style-language/schema/raw/master/csl-citation.json"} </w:instrText>
            </w:r>
            <w:r w:rsidRPr="00AA1159">
              <w:rPr>
                <w:rFonts w:cstheme="minorHAnsi"/>
                <w:sz w:val="18"/>
                <w:szCs w:val="18"/>
              </w:rPr>
              <w:fldChar w:fldCharType="separate"/>
            </w:r>
            <w:r w:rsidR="008666A7" w:rsidRPr="008666A7">
              <w:rPr>
                <w:rFonts w:ascii="Calibri" w:hAnsi="Calibri" w:cs="Calibri"/>
                <w:sz w:val="18"/>
                <w:lang w:val="en-US"/>
              </w:rPr>
              <w:t>(64)</w:t>
            </w:r>
            <w:r w:rsidRPr="00AA1159">
              <w:rPr>
                <w:rFonts w:cstheme="minorHAnsi"/>
                <w:sz w:val="18"/>
                <w:szCs w:val="18"/>
              </w:rPr>
              <w:fldChar w:fldCharType="end"/>
            </w:r>
          </w:p>
        </w:tc>
        <w:tc>
          <w:tcPr>
            <w:tcW w:w="992" w:type="dxa"/>
            <w:vAlign w:val="center"/>
          </w:tcPr>
          <w:p w14:paraId="714BC642"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0301CCC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GEP-NET/17</w:t>
            </w:r>
          </w:p>
        </w:tc>
        <w:tc>
          <w:tcPr>
            <w:tcW w:w="1843" w:type="dxa"/>
            <w:vAlign w:val="center"/>
          </w:tcPr>
          <w:p w14:paraId="771A09C4" w14:textId="77777777" w:rsidR="000A3731" w:rsidRPr="00AA1159" w:rsidRDefault="000A3731" w:rsidP="000A3731">
            <w:pPr>
              <w:widowControl w:val="0"/>
              <w:jc w:val="center"/>
              <w:rPr>
                <w:rFonts w:cstheme="minorHAnsi"/>
                <w:color w:val="000000"/>
                <w:sz w:val="18"/>
                <w:szCs w:val="18"/>
                <w:lang w:val="en-US"/>
              </w:rPr>
            </w:pPr>
            <w:r w:rsidRPr="00AA1159">
              <w:rPr>
                <w:rFonts w:cstheme="minorHAnsi"/>
                <w:color w:val="000000"/>
                <w:sz w:val="18"/>
                <w:szCs w:val="18"/>
                <w:lang w:val="en-US"/>
              </w:rPr>
              <w:t>Prospective phase Ib (Randomized)</w:t>
            </w:r>
          </w:p>
        </w:tc>
        <w:tc>
          <w:tcPr>
            <w:tcW w:w="1842" w:type="dxa"/>
            <w:vAlign w:val="center"/>
          </w:tcPr>
          <w:p w14:paraId="3CF5A0BD"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 N/A</w:t>
            </w:r>
          </w:p>
        </w:tc>
        <w:tc>
          <w:tcPr>
            <w:tcW w:w="1798" w:type="dxa"/>
            <w:gridSpan w:val="2"/>
            <w:vAlign w:val="center"/>
          </w:tcPr>
          <w:p w14:paraId="362438DE" w14:textId="77777777" w:rsidR="000A3731" w:rsidRPr="00AA1159" w:rsidRDefault="000A3731" w:rsidP="000A3731">
            <w:pPr>
              <w:widowControl w:val="0"/>
              <w:jc w:val="center"/>
              <w:rPr>
                <w:rFonts w:cstheme="minorHAnsi"/>
                <w:color w:val="000000"/>
                <w:sz w:val="18"/>
                <w:szCs w:val="18"/>
                <w:lang w:val="en-US"/>
              </w:rPr>
            </w:pPr>
            <w:r w:rsidRPr="00AA1159">
              <w:rPr>
                <w:rFonts w:cstheme="minorHAnsi"/>
                <w:color w:val="000000"/>
                <w:sz w:val="18"/>
                <w:szCs w:val="18"/>
                <w:lang w:val="en-US"/>
              </w:rPr>
              <w:t>120 kBq/kg (2-4)</w:t>
            </w:r>
          </w:p>
        </w:tc>
      </w:tr>
      <w:tr w:rsidR="000A3731" w14:paraId="2BBD9231" w14:textId="77777777" w:rsidTr="000A3731">
        <w:tc>
          <w:tcPr>
            <w:tcW w:w="1555" w:type="dxa"/>
            <w:vAlign w:val="center"/>
          </w:tcPr>
          <w:p w14:paraId="5C3EBE05" w14:textId="161E605C"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Ballal/2023</w:t>
            </w:r>
            <w:r w:rsidRPr="00AA1159">
              <w:rPr>
                <w:rFonts w:cstheme="minorHAnsi"/>
                <w:sz w:val="18"/>
                <w:szCs w:val="18"/>
              </w:rPr>
              <w:fldChar w:fldCharType="begin"/>
            </w:r>
            <w:r w:rsidR="008666A7">
              <w:rPr>
                <w:rFonts w:cstheme="minorHAnsi"/>
                <w:sz w:val="18"/>
                <w:szCs w:val="18"/>
                <w:lang w:val="en-US"/>
              </w:rPr>
              <w:instrText xml:space="preserve"> ADDIN ZOTERO_ITEM CSL_CITATION {"citationID":"MbkdNj3Y","properties":{"formattedCitation":"(65)","plainCitation":"(65)","noteIndex":0},"citationItems":[{"id":424,"uris":["http://zotero.org/users/15628667/items/Z3ERYZN7"],"itemData":{"id":424,"type":"article-journal","abstract":"Rationale: Although the short-term results of targeted alpha therapy (TAT) with (225)Ac-DOTATATE in gastroenteropancreatic neuroendocrine tumors (GEP-NETs) have  proven effective, none have assessed the long-term outcome results. In this  study, we aimed to evaluate the long-term outcome of (225)Ac-DOTATATE targeted  alpha therapy (TAT) in patients with somatostatin receptor (SSTR)-expressing  advanced-stage metastatic gastroenteropancreatic neuroendocrine tumors  (GEP-NETs). Methods: Patients with (68)Ga-DOTANOC PET/CT scans showing  moderate-to-high SSTR expression were recruited. Systemic TAT was performed in 91  adults with GEP-NET [54 males, and 37 females] mean age 54 years (y) (range:  25-75y)] using (225)Ac-DOTATATE (100-120 kBq/kg body weight). All patients were  given capecitabine therapy as a radiosensitizer (dose 2 g/day) from day 0 to 14  of every (225)Ac-DOTATATE treatment cycle. Patients were categorized into three  groups based on the status of prior (177)Lu-PRRT: prior  (177)Lu-PRRT-refractory-group; prior (177)Lu-PRRT-disease-control group; and  (177)Lu-PRRT naïve group. Primary endpoints were overall survival (OS), and  secondary endpoints included progression-free survival (PFS), objective tumour  response, clinical response, and the assessment of treatment-related toxicities.  Results: Among the 91 patients, 57 underwent prior (177)Lu-DOTATATE therapy [24  disease controlled (PR/SD), 33 progressive diseases (PD)]. A total of 453  (225)Ac-DOTATATE TAT cycles were administered [median four cycles per patient;  range 1-10] in a median follow-up duration of 24 months (range 5-41mo). Median OS  was not attained with a 24-month overall survival probability of 70.8%. In  multivariate analysis, prognostic factors associated with a poor OS included, the  presence bone metastases [HR: 2.501; 95% CI: 1.826 - 5.791; P&lt;0.032], and  (225)Ac-DOTATATE therapy refractory disease [HR: 8.781; 95% CI: 3.843 - 20.062;  P&lt;0.0001]. Median PFS was also not reached with a 24-month progression-free  survival probability of 67.5%. The multivariate analysis revealed only  (177)Lu-PRRT refractory disease significantly associated with a reduced PFS. [HR:  14.338; 95% CI: 1.853 - 97.698; P = 0.011]. Two of 79 patients (2.5%) with  assessable disease experienced complete response; 38 (48%) had a partial  response, 23 (29%) had SD, and 16 (20.2%) had PD. PD was observed in more  patients from the prior (177)Lu-PRRT-refractory group (11/33; 34%) as compared to  (177)Lu-PRRT-naïve patients (4/24; 11%), P-0.056. Patients from the prior  (177)Lu-PRRT-refractory group had the highest risk of poor PFS [HR:13.91; 95% CI:  4.45 - 42.271; P = 0.0009]. A significant clinical benefit was achieved post  (225)Ac-DOTATATE therapy with minimal treatment-related toxicities. Conclusion:  The long-term results reveal (225)Ac-DOTATATE TAT has shown promising results and  improves overall survival, even in patients refractory to prior (177)Lu-DOTATATE  treatment, with transient and acceptable adverse effects.","container-title":"Journal of nuclear medicine : official publication, Society of Nuclear Medicine","DOI":"10.2967/jnumed.122.264043","ISSN":"1535-5667 0161-5505","journalAbbreviation":"J Nucl Med","language":"eng","license":"Copyright © 2022 by the Society of Nuclear Medicine and Molecular Imaging, Inc.","note":"publisher-place: United States\nPMID: 35863893","page":"jnumed.122.264043","title":"Survival Outcomes in Metastatic Gastroenteropancreatic Neuroendocrine Tumor Patients receiving Concomitant (225)Ac-DOTATATE Targeted Alpha Therapy and  Capecitabine: A Real-world Scenario Management Based Long-term Outcome Study.","author":[{"family":"Ballal","given":"Sanjana"},{"family":"Yadav","given":"Madhav Prasad"},{"family":"Tripathi","given":"Madhavi"},{"family":"Sahoo","given":"Ranjit Kumar"},{"family":"Bal","given":"Chandrasekhar"}],"issued":{"date-parts":[["2022",7,21]]}}}],"schema":"https://github.com/citation-style-language/schema/raw/master/csl-citation.json"} </w:instrText>
            </w:r>
            <w:r w:rsidRPr="00AA1159">
              <w:rPr>
                <w:rFonts w:cstheme="minorHAnsi"/>
                <w:sz w:val="18"/>
                <w:szCs w:val="18"/>
              </w:rPr>
              <w:fldChar w:fldCharType="separate"/>
            </w:r>
            <w:r w:rsidR="008666A7" w:rsidRPr="008666A7">
              <w:rPr>
                <w:rFonts w:ascii="Calibri" w:hAnsi="Calibri" w:cs="Calibri"/>
                <w:sz w:val="18"/>
                <w:lang w:val="en-US"/>
              </w:rPr>
              <w:t>(65)</w:t>
            </w:r>
            <w:r w:rsidRPr="00AA1159">
              <w:rPr>
                <w:rFonts w:cstheme="minorHAnsi"/>
                <w:sz w:val="18"/>
                <w:szCs w:val="18"/>
              </w:rPr>
              <w:fldChar w:fldCharType="end"/>
            </w:r>
          </w:p>
        </w:tc>
        <w:tc>
          <w:tcPr>
            <w:tcW w:w="992" w:type="dxa"/>
            <w:vAlign w:val="center"/>
          </w:tcPr>
          <w:p w14:paraId="6E0CA4F9"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7621D885"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GEP-NET/91</w:t>
            </w:r>
          </w:p>
        </w:tc>
        <w:tc>
          <w:tcPr>
            <w:tcW w:w="1843" w:type="dxa"/>
            <w:vAlign w:val="center"/>
          </w:tcPr>
          <w:p w14:paraId="0B7C4E18"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Prospective(three groups :177Lu- control,-refractory, -naive)</w:t>
            </w:r>
          </w:p>
        </w:tc>
        <w:tc>
          <w:tcPr>
            <w:tcW w:w="1842" w:type="dxa"/>
            <w:vAlign w:val="center"/>
          </w:tcPr>
          <w:p w14:paraId="3ACCB839"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TRT/57</w:t>
            </w:r>
          </w:p>
        </w:tc>
        <w:tc>
          <w:tcPr>
            <w:tcW w:w="1798" w:type="dxa"/>
            <w:gridSpan w:val="2"/>
            <w:vAlign w:val="center"/>
          </w:tcPr>
          <w:p w14:paraId="5AC443D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0,1-0,12</w:t>
            </w:r>
          </w:p>
          <w:p w14:paraId="366A6BFD"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MBq/kg  (1-10)</w:t>
            </w:r>
          </w:p>
        </w:tc>
      </w:tr>
      <w:tr w:rsidR="000A3731" w14:paraId="492F7F26" w14:textId="77777777" w:rsidTr="000A3731">
        <w:tc>
          <w:tcPr>
            <w:tcW w:w="1555" w:type="dxa"/>
            <w:vAlign w:val="center"/>
          </w:tcPr>
          <w:p w14:paraId="229E2E01" w14:textId="59C77176"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Demirci/ 2023</w:t>
            </w:r>
            <w:r w:rsidRPr="00AA1159">
              <w:rPr>
                <w:rFonts w:cstheme="minorHAnsi"/>
                <w:sz w:val="18"/>
                <w:szCs w:val="18"/>
              </w:rPr>
              <w:fldChar w:fldCharType="begin"/>
            </w:r>
            <w:r w:rsidR="008666A7">
              <w:rPr>
                <w:rFonts w:cstheme="minorHAnsi"/>
                <w:sz w:val="18"/>
                <w:szCs w:val="18"/>
                <w:lang w:val="en-US"/>
              </w:rPr>
              <w:instrText xml:space="preserve"> ADDIN ZOTERO_ITEM CSL_CITATION {"citationID":"87baJAwT","properties":{"formattedCitation":"(66)","plainCitation":"(66)","noteIndex":0},"citationItems":[{"id":356,"uris":["http://zotero.org/users/15628667/items/T4QI4M5X"],"itemData":{"id":356,"type":"article-journal","abstract":"OBJECTIVES: This study aimed to evaluate the stability, safety, and efficacy of alpha-targeted therapy with [(225)Ac]Ac-DOTATATE in patients with grade 1/2  metastatic neuroendocrine tumors (NETs). METHODS: This retrospective cohort  included patients (n=11) with metastatic NETs from different primary sites  (bronchial, pancreatic, nonpancreatic gastroenteropancreatic NETs, paraganglioma,  and unknown primary site) treated with [(225)Ac]Ac-DOTATATE with a mean activity  of 8.2±0.6 MBq (range: 7.5-10.0 MBq) at our institution between November 2019 and  March 2022. The in vivo and in vitro stability of [(225)Ac]Ac-DOTATATE was  calculated. The safety profile was evaluated according to the CTCAE-v5.0.  Treatment efficacy was evaluated according to [(68)Ga] Ga-DOTATATE positron  emission tomography/computed tomography (PET/CT) images and the RECIST 1.1  criteria. RESULTS: Patients had 73% (n=8) lymph node metastases, 91% (n=10) liver  metastases, 36% (n=4) lung metastases, and 73% (n=8) bone metastases. All but one  patient was refractory to treatment with [(177)Lu]Lu-DOTATATE.  [(225)Ac]Ac-DOTATATE was stable for at least 5 h in vitro (in saline) and 3 h in  vivo (urine and blood samples). Grade 2 renal toxicity and grade 2 hematotoxicity  were observed in one patient. No grade 3-4 toxicities were reported. According to  post-treatment [(68)Ga]Ga-DOTATATE PET/CT (n=9), 11% (n=1) had progressive  disease, 44.4% (n=4) had stable disease, and 44.4% (n=4) had a partial response.  The disease control rate was 89% (n=8). The median progression-free survival  estimated according to Kaplan-Meier analysis was 12 months. CONCLUSION: The  preliminary results of this study suggest that [(225)Ac]Ac-DOTATATE is stable,  safe, and effective for treating advanced and [(177)Lu] Lu-DOTATATE-refractory  NETs. However, prospective studies are needed to determine the impact of  treatment on overall survival and to uncover potential side effects.","container-title":"Molecular imaging and radionuclide therapy","DOI":"10.4274/mirt.galenos.2023.38258","ISSN":"2146-1414 2147-1959","issue":"3","journalAbbreviation":"Mol Imaging Radionucl Ther","language":"eng","license":"©Copyright 2023 by the Turkish Society of Nuclear Medicine / Molecular Imaging and Radionuclide Therapy published by Galenos Publishing House.","note":"publisher-place: Turkey\nPMID: 37870290 \nPMCID: PMC10600558","page":"226-232","title":"Initial Findings on the Use of [(225)Ac]Ac-DOTATATE Therapy as a Theranostic Application in Patients with Neuroendocrine Tumors.","volume":"32","author":[{"family":"Demirci","given":"Emre"},{"family":"Alan Selçuk","given":"Nalan"},{"family":"Beydağı","given":"Gamze"},{"family":"Ocak","given":"Meltem"},{"family":"Toklu","given":"Türkay"},{"family":"Akçay","given":"Kaan"},{"family":"Kabasakal","given":"Levent"}],"issued":{"date-parts":[["2023",10,20]]}}}],"schema":"https://github.com/citation-style-language/schema/raw/master/csl-citation.json"} </w:instrText>
            </w:r>
            <w:r w:rsidRPr="00AA1159">
              <w:rPr>
                <w:rFonts w:cstheme="minorHAnsi"/>
                <w:sz w:val="18"/>
                <w:szCs w:val="18"/>
              </w:rPr>
              <w:fldChar w:fldCharType="separate"/>
            </w:r>
            <w:r w:rsidR="008666A7" w:rsidRPr="008666A7">
              <w:rPr>
                <w:rFonts w:ascii="Calibri" w:hAnsi="Calibri" w:cs="Calibri"/>
                <w:sz w:val="18"/>
                <w:lang w:val="en-US"/>
              </w:rPr>
              <w:t>(66)</w:t>
            </w:r>
            <w:r w:rsidRPr="00AA1159">
              <w:rPr>
                <w:rFonts w:cstheme="minorHAnsi"/>
                <w:sz w:val="18"/>
                <w:szCs w:val="18"/>
              </w:rPr>
              <w:fldChar w:fldCharType="end"/>
            </w:r>
          </w:p>
        </w:tc>
        <w:tc>
          <w:tcPr>
            <w:tcW w:w="992" w:type="dxa"/>
            <w:vAlign w:val="center"/>
          </w:tcPr>
          <w:p w14:paraId="2957ABC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23662C8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NET/11</w:t>
            </w:r>
          </w:p>
        </w:tc>
        <w:tc>
          <w:tcPr>
            <w:tcW w:w="1843" w:type="dxa"/>
            <w:vAlign w:val="center"/>
          </w:tcPr>
          <w:p w14:paraId="21C780E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Retrospective (N/A)</w:t>
            </w:r>
          </w:p>
        </w:tc>
        <w:tc>
          <w:tcPr>
            <w:tcW w:w="1842" w:type="dxa"/>
            <w:vAlign w:val="center"/>
          </w:tcPr>
          <w:p w14:paraId="7DA8DE6E"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TRT/10</w:t>
            </w:r>
          </w:p>
        </w:tc>
        <w:tc>
          <w:tcPr>
            <w:tcW w:w="1798" w:type="dxa"/>
            <w:gridSpan w:val="2"/>
            <w:vAlign w:val="center"/>
          </w:tcPr>
          <w:p w14:paraId="526A0AD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0,1-0,12 MBq/kg  (1-10)</w:t>
            </w:r>
          </w:p>
        </w:tc>
      </w:tr>
      <w:tr w:rsidR="000A3731" w14:paraId="2D5C85B7" w14:textId="77777777" w:rsidTr="000A3731">
        <w:tc>
          <w:tcPr>
            <w:tcW w:w="1555" w:type="dxa"/>
            <w:vAlign w:val="center"/>
          </w:tcPr>
          <w:p w14:paraId="3E2DBDDB" w14:textId="3FCA045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Kamaleshwaran/2023</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{"citationID":"KjXlHoR4","properties":{"formattedCitation":"(20)","plainCitation":"(20)","noteIndex":0},"citationItems":[{"id":1127,"uris":["http://zotero.org/users/15628667/items/9A3BL8NV"],"itemData":{"id":1127,"type":"article-journal","abstract":"P148 Introduction: PRRT with Lutetium -177(Lu177) DOTATATE is the first radiopharmaceutical approved by FDA for NETs. The limitation of Lu177-DOTATATE therapy is that 26– 55% only achieve stabilisation of disease and 18–32% are refractory . In this study, we report first clinical experience of two cases of rectal and ileal NET treated with Actinium225(Ac225)- DOTATATE as first line treatment .Methods: Two patients with Gallium-68(Ga68) DOTANOC avid NET was selected to undergo treatment with Ac225 DOTATATE as first line treatment .one patient underwent 2 cycles (7.4Mbq per cycle) along with aminoacid infusion to protect kidneys .another patient underwent 1 cycle .Endpoints included biochemical and radiologic response ,hematologic and nephtotoxicity ,post therapy imaging and health-related quality of life. Serum .Chromogranin(CgA) was determined every 4 wk. Interim DOTANOC PET CT was performed after each cycle.Results: first patient is 65 year old male presented with rectal pain ,on evaluation found to have rectal lesion and biospy showed grade 1 NET(Ki67-4%).Ga68 DOTANOC PET CT showed intense avid pararectal lesion, retroperiotneal lymphnodes ,liver lesions and right rib metastases.He underwent Ac225 DOTATATE . Posttherapy images were acquired at 24 hours. Highenergy generalpurpose collimators were used for both whole body and SPECT/CT using 218.keV and 440keV photon energies with 20% window width. Repeat PET CT at 2 months showed partial response in all lesions and CgA showed decreasing trend. He underwent 2nd cycle and on followup with no side effects and complete pain relief.Second patient is 70 year old male on diagnostic laparascopy showed multiple small bowel lesions ,on biopsy showed grade 1 NET .Ga68 DOTANOC PET CT images showed atleast 5 lesions in ileum with mesentric nodes .Patient prefered for Ac225 DOTATATE as first line treatment .After 2 months ,Interim PET CT showed partial response and without any side effects . Conclusions: We present here our first clinical experience on Ac225- DOTATATE therapy in 2 NET patients, a promising first line treatment option extending new dimension to treatment of NET.Post therapy Ac225 DOTATATE SPECT CT and whole body images were acquired at 218 and 440 Kev .Both patients showed partial response with no side effects and is on followup .","container-title":"Journal of Nuclear Medicine","issue":"supplement 1","journalAbbreviation":"J Nucl Med","page":"P148","title":"&lt;strong&gt;Actinium225 –DOTATATE peptide receptor radionuclide therapy(PRRT) as first line treatment in two cases of bowel Neuroendocrine tumors .&lt;/strong&gt;","URL":"http://jnm.snmjournals.org/content/64/supplement_1/P148.abstract","volume":"64","author":[{"family":"Kamaleshwaran","given":"Koramadai Karuppusamy"},{"family":"Kumar","given":"Ram"}],"issued":{"date-parts":[["2023",6,1]]}}}],"schema":"https://github.com/citation-style-language/schema/raw/master/csl-citation.json"} </w:instrText>
            </w:r>
            <w:r w:rsidRPr="00AA1159">
              <w:rPr>
                <w:rFonts w:cstheme="minorHAnsi"/>
                <w:sz w:val="18"/>
                <w:szCs w:val="18"/>
              </w:rPr>
              <w:fldChar w:fldCharType="separate"/>
            </w:r>
            <w:r w:rsidR="00BC4723" w:rsidRPr="00F56005">
              <w:rPr>
                <w:rFonts w:ascii="Calibri" w:hAnsi="Calibri" w:cs="Calibri"/>
                <w:sz w:val="18"/>
                <w:lang w:val="en-US"/>
              </w:rPr>
              <w:t>(20)</w:t>
            </w:r>
            <w:r w:rsidRPr="00AA1159">
              <w:rPr>
                <w:rFonts w:cstheme="minorHAnsi"/>
                <w:sz w:val="18"/>
                <w:szCs w:val="18"/>
              </w:rPr>
              <w:fldChar w:fldCharType="end"/>
            </w:r>
          </w:p>
        </w:tc>
        <w:tc>
          <w:tcPr>
            <w:tcW w:w="992" w:type="dxa"/>
            <w:vAlign w:val="center"/>
          </w:tcPr>
          <w:p w14:paraId="7BD9475B"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5993753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GEP-NET/2</w:t>
            </w:r>
          </w:p>
        </w:tc>
        <w:tc>
          <w:tcPr>
            <w:tcW w:w="1843" w:type="dxa"/>
            <w:vAlign w:val="center"/>
          </w:tcPr>
          <w:p w14:paraId="090525FD"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pilot (single-arm)</w:t>
            </w:r>
          </w:p>
        </w:tc>
        <w:tc>
          <w:tcPr>
            <w:tcW w:w="1842" w:type="dxa"/>
            <w:vAlign w:val="center"/>
          </w:tcPr>
          <w:p w14:paraId="258F0E5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No prior TRT</w:t>
            </w:r>
          </w:p>
        </w:tc>
        <w:tc>
          <w:tcPr>
            <w:tcW w:w="1798" w:type="dxa"/>
            <w:gridSpan w:val="2"/>
            <w:vAlign w:val="center"/>
          </w:tcPr>
          <w:p w14:paraId="7C24DDC3"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7,4 MBq (2)</w:t>
            </w:r>
          </w:p>
        </w:tc>
      </w:tr>
      <w:tr w:rsidR="000A3731" w14:paraId="452B3669" w14:textId="77777777" w:rsidTr="000A3731">
        <w:tc>
          <w:tcPr>
            <w:tcW w:w="1555" w:type="dxa"/>
            <w:vAlign w:val="center"/>
          </w:tcPr>
          <w:p w14:paraId="51828B55" w14:textId="14FDFE93"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Satapathy/2022</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{"citationID":"pu4GIX3H","properties":{"formattedCitation":"(19)","plainCitation":"(19)","noteIndex":0},"citationItems":[{"id":1207,"uris":["http://zotero.org/users/15628667/items/F6S26YM8"],"itemData":{"id":1207,"type":"article-journal","abstract":"Abstract          The utility of β-emitter 177Lu-DOTATATE in patients of neuroendocrine tumors (NETs) with widespread skeletal metastases is limited by its relatively modest response rates and a significant concern for hematotoxicity. In such situations, targeted α therapy with 225Ac-DOTATATE can be potentially beneficial. In this report, a 46-year-old man with rectal NET and extensive skeletal metastases was treated upfront with 6 cycles of 225Ac-DOTATATE at 8 weeks’ intervals. The patient showed excellent symptomatic, biochemical, and radiological response with no grade 3/4 adverse events. The first-line use of 225Ac-DOTATATE, therefore, presents a novel strategy for metastatic NETs with high skeletal disease burden.","container-title":"Clinical Nuclear Medicine","DOI":"10.1097/rlu.0000000000003823","ISSN":"1536-0229, 0363-9762","issue":"2","journalAbbreviation":"Clin Nucl Med","language":"en","note":"publisher: Ovid Technologies (Wolters Kluwer Health)","page":"e156-e157","source":"Crossref","title":"Alpha Before Beta: Exceptional Response to First-Line 225Ac-DOTATATE in a Patient of Metastatic Neuroendocrine Tumor With Extensive Skeletal Involvement","title-short":"Alpha Before Beta","URL":"https://journals.lww.com/10.1097/RLU.0000000000003823","volume":"47","author":[{"family":"Satapathy","given":"Swayamjeet"},{"family":"Sood","given":"Ashwani"},{"family":"Das","given":"Chandan Krushna"},{"family":"Kavanal","given":"Anwin Joseph"},{"family":"Mittal","given":"Bhagwant Rai"}],"accessed":{"date-parts":[["2025",7,25]]},"issued":{"date-parts":[["2022",2]]}}}],"schema":"https://github.com/citation-style-language/schema/raw/master/csl-citation.json"}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(19)</w:t>
            </w:r>
            <w:r w:rsidRPr="00AA1159">
              <w:rPr>
                <w:rFonts w:cstheme="minorHAnsi"/>
                <w:sz w:val="18"/>
                <w:szCs w:val="18"/>
              </w:rPr>
              <w:fldChar w:fldCharType="end"/>
            </w:r>
          </w:p>
        </w:tc>
        <w:tc>
          <w:tcPr>
            <w:tcW w:w="992" w:type="dxa"/>
            <w:vAlign w:val="center"/>
          </w:tcPr>
          <w:p w14:paraId="18280B28"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5340B7C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GEP-NET/1</w:t>
            </w:r>
          </w:p>
        </w:tc>
        <w:tc>
          <w:tcPr>
            <w:tcW w:w="1843" w:type="dxa"/>
            <w:vAlign w:val="center"/>
          </w:tcPr>
          <w:p w14:paraId="74D61FC2" w14:textId="77777777" w:rsidR="000A3731" w:rsidRPr="00AA1159" w:rsidRDefault="000A3731" w:rsidP="000A3731">
            <w:pPr>
              <w:widowControl w:val="0"/>
              <w:jc w:val="center"/>
              <w:rPr>
                <w:rFonts w:cstheme="minorHAnsi"/>
                <w:sz w:val="18"/>
                <w:szCs w:val="18"/>
                <w:lang w:val="en-US"/>
              </w:rPr>
            </w:pPr>
            <w:r w:rsidRPr="00AA1159">
              <w:rPr>
                <w:rFonts w:cstheme="minorHAnsi"/>
                <w:color w:val="000000"/>
                <w:sz w:val="18"/>
                <w:szCs w:val="18"/>
                <w:lang w:val="en-US"/>
              </w:rPr>
              <w:t>Case Report(trial therapy)</w:t>
            </w:r>
          </w:p>
        </w:tc>
        <w:tc>
          <w:tcPr>
            <w:tcW w:w="1842" w:type="dxa"/>
            <w:vAlign w:val="center"/>
          </w:tcPr>
          <w:p w14:paraId="558D3B9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No prior TRT</w:t>
            </w:r>
          </w:p>
        </w:tc>
        <w:tc>
          <w:tcPr>
            <w:tcW w:w="1798" w:type="dxa"/>
            <w:gridSpan w:val="2"/>
            <w:vAlign w:val="center"/>
          </w:tcPr>
          <w:p w14:paraId="263472F7" w14:textId="77777777" w:rsidR="000A3731" w:rsidRPr="00AA1159" w:rsidRDefault="000A3731" w:rsidP="000A3731">
            <w:pPr>
              <w:widowControl w:val="0"/>
              <w:jc w:val="center"/>
              <w:rPr>
                <w:rFonts w:cstheme="minorHAnsi"/>
                <w:sz w:val="18"/>
                <w:szCs w:val="18"/>
                <w:lang w:val="en-US"/>
              </w:rPr>
            </w:pPr>
            <w:r w:rsidRPr="00AA1159">
              <w:rPr>
                <w:rFonts w:cstheme="minorHAnsi"/>
                <w:color w:val="000000"/>
                <w:sz w:val="18"/>
                <w:szCs w:val="18"/>
                <w:lang w:val="en-US"/>
              </w:rPr>
              <w:t>N/A (6)</w:t>
            </w:r>
          </w:p>
        </w:tc>
      </w:tr>
      <w:tr w:rsidR="000A3731" w14:paraId="67904ADC" w14:textId="77777777" w:rsidTr="000A3731">
        <w:tc>
          <w:tcPr>
            <w:tcW w:w="1555" w:type="dxa"/>
            <w:vAlign w:val="center"/>
          </w:tcPr>
          <w:p w14:paraId="25D33B54" w14:textId="5283749A"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Yadav/2022</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{"citationID":"P9aHUuf5","properties":{"formattedCitation":"(21)","plainCitation":"(21)","noteIndex":0},"citationItems":[{"id":250,"uris":["http://zotero.org/users/15628667/items/3Z3YA745"],"itemData":{"id":250,"type":"article-journal","abstract":"PURPOSE: In this study, we aim to evaluate the efficacy and safety of (225)AC-DOTATATE targeted alpha therapy in advanced-stage paragangliomas (PGLs).  METHODS: Nine (6 males and 3 females) consecutive patients with histologically  proven PGLs were treated with (225)Ac-DOTATATE targeted alpha therapy (TAT) and  concomitant radiosensitizer, capecitabine, at 8-weekly intervals up to a  cumulative activity of ~ 74 MBq. The primary endpoint included evaluating therapy  response and disease control rate (DCR) using the RECIST 1.1 criteria. Additional  secondary endpoints comprised clinical response assessment using EORTC QLQ-H&amp;N35  questionnaire, Karnofsky Performance Scale (KPS), Eastern Cooperative Oncology  Group performance status (ECOG), analgesic score (AS), dose alterations of  anti-hypertensive drugs (anti-HTN), and the safety and side-effect profile  evaluation as per CTCAE criteria version 5.0. RESULTS: Following (225)Ac-DOTATATE  treatment, morphological response revealed partial response in 50%, stable  disease in 37.5%, and disease progression in 12.5%, with a DCR of 87.5%.  Similarly, the symptomatic response was remarkable, and anti-HTN drugs were  stopped in 25% and reduced in 37.5%. Another significant finding in our study  revealed a morphologic DCR of 66.6% (2/3) in patients who failed previous  lutetium-177 peptide receptor radionuclide therapy ((177)Lu-PRRT). Regarding the  KPS, ECOG, and AS performance scores, a notable improvement was observed  post-(225)Ac-DOTATATE treatment. The QLQ-H&amp;N35 symptom scores evaluated in seven  H&amp;N PGL patients showed significant improvement in all aspects. No improvement in  sexual function was noted (P = 0.3559). Despite the significant reduction in the  analgesic score post-treatment (P = 0.0031), the QLQ-H&amp;N35 revealed only marginal  significance concerning the intake of pain killers (P = 0.1723). No grade III/IV  hematological, renal, and hepatological toxicities were noted. CONCLUSION: The  evidence from this study suggests (225)Ac-DOTATATE therapy is effective and safe  in the treatment of advanced-stage PGLs and also reports a clear benefit even in  patient's refractory to the previous (177)Lu-PRRT.","container-title":"European journal of nuclear medicine and molecular imaging","DOI":"10.1007/s00259-021-05632-5","ISSN":"1619-7089 1619-7070","issue":"5","journalAbbreviation":"Eur J Nucl Med Mol Imaging","language":"eng","license":"© 2021. The Author(s), under exclusive licence to Springer-Verlag GmbH Germany, part of Springer Nature.","note":"publisher-place: Germany\nPMID: 34837103 \nPMCID: PMC8626283","page":"1595-1606","title":"Efficacy and safety of (225)Ac-DOTATATE targeted alpha therapy in metastatic paragangliomas: a pilot study.","volume":"49","author":[{"family":"Yadav","given":"Madhav Prasad"},{"family":"Ballal","given":"Sanjana"},{"family":"Sahoo","given":"Ranjit Kumar"},{"family":"Bal","given":"Chandrasekhar"}],"issued":{"date-parts":[["2022",4]]}}}],"schema":"https://github.com/citation-style-language/schema/raw/master/csl-citation.json"}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(21)</w:t>
            </w:r>
            <w:r w:rsidRPr="00AA1159">
              <w:rPr>
                <w:rFonts w:cstheme="minorHAnsi"/>
                <w:sz w:val="18"/>
                <w:szCs w:val="18"/>
              </w:rPr>
              <w:fldChar w:fldCharType="end"/>
            </w:r>
          </w:p>
        </w:tc>
        <w:tc>
          <w:tcPr>
            <w:tcW w:w="992" w:type="dxa"/>
            <w:vAlign w:val="center"/>
          </w:tcPr>
          <w:p w14:paraId="3397CF8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6201F304"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Paragangliomas/9</w:t>
            </w:r>
          </w:p>
        </w:tc>
        <w:tc>
          <w:tcPr>
            <w:tcW w:w="1843" w:type="dxa"/>
            <w:vAlign w:val="center"/>
          </w:tcPr>
          <w:p w14:paraId="7FD4D364"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pilot (single-arm)</w:t>
            </w:r>
          </w:p>
        </w:tc>
        <w:tc>
          <w:tcPr>
            <w:tcW w:w="1842" w:type="dxa"/>
            <w:vAlign w:val="center"/>
          </w:tcPr>
          <w:p w14:paraId="22BE9599"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TRT/7  I-131 MIBG therapy/2</w:t>
            </w:r>
          </w:p>
        </w:tc>
        <w:tc>
          <w:tcPr>
            <w:tcW w:w="1798" w:type="dxa"/>
            <w:gridSpan w:val="2"/>
            <w:vAlign w:val="center"/>
          </w:tcPr>
          <w:p w14:paraId="047DC236"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0,1MBq/kg  (2-9)</w:t>
            </w:r>
          </w:p>
        </w:tc>
      </w:tr>
      <w:tr w:rsidR="000A3731" w14:paraId="55CF4374" w14:textId="77777777" w:rsidTr="000A3731">
        <w:tc>
          <w:tcPr>
            <w:tcW w:w="1555" w:type="dxa"/>
            <w:vAlign w:val="center"/>
          </w:tcPr>
          <w:p w14:paraId="2594D16F" w14:textId="2002D7D5"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Ballal/2020</w:t>
            </w:r>
            <w:r w:rsidRPr="00AA1159">
              <w:rPr>
                <w:rFonts w:cstheme="minorHAnsi"/>
                <w:sz w:val="18"/>
                <w:szCs w:val="18"/>
              </w:rPr>
              <w:fldChar w:fldCharType="begin"/>
            </w:r>
            <w:r w:rsidR="008666A7">
              <w:rPr>
                <w:rFonts w:cstheme="minorHAnsi"/>
                <w:sz w:val="18"/>
                <w:szCs w:val="18"/>
                <w:lang w:val="en-US"/>
              </w:rPr>
              <w:instrText xml:space="preserve"> ADDIN ZOTERO_ITEM CSL_CITATION {"citationID":"n2Pl1IxR","properties":{"formattedCitation":"(67)","plainCitation":"(67)","noteIndex":0},"citationItems":[{"id":385,"uris":["http://zotero.org/users/15628667/items/58C76255"],"itemData":{"id":385,"type":"article-journal","abstract":"PURPOSE: The objective of this study was to investigate and present the early results on the efficacy, safety, and quality of life of (225)Ac-DOTATATE targeted  alpha therapy (TAT) in patients with advanced, progressive, (177)Lu-DOTATATE  refractory, and somatostatin receptor (SSTR) expressing metastatic GEP-NETs.  METHODS: In this prospective study, we recruited patients with metastatic  GEP-NETs who were stable or progressive disease on (177)Lu-DOTATATE therapy.  Systemic TAT using (225)Ac-DOTATATE was performed in all the patients with  (225)Ac-DOTATATE (100 kBq/kg body weight) at an interval of 8 weeks. The primary  end point was to assess the objective response (measured by RECIST 1.1 and  functional M.D. Anderson criteria). The secondary end points included biochemical  response assessment as per the Italian Trials in Medical Oncology (ITMO), adverse  event profile as per CTCAE v5.0, and clinical response assessment by the quality  of life (assessed with EORTC QLQ-GI.NET21 patient-based questionnaire). RESULTS:  Between April 2018 and March 2019, 32 patients (17 females, 15 males, mean age  52 ± 9.2 years, 35-72 years) with either stable disease after completing  (177)Lu-DOTATATE therapy (14, 44%) or progressive disease on (177)Lu-DOTATATE  therapy (18, 56%) were included in the study. The morphological response was  assessed in 24/32 patients that revealed partial remission in 15 and stable  disease in 9. There was no documented disease progression or deaths in the median  follow-up of 8 months (range 2-13 months). There was a significant decrease in  the plasma chromogranin level post-(225)Ac-DOTATATE therapy (P &lt; 0.0001).  CONCLUSION: Our short-term clinical results indicate (225)Ac-DOTATATE TAT as a  promising treatment option which adds a new dimension in patients who are  refractory to (177)Lu-DOTATATE therapy or have reached the maximum prescribed  cycles of (177)Lu-DOTATATE therapy.","container-title":"European journal of nuclear medicine and molecular imaging","DOI":"10.1007/s00259-019-04567-2","ISSN":"1619-7089 1619-7070","issue":"4","journalAbbreviation":"Eur J Nucl Med Mol Imaging","language":"eng","note":"publisher-place: Germany\nPMID: 31707430","page":"934-946","title":"Broadening horizons with (225)Ac-DOTATATE targeted alpha therapy for gastroenteropancreatic neuroendocrine tumour patients stable or refractory to  (177)Lu-DOTATATE PRRT: first clinical experience on the efficacy and safety.","volume":"47","author":[{"family":"Ballal","given":"Sanjana"},{"family":"Yadav","given":"Madhav Prasad"},{"family":"Bal","given":"Chandrasekhar"},{"family":"Sahoo","given":"Ranjit Kumar"},{"family":"Tripathi","given":"Madhavi"}],"issued":{"date-parts":[["2020",4]]}}}],"schema":"https://github.com/citation-style-language/schema/raw/master/csl-citation.json"} </w:instrText>
            </w:r>
            <w:r w:rsidRPr="00AA1159">
              <w:rPr>
                <w:rFonts w:cstheme="minorHAnsi"/>
                <w:sz w:val="18"/>
                <w:szCs w:val="18"/>
              </w:rPr>
              <w:fldChar w:fldCharType="separate"/>
            </w:r>
            <w:r w:rsidR="008666A7" w:rsidRPr="008666A7">
              <w:rPr>
                <w:rFonts w:ascii="Calibri" w:hAnsi="Calibri" w:cs="Calibri"/>
                <w:sz w:val="18"/>
                <w:lang w:val="en-US"/>
              </w:rPr>
              <w:t>(67)</w:t>
            </w:r>
            <w:r w:rsidRPr="00AA1159">
              <w:rPr>
                <w:rFonts w:cstheme="minorHAnsi"/>
                <w:sz w:val="18"/>
                <w:szCs w:val="18"/>
              </w:rPr>
              <w:fldChar w:fldCharType="end"/>
            </w:r>
          </w:p>
        </w:tc>
        <w:tc>
          <w:tcPr>
            <w:tcW w:w="992" w:type="dxa"/>
            <w:vAlign w:val="center"/>
          </w:tcPr>
          <w:p w14:paraId="59335E4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DOTATATE</w:t>
            </w:r>
          </w:p>
        </w:tc>
        <w:tc>
          <w:tcPr>
            <w:tcW w:w="1134" w:type="dxa"/>
            <w:vAlign w:val="center"/>
          </w:tcPr>
          <w:p w14:paraId="22B574AF"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GEP-NET/32</w:t>
            </w:r>
          </w:p>
        </w:tc>
        <w:tc>
          <w:tcPr>
            <w:tcW w:w="1843" w:type="dxa"/>
            <w:vAlign w:val="center"/>
          </w:tcPr>
          <w:p w14:paraId="264A26B5"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(single-arm)</w:t>
            </w:r>
          </w:p>
        </w:tc>
        <w:tc>
          <w:tcPr>
            <w:tcW w:w="1842" w:type="dxa"/>
            <w:vAlign w:val="center"/>
          </w:tcPr>
          <w:p w14:paraId="05BBAC06"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TRT/32</w:t>
            </w:r>
          </w:p>
        </w:tc>
        <w:tc>
          <w:tcPr>
            <w:tcW w:w="1798" w:type="dxa"/>
            <w:gridSpan w:val="2"/>
            <w:vAlign w:val="center"/>
          </w:tcPr>
          <w:p w14:paraId="0BC3137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0,1MBq/kg  (1-7)</w:t>
            </w:r>
          </w:p>
        </w:tc>
      </w:tr>
      <w:tr w:rsidR="000A3731" w14:paraId="0AE31AF3" w14:textId="77777777" w:rsidTr="000A3731">
        <w:tc>
          <w:tcPr>
            <w:tcW w:w="1555" w:type="dxa"/>
            <w:vAlign w:val="center"/>
          </w:tcPr>
          <w:p w14:paraId="0B5B96F4" w14:textId="1AA7E5F6"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Kulkarni/2022</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{"citationID":"V8QOtluM","properties":{"formattedCitation":"(23)","plainCitation":"(23)","noteIndex":0},"citationItems":[{"id":1210,"uris":["http://zotero.org/users/15628667/items/ITWG46Q7"],"itemData":{"id":1210,"type":"article-journal","container-title":"European Journal of Nuclear Medicine and Molecular Imaging","DOI":"10.1007/s00259-022-05924-4","ISSN":"1619-7070, 1619-7089","issue":"S1","journalAbbreviation":"Eur J Nucl Med Mol Imaging","language":"en","license":"https://www.springernature.com/gp/researchers/text-and-data-mining","note":"publisher: Springer Science and Business Media LLC","page":"1-751","source":"Crossref","title":"Annual Congress of the European Association of Nuclear Medicine October 15-19, 2022 Barcelona, Spain","URL":"https://link.springer.com/10.1007/s00259-022-05924-4","volume":"49","author":[{"family":"Kulkarni","given":""}],"accessed":{"date-parts":[["2025",7,25]]},"issued":{"date-parts":[["2022",9]]}}}],"schema":"https://github.com/citation-style-language/schema/raw/master/csl-citation.json"} </w:instrText>
            </w:r>
            <w:r w:rsidRPr="00AA1159">
              <w:rPr>
                <w:rFonts w:cstheme="minorHAnsi"/>
                <w:sz w:val="18"/>
                <w:szCs w:val="18"/>
              </w:rPr>
              <w:fldChar w:fldCharType="separate"/>
            </w:r>
            <w:r w:rsidR="00BC4723" w:rsidRPr="00F56005">
              <w:rPr>
                <w:rFonts w:ascii="Calibri" w:hAnsi="Calibri" w:cs="Calibri"/>
                <w:sz w:val="18"/>
                <w:lang w:val="en-US"/>
              </w:rPr>
              <w:t>(23)</w:t>
            </w:r>
            <w:r w:rsidRPr="00AA1159">
              <w:rPr>
                <w:rFonts w:cstheme="minorHAnsi"/>
                <w:sz w:val="18"/>
                <w:szCs w:val="18"/>
              </w:rPr>
              <w:fldChar w:fldCharType="end"/>
            </w:r>
          </w:p>
        </w:tc>
        <w:tc>
          <w:tcPr>
            <w:tcW w:w="992" w:type="dxa"/>
            <w:vAlign w:val="center"/>
          </w:tcPr>
          <w:p w14:paraId="53BAD20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DOTATOC</w:t>
            </w:r>
          </w:p>
        </w:tc>
        <w:tc>
          <w:tcPr>
            <w:tcW w:w="1134" w:type="dxa"/>
            <w:vAlign w:val="center"/>
          </w:tcPr>
          <w:p w14:paraId="41172F2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progressive metastatic NENs/41</w:t>
            </w:r>
          </w:p>
        </w:tc>
        <w:tc>
          <w:tcPr>
            <w:tcW w:w="1843" w:type="dxa"/>
            <w:vAlign w:val="center"/>
          </w:tcPr>
          <w:p w14:paraId="3178CD4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(single-arm)</w:t>
            </w:r>
          </w:p>
        </w:tc>
        <w:tc>
          <w:tcPr>
            <w:tcW w:w="1842" w:type="dxa"/>
            <w:vAlign w:val="center"/>
          </w:tcPr>
          <w:p w14:paraId="0266E12D"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TRT/36</w:t>
            </w:r>
          </w:p>
        </w:tc>
        <w:tc>
          <w:tcPr>
            <w:tcW w:w="1798" w:type="dxa"/>
            <w:gridSpan w:val="2"/>
            <w:vAlign w:val="center"/>
          </w:tcPr>
          <w:p w14:paraId="3FD9356B"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0,1-0,15 MBq/kg  (2-4)</w:t>
            </w:r>
          </w:p>
        </w:tc>
      </w:tr>
      <w:tr w:rsidR="000A3731" w14:paraId="234FACC1" w14:textId="77777777" w:rsidTr="000A3731">
        <w:tc>
          <w:tcPr>
            <w:tcW w:w="1555" w:type="dxa"/>
            <w:vAlign w:val="center"/>
          </w:tcPr>
          <w:p w14:paraId="458D94EC" w14:textId="29CAAACA"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Kratochwil/2021</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{"citationID":"6a4N2XUY","properties":{"formattedCitation":"(22)","plainCitation":"(22)","noteIndex":0},"citationItems":[{"id":1142,"uris":["http://zotero.org/users/15628667/items/3738AKDT"],"itemData":{"id":1142,"type":"article-journal","abstract":"The aim of this retrospective analysis is to estimate the most appropriate single cycle and cumulative doses of 225Ac-DOTATOC in patients treated for somatostatin-receptor-expressing cancers.","container-title":"European Journal of Nuclear Medicine and Molecular Imaging","DOI":"10.1007/s00259-021-05474-1","ISSN":"1619-7089","issue":"1","journalAbbreviation":"European Journal of Nuclear Medicine and Molecular Imaging","page":"54-63","title":"Dosing 225Ac-DOTATOC in patients with somatostatin-receptor-positive solid tumors: 5-year follow-up of hematological and renal toxicity","URL":"https://doi.org/10.1007/s00259-021-05474-1","volume":"49","author":[{"family":"Kratochwil","given":"Clemens"},{"family":"Apostolidis","given":"Leonidas"},{"family":"Rathke","given":"Hendrik"},{"family":"Apostolidis","given":"Christos"},{"family":"Bicu","given":"Felix"},{"family":"Bruchertseifer","given":"Frank"},{"family":"Choyke","given":"Peter L."},{"family":"Haberkorn","given":"Uwe"},{"family":"Giesel","given":"Frederik L."},{"family":"Morgenstern","given":"Alfred"}],"issued":{"date-parts":[["2021",12,1]]}}}],"schema":"https://github.com/citation-style-language/schema/raw/master/csl-citation.json"}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(22)</w:t>
            </w:r>
            <w:r w:rsidRPr="00AA1159">
              <w:rPr>
                <w:rFonts w:cstheme="minorHAnsi"/>
                <w:sz w:val="18"/>
                <w:szCs w:val="18"/>
              </w:rPr>
              <w:fldChar w:fldCharType="end"/>
            </w:r>
          </w:p>
        </w:tc>
        <w:tc>
          <w:tcPr>
            <w:tcW w:w="992" w:type="dxa"/>
            <w:vAlign w:val="center"/>
          </w:tcPr>
          <w:p w14:paraId="639707D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DOTATOC</w:t>
            </w:r>
          </w:p>
        </w:tc>
        <w:tc>
          <w:tcPr>
            <w:tcW w:w="1134" w:type="dxa"/>
            <w:vAlign w:val="center"/>
          </w:tcPr>
          <w:p w14:paraId="341572DE"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NET/39</w:t>
            </w:r>
          </w:p>
        </w:tc>
        <w:tc>
          <w:tcPr>
            <w:tcW w:w="1843" w:type="dxa"/>
            <w:vAlign w:val="center"/>
          </w:tcPr>
          <w:p w14:paraId="35E4705D"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17B75EB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Combination 177Lu&amp; 90Y-Based TRT/32</w:t>
            </w:r>
          </w:p>
        </w:tc>
        <w:tc>
          <w:tcPr>
            <w:tcW w:w="1798" w:type="dxa"/>
            <w:gridSpan w:val="2"/>
            <w:vAlign w:val="center"/>
          </w:tcPr>
          <w:p w14:paraId="70B9CF39"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20 MBq per cycle</w:t>
            </w:r>
          </w:p>
        </w:tc>
      </w:tr>
      <w:tr w:rsidR="000A3731" w14:paraId="71B9796F" w14:textId="77777777" w:rsidTr="000A3731">
        <w:tc>
          <w:tcPr>
            <w:tcW w:w="1555" w:type="dxa"/>
            <w:vAlign w:val="center"/>
          </w:tcPr>
          <w:p w14:paraId="42A32315" w14:textId="6CF2A275"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Perrone/2024</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{"citationID":"gcrBf2t4","properties":{"formattedCitation":"(29)","plainCitation":"(29)","noteIndex":0},"citationItems":[{"id":1213,"uris":["http://zotero.org/users/15628667/items/TZVCXGCW"],"itemData":{"id":1213,"type":"article-journal","container-title":"European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2024","URL":"https://link.springer.com/10.1007/s00259-024-06838-z","volume":"51","author":[{"family":"Perrone E","given":""}],"accessed":{"date-parts":[["2025",7,25]]},"issued":{"date-parts":[["2024",9]]}}}],"schema":"https://github.com/citation-style-language/schema/raw/master/csl-citation.json"}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(29)</w:t>
            </w:r>
            <w:r w:rsidRPr="00AA1159">
              <w:rPr>
                <w:rFonts w:cstheme="minorHAnsi"/>
                <w:sz w:val="18"/>
                <w:szCs w:val="18"/>
              </w:rPr>
              <w:fldChar w:fldCharType="end"/>
            </w:r>
          </w:p>
        </w:tc>
        <w:tc>
          <w:tcPr>
            <w:tcW w:w="992" w:type="dxa"/>
            <w:vAlign w:val="center"/>
          </w:tcPr>
          <w:p w14:paraId="0785B499"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FAP(3BP-3940)</w:t>
            </w:r>
          </w:p>
        </w:tc>
        <w:tc>
          <w:tcPr>
            <w:tcW w:w="1134" w:type="dxa"/>
            <w:vAlign w:val="center"/>
          </w:tcPr>
          <w:p w14:paraId="2F6E0E8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various Cancers/50</w:t>
            </w:r>
          </w:p>
        </w:tc>
        <w:tc>
          <w:tcPr>
            <w:tcW w:w="1843" w:type="dxa"/>
            <w:vAlign w:val="center"/>
          </w:tcPr>
          <w:p w14:paraId="2C2F11D4"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24CBB6E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Combination 177Lu- &amp; 90Y-Based TRT/ 44&amp; 13</w:t>
            </w:r>
          </w:p>
        </w:tc>
        <w:tc>
          <w:tcPr>
            <w:tcW w:w="1798" w:type="dxa"/>
            <w:gridSpan w:val="2"/>
            <w:vAlign w:val="center"/>
          </w:tcPr>
          <w:p w14:paraId="36338671"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76 cycles in total</w:t>
            </w:r>
          </w:p>
        </w:tc>
      </w:tr>
      <w:tr w:rsidR="000A3731" w14:paraId="5E8D18DD" w14:textId="77777777" w:rsidTr="000A3731">
        <w:tc>
          <w:tcPr>
            <w:tcW w:w="1555" w:type="dxa"/>
            <w:vAlign w:val="center"/>
          </w:tcPr>
          <w:p w14:paraId="7374961A" w14:textId="731306D9"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Perrone/2024</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{"citationID":"XlL18cB6","properties":{"formattedCitation":"(30)","plainCitation":"(30)","noteIndex":0},"citationItems":[{"id":1215,"uris":["http://zotero.org/users/15628667/items/QZJX4I62"],"itemData":{"id":1215,"type":"article-journal","container-title":"European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2024","URL":"https://link.springer.com/10.1007/s00259-024-06838-z","volume":"51","author":[{"family":"E perrone","given":""}],"accessed":{"date-parts":[["2025",7,25]]},"issued":{"date-parts":[["2024",9]]}}}],"schema":"https://github.com/citation-style-language/schema/raw/master/csl-citation.json"}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(30)</w:t>
            </w:r>
            <w:r w:rsidRPr="00AA1159">
              <w:rPr>
                <w:rFonts w:cstheme="minorHAnsi"/>
                <w:sz w:val="18"/>
                <w:szCs w:val="18"/>
              </w:rPr>
              <w:fldChar w:fldCharType="end"/>
            </w:r>
          </w:p>
        </w:tc>
        <w:tc>
          <w:tcPr>
            <w:tcW w:w="992" w:type="dxa"/>
            <w:vAlign w:val="center"/>
          </w:tcPr>
          <w:p w14:paraId="5AAF4A2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DOTA-LM3</w:t>
            </w:r>
          </w:p>
        </w:tc>
        <w:tc>
          <w:tcPr>
            <w:tcW w:w="1134" w:type="dxa"/>
            <w:vAlign w:val="center"/>
          </w:tcPr>
          <w:p w14:paraId="11BD550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NET/28</w:t>
            </w:r>
          </w:p>
        </w:tc>
        <w:tc>
          <w:tcPr>
            <w:tcW w:w="1843" w:type="dxa"/>
            <w:vAlign w:val="center"/>
          </w:tcPr>
          <w:p w14:paraId="27739542"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1831C2C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Combination 177Lu-based TRT/ 27</w:t>
            </w:r>
          </w:p>
        </w:tc>
        <w:tc>
          <w:tcPr>
            <w:tcW w:w="1798" w:type="dxa"/>
            <w:gridSpan w:val="2"/>
            <w:vAlign w:val="center"/>
          </w:tcPr>
          <w:p w14:paraId="480AB9F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44 cycles in total</w:t>
            </w:r>
          </w:p>
        </w:tc>
      </w:tr>
      <w:tr w:rsidR="000A3731" w14:paraId="70627EFF" w14:textId="77777777" w:rsidTr="000A3731">
        <w:tc>
          <w:tcPr>
            <w:tcW w:w="1555" w:type="dxa"/>
            <w:vAlign w:val="center"/>
          </w:tcPr>
          <w:p w14:paraId="65FFB1D8" w14:textId="40A6D8D0"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Zhang/2024</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{"citationID":"x3mPrTij","properties":{"formattedCitation":"(31)","plainCitation":"(31)","noteIndex":0},"citationItems":[{"id":1217,"uris":["http://zotero.org/users/15628667/items/RVHSW73D"],"itemData":{"id":1217,"type":"article-journal","container-title":"European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Zhang","given":""}],"accessed":{"date-parts":[["2025",7,25]]},"issued":{"date-parts":[["2024",9]]}}}],"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(31)</w:t>
            </w:r>
            <w:r w:rsidRPr="00AA1159">
              <w:rPr>
                <w:rFonts w:cstheme="minorHAnsi"/>
                <w:sz w:val="18"/>
                <w:szCs w:val="18"/>
              </w:rPr>
              <w:fldChar w:fldCharType="end"/>
            </w:r>
          </w:p>
        </w:tc>
        <w:tc>
          <w:tcPr>
            <w:tcW w:w="992" w:type="dxa"/>
            <w:vAlign w:val="center"/>
          </w:tcPr>
          <w:p w14:paraId="1D56AA53"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FAP(3BP-3940)</w:t>
            </w:r>
          </w:p>
        </w:tc>
        <w:tc>
          <w:tcPr>
            <w:tcW w:w="1134" w:type="dxa"/>
            <w:vAlign w:val="center"/>
          </w:tcPr>
          <w:p w14:paraId="20D0F97C"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various Cancers/70</w:t>
            </w:r>
          </w:p>
        </w:tc>
        <w:tc>
          <w:tcPr>
            <w:tcW w:w="1843" w:type="dxa"/>
            <w:vAlign w:val="center"/>
          </w:tcPr>
          <w:p w14:paraId="0BFFE0E4"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7263524F"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Combination 177Lu&amp; 90Y-Based TRT/N/A</w:t>
            </w:r>
          </w:p>
        </w:tc>
        <w:tc>
          <w:tcPr>
            <w:tcW w:w="1798" w:type="dxa"/>
            <w:gridSpan w:val="2"/>
            <w:vAlign w:val="center"/>
          </w:tcPr>
          <w:p w14:paraId="6759857A"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14 ± 10 MBq</w:t>
            </w:r>
          </w:p>
        </w:tc>
      </w:tr>
      <w:tr w:rsidR="000A3731" w14:paraId="6CBA009E" w14:textId="77777777" w:rsidTr="000A3731">
        <w:tc>
          <w:tcPr>
            <w:tcW w:w="1555" w:type="dxa"/>
            <w:vAlign w:val="center"/>
          </w:tcPr>
          <w:p w14:paraId="0DAEE923" w14:textId="4DB996C0" w:rsidR="000A3731" w:rsidRPr="00AA1159" w:rsidRDefault="000A3731" w:rsidP="000A3731">
            <w:pPr>
              <w:widowControl w:val="0"/>
              <w:jc w:val="center"/>
              <w:rPr>
                <w:rFonts w:cstheme="minorHAnsi"/>
                <w:sz w:val="18"/>
                <w:szCs w:val="18"/>
                <w:highlight w:val="yellow"/>
                <w:lang w:val="en-US"/>
              </w:rPr>
            </w:pPr>
            <w:r w:rsidRPr="00AA1159">
              <w:rPr>
                <w:rFonts w:cstheme="minorHAnsi"/>
                <w:sz w:val="18"/>
                <w:szCs w:val="18"/>
                <w:lang w:val="en-US"/>
              </w:rPr>
              <w:t>Vallabhajosula/2024</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{"citationID":"wef8Ft7K","properties":{"formattedCitation":"(28)","plainCitation":"(28)","noteIndex":0},"citationItems":[{"id":1123,"uris":["http://zotero.org/users/15628667/items/XDCLXKVK"],"itemData":{"id":1123,"type":"article-journal","abstract":"241342 Introduction: Rosopatamab Tetraxetan (also known as DOTA-huJ591 mAb) was labeled with Ac-225, an alpha emitter for targeted radionuclide therapy (TRT) of mCRPC. Phase 1 dose escalation studies were performed with a single dose or two doses in a fractionated dosing schedule (2 doses given 2 weeks. apart). Safety data was analyzed to understand hematologic toxicity as a function of administered Ac-225 dose, and bone marrow (BM) absorbed radiation dose.Methods: Dose escalation strategy was based on Ac-RT dosimetry estimates based on 89Zr-DFO-J591-PET studies in patients with prostate Cancer (J Nucl Med 41:2093, 2014). Radiation dosimetry for select organs was estimated (Table 1) with a relative biological effectiveness (RBE) of 5 for alpha emitters. Assuming the dose limit for bone marrow (BM) is 2 Gy, the maximum Ac-RT injected dose was estimated to be 6.06 MBq (160 µCi). With a single dose, 32 patients (in 7 cohorts) received 13.3 to 93.3 KBq/Kg of Ac-RT (22 in dose escalation, 10 in expansion). With fractionated two doses, 28 patients (in 5 cohorts) received 45 to 65 KBq/Kg per each dose (90-130 KBq cumulative dose).Table 1. 225Ac-RT Dosimetry Estimation Based on 89Zr-DFO-PET Results: With a single dose of Ac-RT, only one patient experienced DLT at 80 KBq/kg, but none in cohort at 93.3 KBq/Kg and also MTD was not reached (Table 2). In the fractionated dosing schedule, DLT was experienced by one patient at 100 KBq/kg (cumulative dose), and 3 pts. at 120-130 KBq/kg (cumulative dose). Based on dosimetry, patients appear to tolerate BM dose up to 3 Gy. The majority of high-grade adverse events were hematologic with an apparent relationship to administered radioactivity. Non-hematologic adverse events, besides being low grade and were rare or uncommon. .Table 2. 225Ac-RT Dose and Hematologic toxicityConclusions: Phase I dose escalation trials indicate that in a fractionated dose regimen, administration of two doses of 55-65 KBq/kg (injected 2 weeks apart) of Ac-RT is relatively safe for the treatment of mCRPC. Clinical data suggests that 225Ac-RT radiation dosimetry estimation based on RBE of 5 may not be appropriate and may need to be optimized to understand dose-response relationships. While prior treatments (chemotherapy, PARP inhibitors, Ra-223, Lu-177 labeled antibodies or PSMA inhibitors) may reduce the tolerability to Ac-RT, this requires further study.","container-title":"Journal of Nuclear Medicine","issue":"supplement 2","journalAbbreviation":"J Nucl Med","page":"241342","title":"&lt;strong&gt;Actinium (Ac-225) Rosopatamab tetraxetan (Ac-RT) therapy in metastatic castration resistant prostate cancer (mCRPC); Radiation dosimetry, hematological toxicity, and dose-limiting toxicity (DLT)&lt;/strong&gt;","URL":"http://jnm.snmjournals.org/content/65/supplement_2/241342.abstract","volume":"65","author":[{"family":"Vallabhajosula","given":"Shankar"},{"family":"Tagawa","given":"Scott"},{"family":"Osborne","given":"Joseph"},{"family":"Nauseef","given":"Jones"},{"family":"Ricaurte Fajardo","given":"Andres"},{"family":"Castellanos","given":"Sandra"},{"family":"Davidson","given":"Zachary"},{"family":"Bander","given":"Neil H."}],"issued":{"date-parts":[["2024",6,1]]}}}],"schema":"https://github.com/citation-style-language/schema/raw/master/csl-citation.json"} </w:instrText>
            </w:r>
            <w:r w:rsidRPr="00AA1159">
              <w:rPr>
                <w:rFonts w:cstheme="minorHAnsi"/>
                <w:sz w:val="18"/>
                <w:szCs w:val="18"/>
              </w:rPr>
              <w:fldChar w:fldCharType="separate"/>
            </w:r>
            <w:r w:rsidR="00BC4723" w:rsidRPr="00BC4723">
              <w:rPr>
                <w:rFonts w:ascii="Calibri" w:hAnsi="Calibri" w:cs="Calibri"/>
                <w:sz w:val="18"/>
              </w:rPr>
              <w:t>(28)</w:t>
            </w:r>
            <w:r w:rsidRPr="00AA1159">
              <w:rPr>
                <w:rFonts w:cstheme="minorHAnsi"/>
                <w:sz w:val="18"/>
                <w:szCs w:val="18"/>
              </w:rPr>
              <w:fldChar w:fldCharType="end"/>
            </w:r>
          </w:p>
        </w:tc>
        <w:tc>
          <w:tcPr>
            <w:tcW w:w="992" w:type="dxa"/>
            <w:vAlign w:val="center"/>
          </w:tcPr>
          <w:p w14:paraId="0A3297CB"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Rosopatamab Tetraxetan(  DOTA-huJ591)</w:t>
            </w:r>
          </w:p>
        </w:tc>
        <w:tc>
          <w:tcPr>
            <w:tcW w:w="1134" w:type="dxa"/>
            <w:vAlign w:val="center"/>
          </w:tcPr>
          <w:p w14:paraId="51F6037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PC/32</w:t>
            </w:r>
          </w:p>
        </w:tc>
        <w:tc>
          <w:tcPr>
            <w:tcW w:w="1843" w:type="dxa"/>
            <w:vAlign w:val="center"/>
          </w:tcPr>
          <w:p w14:paraId="65EEBE78"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(single-arm)</w:t>
            </w:r>
          </w:p>
        </w:tc>
        <w:tc>
          <w:tcPr>
            <w:tcW w:w="1842" w:type="dxa"/>
            <w:vAlign w:val="center"/>
          </w:tcPr>
          <w:p w14:paraId="130DF92F"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177Lu-Based TRT/N/A  Ra-223/N/A</w:t>
            </w:r>
          </w:p>
        </w:tc>
        <w:tc>
          <w:tcPr>
            <w:tcW w:w="1798" w:type="dxa"/>
            <w:gridSpan w:val="2"/>
            <w:vAlign w:val="center"/>
          </w:tcPr>
          <w:p w14:paraId="1A1D2FA8"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13.3 to 93.3 KBq/Kg</w:t>
            </w:r>
          </w:p>
        </w:tc>
      </w:tr>
      <w:tr w:rsidR="000A3731" w14:paraId="5273BD85" w14:textId="77777777" w:rsidTr="000A3731">
        <w:tc>
          <w:tcPr>
            <w:tcW w:w="1555" w:type="dxa"/>
            <w:vAlign w:val="center"/>
          </w:tcPr>
          <w:p w14:paraId="36B69D44" w14:textId="3B0DE6C9" w:rsidR="000A3731" w:rsidRPr="00AA1159" w:rsidRDefault="000A3731" w:rsidP="000A3731">
            <w:pPr>
              <w:widowControl w:val="0"/>
              <w:jc w:val="center"/>
              <w:rPr>
                <w:rFonts w:cstheme="minorHAnsi"/>
                <w:sz w:val="18"/>
                <w:szCs w:val="18"/>
                <w:highlight w:val="yellow"/>
                <w:lang w:val="en-US"/>
              </w:rPr>
            </w:pPr>
            <w:r w:rsidRPr="00AA1159">
              <w:rPr>
                <w:rFonts w:cstheme="minorHAnsi"/>
                <w:sz w:val="18"/>
                <w:szCs w:val="18"/>
                <w:lang w:val="en-US"/>
              </w:rPr>
              <w:t>Abedin/2024</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{"citationID":"APbpzLoX","properties":{"formattedCitation":"(26,34)","plainCitation":"(26,34)","noteIndex":0},"citationItems":[{"id":1122,"uris":["http://zotero.org/users/15628667/items/UQ46X627"],"itemData":{"id":1122,"type":"article-journal","abstract":"241340 Introduction: Lintuzumab-Ac225 (Actimab-A) is a humanized CD33 antibody conjugated to 225Ac, which delivers high energy radiation over a short range to CD33 expressing AML blasts. When administering targeted alpha therapy, dosimetry and the safety profile of the therapy become paramount because of the potent cytotoxicity of alpha emitters. In previous results from this trial, we have shown that low dose Lintuzumab-Ac225 after salvage chemotherapy improves remission rates and produces potent clearance of residual disease, thereby achieving depth of remission. Here, we report the safety results from this Phase I study along with model-based estimates of organ-specific dosimetry.Methods: This study enrolled R/R AML pts deemed fit, with adequate organ function, and with CD33 expression on &amp;gt;25% of leukemic blasts. Induction consisted of G-CSF, 300mcg/d, given D1-6, cladribine 5mg/m2, given D2-6, cytarabine2g/m2, given D2-6, and mitoxantrone 10mg/m2, given D2-4. Lintuzumab-Ac225 was administered as a single dose on day 8 ±1 day within 4 cohorts, with doses ranging from 0.25uCi/kg to 1.0 uCi/kg. Absorbed dose calculations were performed following the guidelines in the MIRD committee pamphlet nr 21. The biodistribution and time-integrated activity coefficient (TIAC) in each source organ was estimated through biokinetic modeling using a previously validated model based on targeting CD33 expressing cells in patients with hematologic malignancies. Absorbed dose estimates for individual organs were calculated by multiplying the TIAC by the corresponding S-value (absorbed dose to a target tissue per unit TIAC in a source tissue), assuming a relative biologic effect (RBE) of 5 for alpha particlesResults: From 23 patients treated at 4 different dose levels in this study, the MTD was determined to be 1.0 µCi/kg, and the RP2D was set at 0.75 µCi/kg. Within the 1.0 µCi/kg dosing cohort, 2 dose limiting toxicities (DLTs), severe mucositis and prolonged neutropenia, were observed in 5 patients. Eight subjects were administered with lintuzumab-Ac225 at RP2D (0.75 μCi/kg). Among all patients, Grade 3/4 toxicities observed in &amp;gt;10% of patients included hematologic toxicities, as expected for heavily pre-treated patients with myeloid malignancy, as well as infection, rash and hypokalemia.As shown in Table 1, absorbed dose estimates from Lintuzumab-Ac225 to potentially dose-limiting organs-at-risk were well below established tolerance limits from external beam radiation therapy (EBRT), corroborating the safety profile which showed no signs of renal, hepatobiliary, pulmonary or cardiac toxicity. A single 30-minute infusion of Lintuzumab-Ac225 at 0.75 µCi/kg resulted in rapid radiation delivery and rapid clearance. Peak radiation concentrations were detected in blood around 0.6 hours after administration and was undetectable in blood by 48 hours.Conclusions: Lintuzumab-Ac225 can be delivered with estimated radiation doses well below expected tolerance thresholds from EBRT, which was validated by the safety results of this study showing no toxicity to potential dose-limiting organs (liver, lungs, kidneys, heart, intestine) at studied dose levels of Lintuzumab-Ac225.","container-title":"Journal of Nuclear Medicine","issue":"supplement 2","journalAbbreviation":"J Nucl Med","page":"241340","title":"&lt;strong&gt;Safety and Dosimetric Analysis of Lintuzumab-Ac225 in Combination with Intensive CLAG-M Chemotherapy in Patients with Relapsed/Refractory AML&lt;/strong&gt;","URL":"http://jnm.snmjournals.org/content/65/supplement_2/241340.abstract","volume":"65","author":[{"family":"Abedin","given":"Sameem"},{"family":"Brodin","given":"Patrik"},{"family":"Chen","given":"Mary"},{"family":"Rotibi","given":"Mojisola"},{"family":"Syed","given":"Umar"},{"family":"Desai","given":"Avinash"},{"family":"Atallah","given":"Ehab"}],"issued":{"date-parts":[["2024",6,1]]}}},{"id":1240,"uris":["http://zotero.org/users/15628667/items/R66U5YR7"],"itemData":{"id":1240,"type":"article-journal","container-title":"Leukemia","DOI":"10.1038/s41375-025-02528-3","ISSN":"0887-6924, 1476-5551","issue":"4","journalAbbreviation":"Leukemia","language":"en","page":"837-843","source":"DOI.org (Crossref)","title":"Phase 1 study of lintuzumab-Ac225 combined with CLAG-M salvage therapy in relapsed/refractory acute myeloid leukemia","URL":"https://www.nature.com/articles/s41375-025-02528-3","volume":"39","author":[{"family":"Abedin","given":"Sameem M."},{"family":"Guru Murthy","given":"Guru Subramanian"},{"family":"Hamadani","given":"Mehdi"},{"family":"Michaelis","given":"Laura C."},{"family":"Carlson","given":"Karen-Sue"},{"family":"Runaas","given":"Lyndsey"},{"family":"Gauger","given":"Katelyn"},{"family":"Desai","given":"Avinash G."},{"family":"Chen","given":"Mary M."},{"family":"Li","given":"Kate L."},{"family":"Rotibi","given":"Mojisola"},{"family":"Syed","given":"Umar"},{"family":"Vusirikala","given":"Madhuri"},{"family":"Harrington","given":"Alexandra"},{"family":"Atallah","given":"Ehab L."}],"accessed":{"date-parts":[["2025",8,26]]},"issued":{"date-parts":[["2025",4]]}}}],"schema":"https://github.com/citation-style-language/schema/raw/master/csl-citation.json"} </w:instrText>
            </w:r>
            <w:r w:rsidRPr="00AA1159">
              <w:rPr>
                <w:rFonts w:cstheme="minorHAnsi"/>
                <w:sz w:val="18"/>
                <w:szCs w:val="18"/>
              </w:rPr>
              <w:fldChar w:fldCharType="separate"/>
            </w:r>
            <w:r w:rsidR="00BC4723" w:rsidRPr="00F56005">
              <w:rPr>
                <w:rFonts w:ascii="Calibri" w:hAnsi="Calibri" w:cs="Calibri"/>
                <w:sz w:val="18"/>
                <w:lang w:val="en-US"/>
              </w:rPr>
              <w:t>(26,34)</w:t>
            </w:r>
            <w:r w:rsidRPr="00AA1159">
              <w:rPr>
                <w:rFonts w:cstheme="minorHAnsi"/>
                <w:sz w:val="18"/>
                <w:szCs w:val="18"/>
              </w:rPr>
              <w:fldChar w:fldCharType="end"/>
            </w:r>
          </w:p>
        </w:tc>
        <w:tc>
          <w:tcPr>
            <w:tcW w:w="992" w:type="dxa"/>
            <w:vAlign w:val="center"/>
          </w:tcPr>
          <w:p w14:paraId="16BC1AE3"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Lintuzumab(humanized CD33)</w:t>
            </w:r>
          </w:p>
        </w:tc>
        <w:tc>
          <w:tcPr>
            <w:tcW w:w="1134" w:type="dxa"/>
            <w:vAlign w:val="center"/>
          </w:tcPr>
          <w:p w14:paraId="4960407E"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AML/23</w:t>
            </w:r>
          </w:p>
        </w:tc>
        <w:tc>
          <w:tcPr>
            <w:tcW w:w="1843" w:type="dxa"/>
            <w:vAlign w:val="center"/>
          </w:tcPr>
          <w:p w14:paraId="0C970D4D"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Prospective (single-arm)</w:t>
            </w:r>
          </w:p>
        </w:tc>
        <w:tc>
          <w:tcPr>
            <w:tcW w:w="1842" w:type="dxa"/>
            <w:vAlign w:val="center"/>
          </w:tcPr>
          <w:p w14:paraId="19E5E930"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N/A</w:t>
            </w:r>
          </w:p>
        </w:tc>
        <w:tc>
          <w:tcPr>
            <w:tcW w:w="1798" w:type="dxa"/>
            <w:gridSpan w:val="2"/>
            <w:vAlign w:val="center"/>
          </w:tcPr>
          <w:p w14:paraId="242FA258"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0.75 µCi/kg (suggested)</w:t>
            </w:r>
          </w:p>
        </w:tc>
      </w:tr>
      <w:tr w:rsidR="000A3731" w14:paraId="1AF492AF" w14:textId="77777777" w:rsidTr="000A3731">
        <w:tc>
          <w:tcPr>
            <w:tcW w:w="1555" w:type="dxa"/>
            <w:vAlign w:val="center"/>
          </w:tcPr>
          <w:p w14:paraId="3D3A6FF5" w14:textId="62F13221"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Baum/2023</w:t>
            </w:r>
            <w:r w:rsidRPr="00AA1159">
              <w:rPr>
                <w:rFonts w:cstheme="minorHAnsi"/>
                <w:sz w:val="18"/>
                <w:szCs w:val="18"/>
              </w:rPr>
              <w:fldChar w:fldCharType="begin"/>
            </w:r>
            <w:r w:rsidR="00BC4723">
              <w:rPr>
                <w:rFonts w:cstheme="minorHAnsi"/>
                <w:sz w:val="18"/>
                <w:szCs w:val="18"/>
                <w:lang w:val="en-US"/>
              </w:rPr>
              <w:instrText xml:space="preserve"> ADDIN ZOTERO_ITEM CSL_CITATION {"citationID":"KMQT61t7","properties":{"formattedCitation":"(27)","plainCitation":"(27)","noteIndex":0},"citationItems":[{"id":1126,"uris":["http://zotero.org/users/15628667/items/XX8K77FS"],"itemData":{"id":1126,"type":"article-journal","abstract":"P1036 Introduction: Over 900 inpatient radioligand therapies (RLT) were performed between February 2020 and January 2023. As per COVID-19 pandemic regulations, indications for inpatient admission included negative rapid antigen test and absence of COVID-19 related symptoms such as fever, coughing, loss of smell and/or taste as well as contact with COVID-19 positive patient in the preceding 14 days. All patients also underwent polymerase chain reaction (PCR) test before admission. In 12 patients, PCR test was came out to be positive on the second day of admission.Methods: Upon admission, patients underwent history taking (including vaccination status), physical examination and blood tests (CBC, renal &amp;amp; liver panel, tumor markers). Antibody titers (BAU/ml) against SARS-CoV-2 were measured in all patients as well as neutralizing antibodies (in %). All patients were without symptoms. RLT was performed under monitoring of vitals, and single-photon emission computed tomography (SPECT/CT) was performed one day after treatment. In our hospital setting, PCR tests require between 12-24 hours to declare results (time point starting from sample collection), some COVID-positive patients were treated without knowledge of the positive PCR test status.This table summarizes the data of 12 patients who underwent radioligand therapies and were incidentally detected as COVID-19 positive (while being asymtomatic)-Abbreviations: M - male, F - female, NET - neuroendocrine tumor, PCa - prostate cancer, Lu - Lutetium, Ac - Actinium, PSMA - Ct -cycle threshold, N/A - not availableResults: Radioligand therapies performed in PCR positive patients with neuroendocrine tumors (NET), prostate cancer (PCa) and in a sarcoma patient (Ac-225 FAP-3BP-3940) were completely uneventful. Daily monitoring of vitals was unremarkable, patients were followed-up for at least several months. High uptake of the radiotherapeutic in the metastases and normal physiologic biodistribution was noted in the posttherapy SPECT/CT scans. Positive patients were discharged after 24 hours (German regulations usually demand 48 hours stay) under appropriate radiation safety measures (the remaining radiation - gamma and beta radiation - was in all cases less than one Millisievert (1 mSv) per year at one-meter distance from the patient). High antibody titers against SARS-CoV-2 were present in the follow up blood tests of 3 patients, indicating undisturbed immune response.Conclusions: Due to global logistics of radiopharmacy delivery, patients for RLT are planned usually weeks in advance. Our data indicate that PSMA radioligand therapy as well as radiopeptide therapy (as well as FAP PTRT) can be performed in asymptomatic COVID-positive patients - without any sequelae. Therefore, COVID-19 infection is not a limiting factor for performing RLT.","container-title":"Journal of Nuclear Medicine","issue":"supplement 1","journalAbbreviation":"J Nucl Med","page":"P1036","title":"&lt;strong&gt;Radioligand therapy during incidental asymptomatic acute COVID-19 infection – a case series.&lt;/strong&gt;","URL":"http://jnm.snmjournals.org/content/64/supplement_1/P1036.abstract","volume":"64","author":[{"family":"Baum","given":"Richard P."},{"family":"Mishra","given":"Aditi"},{"family":"Landvogt","given":"Christian"},{"family":"Eismant","given":"Aleksandr"},{"family":"Mueller","given":"Corinna"}],"issued":{"date-parts":[["2023",6,1]]}}}],"schema":"https://github.com/citation-style-language/schema/raw/master/csl-citation.json"} </w:instrText>
            </w:r>
            <w:r w:rsidRPr="00AA1159">
              <w:rPr>
                <w:rFonts w:cstheme="minorHAnsi"/>
                <w:sz w:val="18"/>
                <w:szCs w:val="18"/>
              </w:rPr>
              <w:fldChar w:fldCharType="separate"/>
            </w:r>
            <w:r w:rsidR="00BC4723" w:rsidRPr="00F56005">
              <w:rPr>
                <w:rFonts w:ascii="Calibri" w:hAnsi="Calibri" w:cs="Calibri"/>
                <w:sz w:val="18"/>
                <w:lang w:val="en-US"/>
              </w:rPr>
              <w:t>(27)</w:t>
            </w:r>
            <w:r w:rsidRPr="00AA1159">
              <w:rPr>
                <w:rFonts w:cstheme="minorHAnsi"/>
                <w:sz w:val="18"/>
                <w:szCs w:val="18"/>
              </w:rPr>
              <w:fldChar w:fldCharType="end"/>
            </w:r>
          </w:p>
        </w:tc>
        <w:tc>
          <w:tcPr>
            <w:tcW w:w="992" w:type="dxa"/>
            <w:vAlign w:val="center"/>
          </w:tcPr>
          <w:p w14:paraId="05E5DF4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FAP(3BP-3940) &amp;PSMA</w:t>
            </w:r>
          </w:p>
        </w:tc>
        <w:tc>
          <w:tcPr>
            <w:tcW w:w="1134" w:type="dxa"/>
            <w:vAlign w:val="center"/>
          </w:tcPr>
          <w:p w14:paraId="5EB34F07"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Clear cell sarcoma &amp; PC/ 2</w:t>
            </w:r>
          </w:p>
        </w:tc>
        <w:tc>
          <w:tcPr>
            <w:tcW w:w="1843" w:type="dxa"/>
            <w:vAlign w:val="center"/>
          </w:tcPr>
          <w:p w14:paraId="1FEBAE24"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2F845274"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N/A</w:t>
            </w:r>
          </w:p>
        </w:tc>
        <w:tc>
          <w:tcPr>
            <w:tcW w:w="1798" w:type="dxa"/>
            <w:gridSpan w:val="2"/>
            <w:vAlign w:val="center"/>
          </w:tcPr>
          <w:p w14:paraId="025BE889" w14:textId="77777777" w:rsidR="000A3731" w:rsidRPr="00AA1159" w:rsidRDefault="000A3731" w:rsidP="000A3731">
            <w:pPr>
              <w:widowControl w:val="0"/>
              <w:jc w:val="center"/>
              <w:rPr>
                <w:rFonts w:cstheme="minorHAnsi"/>
                <w:sz w:val="18"/>
                <w:szCs w:val="18"/>
                <w:lang w:val="en-US"/>
              </w:rPr>
            </w:pPr>
            <w:r w:rsidRPr="00AA1159">
              <w:rPr>
                <w:rFonts w:cstheme="minorHAnsi"/>
                <w:sz w:val="18"/>
                <w:szCs w:val="18"/>
                <w:lang w:val="en-US"/>
              </w:rPr>
              <w:t>N/A</w:t>
            </w:r>
          </w:p>
        </w:tc>
      </w:tr>
      <w:tr w:rsidR="00970CE3" w14:paraId="7C690975" w14:textId="77777777" w:rsidTr="000A3731">
        <w:tc>
          <w:tcPr>
            <w:tcW w:w="1555" w:type="dxa"/>
            <w:vAlign w:val="center"/>
          </w:tcPr>
          <w:p w14:paraId="531A6E80" w14:textId="49BA1574" w:rsidR="00970CE3" w:rsidRPr="00CD1614" w:rsidRDefault="00970CE3" w:rsidP="000A3731">
            <w:pPr>
              <w:widowControl w:val="0"/>
              <w:jc w:val="center"/>
              <w:rPr>
                <w:rFonts w:cstheme="minorHAnsi"/>
                <w:sz w:val="18"/>
                <w:szCs w:val="18"/>
                <w:lang w:val="en-US"/>
              </w:rPr>
            </w:pPr>
            <w:r w:rsidRPr="00F56005">
              <w:rPr>
                <w:rFonts w:cstheme="minorHAnsi"/>
                <w:sz w:val="18"/>
                <w:szCs w:val="18"/>
                <w:lang w:val="en-US"/>
              </w:rPr>
              <w:t>Krolicki/2023</w:t>
            </w:r>
            <w:r w:rsidR="00B612FD">
              <w:rPr>
                <w:rFonts w:cstheme="minorHAnsi"/>
                <w:sz w:val="18"/>
                <w:szCs w:val="18"/>
              </w:rPr>
              <w:fldChar w:fldCharType="begin"/>
            </w:r>
            <w:r w:rsidR="00BC4723">
              <w:rPr>
                <w:rFonts w:cstheme="minorHAnsi"/>
                <w:sz w:val="18"/>
                <w:szCs w:val="18"/>
                <w:lang w:val="en-US"/>
              </w:rPr>
              <w:instrText xml:space="preserve"> ADDIN ZOTERO_ITEM CSL_CITATION {"citationID":"aFX9GE8P","properties":{"formattedCitation":"(33)","plainCitation":"(33)","noteIndex":0},"citationItems":[{"id":1242,"uris":["http://zotero.org/users/15628667/items/9ZZ2REQT"],"itemData":{"id":1242,"type":"article-journal","abstract":"The median survival time has been reported to vary between 5 and 8 years in low-grade (WHO grade 2) astrocytoma, and between 10 and 15 years for grade 2 oligodendroglioma. Targeted alpha therapy (TAT), using the modified peptide vector [213Bi]Bi/[225Ac]Ac-DOTA-substance P, has been developed to treat glioblastoma (GBM), a prevalent malignant brain tumor. In order to assess the risk of late neurotoxicity, assuming that reduced tumor cell proliferation and invasion should directly translate into good responses in low-grade gliomas (LGGs), a limited number of patients with diffuse invasive astrocytoma (n = 8) and oligodendroglioma (n = 3) were offered TAT. In two oligodendroglioma patients, TAT was applied as a second-line treatment for tumor progression, 10 years after targeted beta therapy using [90Y]Y-DOTA-substance P. The radiopharmaceutical was locally injected directly into the tumor via a stereotactic insertion of a capsule–catheter system. The activity used for radiolabeling was 2–2.5 GBq of Bismuth-213 and 17 to 35 MBq of Actinium-225, mostly applied in a single fraction. The recurrence-free survival times were in the range of 2 to 16 years (median 11 years) in low-grade astrocytoma (n = 8), in which TAT was administered following a biopsy or tumor debulking. Regarding oligodendroglioma, the recurrence-free survival time was 24 years in the first case treated, and 4 and 5 years in the two second-line cases. In conclusion, TAT leads to long-term tumor control in the majority of patients with LGG, and recurrence has so far not manifested in patients with low-grade (grade 2) astrocytomas who received TAT as a first-line therapy. We conclude that targeted alpha therapy has the potential to become a new treatment paradigm in LGG.","container-title":"International Journal of Molecular Sciences","DOI":"10.3390/ijms242115701","ISSN":"1422-0067","issue":"21","journalAbbreviation":"IJMS","language":"en","license":"https://creativecommons.org/licenses/by/4.0/","page":"15701","source":"DOI.org (Crossref)","title":"Long-Term Tumor Control Following Targeted Alpha Therapy (TAT) of Low-Grade Gliomas (LGGs): A New Treatment Paradigm?","title-short":"Long-Term Tumor Control Following Targeted Alpha Therapy (TAT) of Low-Grade Gliomas (LGGs)","URL":"https://www.mdpi.com/1422-0067/24/21/15701","volume":"24","author":[{"family":"Krolicki","given":"Leszek"},{"family":"Kunikowska","given":"Jolanta"},{"family":"Cordier","given":"Dominik"},{"family":"Slavova","given":"Nedelina"},{"family":"Koziara","given":"Henryk"},{"family":"Bruchertseifer","given":"Frank"},{"family":"Maecke","given":"Helmut R."},{"family":"Morgenstern","given":"Alfred"},{"family":"Merlo","given":"Adrian"}],"accessed":{"date-parts":[["2025",8,26]]},"issued":{"date-parts":[["2023",10,28]]}}}],"schema":"https://github.com/citation-style-language/schema/raw/master/csl-citation.json"} </w:instrText>
            </w:r>
            <w:r w:rsidR="00B612FD">
              <w:rPr>
                <w:rFonts w:cstheme="minorHAnsi"/>
                <w:sz w:val="18"/>
                <w:szCs w:val="18"/>
              </w:rPr>
              <w:fldChar w:fldCharType="separate"/>
            </w:r>
            <w:r w:rsidR="00BC4723" w:rsidRPr="00F56005">
              <w:rPr>
                <w:rFonts w:ascii="Calibri" w:hAnsi="Calibri" w:cs="Calibri"/>
                <w:sz w:val="18"/>
                <w:lang w:val="en-US"/>
              </w:rPr>
              <w:t>(33)</w:t>
            </w:r>
            <w:r w:rsidR="00B612FD">
              <w:rPr>
                <w:rFonts w:cstheme="minorHAnsi"/>
                <w:sz w:val="18"/>
                <w:szCs w:val="18"/>
              </w:rPr>
              <w:fldChar w:fldCharType="end"/>
            </w:r>
          </w:p>
        </w:tc>
        <w:tc>
          <w:tcPr>
            <w:tcW w:w="992" w:type="dxa"/>
            <w:vAlign w:val="center"/>
          </w:tcPr>
          <w:p w14:paraId="380E0250" w14:textId="3BA88A80" w:rsidR="00970CE3" w:rsidRPr="00CD1614" w:rsidRDefault="00970CE3" w:rsidP="000A3731">
            <w:pPr>
              <w:widowControl w:val="0"/>
              <w:jc w:val="center"/>
              <w:rPr>
                <w:rFonts w:cstheme="minorHAnsi"/>
                <w:sz w:val="18"/>
                <w:szCs w:val="18"/>
                <w:lang w:val="en-US"/>
              </w:rPr>
            </w:pPr>
            <w:r>
              <w:rPr>
                <w:rFonts w:cstheme="minorHAnsi"/>
                <w:sz w:val="18"/>
                <w:szCs w:val="18"/>
                <w:lang w:val="en-US"/>
              </w:rPr>
              <w:t>DOTA-substance P</w:t>
            </w:r>
          </w:p>
        </w:tc>
        <w:tc>
          <w:tcPr>
            <w:tcW w:w="1134" w:type="dxa"/>
            <w:vAlign w:val="center"/>
          </w:tcPr>
          <w:p w14:paraId="0C7B7A6D" w14:textId="1BDCF79D" w:rsidR="00970CE3" w:rsidRPr="00CD1614" w:rsidRDefault="00970CE3" w:rsidP="007B6C3A">
            <w:pPr>
              <w:widowControl w:val="0"/>
              <w:jc w:val="center"/>
              <w:rPr>
                <w:rFonts w:cstheme="minorHAnsi"/>
                <w:sz w:val="18"/>
                <w:szCs w:val="18"/>
                <w:lang w:val="en-US"/>
              </w:rPr>
            </w:pPr>
            <w:r>
              <w:rPr>
                <w:rFonts w:cstheme="minorHAnsi"/>
                <w:sz w:val="18"/>
                <w:szCs w:val="18"/>
                <w:lang w:val="en-US"/>
              </w:rPr>
              <w:t>Low-grade Glioma</w:t>
            </w:r>
            <w:r w:rsidR="00E42527">
              <w:rPr>
                <w:rFonts w:cstheme="minorHAnsi"/>
                <w:sz w:val="18"/>
                <w:szCs w:val="18"/>
                <w:lang w:val="en-US"/>
              </w:rPr>
              <w:t>/3</w:t>
            </w:r>
          </w:p>
        </w:tc>
        <w:tc>
          <w:tcPr>
            <w:tcW w:w="1843" w:type="dxa"/>
            <w:vAlign w:val="center"/>
          </w:tcPr>
          <w:p w14:paraId="78146662" w14:textId="46CD244D" w:rsidR="00970CE3" w:rsidRPr="00CD1614" w:rsidRDefault="00970CE3"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41A8C60C" w14:textId="24D7CD84" w:rsidR="00970CE3" w:rsidRPr="00CD1614" w:rsidRDefault="00E42527" w:rsidP="007B6C3A">
            <w:pPr>
              <w:widowControl w:val="0"/>
              <w:jc w:val="center"/>
              <w:rPr>
                <w:rFonts w:cstheme="minorHAnsi"/>
                <w:sz w:val="18"/>
                <w:szCs w:val="18"/>
                <w:lang w:val="en-US"/>
              </w:rPr>
            </w:pPr>
            <w:r w:rsidRPr="00AA1159">
              <w:rPr>
                <w:rFonts w:cstheme="minorHAnsi"/>
                <w:sz w:val="18"/>
                <w:szCs w:val="18"/>
                <w:lang w:val="en-US"/>
              </w:rPr>
              <w:t>No prior TRT</w:t>
            </w:r>
          </w:p>
        </w:tc>
        <w:tc>
          <w:tcPr>
            <w:tcW w:w="1798" w:type="dxa"/>
            <w:gridSpan w:val="2"/>
            <w:vAlign w:val="center"/>
          </w:tcPr>
          <w:p w14:paraId="02C28B5C" w14:textId="1F967BA6" w:rsidR="00970CE3" w:rsidRPr="00CD1614" w:rsidRDefault="00E42527">
            <w:pPr>
              <w:widowControl w:val="0"/>
              <w:jc w:val="center"/>
              <w:rPr>
                <w:rFonts w:cstheme="minorHAnsi"/>
                <w:sz w:val="18"/>
                <w:szCs w:val="18"/>
                <w:lang w:val="en-US"/>
              </w:rPr>
            </w:pPr>
            <w:r>
              <w:rPr>
                <w:rFonts w:cstheme="minorHAnsi"/>
                <w:sz w:val="18"/>
                <w:szCs w:val="18"/>
                <w:lang w:val="en-US"/>
              </w:rPr>
              <w:t>17</w:t>
            </w:r>
            <w:r w:rsidRPr="00AA1159">
              <w:rPr>
                <w:rFonts w:cstheme="minorHAnsi"/>
                <w:sz w:val="18"/>
                <w:szCs w:val="18"/>
                <w:lang w:val="en-US"/>
              </w:rPr>
              <w:t>-</w:t>
            </w:r>
            <w:r>
              <w:rPr>
                <w:rFonts w:cstheme="minorHAnsi"/>
                <w:sz w:val="18"/>
                <w:szCs w:val="18"/>
                <w:lang w:val="en-US"/>
              </w:rPr>
              <w:t>35</w:t>
            </w:r>
            <w:r w:rsidRPr="00AA1159">
              <w:rPr>
                <w:rFonts w:cstheme="minorHAnsi"/>
                <w:sz w:val="18"/>
                <w:szCs w:val="18"/>
                <w:lang w:val="en-US"/>
              </w:rPr>
              <w:t xml:space="preserve"> MBq</w:t>
            </w:r>
            <w:r>
              <w:rPr>
                <w:rFonts w:cstheme="minorHAnsi"/>
                <w:sz w:val="18"/>
                <w:szCs w:val="18"/>
                <w:lang w:val="en-US"/>
              </w:rPr>
              <w:t>(local injection)</w:t>
            </w:r>
            <w:r w:rsidR="00B612FD">
              <w:rPr>
                <w:rFonts w:cstheme="minorHAnsi"/>
                <w:sz w:val="18"/>
                <w:szCs w:val="18"/>
                <w:lang w:val="en-US"/>
              </w:rPr>
              <w:t>(1-2)</w:t>
            </w:r>
          </w:p>
        </w:tc>
      </w:tr>
      <w:tr w:rsidR="00970CE3" w14:paraId="49E15FA4" w14:textId="77777777" w:rsidTr="000A3731">
        <w:tc>
          <w:tcPr>
            <w:tcW w:w="1555" w:type="dxa"/>
            <w:vAlign w:val="center"/>
          </w:tcPr>
          <w:p w14:paraId="2EE6770C" w14:textId="5DD1CE90" w:rsidR="00970CE3" w:rsidRPr="00CD1614" w:rsidRDefault="00970CE3" w:rsidP="000A3731">
            <w:pPr>
              <w:widowControl w:val="0"/>
              <w:jc w:val="center"/>
              <w:rPr>
                <w:rFonts w:cstheme="minorHAnsi"/>
                <w:sz w:val="18"/>
                <w:szCs w:val="18"/>
                <w:lang w:val="en-US"/>
              </w:rPr>
            </w:pPr>
            <w:r w:rsidRPr="00970CE3">
              <w:rPr>
                <w:rFonts w:cstheme="minorHAnsi"/>
                <w:sz w:val="18"/>
                <w:szCs w:val="18"/>
                <w:lang w:val="en-US"/>
              </w:rPr>
              <w:t>Krolicki</w:t>
            </w:r>
            <w:r>
              <w:rPr>
                <w:rFonts w:cstheme="minorHAnsi"/>
                <w:sz w:val="18"/>
                <w:szCs w:val="18"/>
                <w:lang w:val="en-US"/>
              </w:rPr>
              <w:t>/2021</w:t>
            </w:r>
            <w:r w:rsidR="00990432">
              <w:rPr>
                <w:rFonts w:cstheme="minorHAnsi"/>
                <w:sz w:val="18"/>
                <w:szCs w:val="18"/>
              </w:rPr>
              <w:fldChar w:fldCharType="begin"/>
            </w:r>
            <w:r w:rsidR="00BC4723">
              <w:rPr>
                <w:rFonts w:cstheme="minorHAnsi"/>
                <w:sz w:val="18"/>
                <w:szCs w:val="18"/>
                <w:lang w:val="en-US"/>
              </w:rPr>
              <w:instrText xml:space="preserve"> ADDIN ZOTERO_ITEM CSL_CITATION {"citationID":"2fz1pjMC","properties":{"formattedCitation":"(32)","plainCitation":"(32)","noteIndex":0},"citationItems":[{"id":1235,"uris":["http://zotero.org/users/15628667/items/SKUSP9JR"],"itemData":{"id":1235,"type":"article-journal","abstract":"Abstract\n              \n                Glioblastoma is the most common and malignant primary brain tumour, with a poor prognosis. Introduction of new treatment options is critically important. The study aimed to assess the appropriateness of escalation doses and toxicity of [\n                225\n                Ac]Ac-DOTA-SP therapy.\n              \n            \n            \n              Material and methods\n              \n                A total of 21 patients (age of 43.0 ± 9.5 years), with histologically confirmed recurrent or conversion glioblastoma grade 4 following a standard therapy, have been included in the study. One to 2 intracavitary port-a-cath systems were stereotactically inserted. Patients were treated with escalation dose protocol with 10, 20 and 30 MBq per cycle totally 1–6 doses of [\n                225\n                Ac]Ac-DOTA-SP in 2-month intervals. Therapeutic response was monitored by clinical performance status and MRI imaging.\n              \n            \n            \n              Results\n              \n                Treatment was well tolerated with mostly mild temporary adverse effects (oedema, epileptic seizures, aphasia, hemiparesis) mainly in the group of patients treated with 30 MBq of [\n                225\n                Ac]Ac-DOTA-SP. Only one patient treated with 30 MBq revealed thrombopenia grade 3. There was no other grade 3 and 4 toxicity related to [\n                225\n                Ac]Ac-DOTA-treatment in all groups. The median overall survival time from the primary diagnosis (OS-d) was 35.0 months and from the diagnosis of the recurrence/conversion (OS-r/c) was 13.2 months. From the start of treatment with [\n                225\n                Ac]Ac-DOTA-SP, the median PFS was 2.4 months, and the OS-t was 9.0 months. There were no statistically significant differences between the investigated dose escalation groups.\n              \n            \n            \n              Conclusions\n              \n                Treatment of recurrent glioblastoma with [\n                225\n                Ac]Ac-DOTA-SP is safe and well tolerated up to 30 MBq per cycle. The escalation dose protocol showed good tolerability. Only mild temporary adverse effects were observed. No remarkable haematological, kidney and liver toxicity was seen.","container-title":"European Journal of Nuclear Medicine and Molecular Imaging","DOI":"10.1007/s00259-021-05350-y","ISSN":"1619-7070, 1619-7089","issue":"11","journalAbbreviation":"Eur J Nucl Med Mol Imaging","language":"en","page":"3595-3605","source":"DOI.org (Crossref)","title":"Dose escalation study of targeted alpha therapy with [225Ac]Ac-DOTA-substance P in recurrence glioblastoma – safety and efficacy","URL":"https://link.springer.com/10.1007/s00259-021-05350-y","volume":"48","author":[{"family":"Królicki","given":"Leszek"},{"family":"Bruchertseifer","given":"Frank"},{"family":"Kunikowska","given":"Jolanta"},{"family":"Koziara","given":"Henryk"},{"family":"Pawlak","given":"Dariusz"},{"family":"Kuliński","given":"Radosław"},{"family":"Rola","given":"Rafał"},{"family":"Merlo","given":"Adrian"},{"family":"Morgenstern","given":"Alfred"}],"accessed":{"date-parts":[["2025",8,20]]},"issued":{"date-parts":[["2021",10]]}}}],"schema":"https://github.com/citation-style-language/schema/raw/master/csl-citation.json"} </w:instrText>
            </w:r>
            <w:r w:rsidR="00990432">
              <w:rPr>
                <w:rFonts w:cstheme="minorHAnsi"/>
                <w:sz w:val="18"/>
                <w:szCs w:val="18"/>
              </w:rPr>
              <w:fldChar w:fldCharType="separate"/>
            </w:r>
            <w:r w:rsidR="00BC4723" w:rsidRPr="00BC4723">
              <w:rPr>
                <w:rFonts w:ascii="Calibri" w:hAnsi="Calibri" w:cs="Calibri"/>
                <w:sz w:val="18"/>
                <w:lang w:val="en-US"/>
              </w:rPr>
              <w:t>(32)</w:t>
            </w:r>
            <w:r w:rsidR="00990432">
              <w:rPr>
                <w:rFonts w:cstheme="minorHAnsi"/>
                <w:sz w:val="18"/>
                <w:szCs w:val="18"/>
              </w:rPr>
              <w:fldChar w:fldCharType="end"/>
            </w:r>
          </w:p>
        </w:tc>
        <w:tc>
          <w:tcPr>
            <w:tcW w:w="992" w:type="dxa"/>
            <w:vAlign w:val="center"/>
          </w:tcPr>
          <w:p w14:paraId="5A71DA74" w14:textId="6A803AE4" w:rsidR="00970CE3" w:rsidRPr="00CD1614" w:rsidRDefault="00970CE3" w:rsidP="000A3731">
            <w:pPr>
              <w:widowControl w:val="0"/>
              <w:jc w:val="center"/>
              <w:rPr>
                <w:rFonts w:cstheme="minorHAnsi"/>
                <w:sz w:val="18"/>
                <w:szCs w:val="18"/>
                <w:lang w:val="en-US"/>
              </w:rPr>
            </w:pPr>
            <w:r>
              <w:rPr>
                <w:rFonts w:cstheme="minorHAnsi"/>
                <w:sz w:val="18"/>
                <w:szCs w:val="18"/>
                <w:lang w:val="en-US"/>
              </w:rPr>
              <w:t>DOTA-substance P</w:t>
            </w:r>
          </w:p>
        </w:tc>
        <w:tc>
          <w:tcPr>
            <w:tcW w:w="1134" w:type="dxa"/>
            <w:vAlign w:val="center"/>
          </w:tcPr>
          <w:p w14:paraId="5CD67ED6" w14:textId="5BA2CB4F" w:rsidR="00970CE3" w:rsidRPr="00CD1614" w:rsidRDefault="00B70D2E" w:rsidP="000A3731">
            <w:pPr>
              <w:widowControl w:val="0"/>
              <w:jc w:val="center"/>
              <w:rPr>
                <w:rFonts w:cstheme="minorHAnsi"/>
                <w:sz w:val="18"/>
                <w:szCs w:val="18"/>
                <w:lang w:val="en-US"/>
              </w:rPr>
            </w:pPr>
            <w:r>
              <w:rPr>
                <w:rFonts w:cstheme="minorHAnsi"/>
                <w:sz w:val="18"/>
                <w:szCs w:val="18"/>
                <w:lang w:val="en-US"/>
              </w:rPr>
              <w:t xml:space="preserve">Recurrence </w:t>
            </w:r>
            <w:r w:rsidR="00970CE3">
              <w:rPr>
                <w:rFonts w:cstheme="minorHAnsi"/>
                <w:sz w:val="18"/>
                <w:szCs w:val="18"/>
                <w:lang w:val="en-US"/>
              </w:rPr>
              <w:t>Glioblastoma</w:t>
            </w:r>
            <w:r w:rsidR="00E42527">
              <w:rPr>
                <w:rFonts w:cstheme="minorHAnsi"/>
                <w:sz w:val="18"/>
                <w:szCs w:val="18"/>
                <w:lang w:val="en-US"/>
              </w:rPr>
              <w:t>/</w:t>
            </w:r>
            <w:r w:rsidR="00990432">
              <w:rPr>
                <w:rFonts w:cstheme="minorHAnsi"/>
                <w:sz w:val="18"/>
                <w:szCs w:val="18"/>
                <w:lang w:val="en-US"/>
              </w:rPr>
              <w:t>21</w:t>
            </w:r>
          </w:p>
        </w:tc>
        <w:tc>
          <w:tcPr>
            <w:tcW w:w="1843" w:type="dxa"/>
            <w:vAlign w:val="center"/>
          </w:tcPr>
          <w:p w14:paraId="2BCCCAC2" w14:textId="6E12113B" w:rsidR="00970CE3" w:rsidRPr="00CD1614" w:rsidRDefault="00970CE3" w:rsidP="000A3731">
            <w:pPr>
              <w:widowControl w:val="0"/>
              <w:jc w:val="center"/>
              <w:rPr>
                <w:rFonts w:cstheme="minorHAnsi"/>
                <w:sz w:val="18"/>
                <w:szCs w:val="18"/>
                <w:lang w:val="en-US"/>
              </w:rPr>
            </w:pPr>
            <w:r w:rsidRPr="00AA1159">
              <w:rPr>
                <w:rFonts w:cstheme="minorHAnsi"/>
                <w:sz w:val="18"/>
                <w:szCs w:val="18"/>
                <w:lang w:val="en-US"/>
              </w:rPr>
              <w:t>Retrospective (single-arm)</w:t>
            </w:r>
          </w:p>
        </w:tc>
        <w:tc>
          <w:tcPr>
            <w:tcW w:w="1842" w:type="dxa"/>
            <w:vAlign w:val="center"/>
          </w:tcPr>
          <w:p w14:paraId="6A8B4758" w14:textId="00E16F86" w:rsidR="00970CE3" w:rsidRPr="00CD1614" w:rsidRDefault="00990432" w:rsidP="000A3731">
            <w:pPr>
              <w:widowControl w:val="0"/>
              <w:jc w:val="center"/>
              <w:rPr>
                <w:rFonts w:cstheme="minorHAnsi"/>
                <w:sz w:val="18"/>
                <w:szCs w:val="18"/>
                <w:lang w:val="en-US"/>
              </w:rPr>
            </w:pPr>
            <w:r w:rsidRPr="00AA1159">
              <w:rPr>
                <w:rFonts w:cstheme="minorHAnsi"/>
                <w:sz w:val="18"/>
                <w:szCs w:val="18"/>
                <w:lang w:val="en-US"/>
              </w:rPr>
              <w:t>No prior TRT</w:t>
            </w:r>
          </w:p>
        </w:tc>
        <w:tc>
          <w:tcPr>
            <w:tcW w:w="1798" w:type="dxa"/>
            <w:gridSpan w:val="2"/>
            <w:vAlign w:val="center"/>
          </w:tcPr>
          <w:p w14:paraId="7C3CF71F" w14:textId="15528001" w:rsidR="00970CE3" w:rsidRPr="00CD1614" w:rsidRDefault="00990432" w:rsidP="007B6C3A">
            <w:pPr>
              <w:widowControl w:val="0"/>
              <w:jc w:val="center"/>
              <w:rPr>
                <w:rFonts w:cstheme="minorHAnsi"/>
                <w:sz w:val="18"/>
                <w:szCs w:val="18"/>
                <w:lang w:val="en-US"/>
              </w:rPr>
            </w:pPr>
            <w:r>
              <w:rPr>
                <w:rFonts w:cstheme="minorHAnsi"/>
                <w:sz w:val="18"/>
                <w:szCs w:val="18"/>
                <w:lang w:val="en-US"/>
              </w:rPr>
              <w:t>10-3</w:t>
            </w:r>
            <w:r w:rsidRPr="00AA1159">
              <w:rPr>
                <w:rFonts w:cstheme="minorHAnsi"/>
                <w:sz w:val="18"/>
                <w:szCs w:val="18"/>
                <w:lang w:val="en-US"/>
              </w:rPr>
              <w:t>0 MBq per cycle</w:t>
            </w:r>
            <w:r>
              <w:rPr>
                <w:rFonts w:cstheme="minorHAnsi"/>
                <w:sz w:val="18"/>
                <w:szCs w:val="18"/>
                <w:lang w:val="en-US"/>
              </w:rPr>
              <w:t xml:space="preserve"> (local injection)(1-6)</w:t>
            </w:r>
          </w:p>
        </w:tc>
      </w:tr>
    </w:tbl>
    <w:p w14:paraId="33ABFEEC" w14:textId="77777777" w:rsidR="000A3731" w:rsidRDefault="000A3731" w:rsidP="000A3731"/>
    <w:p w14:paraId="749F42B9" w14:textId="77777777" w:rsidR="000A3731" w:rsidRDefault="000A3731" w:rsidP="0018521B">
      <w:pPr>
        <w:pStyle w:val="StandardWeb"/>
        <w:rPr>
          <w:rFonts w:asciiTheme="minorHAnsi" w:hAnsiTheme="minorHAnsi" w:cstheme="minorHAnsi"/>
          <w:sz w:val="22"/>
          <w:szCs w:val="22"/>
        </w:rPr>
      </w:pPr>
    </w:p>
    <w:p w14:paraId="379977F9" w14:textId="50C8C375" w:rsidR="00277630" w:rsidRDefault="00277630" w:rsidP="0018521B">
      <w:pPr>
        <w:pStyle w:val="StandardWeb"/>
        <w:rPr>
          <w:rFonts w:asciiTheme="minorHAnsi" w:hAnsiTheme="minorHAnsi" w:cstheme="minorHAnsi"/>
          <w:sz w:val="22"/>
          <w:szCs w:val="22"/>
        </w:rPr>
        <w:sectPr w:rsidR="00277630" w:rsidSect="00277630">
          <w:footerReference w:type="default" r:id="rId10"/>
          <w:pgSz w:w="12240" w:h="15840"/>
          <w:pgMar w:top="1440" w:right="1440" w:bottom="1440" w:left="1440" w:header="720" w:footer="720" w:gutter="0"/>
          <w:cols w:space="720"/>
          <w:docGrid w:linePitch="360"/>
        </w:sectPr>
      </w:pPr>
    </w:p>
    <w:p w14:paraId="26A2E32A" w14:textId="7099355A" w:rsidR="00D87B34" w:rsidRDefault="00D87B34" w:rsidP="000A3731">
      <w:pPr>
        <w:pStyle w:val="StandardWeb"/>
        <w:rPr>
          <w:rFonts w:asciiTheme="minorHAnsi" w:hAnsiTheme="minorHAnsi" w:cstheme="minorHAnsi"/>
          <w:sz w:val="22"/>
          <w:szCs w:val="22"/>
        </w:rPr>
      </w:pPr>
      <w:r w:rsidRPr="007F5EA2">
        <w:rPr>
          <w:rFonts w:asciiTheme="minorHAnsi" w:hAnsiTheme="minorHAnsi" w:cstheme="minorHAnsi"/>
          <w:sz w:val="22"/>
          <w:szCs w:val="22"/>
        </w:rPr>
        <w:lastRenderedPageBreak/>
        <w:t>Table 2. The main findings, recommendation, and follow-up of the included studies</w:t>
      </w:r>
    </w:p>
    <w:p w14:paraId="21151321" w14:textId="4BEAF54F" w:rsidR="000A3731" w:rsidRDefault="00D87B34" w:rsidP="000A3731">
      <w:pPr>
        <w:pStyle w:val="StandardWeb"/>
        <w:rPr>
          <w:rFonts w:asciiTheme="minorHAnsi" w:hAnsiTheme="minorHAnsi" w:cstheme="minorHAnsi"/>
          <w:sz w:val="22"/>
          <w:szCs w:val="22"/>
        </w:rPr>
      </w:pPr>
      <w:r>
        <w:rPr>
          <w:rFonts w:asciiTheme="minorHAnsi" w:hAnsiTheme="minorHAnsi" w:cstheme="minorHAnsi"/>
          <w:sz w:val="22"/>
          <w:szCs w:val="22"/>
        </w:rPr>
        <w:t>Table 2a: PSMA ligands</w:t>
      </w:r>
      <w:r w:rsidRPr="007F5EA2">
        <w:rPr>
          <w:rFonts w:asciiTheme="minorHAnsi" w:hAnsiTheme="minorHAnsi" w:cstheme="minorHAnsi"/>
          <w:sz w:val="22"/>
          <w:szCs w:val="22"/>
        </w:rPr>
        <w:t>.</w:t>
      </w:r>
    </w:p>
    <w:tbl>
      <w:tblPr>
        <w:tblStyle w:val="Tabellenraster"/>
        <w:tblW w:w="5000" w:type="pct"/>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4"/>
        <w:gridCol w:w="5789"/>
        <w:gridCol w:w="2635"/>
        <w:gridCol w:w="500"/>
        <w:gridCol w:w="2154"/>
        <w:gridCol w:w="1969"/>
        <w:gridCol w:w="586"/>
      </w:tblGrid>
      <w:tr w:rsidR="000A3731" w:rsidRPr="00B47BAA" w14:paraId="343C03A3" w14:textId="77777777" w:rsidTr="000A3731">
        <w:trPr>
          <w:trHeight w:val="576"/>
        </w:trPr>
        <w:tc>
          <w:tcPr>
            <w:tcW w:w="229" w:type="pct"/>
            <w:tcBorders>
              <w:top w:val="single" w:sz="18" w:space="0" w:color="auto"/>
              <w:bottom w:val="single" w:sz="4" w:space="0" w:color="auto"/>
              <w:right w:val="single" w:sz="4" w:space="0" w:color="auto"/>
            </w:tcBorders>
            <w:vAlign w:val="center"/>
          </w:tcPr>
          <w:p w14:paraId="408BA27E" w14:textId="77777777" w:rsidR="000A3731" w:rsidRPr="0028078F" w:rsidRDefault="000A3731" w:rsidP="000A3731">
            <w:pPr>
              <w:jc w:val="center"/>
              <w:rPr>
                <w:rFonts w:cstheme="minorHAnsi"/>
                <w:b/>
                <w:bCs/>
                <w:sz w:val="16"/>
                <w:lang w:val="en-GB"/>
              </w:rPr>
            </w:pPr>
            <w:r w:rsidRPr="00277630">
              <w:rPr>
                <w:rFonts w:cstheme="minorHAnsi"/>
                <w:b/>
                <w:bCs/>
                <w:sz w:val="14"/>
                <w:lang w:val="en-GB"/>
              </w:rPr>
              <w:t>Study No.</w:t>
            </w:r>
          </w:p>
        </w:tc>
        <w:tc>
          <w:tcPr>
            <w:tcW w:w="2026" w:type="pct"/>
            <w:tcBorders>
              <w:top w:val="single" w:sz="18" w:space="0" w:color="auto"/>
              <w:left w:val="single" w:sz="4" w:space="0" w:color="auto"/>
              <w:bottom w:val="single" w:sz="4" w:space="0" w:color="auto"/>
            </w:tcBorders>
            <w:noWrap/>
            <w:vAlign w:val="center"/>
            <w:hideMark/>
          </w:tcPr>
          <w:p w14:paraId="47E59CE1" w14:textId="77777777" w:rsidR="000A3731" w:rsidRPr="0028078F" w:rsidRDefault="000A3731" w:rsidP="000A3731">
            <w:pPr>
              <w:jc w:val="center"/>
              <w:rPr>
                <w:rFonts w:cstheme="minorHAnsi"/>
                <w:b/>
                <w:bCs/>
                <w:sz w:val="18"/>
                <w:lang w:val="en-GB"/>
              </w:rPr>
            </w:pPr>
            <w:r w:rsidRPr="0028078F">
              <w:rPr>
                <w:rFonts w:cstheme="minorHAnsi"/>
                <w:b/>
                <w:bCs/>
                <w:sz w:val="18"/>
                <w:lang w:val="en-GB"/>
              </w:rPr>
              <w:t xml:space="preserve">Main </w:t>
            </w:r>
            <w:r w:rsidRPr="0028078F">
              <w:rPr>
                <w:rFonts w:cstheme="minorHAnsi"/>
                <w:b/>
                <w:bCs/>
                <w:i/>
                <w:sz w:val="18"/>
                <w:lang w:val="en-GB"/>
              </w:rPr>
              <w:t>safety</w:t>
            </w:r>
            <w:r w:rsidRPr="0028078F">
              <w:rPr>
                <w:rFonts w:cstheme="minorHAnsi"/>
                <w:b/>
                <w:bCs/>
                <w:sz w:val="18"/>
                <w:lang w:val="en-GB"/>
              </w:rPr>
              <w:t xml:space="preserve"> finding</w:t>
            </w:r>
          </w:p>
        </w:tc>
        <w:tc>
          <w:tcPr>
            <w:tcW w:w="922" w:type="pct"/>
            <w:tcBorders>
              <w:top w:val="single" w:sz="18" w:space="0" w:color="auto"/>
              <w:bottom w:val="single" w:sz="4" w:space="0" w:color="auto"/>
            </w:tcBorders>
            <w:noWrap/>
            <w:vAlign w:val="center"/>
            <w:hideMark/>
          </w:tcPr>
          <w:p w14:paraId="4EC04D29" w14:textId="77777777" w:rsidR="000A3731" w:rsidRPr="0028078F" w:rsidRDefault="000A3731" w:rsidP="000A3731">
            <w:pPr>
              <w:jc w:val="center"/>
              <w:rPr>
                <w:rFonts w:cstheme="minorHAnsi"/>
                <w:b/>
                <w:bCs/>
                <w:sz w:val="18"/>
                <w:lang w:val="en-GB"/>
              </w:rPr>
            </w:pPr>
            <w:r w:rsidRPr="0028078F">
              <w:rPr>
                <w:rFonts w:cstheme="minorHAnsi"/>
                <w:b/>
                <w:bCs/>
                <w:sz w:val="18"/>
                <w:lang w:val="en-GB"/>
              </w:rPr>
              <w:t>Safe/recommendation</w:t>
            </w:r>
          </w:p>
        </w:tc>
        <w:tc>
          <w:tcPr>
            <w:tcW w:w="175" w:type="pct"/>
            <w:tcBorders>
              <w:top w:val="single" w:sz="18" w:space="0" w:color="auto"/>
              <w:bottom w:val="single" w:sz="4" w:space="0" w:color="auto"/>
            </w:tcBorders>
            <w:vAlign w:val="center"/>
          </w:tcPr>
          <w:p w14:paraId="425D0D8A" w14:textId="77777777" w:rsidR="000A3731" w:rsidRPr="0028078F" w:rsidRDefault="000A3731" w:rsidP="000A3731">
            <w:pPr>
              <w:jc w:val="center"/>
              <w:rPr>
                <w:rFonts w:cstheme="minorHAnsi"/>
                <w:b/>
                <w:bCs/>
                <w:sz w:val="18"/>
                <w:lang w:val="en-GB"/>
              </w:rPr>
            </w:pPr>
            <w:r w:rsidRPr="0028078F">
              <w:rPr>
                <w:rFonts w:cstheme="minorHAnsi"/>
                <w:b/>
                <w:bCs/>
                <w:sz w:val="18"/>
                <w:lang w:val="en-GB"/>
              </w:rPr>
              <w:t>Pts No.</w:t>
            </w:r>
          </w:p>
        </w:tc>
        <w:tc>
          <w:tcPr>
            <w:tcW w:w="754" w:type="pct"/>
            <w:tcBorders>
              <w:top w:val="single" w:sz="18" w:space="0" w:color="auto"/>
              <w:bottom w:val="single" w:sz="4" w:space="0" w:color="auto"/>
            </w:tcBorders>
            <w:noWrap/>
            <w:vAlign w:val="center"/>
            <w:hideMark/>
          </w:tcPr>
          <w:p w14:paraId="06DD3357" w14:textId="77777777" w:rsidR="000A3731" w:rsidRPr="0028078F" w:rsidRDefault="000A3731" w:rsidP="000A3731">
            <w:pPr>
              <w:jc w:val="center"/>
              <w:rPr>
                <w:rFonts w:cstheme="minorHAnsi"/>
                <w:b/>
                <w:bCs/>
                <w:sz w:val="18"/>
                <w:lang w:val="en-GB"/>
              </w:rPr>
            </w:pPr>
            <w:r w:rsidRPr="0028078F">
              <w:rPr>
                <w:rFonts w:cstheme="minorHAnsi"/>
                <w:b/>
                <w:bCs/>
                <w:sz w:val="18"/>
                <w:lang w:val="en-GB"/>
              </w:rPr>
              <w:t>CTCAE grade 3 or 4</w:t>
            </w:r>
          </w:p>
        </w:tc>
        <w:tc>
          <w:tcPr>
            <w:tcW w:w="689" w:type="pct"/>
            <w:tcBorders>
              <w:top w:val="single" w:sz="18" w:space="0" w:color="auto"/>
              <w:bottom w:val="single" w:sz="4" w:space="0" w:color="auto"/>
            </w:tcBorders>
            <w:noWrap/>
            <w:vAlign w:val="center"/>
            <w:hideMark/>
          </w:tcPr>
          <w:p w14:paraId="6F0739AA" w14:textId="77777777" w:rsidR="000A3731" w:rsidRPr="0028078F" w:rsidRDefault="000A3731" w:rsidP="000A3731">
            <w:pPr>
              <w:jc w:val="center"/>
              <w:rPr>
                <w:rFonts w:cstheme="minorHAnsi"/>
                <w:b/>
                <w:bCs/>
                <w:sz w:val="18"/>
                <w:lang w:val="en-GB"/>
              </w:rPr>
            </w:pPr>
            <w:r w:rsidRPr="0028078F">
              <w:rPr>
                <w:rFonts w:cstheme="minorHAnsi"/>
                <w:b/>
                <w:bCs/>
                <w:sz w:val="18"/>
                <w:lang w:val="en-GB"/>
              </w:rPr>
              <w:t>CTCAE any grade/1&amp;2</w:t>
            </w:r>
          </w:p>
        </w:tc>
        <w:tc>
          <w:tcPr>
            <w:tcW w:w="205" w:type="pct"/>
            <w:tcBorders>
              <w:top w:val="single" w:sz="18" w:space="0" w:color="auto"/>
              <w:bottom w:val="single" w:sz="4" w:space="0" w:color="auto"/>
            </w:tcBorders>
            <w:noWrap/>
            <w:vAlign w:val="center"/>
            <w:hideMark/>
          </w:tcPr>
          <w:p w14:paraId="033C1D48" w14:textId="77777777" w:rsidR="000A3731" w:rsidRPr="0028078F" w:rsidRDefault="000A3731" w:rsidP="000A3731">
            <w:pPr>
              <w:jc w:val="center"/>
              <w:rPr>
                <w:rFonts w:cstheme="minorHAnsi"/>
                <w:b/>
                <w:bCs/>
                <w:sz w:val="18"/>
                <w:lang w:val="en-GB"/>
              </w:rPr>
            </w:pPr>
            <w:r w:rsidRPr="0028078F">
              <w:rPr>
                <w:rFonts w:cstheme="minorHAnsi"/>
                <w:b/>
                <w:bCs/>
                <w:sz w:val="18"/>
                <w:lang w:val="en-GB"/>
              </w:rPr>
              <w:t>Follow-up (mo)</w:t>
            </w:r>
          </w:p>
        </w:tc>
      </w:tr>
      <w:tr w:rsidR="000A3731" w:rsidRPr="00B47BAA" w14:paraId="135A91B5" w14:textId="77777777" w:rsidTr="000A3731">
        <w:trPr>
          <w:trHeight w:val="576"/>
        </w:trPr>
        <w:tc>
          <w:tcPr>
            <w:tcW w:w="229" w:type="pct"/>
            <w:tcBorders>
              <w:top w:val="single" w:sz="4" w:space="0" w:color="auto"/>
              <w:right w:val="single" w:sz="4" w:space="0" w:color="auto"/>
            </w:tcBorders>
            <w:vAlign w:val="center"/>
          </w:tcPr>
          <w:p w14:paraId="7D644BB2" w14:textId="5F037185"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{"citationID":"bGab9MaK","properties":{"formattedCitation":"(41)","plainCitation":"(41)","noteIndex":0},"citationItems":[{"id":2,"uris":["http://zotero.org/users/15628667/items/27IGFHTE"],"itemData":{"id":2,"type":"article-journal","abstract":"BACKGROUND: Actinium-225 ((225)Ac) prostate-specific membrane antigen (PSMA) radioligand therapy (RLT) is a novel therapy for metastatic castration-resistant  prostate cancer (mCRPC). We aimed to report the safety and antitumour activity of  (225)Ac-PSMA RLT of mCRPC in a large cohort of patients treated at multiple  centres across the world. METHODS: This retrospective study included patients  treated at seven centres in Australia, India, Germany, and South Africa. We  pooled data of consecutive patients of any age and Eastern Cooperative Oncology  Group performance status with histopathologically confirmed adenocarcinoma of the  prostate who were treated with one or more cycles of 8 MBq (225)Ac-PSMA RLT  administered intravenously for mCRPC. Previous lines of mCRPC treatment included  taxane-based chemotherapy, androgen-receptor-axis inhibitors, lutetium-177  ((177)Lu) PSMA RLT, and radium-223 dichloride. The primary outcomes were overall  survival and progression-free survival. FINDINGS: Between Jan 1, 2016, and May  31, 2023, 488 men with mCRPC received 1174 cycles of (225)Ac-PSMA RLT (median two  cycles, IQR 2-4). The mean age of the patients was 68·1 years (SD 8·8), and the  median baseline prostate-specific antigen was 169·5 ng/mL (IQR 34·6-519·8).  Previous lines of treatment were docetaxel in 324 (66%) patients, cabazitaxel in  103 (21%) patients, abiraterone in 191 (39%) patients, enzalutamide in 188 (39%)  patients, (177)Lu-PSMA RLT in 154 (32%) patients, and radium-223 dichloride in 18  (4%) patients. The median follow-up duration was 9·0 months (IQR 5·0-17·5). The  median overall survival was 15·5 months (95% CI 13·4-18·3) and median  progression-free survival was 7·9 months (6·8-8·9). In 347 (71%) of 488 patients,  information regarding treatment-induced xerostomia was available, and 236 (68%)  of the 347 patients reported xerostomia after the first cycle of (225)Ac-PSMA  RLT. All patients who received more than seven cycles of (225)Ac-PSMA RLT  reported xerostomia. Grade 3 or higher anaemia occurred in 64 (13%) of 488  patients, leukopenia in 19 (4%), thrombocytopenia in 32 (7%), and renal toxicity  in 22 (5%). No serious adverse events or treatment-related deaths were recorded.  INTERPRETATION: (225)Ac-PSMA RLT shows a substantial antitumour effect in mCRPC  and represents a viable therapy option in patients treated with previous lines of  approved agents. Xerostomia is a common side-effect. Severe bone marrow and renal  toxicity are less common adverse events. FUNDING: None.","container-title":"The Lancet. Oncology","DOI":"10.1016/S1470-2045(23)00638-1","ISSN":"1474-5488 1470-2045","issue":"2","journalAbbreviation":"Lancet Oncol","language":"eng","license":"Copyright © 2024 Elsevier Ltd. All rights reserved.","note":"publisher-place: England\nPMID: 38218192","page":"175-183","title":"Actinium-225-PSMA radioligand therapy of metastatic castration-resistant prostate cancer (WARMTH Act): a multicentre, retrospective study.","volume":"25","author":[{"family":"Sathekge","given":"Mike M."},{"family":"Lawal","given":"Ismaheel O."},{"family":"Bal","given":"Chandrasekhar"},{"family":"Bruchertseifer","given":"Frank"},{"family":"Ballal","given":"Sajana"},{"family":"Cardaci","given":"Giuseppe"},{"family":"Davis","given":"Cindy"},{"family":"Eiber","given":"Mathias"},{"family":"Hekimsoy","given":"Türkay"},{"family":"Knoesen","given":"Otto"},{"family":"Kratochwil","given":"Clemens"},{"family":"Lenzo","given":"Nat P."},{"family":"Mahapane","given":"Johncy"},{"family":"Maserumule","given":"Letjie C."},{"family":"Mdlophane","given":"Amanda H."},{"family":"Mokoala","given":"Kgomotso M. G."},{"family":"Ndlovu","given":"Honest"},{"family":"Pant","given":"Vineet"},{"family":"Rathke","given":"Hendrik"},{"family":"Reed","given":"Janet"},{"family":"Sen","given":"Ishita B."},{"family":"Singh","given":"Aviral"},{"family":"Sood","given":"Ashwani"},{"family":"Tauber","given":"Robert"},{"family":"Thakral","given":"Parul"},{"family":"Yadav","given":"Madhav Prasad"},{"family":"Morgenstern","given":"Alfred"}],"issued":{"date-parts":[["2024",2]]}}}],"schema":"https://github.com/citation-style-language/schema/raw/master/csl-citation.json"}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(41)</w:t>
            </w:r>
            <w:r>
              <w:rPr>
                <w:rFonts w:cstheme="minorHAnsi"/>
                <w:sz w:val="18"/>
              </w:rPr>
              <w:fldChar w:fldCharType="end"/>
            </w:r>
          </w:p>
        </w:tc>
        <w:tc>
          <w:tcPr>
            <w:tcW w:w="2026" w:type="pct"/>
            <w:tcBorders>
              <w:top w:val="single" w:sz="4" w:space="0" w:color="auto"/>
              <w:left w:val="single" w:sz="4" w:space="0" w:color="auto"/>
            </w:tcBorders>
            <w:noWrap/>
            <w:vAlign w:val="center"/>
          </w:tcPr>
          <w:p w14:paraId="0BB8E773" w14:textId="77777777" w:rsidR="000A3731" w:rsidRPr="000A3731" w:rsidRDefault="000A3731" w:rsidP="000A3731">
            <w:pPr>
              <w:jc w:val="center"/>
              <w:rPr>
                <w:rFonts w:cstheme="minorHAnsi"/>
                <w:sz w:val="18"/>
                <w:lang w:val="en-GB"/>
              </w:rPr>
            </w:pPr>
            <w:r w:rsidRPr="000A3731">
              <w:rPr>
                <w:rFonts w:cstheme="minorHAnsi"/>
                <w:sz w:val="18"/>
                <w:lang w:val="en-GB"/>
              </w:rPr>
              <w:t>Xerostomia is a common side effect. Severe bone marrow and renal toxicity are less common adverse events.</w:t>
            </w:r>
          </w:p>
        </w:tc>
        <w:tc>
          <w:tcPr>
            <w:tcW w:w="922" w:type="pct"/>
            <w:tcBorders>
              <w:top w:val="single" w:sz="4" w:space="0" w:color="auto"/>
            </w:tcBorders>
            <w:noWrap/>
            <w:vAlign w:val="center"/>
          </w:tcPr>
          <w:p w14:paraId="4F93DCF3"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 However appears greater than 177Lu PSMA-617 warrants further studies</w:t>
            </w:r>
          </w:p>
        </w:tc>
        <w:tc>
          <w:tcPr>
            <w:tcW w:w="175" w:type="pct"/>
            <w:tcBorders>
              <w:top w:val="single" w:sz="4" w:space="0" w:color="auto"/>
            </w:tcBorders>
            <w:vAlign w:val="center"/>
          </w:tcPr>
          <w:p w14:paraId="76903CA0" w14:textId="77777777" w:rsidR="000A3731" w:rsidRPr="000A3731" w:rsidRDefault="000A3731" w:rsidP="000A3731">
            <w:pPr>
              <w:jc w:val="center"/>
              <w:rPr>
                <w:rFonts w:cstheme="minorHAnsi"/>
                <w:sz w:val="18"/>
                <w:lang w:val="en-GB"/>
              </w:rPr>
            </w:pPr>
            <w:r w:rsidRPr="000A3731">
              <w:rPr>
                <w:rFonts w:cstheme="minorHAnsi"/>
                <w:sz w:val="18"/>
                <w:lang w:val="en-GB"/>
              </w:rPr>
              <w:t>488</w:t>
            </w:r>
          </w:p>
        </w:tc>
        <w:tc>
          <w:tcPr>
            <w:tcW w:w="754" w:type="pct"/>
            <w:tcBorders>
              <w:top w:val="single" w:sz="4" w:space="0" w:color="auto"/>
            </w:tcBorders>
            <w:noWrap/>
            <w:vAlign w:val="center"/>
          </w:tcPr>
          <w:p w14:paraId="1672CAFA" w14:textId="77777777" w:rsidR="000A3731" w:rsidRPr="000A3731" w:rsidRDefault="000A3731" w:rsidP="000A3731">
            <w:pPr>
              <w:jc w:val="center"/>
              <w:rPr>
                <w:rFonts w:cstheme="minorHAnsi"/>
                <w:sz w:val="18"/>
                <w:lang w:val="en-GB"/>
              </w:rPr>
            </w:pPr>
            <w:r w:rsidRPr="000A3731">
              <w:rPr>
                <w:rFonts w:cstheme="minorHAnsi"/>
                <w:sz w:val="18"/>
                <w:lang w:val="en-GB"/>
              </w:rPr>
              <w:t>127 Hemato, 22 Nephro, 11 Xerostomia</w:t>
            </w:r>
          </w:p>
        </w:tc>
        <w:tc>
          <w:tcPr>
            <w:tcW w:w="689" w:type="pct"/>
            <w:tcBorders>
              <w:top w:val="single" w:sz="4" w:space="0" w:color="auto"/>
            </w:tcBorders>
            <w:noWrap/>
            <w:vAlign w:val="center"/>
          </w:tcPr>
          <w:p w14:paraId="4CE18E3E" w14:textId="77777777" w:rsidR="000A3731" w:rsidRPr="000A3731" w:rsidRDefault="000A3731" w:rsidP="000A3731">
            <w:pPr>
              <w:jc w:val="center"/>
              <w:rPr>
                <w:rFonts w:cstheme="minorHAnsi"/>
                <w:sz w:val="18"/>
                <w:lang w:val="en-GB"/>
              </w:rPr>
            </w:pPr>
            <w:r w:rsidRPr="000A3731">
              <w:rPr>
                <w:rFonts w:cstheme="minorHAnsi"/>
                <w:sz w:val="18"/>
                <w:lang w:val="en-GB"/>
              </w:rPr>
              <w:t>236 Xerostomia after first cycle</w:t>
            </w:r>
          </w:p>
        </w:tc>
        <w:tc>
          <w:tcPr>
            <w:tcW w:w="205" w:type="pct"/>
            <w:tcBorders>
              <w:top w:val="single" w:sz="4" w:space="0" w:color="auto"/>
            </w:tcBorders>
            <w:noWrap/>
            <w:vAlign w:val="center"/>
          </w:tcPr>
          <w:p w14:paraId="041ACDEC" w14:textId="77777777" w:rsidR="000A3731" w:rsidRPr="000A3731" w:rsidRDefault="000A3731" w:rsidP="000A3731">
            <w:pPr>
              <w:jc w:val="center"/>
              <w:rPr>
                <w:rFonts w:cstheme="minorHAnsi"/>
                <w:sz w:val="18"/>
                <w:lang w:val="en-GB"/>
              </w:rPr>
            </w:pPr>
            <w:r w:rsidRPr="000A3731">
              <w:rPr>
                <w:rFonts w:cstheme="minorHAnsi"/>
                <w:sz w:val="18"/>
                <w:lang w:val="en-GB"/>
              </w:rPr>
              <w:t>9</w:t>
            </w:r>
          </w:p>
        </w:tc>
      </w:tr>
      <w:tr w:rsidR="000A3731" w:rsidRPr="00E80E91" w14:paraId="19A9042C" w14:textId="77777777" w:rsidTr="000A3731">
        <w:trPr>
          <w:trHeight w:val="576"/>
        </w:trPr>
        <w:tc>
          <w:tcPr>
            <w:tcW w:w="229" w:type="pct"/>
            <w:tcBorders>
              <w:right w:val="single" w:sz="4" w:space="0" w:color="auto"/>
            </w:tcBorders>
            <w:vAlign w:val="center"/>
          </w:tcPr>
          <w:p w14:paraId="14947E5C" w14:textId="3AF888CD" w:rsidR="000A3731" w:rsidRPr="000A3731" w:rsidRDefault="000A3731" w:rsidP="000A3731">
            <w:pPr>
              <w:jc w:val="center"/>
              <w:rPr>
                <w:rFonts w:cstheme="minorHAnsi"/>
                <w:sz w:val="18"/>
                <w:szCs w:val="18"/>
                <w:lang w:val="en-GB"/>
              </w:rPr>
            </w:pPr>
            <w:r>
              <w:rPr>
                <w:rFonts w:cstheme="minorHAnsi"/>
                <w:sz w:val="18"/>
                <w:szCs w:val="18"/>
              </w:rPr>
              <w:fldChar w:fldCharType="begin"/>
            </w:r>
            <w:r w:rsidR="008666A7">
              <w:rPr>
                <w:rFonts w:cstheme="minorHAnsi"/>
                <w:sz w:val="18"/>
                <w:szCs w:val="18"/>
                <w:lang w:val="en-GB"/>
              </w:rPr>
              <w:instrText xml:space="preserve"> ADDIN ZOTERO_ITEM CSL_CITATION {"citationID":"030UgycH","properties":{"formattedCitation":"(42)","plainCitation":"(42)","noteIndex":0},"citationItems":[{"id":1160,"uris":["http://zotero.org/users/15628667/items/9LZFQBP6"],"itemData":{"id":1160,"type":"article-journal","abstract":"The aim of this work is to evaluate our clinical real-world data obtained with 225Ac-PSMA-617 (AcPSMA), which were acquired under compassionate care regulations in patients with advanced-stage prostate cancer. The objective parameters that could be derived from this evaluation are compared with previous literature about AcPSMA and 177Lu-PSMA-617 (LuPSMA). Methods: The medical files of all patients who had received AcPSMA on an individual patient basis at the Heidelberg University Hospital since January 2014 were analyzed retrospectively. Previously published patients were excluded. The remaining patients were tailored into 2 subgroups with different treatment strategies: group 1 received AcPSMA as a deescalated monotherapy, and group 2 received LuPSMA plus AcPSMA as a cocktail regimen. Baseline characteristics, serum prostate-specific antigen (PSA) response, and overall survival were compared with the most appropriate historical controls. Results: Of 287 patients treated, 54 were excluded because of previous publication and 233 were evaluated, 104 of whom received AcPSMA monotherapy (median, 6 MBq). In this group, 55 patients (53%) presented with a best PSA response of at least 50%. The other 129 patients received a cocktail therapy of AcPSMA (median, 4 MBq) plus LuPSMA (4 GBq). In this group, a best PSA response of at least 50% was observed in 74 patients (57%). The median overall survival in the monogroup was 9 mo and in the cocktail group was 15 mo. If adjusted for prognostic baseline characteristics, the efficacy of both regimens was not significantly different. Conclusion: Deescalated treatment activities of AcPSMA or AcPSMA and LuPSMA cocktail regimens present better tolerability with regard to xerostomia than previous regimens of at least 100 kBq/kg while retaining high antitumor activity in poor-prognosis prostate cancer patients.","container-title":"Journal of Nuclear Medicine: Official Publication, Society of Nuclear Medicine","DOI":"10.2967/jnumed.123.267206","ISSN":"1535-5667","issue":"7","journalAbbreviation":"J Nucl Med","language":"eng","note":"PMID: 38844358","page":"1057-1063","source":"PubMed","title":"Deescalated 225Ac-PSMA-617 Versus 177Lu/225Ac-PSMA-617 Cocktail Therapy: A Single-Center Retrospective Analysis of 233 Patients","title-short":"Deescalated 225Ac-PSMA-617 Versus 177Lu/225Ac-PSMA-617 Cocktail Therapy","volume":"65","author":[{"family":"Rathke","given":"Hendrik"},{"family":"Winter","given":"Erik"},{"family":"Bruchertseifer","given":"Frank"},{"family":"Röhrich","given":"Manuel"},{"family":"Giesel","given":"Frederik Lars"},{"family":"Haberkorn","given":"Uwe"},{"family":"Morgenstern","given":"Alfred"},{"family":"Kratochwil","given":"Clemens"}],"issued":{"date-parts":[["2024",7,1]]}}}],"schema":"https://github.com/citation-style-language/schema/raw/master/csl-citation.json"} </w:instrText>
            </w:r>
            <w:r>
              <w:rPr>
                <w:rFonts w:cstheme="minorHAnsi"/>
                <w:sz w:val="18"/>
                <w:szCs w:val="18"/>
              </w:rPr>
              <w:fldChar w:fldCharType="separate"/>
            </w:r>
            <w:r w:rsidR="008666A7" w:rsidRPr="008666A7">
              <w:rPr>
                <w:rFonts w:ascii="Calibri" w:hAnsi="Calibri" w:cs="Calibri"/>
                <w:sz w:val="18"/>
                <w:lang w:val="en-US"/>
              </w:rPr>
              <w:t>(42)</w:t>
            </w:r>
            <w:r>
              <w:rPr>
                <w:rFonts w:cstheme="minorHAnsi"/>
                <w:sz w:val="18"/>
                <w:szCs w:val="18"/>
              </w:rPr>
              <w:fldChar w:fldCharType="end"/>
            </w:r>
          </w:p>
        </w:tc>
        <w:tc>
          <w:tcPr>
            <w:tcW w:w="2026" w:type="pct"/>
            <w:tcBorders>
              <w:left w:val="single" w:sz="4" w:space="0" w:color="auto"/>
            </w:tcBorders>
            <w:noWrap/>
            <w:vAlign w:val="center"/>
          </w:tcPr>
          <w:p w14:paraId="1FC04C57" w14:textId="77777777" w:rsidR="000A3731" w:rsidRPr="000A3731" w:rsidRDefault="000A3731" w:rsidP="000A3731">
            <w:pPr>
              <w:jc w:val="center"/>
              <w:rPr>
                <w:sz w:val="18"/>
                <w:szCs w:val="18"/>
                <w:lang w:val="en-GB"/>
              </w:rPr>
            </w:pPr>
            <w:r w:rsidRPr="000A3731">
              <w:rPr>
                <w:sz w:val="18"/>
                <w:szCs w:val="18"/>
                <w:lang w:val="en-GB"/>
              </w:rPr>
              <w:t>Deescalated 225Ac-PSMA as monotherapy and as cocktail therapy with 177Lu-PSMA showed no significantly difference in efficacy in mCRPCs. Both depicted lower side effect like Xerostomia in comparison with previous recommended regimes with 0.1Mbq/Kg activity. No acute adverse event, Flare-up bone pain in 7% for 48h.</w:t>
            </w:r>
          </w:p>
        </w:tc>
        <w:tc>
          <w:tcPr>
            <w:tcW w:w="922" w:type="pct"/>
            <w:noWrap/>
            <w:vAlign w:val="center"/>
          </w:tcPr>
          <w:p w14:paraId="2F3D72EF" w14:textId="77777777" w:rsidR="000A3731" w:rsidRPr="000A3731" w:rsidRDefault="000A3731" w:rsidP="000A3731">
            <w:pPr>
              <w:jc w:val="center"/>
              <w:rPr>
                <w:sz w:val="18"/>
                <w:szCs w:val="18"/>
                <w:lang w:val="en-GB"/>
              </w:rPr>
            </w:pPr>
            <w:r w:rsidRPr="000A3731">
              <w:rPr>
                <w:sz w:val="18"/>
                <w:szCs w:val="18"/>
                <w:lang w:val="en-GB"/>
              </w:rPr>
              <w:t>Safe, No treatment discontinuation due to toxicities, lower dose would be both effective and safe</w:t>
            </w:r>
          </w:p>
        </w:tc>
        <w:tc>
          <w:tcPr>
            <w:tcW w:w="175" w:type="pct"/>
            <w:vAlign w:val="center"/>
          </w:tcPr>
          <w:p w14:paraId="636EFFAE" w14:textId="77777777" w:rsidR="000A3731" w:rsidRPr="000A3731" w:rsidRDefault="000A3731" w:rsidP="000A3731">
            <w:pPr>
              <w:jc w:val="center"/>
              <w:rPr>
                <w:sz w:val="18"/>
                <w:szCs w:val="18"/>
                <w:lang w:val="en-GB"/>
              </w:rPr>
            </w:pPr>
            <w:r w:rsidRPr="000A3731">
              <w:rPr>
                <w:sz w:val="18"/>
                <w:szCs w:val="18"/>
                <w:lang w:val="en-GB"/>
              </w:rPr>
              <w:t>233</w:t>
            </w:r>
          </w:p>
        </w:tc>
        <w:tc>
          <w:tcPr>
            <w:tcW w:w="754" w:type="pct"/>
            <w:noWrap/>
            <w:vAlign w:val="center"/>
          </w:tcPr>
          <w:p w14:paraId="3453B3A4" w14:textId="77777777" w:rsidR="000A3731" w:rsidRPr="000A3731" w:rsidRDefault="000A3731" w:rsidP="000A3731">
            <w:pPr>
              <w:jc w:val="center"/>
              <w:rPr>
                <w:sz w:val="18"/>
                <w:szCs w:val="18"/>
                <w:lang w:val="en-GB"/>
              </w:rPr>
            </w:pPr>
            <w:r w:rsidRPr="000A3731">
              <w:rPr>
                <w:sz w:val="18"/>
                <w:lang w:val="en-GB"/>
              </w:rPr>
              <w:t>N/A</w:t>
            </w:r>
          </w:p>
        </w:tc>
        <w:tc>
          <w:tcPr>
            <w:tcW w:w="689" w:type="pct"/>
            <w:noWrap/>
            <w:vAlign w:val="center"/>
          </w:tcPr>
          <w:p w14:paraId="0A1F76F8" w14:textId="77777777" w:rsidR="000A3731" w:rsidRPr="000A3731" w:rsidRDefault="000A3731" w:rsidP="000A3731">
            <w:pPr>
              <w:jc w:val="center"/>
              <w:rPr>
                <w:sz w:val="18"/>
                <w:szCs w:val="18"/>
                <w:lang w:val="en-GB"/>
              </w:rPr>
            </w:pPr>
            <w:r w:rsidRPr="000A3731">
              <w:rPr>
                <w:sz w:val="18"/>
                <w:szCs w:val="18"/>
                <w:lang w:val="en-GB"/>
              </w:rPr>
              <w:t>All Pts Xerostomia</w:t>
            </w:r>
          </w:p>
        </w:tc>
        <w:tc>
          <w:tcPr>
            <w:tcW w:w="205" w:type="pct"/>
            <w:noWrap/>
            <w:vAlign w:val="center"/>
          </w:tcPr>
          <w:p w14:paraId="7423BA25" w14:textId="77777777" w:rsidR="000A3731" w:rsidRPr="000A3731" w:rsidRDefault="000A3731" w:rsidP="000A3731">
            <w:pPr>
              <w:jc w:val="center"/>
              <w:rPr>
                <w:sz w:val="18"/>
                <w:szCs w:val="18"/>
                <w:lang w:val="en-GB"/>
              </w:rPr>
            </w:pPr>
            <w:r w:rsidRPr="000A3731">
              <w:rPr>
                <w:sz w:val="18"/>
                <w:szCs w:val="18"/>
                <w:lang w:val="en-GB"/>
              </w:rPr>
              <w:t>60</w:t>
            </w:r>
          </w:p>
        </w:tc>
      </w:tr>
      <w:tr w:rsidR="000A3731" w:rsidRPr="00B47BAA" w14:paraId="7B751ADA" w14:textId="77777777" w:rsidTr="000A3731">
        <w:trPr>
          <w:trHeight w:val="576"/>
        </w:trPr>
        <w:tc>
          <w:tcPr>
            <w:tcW w:w="229" w:type="pct"/>
            <w:tcBorders>
              <w:right w:val="single" w:sz="4" w:space="0" w:color="auto"/>
            </w:tcBorders>
            <w:vAlign w:val="center"/>
          </w:tcPr>
          <w:p w14:paraId="0411C0AA" w14:textId="723E39D5" w:rsidR="000A3731" w:rsidRPr="0012037A" w:rsidRDefault="000A3731" w:rsidP="000A3731">
            <w:pPr>
              <w:jc w:val="center"/>
              <w:rPr>
                <w:rFonts w:cstheme="minorHAnsi"/>
                <w:sz w:val="18"/>
                <w:szCs w:val="18"/>
              </w:rPr>
            </w:pPr>
            <w:r>
              <w:rPr>
                <w:rFonts w:cstheme="minorHAnsi"/>
                <w:sz w:val="18"/>
                <w:szCs w:val="18"/>
              </w:rPr>
              <w:fldChar w:fldCharType="begin"/>
            </w:r>
            <w:r w:rsidR="008666A7">
              <w:rPr>
                <w:rFonts w:cstheme="minorHAnsi"/>
                <w:sz w:val="18"/>
                <w:szCs w:val="18"/>
                <w:lang w:val="en-GB"/>
              </w:rPr>
              <w:instrText xml:space="preserve"> ADDIN ZOTERO_ITEM CSL_CITATION {"citationID":"LYW77MAv","properties":{"formattedCitation":"(43)","plainCitation":"(43)","noteIndex":0},"citationItems":[{"id":1164,"uris":["http://zotero.org/users/15628667/items/A7DUV7W8"],"itemData":{"id":1164,"type":"article-journal","collection-title":"op-759","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Perrone","given":"E"}],"accessed":{"date-parts":[["2025",7,24]]},"issued":{"date-parts":[["2024",9]]}}}],"schema":"https://github.com/citation-style-language/schema/raw/master/csl-citation.json"} </w:instrText>
            </w:r>
            <w:r>
              <w:rPr>
                <w:rFonts w:cstheme="minorHAnsi"/>
                <w:sz w:val="18"/>
                <w:szCs w:val="18"/>
              </w:rPr>
              <w:fldChar w:fldCharType="separate"/>
            </w:r>
            <w:r w:rsidR="008666A7" w:rsidRPr="008666A7">
              <w:rPr>
                <w:rFonts w:ascii="Calibri" w:hAnsi="Calibri" w:cs="Calibri"/>
                <w:sz w:val="18"/>
                <w:lang w:val="en-US"/>
              </w:rPr>
              <w:t>(43)</w:t>
            </w:r>
            <w:r>
              <w:rPr>
                <w:rFonts w:cstheme="minorHAnsi"/>
                <w:sz w:val="18"/>
                <w:szCs w:val="18"/>
              </w:rPr>
              <w:fldChar w:fldCharType="end"/>
            </w:r>
          </w:p>
        </w:tc>
        <w:tc>
          <w:tcPr>
            <w:tcW w:w="2026" w:type="pct"/>
            <w:tcBorders>
              <w:left w:val="single" w:sz="4" w:space="0" w:color="auto"/>
            </w:tcBorders>
            <w:noWrap/>
            <w:vAlign w:val="center"/>
          </w:tcPr>
          <w:p w14:paraId="3818E178" w14:textId="77777777" w:rsidR="000A3731" w:rsidRPr="000A3731" w:rsidRDefault="000A3731" w:rsidP="000A3731">
            <w:pPr>
              <w:jc w:val="center"/>
              <w:rPr>
                <w:sz w:val="18"/>
                <w:szCs w:val="18"/>
                <w:lang w:val="en-GB"/>
              </w:rPr>
            </w:pPr>
            <w:r w:rsidRPr="000A3731">
              <w:rPr>
                <w:sz w:val="18"/>
                <w:szCs w:val="18"/>
                <w:lang w:val="en-GB"/>
              </w:rPr>
              <w:t>TRT generally well tolerated. Most common acute adverse event: flare pain followed by nausea</w:t>
            </w:r>
          </w:p>
        </w:tc>
        <w:tc>
          <w:tcPr>
            <w:tcW w:w="922" w:type="pct"/>
            <w:noWrap/>
            <w:vAlign w:val="center"/>
          </w:tcPr>
          <w:p w14:paraId="2D8E9CC6" w14:textId="77777777" w:rsidR="000A3731" w:rsidRPr="0012037A" w:rsidRDefault="000A3731" w:rsidP="000A3731">
            <w:pPr>
              <w:jc w:val="center"/>
              <w:rPr>
                <w:sz w:val="18"/>
                <w:szCs w:val="18"/>
              </w:rPr>
            </w:pPr>
            <w:r>
              <w:rPr>
                <w:sz w:val="18"/>
                <w:szCs w:val="18"/>
              </w:rPr>
              <w:t>S</w:t>
            </w:r>
            <w:r w:rsidRPr="0012037A">
              <w:rPr>
                <w:sz w:val="18"/>
                <w:szCs w:val="18"/>
              </w:rPr>
              <w:t>afe</w:t>
            </w:r>
          </w:p>
        </w:tc>
        <w:tc>
          <w:tcPr>
            <w:tcW w:w="175" w:type="pct"/>
            <w:vAlign w:val="center"/>
          </w:tcPr>
          <w:p w14:paraId="53212C26" w14:textId="77777777" w:rsidR="000A3731" w:rsidRPr="0012037A" w:rsidRDefault="000A3731" w:rsidP="000A3731">
            <w:pPr>
              <w:jc w:val="center"/>
              <w:rPr>
                <w:sz w:val="18"/>
                <w:szCs w:val="18"/>
              </w:rPr>
            </w:pPr>
            <w:r>
              <w:rPr>
                <w:sz w:val="18"/>
                <w:szCs w:val="18"/>
              </w:rPr>
              <w:t>80</w:t>
            </w:r>
          </w:p>
        </w:tc>
        <w:tc>
          <w:tcPr>
            <w:tcW w:w="754" w:type="pct"/>
            <w:noWrap/>
            <w:vAlign w:val="center"/>
          </w:tcPr>
          <w:p w14:paraId="3AA78DF0" w14:textId="77777777" w:rsidR="000A3731" w:rsidRPr="0012037A" w:rsidRDefault="000A3731" w:rsidP="000A3731">
            <w:pPr>
              <w:jc w:val="center"/>
              <w:rPr>
                <w:sz w:val="18"/>
                <w:szCs w:val="18"/>
              </w:rPr>
            </w:pPr>
            <w:r w:rsidRPr="0012037A">
              <w:rPr>
                <w:sz w:val="18"/>
                <w:szCs w:val="18"/>
              </w:rPr>
              <w:t>18 Hemato, 8 hepato</w:t>
            </w:r>
          </w:p>
        </w:tc>
        <w:tc>
          <w:tcPr>
            <w:tcW w:w="689" w:type="pct"/>
            <w:noWrap/>
            <w:vAlign w:val="center"/>
          </w:tcPr>
          <w:p w14:paraId="48FD0BC0" w14:textId="77777777" w:rsidR="000A3731" w:rsidRPr="0012037A" w:rsidRDefault="000A3731" w:rsidP="000A3731">
            <w:pPr>
              <w:jc w:val="center"/>
              <w:rPr>
                <w:sz w:val="18"/>
                <w:szCs w:val="18"/>
              </w:rPr>
            </w:pPr>
            <w:r w:rsidRPr="0012037A">
              <w:rPr>
                <w:sz w:val="18"/>
                <w:szCs w:val="18"/>
              </w:rPr>
              <w:t>26 Hemato, 6 Nephro, 2 Hepato, 22 Xerostomia</w:t>
            </w:r>
          </w:p>
        </w:tc>
        <w:tc>
          <w:tcPr>
            <w:tcW w:w="205" w:type="pct"/>
            <w:noWrap/>
            <w:vAlign w:val="center"/>
          </w:tcPr>
          <w:p w14:paraId="2EB89D3E" w14:textId="77777777" w:rsidR="000A3731" w:rsidRPr="0012037A" w:rsidRDefault="000A3731" w:rsidP="000A3731">
            <w:pPr>
              <w:jc w:val="center"/>
              <w:rPr>
                <w:rFonts w:cstheme="minorHAnsi"/>
                <w:sz w:val="18"/>
                <w:szCs w:val="18"/>
              </w:rPr>
            </w:pPr>
            <w:r w:rsidRPr="0012037A">
              <w:rPr>
                <w:sz w:val="18"/>
                <w:szCs w:val="18"/>
              </w:rPr>
              <w:t>38</w:t>
            </w:r>
          </w:p>
        </w:tc>
      </w:tr>
      <w:tr w:rsidR="000A3731" w:rsidRPr="00B47BAA" w14:paraId="72CACC00" w14:textId="77777777" w:rsidTr="000A3731">
        <w:trPr>
          <w:trHeight w:val="576"/>
        </w:trPr>
        <w:tc>
          <w:tcPr>
            <w:tcW w:w="229" w:type="pct"/>
            <w:tcBorders>
              <w:right w:val="single" w:sz="4" w:space="0" w:color="auto"/>
            </w:tcBorders>
            <w:vAlign w:val="center"/>
          </w:tcPr>
          <w:p w14:paraId="56941A66" w14:textId="3ADE9E8A" w:rsidR="000A3731" w:rsidRPr="00B47BAA" w:rsidRDefault="000A3731" w:rsidP="000A3731">
            <w:pPr>
              <w:jc w:val="center"/>
              <w:rPr>
                <w:rFonts w:cstheme="minorHAnsi"/>
                <w:sz w:val="18"/>
              </w:rPr>
            </w:pPr>
            <w:r>
              <w:rPr>
                <w:rFonts w:cstheme="minorHAnsi"/>
                <w:sz w:val="18"/>
              </w:rPr>
              <w:fldChar w:fldCharType="begin"/>
            </w:r>
            <w:r w:rsidR="008666A7">
              <w:rPr>
                <w:rFonts w:cstheme="minorHAnsi"/>
                <w:sz w:val="18"/>
              </w:rPr>
              <w:instrText xml:space="preserve"> ADDIN ZOTERO_ITEM CSL_CITATION {"citationID":"8GO9GTdq","properties":{"formattedCitation":"(44)","plainCitation":"(44)","noteIndex":0},"citationItems":[{"id":1166,"uris":["http://zotero.org/users/15628667/items/PBY3J9PF"],"itemData":{"id":1166,"type":"article-journal","collection-title":"EP-0621","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Budlewski","given":"T"}],"accessed":{"date-parts":[["2025",7,24]]},"issued":{"date-parts":[["2024",9]]}}}],"schema":"https://github.com/citation-style-language/schema/raw/master/csl-citation.json"} </w:instrText>
            </w:r>
            <w:r>
              <w:rPr>
                <w:rFonts w:cstheme="minorHAnsi"/>
                <w:sz w:val="18"/>
              </w:rPr>
              <w:fldChar w:fldCharType="separate"/>
            </w:r>
            <w:r w:rsidR="008666A7" w:rsidRPr="008666A7">
              <w:rPr>
                <w:rFonts w:ascii="Calibri" w:hAnsi="Calibri" w:cs="Calibri"/>
                <w:sz w:val="18"/>
              </w:rPr>
              <w:t>(44)</w:t>
            </w:r>
            <w:r>
              <w:rPr>
                <w:rFonts w:cstheme="minorHAnsi"/>
                <w:sz w:val="18"/>
              </w:rPr>
              <w:fldChar w:fldCharType="end"/>
            </w:r>
          </w:p>
        </w:tc>
        <w:tc>
          <w:tcPr>
            <w:tcW w:w="2026" w:type="pct"/>
            <w:tcBorders>
              <w:left w:val="single" w:sz="4" w:space="0" w:color="auto"/>
            </w:tcBorders>
            <w:noWrap/>
            <w:vAlign w:val="center"/>
          </w:tcPr>
          <w:p w14:paraId="0AC5A8FA" w14:textId="77777777" w:rsidR="000A3731" w:rsidRPr="000A3731" w:rsidRDefault="000A3731" w:rsidP="000A3731">
            <w:pPr>
              <w:jc w:val="center"/>
              <w:rPr>
                <w:sz w:val="18"/>
                <w:lang w:val="en-GB"/>
              </w:rPr>
            </w:pPr>
            <w:r w:rsidRPr="000A3731">
              <w:rPr>
                <w:sz w:val="18"/>
                <w:lang w:val="en-GB"/>
              </w:rPr>
              <w:t>The treatment is well-tolerated with no significant treatment-related adverse events reported thus far</w:t>
            </w:r>
          </w:p>
        </w:tc>
        <w:tc>
          <w:tcPr>
            <w:tcW w:w="922" w:type="pct"/>
            <w:noWrap/>
            <w:vAlign w:val="center"/>
          </w:tcPr>
          <w:p w14:paraId="5BF04434" w14:textId="77777777" w:rsidR="000A3731" w:rsidRPr="000A3731" w:rsidRDefault="000A3731" w:rsidP="000A3731">
            <w:pPr>
              <w:jc w:val="center"/>
              <w:rPr>
                <w:sz w:val="18"/>
                <w:lang w:val="en-GB"/>
              </w:rPr>
            </w:pPr>
            <w:r w:rsidRPr="000A3731">
              <w:rPr>
                <w:sz w:val="18"/>
                <w:lang w:val="en-GB"/>
              </w:rPr>
              <w:t>Safe, A larger cohort is necessary the safety comprehensively verified</w:t>
            </w:r>
          </w:p>
        </w:tc>
        <w:tc>
          <w:tcPr>
            <w:tcW w:w="175" w:type="pct"/>
            <w:vAlign w:val="center"/>
          </w:tcPr>
          <w:p w14:paraId="2B756060" w14:textId="77777777" w:rsidR="000A3731" w:rsidRPr="00BD050C" w:rsidRDefault="000A3731" w:rsidP="000A3731">
            <w:pPr>
              <w:jc w:val="center"/>
              <w:rPr>
                <w:sz w:val="18"/>
              </w:rPr>
            </w:pPr>
            <w:r>
              <w:rPr>
                <w:sz w:val="18"/>
              </w:rPr>
              <w:t>10</w:t>
            </w:r>
          </w:p>
        </w:tc>
        <w:tc>
          <w:tcPr>
            <w:tcW w:w="754" w:type="pct"/>
            <w:noWrap/>
            <w:vAlign w:val="center"/>
          </w:tcPr>
          <w:p w14:paraId="50FF026A" w14:textId="77777777" w:rsidR="000A3731" w:rsidRPr="00BD050C" w:rsidRDefault="000A3731" w:rsidP="000A3731">
            <w:pPr>
              <w:jc w:val="center"/>
              <w:rPr>
                <w:sz w:val="18"/>
              </w:rPr>
            </w:pPr>
            <w:r w:rsidRPr="00BD050C">
              <w:rPr>
                <w:sz w:val="18"/>
              </w:rPr>
              <w:t>N/A</w:t>
            </w:r>
          </w:p>
        </w:tc>
        <w:tc>
          <w:tcPr>
            <w:tcW w:w="689" w:type="pct"/>
            <w:noWrap/>
            <w:vAlign w:val="center"/>
          </w:tcPr>
          <w:p w14:paraId="620C778B" w14:textId="77777777" w:rsidR="000A3731" w:rsidRPr="00BD050C" w:rsidRDefault="000A3731" w:rsidP="000A3731">
            <w:pPr>
              <w:jc w:val="center"/>
              <w:rPr>
                <w:sz w:val="18"/>
              </w:rPr>
            </w:pPr>
            <w:r w:rsidRPr="00BD050C">
              <w:rPr>
                <w:sz w:val="18"/>
              </w:rPr>
              <w:t>N/A</w:t>
            </w:r>
          </w:p>
        </w:tc>
        <w:tc>
          <w:tcPr>
            <w:tcW w:w="205" w:type="pct"/>
            <w:noWrap/>
            <w:vAlign w:val="center"/>
          </w:tcPr>
          <w:p w14:paraId="135303F0" w14:textId="77777777" w:rsidR="000A3731" w:rsidRPr="00BD050C" w:rsidRDefault="000A3731" w:rsidP="000A3731">
            <w:pPr>
              <w:jc w:val="center"/>
              <w:rPr>
                <w:rFonts w:cstheme="minorHAnsi"/>
                <w:sz w:val="18"/>
              </w:rPr>
            </w:pPr>
            <w:r w:rsidRPr="00BD050C">
              <w:rPr>
                <w:sz w:val="18"/>
              </w:rPr>
              <w:t>N/A</w:t>
            </w:r>
          </w:p>
        </w:tc>
      </w:tr>
      <w:tr w:rsidR="000A3731" w:rsidRPr="00B47BAA" w14:paraId="3F23E070" w14:textId="77777777" w:rsidTr="000A3731">
        <w:trPr>
          <w:trHeight w:val="576"/>
        </w:trPr>
        <w:tc>
          <w:tcPr>
            <w:tcW w:w="229" w:type="pct"/>
            <w:tcBorders>
              <w:right w:val="single" w:sz="4" w:space="0" w:color="auto"/>
            </w:tcBorders>
            <w:vAlign w:val="center"/>
          </w:tcPr>
          <w:p w14:paraId="69011695" w14:textId="27E2D08F" w:rsidR="000A3731" w:rsidRPr="00B47BAA" w:rsidRDefault="000A3731" w:rsidP="000A3731">
            <w:pPr>
              <w:jc w:val="center"/>
              <w:rPr>
                <w:rFonts w:cstheme="minorHAnsi"/>
                <w:sz w:val="18"/>
              </w:rPr>
            </w:pPr>
            <w:r>
              <w:rPr>
                <w:rFonts w:cstheme="minorHAnsi"/>
                <w:sz w:val="18"/>
              </w:rPr>
              <w:fldChar w:fldCharType="begin"/>
            </w:r>
            <w:r w:rsidR="008666A7">
              <w:rPr>
                <w:rFonts w:cstheme="minorHAnsi"/>
                <w:sz w:val="18"/>
              </w:rPr>
              <w:instrText xml:space="preserve"> ADDIN ZOTERO_ITEM CSL_CITATION {"citationID":"BM21eTpV","properties":{"formattedCitation":"(45)","plainCitation":"(45)","noteIndex":0},"citationItems":[{"id":1119,"uris":["http://zotero.org/users/15628667/items/DN73ESES"],"itemData":{"id":1119,"type":"article-journal","abstract":"241054 Introduction: Our study presents preliminary findings from a phase 3, single-center, prospective, randomized, two-arm controlled study.Methods: Patients with advanced-stage mCRPC, resistant to ADT (e.g., enzalutamide or abiraterone acetate), were randomized to receive a combination of 225-Actinium / 177- Lutetium labeled PSMA (PSMA tandem treatment) or the current standard-of-care with docetaxel. Control visits were conducted to evaluate PFS and OS in both arms. Serial prostate-specific antigen (PSA) measurements were obtained for response assessment. Hematological and non-hematological adverse effects were recorded.The study was conducted according to the protocol approved by the institutional committee on ethics in human investigation, following the principles of the Declaration of Helsinki of the World Medical Association.Results: A total of 93 patients were included in the study (table1). In the PSMA arm (PA), 110 cycles (median 2; range 1-6) were administered, while the Standard arm (SA) received 73 cycles (median of 2 cycles (range 1-10).In the PA, no severe hematologic toxicity or nephrotoxicity was noted; the commonest toxicity reported was grade I-II xerostomia, observed in 36% of patients. In the SA, treatment discontinuation due to toxicities affected less than 10% of patients.Conclusions: We established, for the first time through randomization, the benefit of PSMA radiolabeled tandem therapy in mCRPC patients. Combining alpha (225Ac) and beta (177Lu) radionuclides minimized adverse effects, while preserving treatment efficacy. PSMA radiolabeled therapy opens doors to a brighter future for patients, promising to significantly extend the boundaries of disease progression delay.","container-title":"Journal of Nuclear Medicine","issue":"supplement 2","journalAbbreviation":"J Nucl Med","page":"241054","title":"&lt;strong&gt;225Ac-PSMA / 177Lu-PSMA Tandem Therapy for Metastatic Castration-Resistant Prostate Cancer â&amp;#128;&amp;#147; A Prospective Phase 3 Randomized Study from Azerbaijan&lt;/strong&gt;","URL":"http://jnm.snmjournals.org/content/65/supplement_2/241054.abstract","volume":"65","author":[{"family":"Novruzov","given":"Fuad"},{"family":"Mehdi","given":"Elnur"},{"family":"Shukurov","given":"Razim"},{"family":"Dadashov","given":"Zamil"},{"family":"Guliyev","given":"Fuad"},{"family":"Musayev","given":"Teymur"},{"family":"Paez","given":"Diana"},{"family":"Aliyev","given":"Altay"},{"family":"Giammarile","given":"Francesco"},{"family":"Aliyev","given":"Jamil"}],"issued":{"date-parts":[["2024",6,1]]}}}],"schema":"https://github.com/citation-style-language/schema/raw/master/csl-citation.json"} </w:instrText>
            </w:r>
            <w:r>
              <w:rPr>
                <w:rFonts w:cstheme="minorHAnsi"/>
                <w:sz w:val="18"/>
              </w:rPr>
              <w:fldChar w:fldCharType="separate"/>
            </w:r>
            <w:r w:rsidR="008666A7" w:rsidRPr="008666A7">
              <w:rPr>
                <w:rFonts w:ascii="Calibri" w:hAnsi="Calibri" w:cs="Calibri"/>
                <w:sz w:val="18"/>
              </w:rPr>
              <w:t>(45)</w:t>
            </w:r>
            <w:r>
              <w:rPr>
                <w:rFonts w:cstheme="minorHAnsi"/>
                <w:sz w:val="18"/>
              </w:rPr>
              <w:fldChar w:fldCharType="end"/>
            </w:r>
          </w:p>
        </w:tc>
        <w:tc>
          <w:tcPr>
            <w:tcW w:w="2026" w:type="pct"/>
            <w:tcBorders>
              <w:left w:val="single" w:sz="4" w:space="0" w:color="auto"/>
            </w:tcBorders>
            <w:noWrap/>
            <w:vAlign w:val="center"/>
          </w:tcPr>
          <w:p w14:paraId="69CC3242" w14:textId="77777777" w:rsidR="000A3731" w:rsidRPr="000A3731" w:rsidRDefault="000A3731" w:rsidP="000A3731">
            <w:pPr>
              <w:jc w:val="center"/>
              <w:rPr>
                <w:rFonts w:cstheme="minorHAnsi"/>
                <w:sz w:val="18"/>
                <w:lang w:val="en-GB"/>
              </w:rPr>
            </w:pPr>
            <w:r w:rsidRPr="000A3731">
              <w:rPr>
                <w:rFonts w:cstheme="minorHAnsi"/>
                <w:sz w:val="18"/>
                <w:lang w:val="en-GB"/>
              </w:rPr>
              <w:t>Neither severe hematologic toxicity nor nephrotoxicity was noted; the commonest adverse event was xerostomia</w:t>
            </w:r>
          </w:p>
        </w:tc>
        <w:tc>
          <w:tcPr>
            <w:tcW w:w="922" w:type="pct"/>
            <w:noWrap/>
            <w:vAlign w:val="center"/>
          </w:tcPr>
          <w:p w14:paraId="59B10FE7" w14:textId="77777777" w:rsidR="000A3731" w:rsidRPr="000A3731" w:rsidRDefault="000A3731" w:rsidP="000A3731">
            <w:pPr>
              <w:jc w:val="center"/>
              <w:rPr>
                <w:rFonts w:cstheme="minorHAnsi"/>
                <w:sz w:val="18"/>
                <w:lang w:val="en-GB"/>
              </w:rPr>
            </w:pPr>
            <w:r w:rsidRPr="000A3731">
              <w:rPr>
                <w:rFonts w:cstheme="minorHAnsi"/>
                <w:sz w:val="18"/>
                <w:lang w:val="en-GB"/>
              </w:rPr>
              <w:t>Safe/ In comparison with chemotherapy, tandem therapy is safe and effective</w:t>
            </w:r>
          </w:p>
        </w:tc>
        <w:tc>
          <w:tcPr>
            <w:tcW w:w="175" w:type="pct"/>
            <w:vAlign w:val="center"/>
          </w:tcPr>
          <w:p w14:paraId="78BBE968" w14:textId="77777777" w:rsidR="000A3731" w:rsidRPr="00B47BAA" w:rsidRDefault="000A3731" w:rsidP="000A3731">
            <w:pPr>
              <w:jc w:val="center"/>
              <w:rPr>
                <w:rFonts w:cstheme="minorHAnsi"/>
                <w:sz w:val="18"/>
              </w:rPr>
            </w:pPr>
            <w:r>
              <w:rPr>
                <w:rFonts w:cstheme="minorHAnsi"/>
                <w:sz w:val="18"/>
              </w:rPr>
              <w:t>93</w:t>
            </w:r>
          </w:p>
        </w:tc>
        <w:tc>
          <w:tcPr>
            <w:tcW w:w="754" w:type="pct"/>
            <w:noWrap/>
            <w:vAlign w:val="center"/>
          </w:tcPr>
          <w:p w14:paraId="5BF6287A" w14:textId="77777777" w:rsidR="000A3731" w:rsidRPr="00B47BAA" w:rsidRDefault="000A3731" w:rsidP="000A3731">
            <w:pPr>
              <w:jc w:val="center"/>
              <w:rPr>
                <w:rFonts w:cstheme="minorHAnsi"/>
                <w:sz w:val="18"/>
              </w:rPr>
            </w:pPr>
            <w:r w:rsidRPr="00E83FEC">
              <w:rPr>
                <w:rFonts w:cstheme="minorHAnsi"/>
                <w:sz w:val="18"/>
              </w:rPr>
              <w:t>not observed</w:t>
            </w:r>
          </w:p>
        </w:tc>
        <w:tc>
          <w:tcPr>
            <w:tcW w:w="689" w:type="pct"/>
            <w:noWrap/>
            <w:vAlign w:val="center"/>
          </w:tcPr>
          <w:p w14:paraId="0D7BA72A" w14:textId="77777777" w:rsidR="000A3731" w:rsidRPr="00E83FEC" w:rsidRDefault="000A3731" w:rsidP="000A3731">
            <w:pPr>
              <w:jc w:val="center"/>
              <w:rPr>
                <w:rFonts w:ascii="Calibri" w:hAnsi="Calibri" w:cs="Calibri"/>
                <w:color w:val="000000"/>
              </w:rPr>
            </w:pPr>
            <w:r w:rsidRPr="00E83FEC">
              <w:rPr>
                <w:rFonts w:ascii="Calibri" w:hAnsi="Calibri" w:cs="Calibri"/>
                <w:color w:val="000000"/>
                <w:sz w:val="18"/>
              </w:rPr>
              <w:t>36% Xerostomia</w:t>
            </w:r>
          </w:p>
        </w:tc>
        <w:tc>
          <w:tcPr>
            <w:tcW w:w="205" w:type="pct"/>
            <w:noWrap/>
            <w:vAlign w:val="center"/>
          </w:tcPr>
          <w:p w14:paraId="5BC8BDBD" w14:textId="77777777" w:rsidR="000A3731" w:rsidRPr="00B47BAA" w:rsidRDefault="000A3731" w:rsidP="000A3731">
            <w:pPr>
              <w:jc w:val="center"/>
              <w:rPr>
                <w:rFonts w:cstheme="minorHAnsi"/>
                <w:sz w:val="18"/>
              </w:rPr>
            </w:pPr>
            <w:r w:rsidRPr="00BD050C">
              <w:rPr>
                <w:sz w:val="18"/>
              </w:rPr>
              <w:t>N/A</w:t>
            </w:r>
          </w:p>
        </w:tc>
      </w:tr>
      <w:tr w:rsidR="000A3731" w:rsidRPr="00B47BAA" w14:paraId="7E331867" w14:textId="77777777" w:rsidTr="000A3731">
        <w:trPr>
          <w:trHeight w:val="576"/>
        </w:trPr>
        <w:tc>
          <w:tcPr>
            <w:tcW w:w="229" w:type="pct"/>
            <w:tcBorders>
              <w:right w:val="single" w:sz="4" w:space="0" w:color="auto"/>
            </w:tcBorders>
            <w:vAlign w:val="center"/>
          </w:tcPr>
          <w:p w14:paraId="5E660E4A" w14:textId="3D8B1A9F" w:rsidR="000A3731" w:rsidRPr="00E83FEC" w:rsidRDefault="000A3731" w:rsidP="000A3731">
            <w:pPr>
              <w:jc w:val="center"/>
              <w:rPr>
                <w:rFonts w:cstheme="minorHAnsi"/>
                <w:sz w:val="18"/>
              </w:rPr>
            </w:pPr>
            <w:r>
              <w:rPr>
                <w:rFonts w:cstheme="minorHAnsi"/>
                <w:sz w:val="18"/>
              </w:rPr>
              <w:fldChar w:fldCharType="begin"/>
            </w:r>
            <w:r w:rsidR="008666A7">
              <w:rPr>
                <w:rFonts w:cstheme="minorHAnsi"/>
                <w:sz w:val="18"/>
              </w:rPr>
              <w:instrText xml:space="preserve"> ADDIN ZOTERO_ITEM CSL_CITATION {"citationID":"m3X3bx85","properties":{"formattedCitation":"(46)","plainCitation":"(46)","noteIndex":0},"citationItems":[{"id":1169,"uris":["http://zotero.org/users/15628667/items/66SS77TL"],"itemData":{"id":1169,"type":"article-journal","container-title":"European Journal of Nuclear Medicine and Molecular Imaging","DOI":"10.1007/s00259-023-06340-y","ISSN":"1619-7070, 1619-7089","issue":"12","journalAbbreviation":"Eur J Nucl Med Mol Imaging","language":"en","license":"https://www.springernature.com/gp/researchers/text-and-data-mining","note":"publisher: Springer Science and Business Media LLC","page":"3777-3789","source":"Crossref","title":"Long-term survival outcomes of salvage [225Ac]Ac-PSMA-617 targeted alpha therapy in patients with PSMA-expressing end-stage metastatic castration-resistant prostate cancer: a real-world study","title-short":"Long-term survival outcomes of salvage [225Ac]Ac-PSMA-617 targeted alpha therapy in patients with PSMA-expressing end-stage metastatic castration-resistant prostate cancer","URL":"https://link.springer.com/10.1007/s00259-023-06340-y","volume":"50","author":[{"family":"Ballal","given":"Sanjana"},{"family":"Yadav","given":"Madhav P"},{"family":"Satapathy","given":"Swayamjeet"},{"family":"Raju","given":"Shobhana"},{"family":"Tripathi","given":"Madhavi"},{"family":"Damle","given":"Nishikant A"},{"family":"Sahoo","given":"Ranjit K"},{"family":"Bal","given":"Chandrasekhar"}],"accessed":{"date-parts":[["2025",7,24]]},"issued":{"date-parts":[["2023",10]]}}}],"schema":"https://github.com/citation-style-language/schema/raw/master/csl-citation.json"} </w:instrText>
            </w:r>
            <w:r>
              <w:rPr>
                <w:rFonts w:cstheme="minorHAnsi"/>
                <w:sz w:val="18"/>
              </w:rPr>
              <w:fldChar w:fldCharType="separate"/>
            </w:r>
            <w:r w:rsidR="008666A7" w:rsidRPr="008666A7">
              <w:rPr>
                <w:rFonts w:ascii="Calibri" w:hAnsi="Calibri" w:cs="Calibri"/>
                <w:sz w:val="18"/>
              </w:rPr>
              <w:t>(46)</w:t>
            </w:r>
            <w:r>
              <w:rPr>
                <w:rFonts w:cstheme="minorHAnsi"/>
                <w:sz w:val="18"/>
              </w:rPr>
              <w:fldChar w:fldCharType="end"/>
            </w:r>
          </w:p>
        </w:tc>
        <w:tc>
          <w:tcPr>
            <w:tcW w:w="2026" w:type="pct"/>
            <w:tcBorders>
              <w:left w:val="single" w:sz="4" w:space="0" w:color="auto"/>
            </w:tcBorders>
            <w:noWrap/>
            <w:vAlign w:val="center"/>
          </w:tcPr>
          <w:p w14:paraId="0C3F126A" w14:textId="77777777" w:rsidR="000A3731" w:rsidRPr="000A3731" w:rsidRDefault="000A3731" w:rsidP="000A3731">
            <w:pPr>
              <w:jc w:val="center"/>
              <w:rPr>
                <w:rFonts w:cstheme="minorHAnsi"/>
                <w:sz w:val="18"/>
                <w:lang w:val="en-GB"/>
              </w:rPr>
            </w:pPr>
            <w:r w:rsidRPr="000A3731">
              <w:rPr>
                <w:rFonts w:cstheme="minorHAnsi"/>
                <w:sz w:val="18"/>
                <w:lang w:val="en-GB"/>
              </w:rPr>
              <w:t xml:space="preserve">Most of the toxicities like anorexia, fatigue, nausea, constipation were transient (about five weeks) and did not interfere the treatment. </w:t>
            </w:r>
          </w:p>
        </w:tc>
        <w:tc>
          <w:tcPr>
            <w:tcW w:w="922" w:type="pct"/>
            <w:noWrap/>
            <w:vAlign w:val="center"/>
          </w:tcPr>
          <w:p w14:paraId="6AB224B4" w14:textId="77777777" w:rsidR="000A3731" w:rsidRPr="000A3731" w:rsidRDefault="000A3731" w:rsidP="000A3731">
            <w:pPr>
              <w:jc w:val="center"/>
              <w:rPr>
                <w:rFonts w:cstheme="minorHAnsi"/>
                <w:sz w:val="18"/>
                <w:lang w:val="en-GB"/>
              </w:rPr>
            </w:pPr>
            <w:r w:rsidRPr="000A3731">
              <w:rPr>
                <w:rFonts w:cstheme="minorHAnsi"/>
                <w:sz w:val="18"/>
                <w:lang w:val="en-GB"/>
              </w:rPr>
              <w:t>Overall safe, well tolerated with satisfactory toxicity</w:t>
            </w:r>
          </w:p>
        </w:tc>
        <w:tc>
          <w:tcPr>
            <w:tcW w:w="175" w:type="pct"/>
            <w:vAlign w:val="center"/>
          </w:tcPr>
          <w:p w14:paraId="4F36F012" w14:textId="77777777" w:rsidR="000A3731" w:rsidRPr="00B47BAA" w:rsidRDefault="000A3731" w:rsidP="000A3731">
            <w:pPr>
              <w:jc w:val="center"/>
              <w:rPr>
                <w:rFonts w:cstheme="minorHAnsi"/>
                <w:sz w:val="18"/>
              </w:rPr>
            </w:pPr>
            <w:r>
              <w:rPr>
                <w:rFonts w:cstheme="minorHAnsi"/>
                <w:sz w:val="18"/>
              </w:rPr>
              <w:t>56</w:t>
            </w:r>
          </w:p>
        </w:tc>
        <w:tc>
          <w:tcPr>
            <w:tcW w:w="754" w:type="pct"/>
            <w:noWrap/>
            <w:vAlign w:val="center"/>
          </w:tcPr>
          <w:p w14:paraId="09A4C4D9" w14:textId="77777777" w:rsidR="000A3731" w:rsidRPr="00E83FEC" w:rsidRDefault="000A3731" w:rsidP="000A3731">
            <w:pPr>
              <w:jc w:val="center"/>
              <w:rPr>
                <w:rFonts w:cstheme="minorHAnsi"/>
                <w:sz w:val="18"/>
              </w:rPr>
            </w:pPr>
            <w:r>
              <w:rPr>
                <w:rFonts w:cstheme="minorHAnsi"/>
                <w:sz w:val="18"/>
              </w:rPr>
              <w:t>5 Hemato, 1 nephro, 2 fatigue, 1 ascites</w:t>
            </w:r>
          </w:p>
        </w:tc>
        <w:tc>
          <w:tcPr>
            <w:tcW w:w="689" w:type="pct"/>
            <w:noWrap/>
            <w:vAlign w:val="center"/>
          </w:tcPr>
          <w:p w14:paraId="1120784D" w14:textId="77777777" w:rsidR="000A3731" w:rsidRPr="000A3731" w:rsidRDefault="000A3731" w:rsidP="000A3731">
            <w:pPr>
              <w:jc w:val="center"/>
              <w:rPr>
                <w:rFonts w:ascii="Calibri" w:hAnsi="Calibri" w:cs="Calibri"/>
                <w:color w:val="000000"/>
                <w:sz w:val="18"/>
                <w:lang w:val="en-GB"/>
              </w:rPr>
            </w:pPr>
            <w:r w:rsidRPr="000A3731">
              <w:rPr>
                <w:rFonts w:ascii="Calibri" w:hAnsi="Calibri" w:cs="Calibri"/>
                <w:color w:val="000000"/>
                <w:sz w:val="18"/>
                <w:lang w:val="en-GB"/>
              </w:rPr>
              <w:t>39 fatigue, 18 Xerostomia, 73 hemato, 2 Nephro, 24 anorexia</w:t>
            </w:r>
          </w:p>
        </w:tc>
        <w:tc>
          <w:tcPr>
            <w:tcW w:w="205" w:type="pct"/>
            <w:noWrap/>
            <w:vAlign w:val="center"/>
          </w:tcPr>
          <w:p w14:paraId="25B3CFAE" w14:textId="77777777" w:rsidR="000A3731" w:rsidRPr="00BD050C" w:rsidRDefault="000A3731" w:rsidP="000A3731">
            <w:pPr>
              <w:jc w:val="center"/>
              <w:rPr>
                <w:sz w:val="18"/>
              </w:rPr>
            </w:pPr>
            <w:r>
              <w:rPr>
                <w:sz w:val="18"/>
              </w:rPr>
              <w:t>22</w:t>
            </w:r>
          </w:p>
        </w:tc>
      </w:tr>
      <w:tr w:rsidR="000A3731" w:rsidRPr="00B47BAA" w14:paraId="750AA56C" w14:textId="77777777" w:rsidTr="000A3731">
        <w:trPr>
          <w:trHeight w:val="576"/>
        </w:trPr>
        <w:tc>
          <w:tcPr>
            <w:tcW w:w="229" w:type="pct"/>
            <w:tcBorders>
              <w:right w:val="single" w:sz="4" w:space="0" w:color="auto"/>
            </w:tcBorders>
            <w:vAlign w:val="center"/>
          </w:tcPr>
          <w:p w14:paraId="093C3197" w14:textId="235E65FA" w:rsidR="000A3731" w:rsidRPr="00B47BAA" w:rsidRDefault="000A3731" w:rsidP="000A3731">
            <w:pPr>
              <w:jc w:val="center"/>
              <w:rPr>
                <w:rFonts w:cstheme="minorHAnsi"/>
                <w:sz w:val="18"/>
              </w:rPr>
            </w:pPr>
            <w:r>
              <w:rPr>
                <w:rFonts w:cstheme="minorHAnsi"/>
                <w:sz w:val="18"/>
              </w:rPr>
              <w:fldChar w:fldCharType="begin"/>
            </w:r>
            <w:r w:rsidR="008666A7">
              <w:rPr>
                <w:rFonts w:cstheme="minorHAnsi"/>
                <w:sz w:val="18"/>
              </w:rPr>
              <w:instrText xml:space="preserve"> ADDIN ZOTERO_ITEM CSL_CITATION {"citationID":"YRnynGlD","properties":{"formattedCitation":"(47)","plainCitation":"(47)","noteIndex":0},"citationItems":[{"id":1171,"uris":["http://zotero.org/users/15628667/items/VICYEQQV"],"itemData":{"id":1171,"type":"article-journal","container-title":"European Journal of Nuclear Medicine and Molecular Imaging","DOI":"10.1007/s00259-023-06333-x","ISSN":"1619-7070, 1619-7089","issue":"S1","journalAbbreviation":"Eur J Nucl Med Mol Imaging","language":"en","license":"https://www.springernature.com/gp/researchers/text-and-data-mining","note":"publisher: Springer Science and Business Media LLC","page":"1-898","source":"Crossref","title":"EANM’23 Abstract Book Congress Sep 9-13, 2023","URL":"https://link.springer.com/10.1007/s00259-023-06333-x","volume":"50","author":[{"family":"Sheikh","given":""}],"accessed":{"date-parts":[["2025",7,24]]},"issued":{"date-parts":[["2023",9]]}}}],"schema":"https://github.com/citation-style-language/schema/raw/master/csl-citation.json"} </w:instrText>
            </w:r>
            <w:r>
              <w:rPr>
                <w:rFonts w:cstheme="minorHAnsi"/>
                <w:sz w:val="18"/>
              </w:rPr>
              <w:fldChar w:fldCharType="separate"/>
            </w:r>
            <w:r w:rsidR="008666A7" w:rsidRPr="008666A7">
              <w:rPr>
                <w:rFonts w:ascii="Calibri" w:hAnsi="Calibri" w:cs="Calibri"/>
                <w:sz w:val="18"/>
              </w:rPr>
              <w:t>(47)</w:t>
            </w:r>
            <w:r>
              <w:rPr>
                <w:rFonts w:cstheme="minorHAnsi"/>
                <w:sz w:val="18"/>
              </w:rPr>
              <w:fldChar w:fldCharType="end"/>
            </w:r>
          </w:p>
        </w:tc>
        <w:tc>
          <w:tcPr>
            <w:tcW w:w="2026" w:type="pct"/>
            <w:tcBorders>
              <w:left w:val="single" w:sz="4" w:space="0" w:color="auto"/>
            </w:tcBorders>
            <w:noWrap/>
            <w:vAlign w:val="center"/>
          </w:tcPr>
          <w:p w14:paraId="65471F3B" w14:textId="77777777" w:rsidR="000A3731" w:rsidRPr="00B47BAA" w:rsidRDefault="000A3731" w:rsidP="000A3731">
            <w:pPr>
              <w:jc w:val="center"/>
              <w:rPr>
                <w:rFonts w:cstheme="minorHAnsi"/>
                <w:sz w:val="18"/>
              </w:rPr>
            </w:pPr>
            <w:r w:rsidRPr="000A3731">
              <w:rPr>
                <w:rFonts w:cstheme="minorHAnsi"/>
                <w:sz w:val="18"/>
                <w:lang w:val="en-GB"/>
              </w:rPr>
              <w:t xml:space="preserve">A positive correlation could be found between 225Ac-activity and xerostomia. </w:t>
            </w:r>
            <w:r w:rsidRPr="00B47BAA">
              <w:rPr>
                <w:rFonts w:cstheme="minorHAnsi"/>
                <w:sz w:val="18"/>
              </w:rPr>
              <w:t>No significant difference in treatment efficacy between subgroups</w:t>
            </w:r>
          </w:p>
        </w:tc>
        <w:tc>
          <w:tcPr>
            <w:tcW w:w="922" w:type="pct"/>
            <w:noWrap/>
            <w:vAlign w:val="center"/>
          </w:tcPr>
          <w:p w14:paraId="74860F2B" w14:textId="77777777" w:rsidR="000A3731" w:rsidRPr="000A3731" w:rsidRDefault="000A3731" w:rsidP="000A3731">
            <w:pPr>
              <w:jc w:val="center"/>
              <w:rPr>
                <w:rFonts w:cstheme="minorHAnsi"/>
                <w:sz w:val="18"/>
                <w:lang w:val="en-GB"/>
              </w:rPr>
            </w:pPr>
            <w:r w:rsidRPr="000A3731">
              <w:rPr>
                <w:rFonts w:cstheme="minorHAnsi"/>
                <w:sz w:val="18"/>
                <w:lang w:val="en-GB"/>
              </w:rPr>
              <w:t>Safe, The lower activity may be a good choice</w:t>
            </w:r>
          </w:p>
        </w:tc>
        <w:tc>
          <w:tcPr>
            <w:tcW w:w="175" w:type="pct"/>
            <w:vAlign w:val="center"/>
          </w:tcPr>
          <w:p w14:paraId="5600E4AC" w14:textId="77777777" w:rsidR="000A3731" w:rsidRPr="00B47BAA" w:rsidRDefault="000A3731" w:rsidP="000A3731">
            <w:pPr>
              <w:jc w:val="center"/>
              <w:rPr>
                <w:rFonts w:cstheme="minorHAnsi"/>
                <w:sz w:val="18"/>
              </w:rPr>
            </w:pPr>
            <w:r>
              <w:rPr>
                <w:rFonts w:cstheme="minorHAnsi"/>
                <w:sz w:val="18"/>
              </w:rPr>
              <w:t>22</w:t>
            </w:r>
          </w:p>
        </w:tc>
        <w:tc>
          <w:tcPr>
            <w:tcW w:w="754" w:type="pct"/>
            <w:noWrap/>
            <w:vAlign w:val="center"/>
          </w:tcPr>
          <w:p w14:paraId="7B5184A8" w14:textId="77777777" w:rsidR="000A3731" w:rsidRPr="00B47BAA" w:rsidRDefault="000A3731" w:rsidP="000A3731">
            <w:pPr>
              <w:jc w:val="center"/>
              <w:rPr>
                <w:rFonts w:cstheme="minorHAnsi"/>
                <w:sz w:val="18"/>
              </w:rPr>
            </w:pPr>
            <w:r w:rsidRPr="00B47BAA">
              <w:rPr>
                <w:rFonts w:cstheme="minorHAnsi"/>
                <w:sz w:val="18"/>
              </w:rPr>
              <w:t>N/A</w:t>
            </w:r>
          </w:p>
        </w:tc>
        <w:tc>
          <w:tcPr>
            <w:tcW w:w="689" w:type="pct"/>
            <w:noWrap/>
            <w:vAlign w:val="center"/>
          </w:tcPr>
          <w:p w14:paraId="015B09A3" w14:textId="77777777" w:rsidR="000A3731" w:rsidRPr="00B47BAA" w:rsidRDefault="000A3731" w:rsidP="000A3731">
            <w:pPr>
              <w:jc w:val="center"/>
              <w:rPr>
                <w:rFonts w:cstheme="minorHAnsi"/>
                <w:sz w:val="18"/>
              </w:rPr>
            </w:pPr>
            <w:r w:rsidRPr="00B47BAA">
              <w:rPr>
                <w:rFonts w:cstheme="minorHAnsi"/>
                <w:sz w:val="18"/>
              </w:rPr>
              <w:t>13 Hemato, 3 Weight loss, 9 Xerostomia</w:t>
            </w:r>
          </w:p>
        </w:tc>
        <w:tc>
          <w:tcPr>
            <w:tcW w:w="205" w:type="pct"/>
            <w:noWrap/>
            <w:vAlign w:val="center"/>
          </w:tcPr>
          <w:p w14:paraId="1C8D5535" w14:textId="77777777" w:rsidR="000A3731" w:rsidRPr="00B47BAA" w:rsidRDefault="000A3731" w:rsidP="000A3731">
            <w:pPr>
              <w:jc w:val="center"/>
              <w:rPr>
                <w:rFonts w:cstheme="minorHAnsi"/>
                <w:sz w:val="18"/>
              </w:rPr>
            </w:pPr>
            <w:r w:rsidRPr="00B47BAA">
              <w:rPr>
                <w:rFonts w:cstheme="minorHAnsi"/>
                <w:sz w:val="18"/>
              </w:rPr>
              <w:t>N/A</w:t>
            </w:r>
          </w:p>
        </w:tc>
      </w:tr>
      <w:tr w:rsidR="000A3731" w:rsidRPr="00BF5E81" w14:paraId="4986AB70" w14:textId="77777777" w:rsidTr="000A3731">
        <w:trPr>
          <w:trHeight w:val="576"/>
        </w:trPr>
        <w:tc>
          <w:tcPr>
            <w:tcW w:w="229" w:type="pct"/>
            <w:tcBorders>
              <w:right w:val="single" w:sz="4" w:space="0" w:color="auto"/>
            </w:tcBorders>
            <w:vAlign w:val="center"/>
          </w:tcPr>
          <w:p w14:paraId="34791D67" w14:textId="4BB92380" w:rsidR="000A3731" w:rsidRDefault="000A3731" w:rsidP="000A3731">
            <w:pPr>
              <w:jc w:val="center"/>
              <w:rPr>
                <w:rFonts w:cstheme="minorHAnsi"/>
                <w:sz w:val="18"/>
              </w:rPr>
            </w:pPr>
            <w:r>
              <w:rPr>
                <w:rFonts w:cstheme="minorHAnsi"/>
                <w:sz w:val="18"/>
              </w:rPr>
              <w:fldChar w:fldCharType="begin"/>
            </w:r>
            <w:r w:rsidR="008666A7">
              <w:rPr>
                <w:rFonts w:cstheme="minorHAnsi"/>
                <w:sz w:val="18"/>
              </w:rPr>
              <w:instrText xml:space="preserve"> ADDIN ZOTERO_ITEM CSL_CITATION {"citationID":"OCBglAQ4","properties":{"formattedCitation":"(48)","plainCitation":"(48)","noteIndex":0},"citationItems":[{"id":1175,"uris":["http://zotero.org/users/15628667/items/2C455ZYP"],"itemData":{"id":1175,"type":"article-journal","container-title":"Journal of Nuclear Medicine","DOI":"10.2967/jnumed.123.265546","ISSN":"0161-5505, 2159-662X","issue":"10","journalAbbreviation":"J Nucl Med","language":"en","note":"publisher: Society of Nuclear Medicine","page":"1574-1580","source":"Crossref","title":"Clinical Experience with [&lt;sup&gt;225&lt;/sup&gt;Ac]Ac-PSMA Treatment in Patients with [&lt;sup&gt;177&lt;/sup&gt;Lu]Lu-PSMA–Refractory Metastatic Castration-Resistant Prostate Cancer","URL":"http://jnm.snmjournals.org/lookup/doi/10.2967/jnumed.123.265546","volume":"64","author":[{"family":"Alan-Selcuk","given":"Nalan"},{"family":"Beydagi","given":"Gamze"},{"family":"Demirci","given":"Emre"},{"family":"Ocak","given":"Meltem"},{"family":"Celik","given":"Serkan"},{"family":"Oven","given":"Bala B."},{"family":"Toklu","given":"Turkay"},{"family":"Karaaslan","given":"Ipek"},{"family":"Akcay","given":"Kaan"},{"family":"Sonmez","given":"Omer"},{"family":"Kabasakal","given":"Levent"}],"accessed":{"date-parts":[["2025",7,24]]},"issued":{"date-parts":[["2023",10]]}}}],"schema":"https://github.com/citation-style-language/schema/raw/master/csl-citation.json"} </w:instrText>
            </w:r>
            <w:r>
              <w:rPr>
                <w:rFonts w:cstheme="minorHAnsi"/>
                <w:sz w:val="18"/>
              </w:rPr>
              <w:fldChar w:fldCharType="separate"/>
            </w:r>
            <w:r w:rsidR="008666A7" w:rsidRPr="008666A7">
              <w:rPr>
                <w:rFonts w:ascii="Calibri" w:hAnsi="Calibri" w:cs="Calibri"/>
                <w:sz w:val="18"/>
              </w:rPr>
              <w:t>(48)</w:t>
            </w:r>
            <w:r>
              <w:rPr>
                <w:rFonts w:cstheme="minorHAnsi"/>
                <w:sz w:val="18"/>
              </w:rPr>
              <w:fldChar w:fldCharType="end"/>
            </w:r>
          </w:p>
        </w:tc>
        <w:tc>
          <w:tcPr>
            <w:tcW w:w="2026" w:type="pct"/>
            <w:tcBorders>
              <w:left w:val="single" w:sz="4" w:space="0" w:color="auto"/>
            </w:tcBorders>
            <w:noWrap/>
            <w:vAlign w:val="center"/>
          </w:tcPr>
          <w:p w14:paraId="2569CFB6" w14:textId="77777777" w:rsidR="000A3731" w:rsidRPr="000A3731" w:rsidRDefault="000A3731" w:rsidP="000A3731">
            <w:pPr>
              <w:jc w:val="center"/>
              <w:rPr>
                <w:rFonts w:cstheme="minorHAnsi"/>
                <w:sz w:val="18"/>
                <w:lang w:val="en-GB"/>
              </w:rPr>
            </w:pPr>
            <w:r w:rsidRPr="000A3731">
              <w:rPr>
                <w:rFonts w:cstheme="minorHAnsi"/>
                <w:sz w:val="18"/>
                <w:lang w:val="en-GB"/>
              </w:rPr>
              <w:t xml:space="preserve">All the enrolled Pts were 177-Lutetium-refractory.12 Pts received one cycle TAT. All patients suffered dry mouth before treatment with TAT. No acute adverse event. </w:t>
            </w:r>
          </w:p>
        </w:tc>
        <w:tc>
          <w:tcPr>
            <w:tcW w:w="922" w:type="pct"/>
            <w:noWrap/>
            <w:vAlign w:val="center"/>
          </w:tcPr>
          <w:p w14:paraId="6752440B" w14:textId="77777777" w:rsidR="000A3731" w:rsidRPr="000A3731" w:rsidRDefault="000A3731" w:rsidP="000A3731">
            <w:pPr>
              <w:jc w:val="center"/>
              <w:rPr>
                <w:rFonts w:cstheme="minorHAnsi"/>
                <w:sz w:val="18"/>
                <w:lang w:val="en-GB"/>
              </w:rPr>
            </w:pPr>
            <w:r w:rsidRPr="000A3731">
              <w:rPr>
                <w:rFonts w:cstheme="minorHAnsi"/>
                <w:sz w:val="18"/>
                <w:lang w:val="en-GB"/>
              </w:rPr>
              <w:t xml:space="preserve">Overall safe, No adverse-event related treatment discontinuation </w:t>
            </w:r>
          </w:p>
        </w:tc>
        <w:tc>
          <w:tcPr>
            <w:tcW w:w="175" w:type="pct"/>
            <w:vAlign w:val="center"/>
          </w:tcPr>
          <w:p w14:paraId="5A094C69" w14:textId="77777777" w:rsidR="000A3731" w:rsidRPr="00B47BAA" w:rsidRDefault="000A3731" w:rsidP="000A3731">
            <w:pPr>
              <w:jc w:val="center"/>
              <w:rPr>
                <w:rFonts w:cstheme="minorHAnsi"/>
                <w:sz w:val="18"/>
              </w:rPr>
            </w:pPr>
            <w:r>
              <w:rPr>
                <w:rFonts w:cstheme="minorHAnsi"/>
                <w:sz w:val="18"/>
              </w:rPr>
              <w:t>23</w:t>
            </w:r>
          </w:p>
        </w:tc>
        <w:tc>
          <w:tcPr>
            <w:tcW w:w="754" w:type="pct"/>
            <w:noWrap/>
            <w:vAlign w:val="center"/>
          </w:tcPr>
          <w:p w14:paraId="31C53FFF" w14:textId="77777777" w:rsidR="000A3731" w:rsidRPr="00B47BAA" w:rsidRDefault="000A3731" w:rsidP="000A3731">
            <w:pPr>
              <w:jc w:val="center"/>
              <w:rPr>
                <w:rFonts w:cstheme="minorHAnsi"/>
                <w:sz w:val="18"/>
              </w:rPr>
            </w:pPr>
            <w:r>
              <w:rPr>
                <w:rFonts w:cstheme="minorHAnsi"/>
                <w:sz w:val="18"/>
              </w:rPr>
              <w:t>1 Hemato, 1 Nephro</w:t>
            </w:r>
          </w:p>
        </w:tc>
        <w:tc>
          <w:tcPr>
            <w:tcW w:w="689" w:type="pct"/>
            <w:noWrap/>
            <w:vAlign w:val="center"/>
          </w:tcPr>
          <w:p w14:paraId="7734EA08" w14:textId="77777777" w:rsidR="000A3731" w:rsidRPr="00B47BAA" w:rsidRDefault="000A3731" w:rsidP="000A3731">
            <w:pPr>
              <w:jc w:val="center"/>
              <w:rPr>
                <w:rFonts w:cstheme="minorHAnsi"/>
                <w:sz w:val="18"/>
              </w:rPr>
            </w:pPr>
            <w:r>
              <w:rPr>
                <w:rFonts w:cstheme="minorHAnsi"/>
                <w:sz w:val="18"/>
              </w:rPr>
              <w:t>23 Xerostomia, 5 Hemato</w:t>
            </w:r>
          </w:p>
        </w:tc>
        <w:tc>
          <w:tcPr>
            <w:tcW w:w="205" w:type="pct"/>
            <w:noWrap/>
            <w:vAlign w:val="center"/>
          </w:tcPr>
          <w:p w14:paraId="4403314A" w14:textId="77777777" w:rsidR="000A3731" w:rsidRPr="00B47BAA" w:rsidRDefault="000A3731" w:rsidP="000A3731">
            <w:pPr>
              <w:jc w:val="center"/>
              <w:rPr>
                <w:rFonts w:cstheme="minorHAnsi"/>
                <w:sz w:val="18"/>
              </w:rPr>
            </w:pPr>
            <w:r w:rsidRPr="00B47BAA">
              <w:rPr>
                <w:rFonts w:cstheme="minorHAnsi"/>
                <w:sz w:val="18"/>
              </w:rPr>
              <w:t>N/A</w:t>
            </w:r>
          </w:p>
        </w:tc>
      </w:tr>
      <w:tr w:rsidR="000A3731" w:rsidRPr="00B47BAA" w14:paraId="7134E132" w14:textId="77777777" w:rsidTr="000A3731">
        <w:trPr>
          <w:trHeight w:val="576"/>
        </w:trPr>
        <w:tc>
          <w:tcPr>
            <w:tcW w:w="229" w:type="pct"/>
            <w:tcBorders>
              <w:right w:val="single" w:sz="4" w:space="0" w:color="auto"/>
            </w:tcBorders>
            <w:vAlign w:val="center"/>
          </w:tcPr>
          <w:p w14:paraId="4E6BD36F" w14:textId="65FD0289"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rPr>
              <w:instrText xml:space="preserve"> ADDIN ZOTERO_ITEM CSL_CITATION {"citationID":"oyYk9vxV","properties":{"formattedCitation":"(49)","plainCitation":"(49)","noteIndex":0},"citationItems":[{"id":31,"uris":["http://zotero.org/users/15628667/items/SMNWJQHK"],"itemData":{"id":31,"type":"article-journal","abstract":"PURPOSE: Actinium-225-labeled prostate-specific membrane antigen ([(225)Ac]Ac-PSMA-617) is safe and effective in the treatment of metastatic  castration-resistant prostate cancer (mCRPC). No study has specifically assessed  its safety in patients with extensive skeletal metastases of mCRPC. We aimed to  investigate the hematologic toxicity and efficacy of [(225)Ac]Ac-PSMA-617 therapy  in patients with extensive skeletal metastases of mCRPC. METHODS: We  retrospectively reviewed the medical record of patients treated with  [(225)Ac]Ac-PSMA-617 for mCRPC. We included patients with a superscan pattern of  skeletal metastases and those with 20 or more multifocal sites of skeletal  metastases on baseline [(68) Ga]Ga-PSMA-11 PET/CT. We reviewed the levels of  hemoglobin, white blood cell (WBC), and platelet prior to each cycle of treatment  and determined the presence of impaired bone marrow function at baseline and the  grade of toxicity in the hematologic parameters induced by treatment. We  evaluated the predictors of hematologic toxicity using binary logistic regression  analysis. We also determined the presence of renal dysfunction before or during  treatment. We assessed response to treatment using prostate-specific antigen  response and the progression-free survival (PFS) and overall survival (OS).  RESULTS: A total of 106 patients were included. Skeletal metastasis was in the  superscan pattern in 34 patients (32.1%) and multifocal in 72 patients (67.9%).  The median treatment cycle was 4 (range = 1-9). Ninety-eight patients (92.5%) had  abnormal baseline hematologic parameters. One patient had grade 4  thrombocytopenia. Grade 3 anemia, leukopenia, and thrombocytopenia were seen in 1  (0.9%), 3 (2.8%), and 2 (1.9%) patients, respectively. Age, the number of  treatment cycles, and the presence of renal dysfunction were significant  predictors of hematologic toxicity. Eighty-five patients (80.2%) achieved PSA  response. The median PFS and OS of the study population were 14:00 (95%CI:  8.15-19.86) months and 15.0 (95%CI: 12.8-17.2) months, respectively. CONCLUSIONS:  [(225)Ac]Ac-PSMA-617 induces a good anti-tumor effect in about 80% of patients  with extensive skeletal metastases of mCRPC with a rare incidence of severe  hematolo</w:instrText>
            </w:r>
            <w:r w:rsidR="008666A7" w:rsidRPr="008666A7">
              <w:rPr>
                <w:rFonts w:cstheme="minorHAnsi"/>
                <w:sz w:val="18"/>
                <w:lang w:val="en-US"/>
              </w:rPr>
              <w:instrText xml:space="preserve">gic toxicity. Age, number of treatment cycles, and the presence of renal  dysfunction were significant risk factors for hematologic toxicity of  [(225)Ac]Ac-PSMA-617 therapy.","container-title":"European journal of nuclear medicine and molecular imaging","DOI":"10.1007/s00259-022-05778-w","ISSN":"1619-7089 1619-7070","issue":"10","journalAbbreviation":"Eur J Nucl Med Mol Imaging","language":"eng","license":"© 2022. The Author(s), under exclusive licence to Springer-Verlag GmbH Germany, part of Springer Nature.","note":"publisher-place: Germany\nPMID: 35384462","page":"3581-3592","title":"Hematologic toxicity profile and efficacy of [(225)Ac]Ac-PSMA-617 </w:instrText>
            </w:r>
            <w:r w:rsidR="008666A7">
              <w:rPr>
                <w:rFonts w:cstheme="minorHAnsi"/>
                <w:sz w:val="18"/>
              </w:rPr>
              <w:instrText>α</w:instrText>
            </w:r>
            <w:r w:rsidR="008666A7" w:rsidRPr="008666A7">
              <w:rPr>
                <w:rFonts w:cstheme="minorHAnsi"/>
                <w:sz w:val="18"/>
                <w:lang w:val="en-US"/>
              </w:rPr>
              <w:instrText xml:space="preserve">-radioligand therapy of patients with extensive skeletal metastases of castration-resistant  prostate cancer.","volume":"49","author":[{"family":"Lawal","given":"Ismaheel O."},{"family":"Morgenstern","given":"Alfred"},{"family":"Vorster","given":"Mariza"},{"family":"Knoesen","given":"Otto"},{"family":"Mahapane","given":"Johncy"},{"family":"Hlongwa","given":"Khanyisile N."},{"family":"Maserumule","given":"Letjie C."},{"family":"Ndlovu","given":"Honest"},{"family":"Reed","given":"Janet D."},{"family":"Popoola","given":"Gbenga O."},{"family":"Mokoala","given":"Kgomotso M. G."},{"family":"Mdlophane","given":"Amanda"},{"family":"Bruchertseifer","given":"Frank"},{"family":"Sathekge","given":"Mike M."}],"issued":{"date-parts":[["2022",8]]}}}],"schema":"https://github.com/citation-style-language/schema/raw/master/csl-citation.json"}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(49)</w:t>
            </w:r>
            <w:r>
              <w:rPr>
                <w:rFonts w:cstheme="minorHAnsi"/>
                <w:sz w:val="18"/>
              </w:rPr>
              <w:fldChar w:fldCharType="end"/>
            </w:r>
          </w:p>
        </w:tc>
        <w:tc>
          <w:tcPr>
            <w:tcW w:w="2026" w:type="pct"/>
            <w:tcBorders>
              <w:left w:val="single" w:sz="4" w:space="0" w:color="auto"/>
            </w:tcBorders>
            <w:noWrap/>
            <w:vAlign w:val="center"/>
          </w:tcPr>
          <w:p w14:paraId="199B2ACF" w14:textId="77777777" w:rsidR="000A3731" w:rsidRPr="000A3731" w:rsidRDefault="000A3731" w:rsidP="000A3731">
            <w:pPr>
              <w:jc w:val="center"/>
              <w:rPr>
                <w:rFonts w:cstheme="minorHAnsi"/>
                <w:sz w:val="18"/>
                <w:lang w:val="en-GB"/>
              </w:rPr>
            </w:pPr>
            <w:r w:rsidRPr="000A3731">
              <w:rPr>
                <w:rFonts w:cstheme="minorHAnsi"/>
                <w:sz w:val="18"/>
                <w:lang w:val="en-GB"/>
              </w:rPr>
              <w:t>Rare incidence of severe hematologic toxicity even in extensive skeletal metastases. Age, number of treatment cycles, and the presence of renal dysfunction were significant risk factors for hematologic toxicity.</w:t>
            </w:r>
          </w:p>
        </w:tc>
        <w:tc>
          <w:tcPr>
            <w:tcW w:w="922" w:type="pct"/>
            <w:noWrap/>
            <w:vAlign w:val="center"/>
          </w:tcPr>
          <w:p w14:paraId="70C606BC" w14:textId="77777777" w:rsidR="000A3731" w:rsidRPr="000A3731" w:rsidRDefault="000A3731" w:rsidP="000A3731">
            <w:pPr>
              <w:jc w:val="center"/>
              <w:rPr>
                <w:rFonts w:cstheme="minorHAnsi"/>
                <w:sz w:val="18"/>
                <w:lang w:val="en-GB"/>
              </w:rPr>
            </w:pPr>
            <w:r w:rsidRPr="000A3731">
              <w:rPr>
                <w:rFonts w:cstheme="minorHAnsi"/>
                <w:sz w:val="18"/>
                <w:lang w:val="en-GB"/>
              </w:rPr>
              <w:t xml:space="preserve">Overall safe with acceptable toxicity. However appears </w:t>
            </w:r>
            <w:r w:rsidRPr="000A3731">
              <w:rPr>
                <w:rFonts w:cstheme="minorHAnsi"/>
                <w:sz w:val="18"/>
                <w:lang w:val="en-GB"/>
              </w:rPr>
              <w:lastRenderedPageBreak/>
              <w:t>greater than 177-Lu PSMA-617 warrants further studies</w:t>
            </w:r>
          </w:p>
        </w:tc>
        <w:tc>
          <w:tcPr>
            <w:tcW w:w="175" w:type="pct"/>
            <w:vAlign w:val="center"/>
          </w:tcPr>
          <w:p w14:paraId="77FD5BB2" w14:textId="77777777" w:rsidR="000A3731" w:rsidRPr="000A3731" w:rsidRDefault="000A3731" w:rsidP="000A3731">
            <w:pPr>
              <w:jc w:val="center"/>
              <w:rPr>
                <w:rFonts w:cstheme="minorHAnsi"/>
                <w:sz w:val="18"/>
                <w:lang w:val="en-GB"/>
              </w:rPr>
            </w:pPr>
            <w:r w:rsidRPr="000A3731">
              <w:rPr>
                <w:rFonts w:cstheme="minorHAnsi"/>
                <w:sz w:val="18"/>
                <w:lang w:val="en-GB"/>
              </w:rPr>
              <w:lastRenderedPageBreak/>
              <w:t>106</w:t>
            </w:r>
          </w:p>
        </w:tc>
        <w:tc>
          <w:tcPr>
            <w:tcW w:w="754" w:type="pct"/>
            <w:noWrap/>
            <w:vAlign w:val="center"/>
          </w:tcPr>
          <w:p w14:paraId="4DB3B02D" w14:textId="77777777" w:rsidR="000A3731" w:rsidRPr="000A3731" w:rsidRDefault="000A3731" w:rsidP="000A3731">
            <w:pPr>
              <w:jc w:val="center"/>
              <w:rPr>
                <w:rFonts w:cstheme="minorHAnsi"/>
                <w:sz w:val="18"/>
                <w:lang w:val="en-GB"/>
              </w:rPr>
            </w:pPr>
            <w:r w:rsidRPr="000A3731">
              <w:rPr>
                <w:rFonts w:cstheme="minorHAnsi"/>
                <w:sz w:val="18"/>
                <w:lang w:val="en-GB"/>
              </w:rPr>
              <w:t>7 Hemato (only grade 3)</w:t>
            </w:r>
          </w:p>
        </w:tc>
        <w:tc>
          <w:tcPr>
            <w:tcW w:w="689" w:type="pct"/>
            <w:noWrap/>
            <w:vAlign w:val="center"/>
          </w:tcPr>
          <w:p w14:paraId="017A9993"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noWrap/>
            <w:vAlign w:val="center"/>
          </w:tcPr>
          <w:p w14:paraId="57624D1B" w14:textId="77777777" w:rsidR="000A3731" w:rsidRPr="000A3731" w:rsidRDefault="000A3731" w:rsidP="000A3731">
            <w:pPr>
              <w:jc w:val="center"/>
              <w:rPr>
                <w:rFonts w:cstheme="minorHAnsi"/>
                <w:sz w:val="18"/>
                <w:lang w:val="en-GB"/>
              </w:rPr>
            </w:pPr>
            <w:r w:rsidRPr="000A3731">
              <w:rPr>
                <w:rFonts w:cstheme="minorHAnsi"/>
                <w:sz w:val="18"/>
                <w:lang w:val="en-GB"/>
              </w:rPr>
              <w:t>40</w:t>
            </w:r>
          </w:p>
        </w:tc>
      </w:tr>
      <w:tr w:rsidR="000A3731" w:rsidRPr="00B47BAA" w14:paraId="54F2C98A" w14:textId="77777777" w:rsidTr="000A3731">
        <w:trPr>
          <w:trHeight w:val="576"/>
        </w:trPr>
        <w:tc>
          <w:tcPr>
            <w:tcW w:w="229" w:type="pct"/>
            <w:tcBorders>
              <w:right w:val="single" w:sz="4" w:space="0" w:color="auto"/>
            </w:tcBorders>
            <w:vAlign w:val="center"/>
          </w:tcPr>
          <w:p w14:paraId="14B01F0C" w14:textId="5C7AE5C6"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{"citationID":"am2zdJvN","properties":{"formattedCitation":"(50)","plainCitation":"(50)","noteIndex":0},"citationItems":[{"id":426,"uris":["http://zotero.org/users/15628667/items/IRY4Z4E8"],"itemData":{"id":426,"type":"article-journal","abstract":"(225)Ac-PSMA-617, targeting the prostate-specific membrane antigen (PSMA), which is overexpressed on prostate cancer cells, has shown a remarkable therapeutic  efficacy in heavily pretreated patients with metastatic castration-resistant  prostate carcinoma (mCRPC). Here, we report on treatment outcome and survival  using this novel treatment modality in a series of 53 patients with mCRPC  directly after their androgen deprivation treatment (ADT). Methods:  (225)Ac-PSMA-617 was administered to 53 such patients. (68)Ga-PSMA PET/CT was  obtained at baseline, before every treatment cycle, and on follow-up to select  patients for treatment, determine the activity to be administered, and assess  their response. Serial prostate-specific antigen (PSA) measurements were obtained  for response assessment. Results: The median age of the patients was 63.4 y  (range, 45-83 y). In total, 167 cycles were administered (median, 3; range, 1-7).  Forty-eight patients (91%) had a PSA decline of at least 50%, and 51 patients  (96%) had any decline in PSA. (68)Ga-PSMA PET findings became negative in 30  patients. In the multivariate analysis, a PSA decline of at least 50% proved  predictive of both progression-free survival (PFS) and overall survival (OS), and  platelet count also proved predictive for PFS. The median estimated OS was 9 mo  for patients with a PSA decline of less than 50% but was not yet reached at the  latest follow-up (55 mo) for patients with a PSA decline of 50% or more. The  estimated median PFS was 22 mo for patients with a PSA decline of at least 50%  and 4 mo for patients with a PSA decline of less than 50%. No severe  hematotoxicity was noted, and only 3 patients had grade III-IV nephrotoxicity.  The commonest toxicity seen was grade I-II xerostomia, observed in 81% of  patients. Conclusion: In 91% of 53 patients with mCRPC, treatment with  (225)Ac-PSMA-617 immediately after ADT resulted in at least a 50% decrease in PSA  level. Furthermore, a PSA decline of at least 50% proved the single most  important factor predicting PFS and OS after (225)Ac-PSMA-617 treatment. Of  interest, median OS in patients with a PSA decline of at least 50% was not yet  reached at the latest follow-up (55 mo). These favorable results suggest that it  would be of major clinical relevance to perform a prospective randomized study  comparing (225)Ac-PSMA-617 with current standard-of-care treatment options such  as enzalutamide, abiraterone acetate, and docetaxel after ADT.","container-title":"Journal of nuclear medicine : official publication, Society of Nuclear Medicine","DOI":"10.2967/jnumed.121.263618","ISSN":"1535-5667 0161-5505","issue":"10","journalAbbreviation":"J Nucl Med","language":"eng","license":"© 2022 by the Society of Nuclear Medicine and Molecular Imaging.","note":"publisher-place: United States\nPMID: 35177427 \nPMCID: PMC9536711","page":"1496-1502","title":"mCRPC Patients Receiving (225)Ac-PSMA-617 Therapy in the Post-Androgen Deprivation Therapy Setting: Response to Treatment and Survival Analysis.","volume":"63","author":[{"family":"Sathekge","given":"Mike"},{"family":"Bruchertseifer","given":"Frank"},{"family":"Vorster","given":"Mariza"},{"family":"Lawal","given":"Ismaheel O."},{"family":"Knoesen","given":"Otto"},{"family":"Mahapane","given":"Johncy"},{"family":"Davis","given":"Cindy"},{"family":"Mdlophane","given":"Amanda"},{"family":"Maes","given":"Alex"},{"family":"Mokoala","given":"Kgomotso"},{"family":"Mathabe","given":"Kgomotso"},{"family":"Van","given":"Christophe"},{"family":"Wiele","given":"de"},{"family":"Morgenstern","given":"Alfred"}],"issued":{"date-parts":[["2022",10]]}}}],"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(50)</w:t>
            </w:r>
            <w:r>
              <w:rPr>
                <w:rFonts w:cstheme="minorHAnsi"/>
                <w:sz w:val="18"/>
              </w:rPr>
              <w:fldChar w:fldCharType="end"/>
            </w:r>
          </w:p>
        </w:tc>
        <w:tc>
          <w:tcPr>
            <w:tcW w:w="2026" w:type="pct"/>
            <w:tcBorders>
              <w:left w:val="single" w:sz="4" w:space="0" w:color="auto"/>
            </w:tcBorders>
            <w:noWrap/>
            <w:vAlign w:val="center"/>
          </w:tcPr>
          <w:p w14:paraId="43A3C7C8" w14:textId="77777777" w:rsidR="000A3731" w:rsidRPr="000A3731" w:rsidRDefault="000A3731" w:rsidP="000A3731">
            <w:pPr>
              <w:jc w:val="center"/>
              <w:rPr>
                <w:rFonts w:cstheme="minorHAnsi"/>
                <w:sz w:val="18"/>
                <w:lang w:val="en-GB"/>
              </w:rPr>
            </w:pPr>
            <w:r w:rsidRPr="000A3731">
              <w:rPr>
                <w:rFonts w:cstheme="minorHAnsi"/>
                <w:sz w:val="18"/>
                <w:lang w:val="en-GB"/>
              </w:rPr>
              <w:t>No treatment discontinuation due to treatment-related adverse event was reported. No severe Hepatotoxicity. Only reported grade III-IV renal toxicity on three patients. The most common toxicity reported was dry mouth grade I-II (81%)</w:t>
            </w:r>
          </w:p>
        </w:tc>
        <w:tc>
          <w:tcPr>
            <w:tcW w:w="922" w:type="pct"/>
            <w:noWrap/>
            <w:vAlign w:val="center"/>
          </w:tcPr>
          <w:p w14:paraId="7D3414E0" w14:textId="77777777" w:rsidR="000A3731" w:rsidRPr="000A3731" w:rsidRDefault="000A3731" w:rsidP="000A3731">
            <w:pPr>
              <w:jc w:val="center"/>
              <w:rPr>
                <w:rFonts w:cstheme="minorHAnsi"/>
                <w:sz w:val="18"/>
                <w:lang w:val="en-GB"/>
              </w:rPr>
            </w:pPr>
            <w:r w:rsidRPr="000A3731">
              <w:rPr>
                <w:rFonts w:cstheme="minorHAnsi"/>
                <w:sz w:val="18"/>
                <w:lang w:val="en-GB"/>
              </w:rPr>
              <w:t xml:space="preserve">Safe, well tolerable </w:t>
            </w:r>
          </w:p>
        </w:tc>
        <w:tc>
          <w:tcPr>
            <w:tcW w:w="175" w:type="pct"/>
            <w:vAlign w:val="center"/>
          </w:tcPr>
          <w:p w14:paraId="5211D1AE" w14:textId="77777777" w:rsidR="000A3731" w:rsidRPr="000A3731" w:rsidRDefault="000A3731" w:rsidP="000A3731">
            <w:pPr>
              <w:jc w:val="center"/>
              <w:rPr>
                <w:rFonts w:cstheme="minorHAnsi"/>
                <w:sz w:val="18"/>
                <w:lang w:val="en-GB"/>
              </w:rPr>
            </w:pPr>
            <w:r w:rsidRPr="000A3731">
              <w:rPr>
                <w:rFonts w:cstheme="minorHAnsi"/>
                <w:sz w:val="18"/>
                <w:lang w:val="en-GB"/>
              </w:rPr>
              <w:t>53</w:t>
            </w:r>
          </w:p>
        </w:tc>
        <w:tc>
          <w:tcPr>
            <w:tcW w:w="754" w:type="pct"/>
            <w:noWrap/>
            <w:vAlign w:val="center"/>
          </w:tcPr>
          <w:p w14:paraId="10A5E73E" w14:textId="77777777" w:rsidR="000A3731" w:rsidRPr="000A3731" w:rsidRDefault="000A3731" w:rsidP="000A3731">
            <w:pPr>
              <w:jc w:val="center"/>
              <w:rPr>
                <w:rFonts w:cstheme="minorHAnsi"/>
                <w:sz w:val="18"/>
                <w:lang w:val="en-GB"/>
              </w:rPr>
            </w:pPr>
            <w:r w:rsidRPr="000A3731">
              <w:rPr>
                <w:rFonts w:cstheme="minorHAnsi"/>
                <w:sz w:val="18"/>
                <w:lang w:val="en-GB"/>
              </w:rPr>
              <w:t>2 Hemato, 3 Nephro</w:t>
            </w:r>
          </w:p>
        </w:tc>
        <w:tc>
          <w:tcPr>
            <w:tcW w:w="689" w:type="pct"/>
            <w:noWrap/>
            <w:vAlign w:val="center"/>
          </w:tcPr>
          <w:p w14:paraId="47A4DFA2" w14:textId="77777777" w:rsidR="000A3731" w:rsidRPr="000A3731" w:rsidRDefault="000A3731" w:rsidP="000A3731">
            <w:pPr>
              <w:jc w:val="center"/>
              <w:rPr>
                <w:rFonts w:cstheme="minorHAnsi"/>
                <w:sz w:val="18"/>
                <w:lang w:val="en-GB"/>
              </w:rPr>
            </w:pPr>
            <w:r w:rsidRPr="000A3731">
              <w:rPr>
                <w:rFonts w:cstheme="minorHAnsi"/>
                <w:sz w:val="18"/>
                <w:lang w:val="en-GB"/>
              </w:rPr>
              <w:t>43 Xerostomia, 16 Hemato, 7 nephro</w:t>
            </w:r>
          </w:p>
        </w:tc>
        <w:tc>
          <w:tcPr>
            <w:tcW w:w="205" w:type="pct"/>
            <w:noWrap/>
            <w:vAlign w:val="center"/>
          </w:tcPr>
          <w:p w14:paraId="1B2426D7" w14:textId="77777777" w:rsidR="000A3731" w:rsidRPr="000A3731" w:rsidRDefault="000A3731" w:rsidP="000A3731">
            <w:pPr>
              <w:jc w:val="center"/>
              <w:rPr>
                <w:rFonts w:cstheme="minorHAnsi"/>
                <w:sz w:val="18"/>
                <w:lang w:val="en-GB"/>
              </w:rPr>
            </w:pPr>
            <w:r w:rsidRPr="000A3731">
              <w:rPr>
                <w:rFonts w:cstheme="minorHAnsi"/>
                <w:sz w:val="18"/>
                <w:lang w:val="en-GB"/>
              </w:rPr>
              <w:t>55</w:t>
            </w:r>
          </w:p>
        </w:tc>
      </w:tr>
      <w:tr w:rsidR="000A3731" w:rsidRPr="00B47BAA" w14:paraId="7282FD65" w14:textId="77777777" w:rsidTr="000A3731">
        <w:trPr>
          <w:trHeight w:val="576"/>
        </w:trPr>
        <w:tc>
          <w:tcPr>
            <w:tcW w:w="229" w:type="pct"/>
            <w:tcBorders>
              <w:right w:val="single" w:sz="4" w:space="0" w:color="auto"/>
            </w:tcBorders>
            <w:vAlign w:val="center"/>
          </w:tcPr>
          <w:p w14:paraId="012A9F42" w14:textId="25A856D1" w:rsidR="000A3731" w:rsidRPr="00B47BAA" w:rsidRDefault="000A3731" w:rsidP="000A3731">
            <w:pPr>
              <w:jc w:val="center"/>
              <w:rPr>
                <w:rFonts w:cstheme="minorHAnsi"/>
                <w:sz w:val="18"/>
              </w:rPr>
            </w:pPr>
            <w:r>
              <w:rPr>
                <w:rFonts w:cstheme="minorHAnsi"/>
                <w:sz w:val="18"/>
              </w:rPr>
              <w:fldChar w:fldCharType="begin"/>
            </w:r>
            <w:r w:rsidR="008666A7">
              <w:rPr>
                <w:rFonts w:cstheme="minorHAnsi"/>
                <w:sz w:val="18"/>
                <w:lang w:val="en-GB"/>
              </w:rPr>
              <w:instrText xml:space="preserve"> ADDIN ZOTERO_ITEM CSL_CITATION {"citationID":"GWAtQdAp","properties":{"formattedCitation":"(51)","plainCitation":"(51)","noteIndex":0},"citationItems":[{"id":1180,"uris":["http://zotero.org/users/15628667/items/28BQ93AT"],"itemData":{"id":1180,"type":"article-journal","abstract":"OBJECTIVES: 225Ac-PSMA-617 therapy has shown good response in many recent studies. We report our experience of targeted alpha therapy with 225Ac-PSMA-617 in mCRPC patients who have failed therapy with taxanes.\nMATERIALS AND METHODS: Thirty-eight patients with CRPC with progressive disease following at least one taxane-based chemotherapy received 225Ac-PSMA-617 between July 2017 and Nov 2019. Primary end point was a composite 50% PSA and radiological response. Secondary endpoints were PFS, OS, and changes in QOL. The differences in outcomes between patients with skeletal and lymph-node metastases versus those with visceral metastases were also studied.\nRESULTS: A composite response by predetermined criteria was observed in 25 (66%) of 38 patients. The median PFS was 8 months (95% CI 5.3-10.6 months). Median overall survival was 12 months (95% CI 9.1-14.9) with 16 patients alive at the time of censorship. There was no difference in response rates or survival statistics between patients with visceral metastases versus those with only bone and lymph-node metastases (Chi-square 1.51, df 1, Sig 0.218). The most common adverse effect was xerostomia. On the QOL Symptom score, Pain, Fatigue Insomnia, and constipation showed a significant improvement as compared to baseline.\nCONCLUSIONS: 225Ac-PSMA-617 is a safe and tolerable treatment option for mCRPC that demonstrates marked anti-tumour activity with improvement in quality of life even in patients of metastatic CRPC who have been previously treated with taxane-based chemotherapy.","container-title":"Annals of Nuclear Medicine","DOI":"10.1007/s12149-021-01617-4","ISSN":"1864-6433","issue":"7","journalAbbreviation":"Ann Nucl Med","language":"eng","note":"PMID: 34059998","page":"794-810","source":"PubMed","title":"Therapeutic efficacy of 225Ac-PSMA-617 targeted alpha therapy in patients of metastatic castrate resistant prostate cancer after taxane-based chemotherapy","volume":"35","author":[{"family":"Sen","given":"Ishita"},{"family":"Thakral","given":"Parul"},{"family":"Tiwari","given":"Priya"},{"family":"Pant","given":"Vineet"},{"family":"Das","given":"Subha Shankar"},{"family":"Manda","given":"Divya"},{"family":"Raina","given":"Vinod"}],"issued":{"date-parts":[["2021",7]]}}}],"schema":"https://github.com/citation-style-language/schema/raw/master/csl-citation.json"} </w:instrText>
            </w:r>
            <w:r>
              <w:rPr>
                <w:rFonts w:cstheme="minorHAnsi"/>
                <w:sz w:val="18"/>
              </w:rPr>
              <w:fldChar w:fldCharType="separate"/>
            </w:r>
            <w:r w:rsidR="008666A7" w:rsidRPr="008666A7">
              <w:rPr>
                <w:rFonts w:ascii="Calibri" w:hAnsi="Calibri" w:cs="Calibri"/>
                <w:sz w:val="18"/>
              </w:rPr>
              <w:t>(51)</w:t>
            </w:r>
            <w:r>
              <w:rPr>
                <w:rFonts w:cstheme="minorHAnsi"/>
                <w:sz w:val="18"/>
              </w:rPr>
              <w:fldChar w:fldCharType="end"/>
            </w:r>
          </w:p>
        </w:tc>
        <w:tc>
          <w:tcPr>
            <w:tcW w:w="2026" w:type="pct"/>
            <w:tcBorders>
              <w:left w:val="single" w:sz="4" w:space="0" w:color="auto"/>
            </w:tcBorders>
            <w:noWrap/>
            <w:vAlign w:val="center"/>
          </w:tcPr>
          <w:p w14:paraId="5B2C5E92" w14:textId="77777777" w:rsidR="000A3731" w:rsidRPr="000A3731" w:rsidRDefault="000A3731" w:rsidP="000A3731">
            <w:pPr>
              <w:jc w:val="center"/>
              <w:rPr>
                <w:rFonts w:cstheme="minorHAnsi"/>
                <w:sz w:val="18"/>
                <w:lang w:val="en-GB"/>
              </w:rPr>
            </w:pPr>
            <w:r w:rsidRPr="000A3731">
              <w:rPr>
                <w:rFonts w:cstheme="minorHAnsi"/>
                <w:sz w:val="18"/>
                <w:lang w:val="en-GB"/>
              </w:rPr>
              <w:t>225Ac PSMA-617 is a safe and tolerable treatment option for mCRPC</w:t>
            </w:r>
          </w:p>
        </w:tc>
        <w:tc>
          <w:tcPr>
            <w:tcW w:w="922" w:type="pct"/>
            <w:noWrap/>
            <w:vAlign w:val="center"/>
          </w:tcPr>
          <w:p w14:paraId="5034FEB3"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 However appears greater than Lu-PSMA-617 warrants further studies</w:t>
            </w:r>
          </w:p>
        </w:tc>
        <w:tc>
          <w:tcPr>
            <w:tcW w:w="175" w:type="pct"/>
            <w:vAlign w:val="center"/>
          </w:tcPr>
          <w:p w14:paraId="1C1C0168" w14:textId="77777777" w:rsidR="000A3731" w:rsidRPr="00B47BAA" w:rsidRDefault="000A3731" w:rsidP="000A3731">
            <w:pPr>
              <w:jc w:val="center"/>
              <w:rPr>
                <w:rFonts w:cstheme="minorHAnsi"/>
                <w:sz w:val="18"/>
              </w:rPr>
            </w:pPr>
            <w:r>
              <w:rPr>
                <w:rFonts w:cstheme="minorHAnsi"/>
                <w:sz w:val="18"/>
              </w:rPr>
              <w:t>38</w:t>
            </w:r>
          </w:p>
        </w:tc>
        <w:tc>
          <w:tcPr>
            <w:tcW w:w="754" w:type="pct"/>
            <w:noWrap/>
            <w:vAlign w:val="center"/>
          </w:tcPr>
          <w:p w14:paraId="796EA73A" w14:textId="77777777" w:rsidR="000A3731" w:rsidRPr="000A3731" w:rsidRDefault="000A3731" w:rsidP="000A3731">
            <w:pPr>
              <w:jc w:val="center"/>
              <w:rPr>
                <w:rFonts w:cstheme="minorHAnsi"/>
                <w:sz w:val="18"/>
                <w:lang w:val="en-GB"/>
              </w:rPr>
            </w:pPr>
            <w:r w:rsidRPr="000A3731">
              <w:rPr>
                <w:rFonts w:cstheme="minorHAnsi"/>
                <w:sz w:val="18"/>
                <w:lang w:val="en-GB"/>
              </w:rPr>
              <w:t>14 Hemato 4 weight loss, 4 loss of appetite, 5 Xerostomia, 2 hearing loss</w:t>
            </w:r>
          </w:p>
        </w:tc>
        <w:tc>
          <w:tcPr>
            <w:tcW w:w="689" w:type="pct"/>
            <w:noWrap/>
            <w:vAlign w:val="center"/>
          </w:tcPr>
          <w:p w14:paraId="251261F8" w14:textId="77777777" w:rsidR="000A3731" w:rsidRPr="00B47BAA" w:rsidRDefault="000A3731" w:rsidP="000A3731">
            <w:pPr>
              <w:jc w:val="center"/>
              <w:rPr>
                <w:rFonts w:cstheme="minorHAnsi"/>
                <w:sz w:val="18"/>
              </w:rPr>
            </w:pPr>
            <w:r w:rsidRPr="00B47BAA">
              <w:rPr>
                <w:rFonts w:cstheme="minorHAnsi"/>
                <w:sz w:val="18"/>
              </w:rPr>
              <w:t>9 nausea</w:t>
            </w:r>
          </w:p>
        </w:tc>
        <w:tc>
          <w:tcPr>
            <w:tcW w:w="205" w:type="pct"/>
            <w:noWrap/>
            <w:vAlign w:val="center"/>
          </w:tcPr>
          <w:p w14:paraId="4D453159" w14:textId="77777777" w:rsidR="000A3731" w:rsidRPr="00B47BAA" w:rsidRDefault="000A3731" w:rsidP="000A3731">
            <w:pPr>
              <w:jc w:val="center"/>
              <w:rPr>
                <w:rFonts w:cstheme="minorHAnsi"/>
                <w:sz w:val="18"/>
              </w:rPr>
            </w:pPr>
            <w:r w:rsidRPr="00B47BAA">
              <w:rPr>
                <w:rFonts w:cstheme="minorHAnsi"/>
                <w:sz w:val="18"/>
              </w:rPr>
              <w:t>14</w:t>
            </w:r>
          </w:p>
        </w:tc>
      </w:tr>
      <w:tr w:rsidR="000A3731" w:rsidRPr="00B47BAA" w14:paraId="14808EA6" w14:textId="77777777" w:rsidTr="000A3731">
        <w:trPr>
          <w:trHeight w:val="576"/>
        </w:trPr>
        <w:tc>
          <w:tcPr>
            <w:tcW w:w="229" w:type="pct"/>
            <w:tcBorders>
              <w:right w:val="single" w:sz="4" w:space="0" w:color="auto"/>
            </w:tcBorders>
            <w:vAlign w:val="center"/>
          </w:tcPr>
          <w:p w14:paraId="263FF245" w14:textId="5780905A"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rPr>
              <w:instrText xml:space="preserve"> ADDIN ZOTERO_ITEM CSL_CITATION {"citationID":"xxrqgusT","properties":{"formattedCitation":"(52)","plainCitation":"(52)","noteIndex":0},"citationItems":[{"id":53,"uris":["http://zotero.org/users/15628667/items/266BGQRZ"],"itemData":{"id":53,"type":"article-journal","abstract":"INTRODUCTION: Targeted alpha-radiation therapy (TAT) with (225)Ac-labeled prostate-specific membrane antigen (PSMA) ligands is a promising novel treatment  option for metastatic castration-resistant prostate cancer (mCRPC) patients.  However, limited data are available on efficacy, quality of life (QoL), and  pretherapeutic biomarkers. The aim of this study was to evaluate the efficacy of  (225)Ac-PSMA TAT and impact on QoL in advanced mCRPC, and to explore predictive  biomarkers on pretherapeutic metastatic tissue biopsies. METHODS: Observational  cohort study including consecutive patients treated with (225)Ac-PSMA TAT between  February 2016 and July 2018. Primary endpoint was overall survival (OS).  Furthermore, prostate-specific antigen (PSA) changes, radiological response,  safety, QoL, and xerostomia were evaluated. Biopsies were analyzed with  immunohistochemistry and next-generation sequencing. RESULTS: Thirteen patients  were included. Median OS was 8.5 months for the total cohort and 12.6 months for  PSMA radioligand therapy-naïve patients. PSA declines of ≥90% and ≥50% were  observed in 46% and 69% of patients, respectively. Six patients were  radiologically evaluable; 50% showed partial response. All patients showed &gt;90%  total tumor volume reduction on PET imaging. Patients experienced clinically  relevant decrease of pain and QoL improvement in physical and role functioning  domains. Xerostomia persisted during follow-up. Patients with high baseline  immunohistochemical PSMA expression or DNA damage repair alterations tended to  have longer OS. CONCLUSIONS: TAT with (225)Ac-PSMA resulted in remarkable  survival and biochemical responses in advanced mCRPC patients. Patients  experienced clinically relevant QoL improvement, although xerostomia was fo</w:instrText>
            </w:r>
            <w:r w:rsidR="008666A7" w:rsidRPr="008666A7">
              <w:rPr>
                <w:rFonts w:cstheme="minorHAnsi"/>
                <w:sz w:val="18"/>
                <w:lang w:val="en-US"/>
              </w:rPr>
              <w:instrText xml:space="preserve">und to  be nontransient. Baseline immunohistochemical PSMA expression and DNA damage  repair status are potential predictive biomarkers of response to (225)Ac-PSMA  TAT.","container-title":"Urologic oncology","DOI":"10.1016/j.urolonc.2020.12.002","ISSN":"1873-2496 1078-1439","issue":"10","journalAbbreviation":"Urol Oncol","language":"eng","license":"Copyright © 2020 The Author(s). Published by Elsevier Inc. All rights reserved.","note":"publisher-place: United States\nPMID: 33353867","page":"729.e7-729.e16","title":"Clinical outcomes and molecular profiling of advanced metastatic castration-resistant prostate cancer patients treated with (225)Ac-PSMA-617  targeted alpha-radiation therapy.","volume":"39","author":[{"family":"Doelen","given":"Maarten J.","non-dropping-particle":"van der"},{"family":"Mehra","given":"Niven"},{"family":"Oort","given":"Inge M.","non-dropping-particle":"van"},{"family":"Looijen-Salamon","given":"Monika G."},{"family":"Janssen","given":"Marcel J. R."},{"family":"Custers","given":"José A. E."},{"family":"Slootbeek","given":"Peter H. J."},{"family":"Kroeze","given":"Leonie I."},{"family":"Bruchertseifer","given":"Frank"},{"family":"Morgenstern","given":"Alfred"},{"family":"Haberkorn","given":"Uwe"},{"family":"Kratochwil","given":"Clemens"},{"family":"Nagarajah","given":"James"},{"family":"Gerritsen","given":"Winald R."}],"issued":{"date-parts":[["2021",10]]}}}],"schema":"https://github.com/citation-style-language/schema/raw/master/csl-citation.json"}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(52)</w:t>
            </w:r>
            <w:r>
              <w:rPr>
                <w:rFonts w:cstheme="minorHAnsi"/>
                <w:sz w:val="18"/>
              </w:rPr>
              <w:fldChar w:fldCharType="end"/>
            </w:r>
          </w:p>
        </w:tc>
        <w:tc>
          <w:tcPr>
            <w:tcW w:w="2026" w:type="pct"/>
            <w:tcBorders>
              <w:left w:val="single" w:sz="4" w:space="0" w:color="auto"/>
            </w:tcBorders>
            <w:noWrap/>
            <w:vAlign w:val="center"/>
          </w:tcPr>
          <w:p w14:paraId="7E3E0E2A" w14:textId="77777777" w:rsidR="000A3731" w:rsidRPr="000A3731" w:rsidRDefault="000A3731" w:rsidP="000A3731">
            <w:pPr>
              <w:jc w:val="center"/>
              <w:rPr>
                <w:rFonts w:cstheme="minorHAnsi"/>
                <w:sz w:val="18"/>
                <w:lang w:val="en-GB"/>
              </w:rPr>
            </w:pPr>
            <w:r w:rsidRPr="000A3731">
              <w:rPr>
                <w:rFonts w:cstheme="minorHAnsi"/>
                <w:sz w:val="18"/>
                <w:lang w:val="en-GB"/>
              </w:rPr>
              <w:t>Patients experienced clinically relevant QoL improvement, although xerostomia was found to be non-transient</w:t>
            </w:r>
          </w:p>
        </w:tc>
        <w:tc>
          <w:tcPr>
            <w:tcW w:w="922" w:type="pct"/>
            <w:noWrap/>
            <w:vAlign w:val="center"/>
          </w:tcPr>
          <w:p w14:paraId="2DB25DF1"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 However seems greater than Lu-PSMA-617, meriting more research.</w:t>
            </w:r>
          </w:p>
        </w:tc>
        <w:tc>
          <w:tcPr>
            <w:tcW w:w="175" w:type="pct"/>
            <w:vAlign w:val="center"/>
          </w:tcPr>
          <w:p w14:paraId="2ECAA39E" w14:textId="77777777" w:rsidR="000A3731" w:rsidRPr="000A3731" w:rsidRDefault="000A3731" w:rsidP="000A3731">
            <w:pPr>
              <w:jc w:val="center"/>
              <w:rPr>
                <w:rFonts w:cstheme="minorHAnsi"/>
                <w:sz w:val="18"/>
                <w:lang w:val="en-GB"/>
              </w:rPr>
            </w:pPr>
            <w:r w:rsidRPr="000A3731">
              <w:rPr>
                <w:rFonts w:cstheme="minorHAnsi"/>
                <w:sz w:val="18"/>
                <w:lang w:val="en-GB"/>
              </w:rPr>
              <w:t>13</w:t>
            </w:r>
          </w:p>
        </w:tc>
        <w:tc>
          <w:tcPr>
            <w:tcW w:w="754" w:type="pct"/>
            <w:noWrap/>
            <w:vAlign w:val="center"/>
          </w:tcPr>
          <w:p w14:paraId="2EF3BFAA"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689" w:type="pct"/>
            <w:noWrap/>
            <w:vAlign w:val="center"/>
          </w:tcPr>
          <w:p w14:paraId="580C9960" w14:textId="77777777" w:rsidR="000A3731" w:rsidRPr="000A3731" w:rsidRDefault="000A3731" w:rsidP="000A3731">
            <w:pPr>
              <w:jc w:val="center"/>
              <w:rPr>
                <w:rFonts w:cstheme="minorHAnsi"/>
                <w:sz w:val="18"/>
                <w:lang w:val="en-GB"/>
              </w:rPr>
            </w:pPr>
            <w:r w:rsidRPr="000A3731">
              <w:rPr>
                <w:rFonts w:cstheme="minorHAnsi"/>
                <w:sz w:val="18"/>
                <w:lang w:val="en-GB"/>
              </w:rPr>
              <w:t>13 Xerostomia</w:t>
            </w:r>
          </w:p>
        </w:tc>
        <w:tc>
          <w:tcPr>
            <w:tcW w:w="205" w:type="pct"/>
            <w:noWrap/>
            <w:vAlign w:val="center"/>
          </w:tcPr>
          <w:p w14:paraId="7664CFB0" w14:textId="77777777" w:rsidR="000A3731" w:rsidRPr="000A3731" w:rsidRDefault="000A3731" w:rsidP="000A3731">
            <w:pPr>
              <w:jc w:val="center"/>
              <w:rPr>
                <w:rFonts w:cstheme="minorHAnsi"/>
                <w:sz w:val="18"/>
                <w:lang w:val="en-GB"/>
              </w:rPr>
            </w:pPr>
            <w:r w:rsidRPr="000A3731">
              <w:rPr>
                <w:rFonts w:cstheme="minorHAnsi"/>
                <w:sz w:val="18"/>
                <w:lang w:val="en-GB"/>
              </w:rPr>
              <w:t>36</w:t>
            </w:r>
          </w:p>
        </w:tc>
      </w:tr>
      <w:tr w:rsidR="000A3731" w:rsidRPr="00B47BAA" w14:paraId="6E7F365B" w14:textId="77777777" w:rsidTr="000A3731">
        <w:trPr>
          <w:trHeight w:val="576"/>
        </w:trPr>
        <w:tc>
          <w:tcPr>
            <w:tcW w:w="229" w:type="pct"/>
            <w:tcBorders>
              <w:right w:val="single" w:sz="4" w:space="0" w:color="auto"/>
            </w:tcBorders>
            <w:vAlign w:val="center"/>
          </w:tcPr>
          <w:p w14:paraId="22ED2596" w14:textId="4650AD9F"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{"citationID":"9h0YjZ90","properties":{"formattedCitation":"(53)","plainCitation":"(53)","noteIndex":0},"citationItems":[{"id":1184,"uris":["http://zotero.org/users/15628667/items/LGEASR99"],"itemData":{"id":1184,"type":"article-journal","abstract":"Rationale: Despite the promising results of prostate-specific membrane antigen (PSMA)-targeted 177Lu radioligand therapy in metastatic castration-resistant prostate carcinoma (mCRPC), some patients do not respond and other patients with initially good response develop resistance to this treatment. In this study, we investigated molecular imaging and biochemical responses after a single cycle of [225Ac]Ac-PSMA-617/[177Lu]Lu-PSMA-617 tandem therapy in patients who had progressed on [177Lu]Lu-PSMA-617 monotherapy. Methods: Seventeen patients with mCRPC were included in a retrospective, monocenter study. Molecular imaging-based response was assessed by modified PERCIST criteria using the whole-body total lesion PSMA (TLP) and molecular tumour volume (MTV) derived from [68Ga]Ga-PSMA-11 PET/CT. Biochemical response was evaluated according to PCWG3 criteria using the prostate-specific antigen (PSA) serum value. Concordance and correlation statistics as well as survival analyses were performed. Results: Based on the molecular imaging-based response assessment, 5 (29.4%) patients showed partial remission and 7 (41.2%) had stable disease. The remaining 5 (29.4%) patients had further progression, four with an increase in TLP/MTV of &gt;30% and one with stable TLP/MTV but appearance of new metastases. Based on the biochemical response assessment, 5 (29.4%), 8 (47.1%), and 4 (23.5%) patients showed partial remission, stable disease, and progressive disease, respectively. A comparison of the response assessment methods showed a concordance of 100% (17/17) between TLP and MTV and 70.6% (12/17) between TLP/MTV and PSA. Patients with partial remission, independently assessed by each method, had better overall survival (OS) than patients with either stable or progressive disease. The difference in OS was statistically significant for the molecular imaging response assessment (median OS not reached vs. 8.3 m, p = 0.044), but not for the biochemical response assessment (median OS 18.1 m vs. 9.4 m, p = 0.468). Conclusion: Based on both assessment methods, [225Ac]Ac-PSMA-617/[177Lu]Lu-PSMA-617 tandem therapy is an effective treatment for the highly challenging cohort of patients with mCRPC who have progressed on [177Lu]Lu-PSMA-617 monotherapy. Molecular imaging response and biochemical PSA response were mostly concordant, though a considerable number of cases (29.4%) were discordant. Molecular imaging response reflecting the change in total viable tumour burden appears to be superior to PSA change in estimating survival outcome after tandem therapy.","container-title":"Theranostics","DOI":"10.7150/thno.56211","ISSN":"1838-7640","issue":"9","journalAbbreviation":"Theranostics","language":"eng","note":"PMID: 33754047\nPMCID: PMC7977444","page":"4050-4060","source":"PubMed","title":"Molecular imaging and biochemical response assessment after a single cycle of [225Ac]Ac-PSMA-617/[177Lu]Lu-PSMA-617 tandem therapy in mCRPC patients who have progressed on [177Lu]Lu-PSMA-617 monotherapy","volume":"11","author":[{"family":"Rosar","given":"Florian"},{"family":"Hau","given":"Fabian"},{"family":"Bartholomä","given":"Mark"},{"family":"Maus","given":"Stephan"},{"family":"Stemler","given":"Tobias"},{"family":"Linxweiler","given":"Johannes"},{"family":"Ezziddin","given":"Samer"},{"family":"Khreish","given":"Fadi"}],"issued":{"date-parts":[["2021"]]}}}],"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(53)</w:t>
            </w:r>
            <w:r>
              <w:rPr>
                <w:rFonts w:cstheme="minorHAnsi"/>
                <w:sz w:val="18"/>
              </w:rPr>
              <w:fldChar w:fldCharType="end"/>
            </w:r>
          </w:p>
        </w:tc>
        <w:tc>
          <w:tcPr>
            <w:tcW w:w="2026" w:type="pct"/>
            <w:tcBorders>
              <w:left w:val="single" w:sz="4" w:space="0" w:color="auto"/>
            </w:tcBorders>
            <w:noWrap/>
            <w:vAlign w:val="center"/>
          </w:tcPr>
          <w:p w14:paraId="7EC7B691" w14:textId="77777777" w:rsidR="000A3731" w:rsidRPr="000A3731" w:rsidRDefault="000A3731" w:rsidP="000A3731">
            <w:pPr>
              <w:jc w:val="center"/>
              <w:rPr>
                <w:rFonts w:cstheme="minorHAnsi"/>
                <w:sz w:val="18"/>
                <w:lang w:val="en-GB"/>
              </w:rPr>
            </w:pPr>
            <w:r w:rsidRPr="000A3731">
              <w:rPr>
                <w:rFonts w:cstheme="minorHAnsi"/>
                <w:sz w:val="18"/>
                <w:lang w:val="en-GB"/>
              </w:rPr>
              <w:t>No serious acute adverse events.</w:t>
            </w:r>
          </w:p>
        </w:tc>
        <w:tc>
          <w:tcPr>
            <w:tcW w:w="922" w:type="pct"/>
            <w:noWrap/>
            <w:vAlign w:val="center"/>
          </w:tcPr>
          <w:p w14:paraId="4EB3D907"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 Though appears greater than 177-LuPSMA warrants further investigations</w:t>
            </w:r>
          </w:p>
        </w:tc>
        <w:tc>
          <w:tcPr>
            <w:tcW w:w="175" w:type="pct"/>
            <w:vAlign w:val="center"/>
          </w:tcPr>
          <w:p w14:paraId="6499C139" w14:textId="77777777" w:rsidR="000A3731" w:rsidRPr="000A3731" w:rsidRDefault="000A3731" w:rsidP="000A3731">
            <w:pPr>
              <w:jc w:val="center"/>
              <w:rPr>
                <w:rFonts w:cstheme="minorHAnsi"/>
                <w:sz w:val="18"/>
                <w:lang w:val="en-GB"/>
              </w:rPr>
            </w:pPr>
            <w:r w:rsidRPr="000A3731">
              <w:rPr>
                <w:rFonts w:cstheme="minorHAnsi"/>
                <w:sz w:val="18"/>
                <w:lang w:val="en-GB"/>
              </w:rPr>
              <w:t>15</w:t>
            </w:r>
          </w:p>
        </w:tc>
        <w:tc>
          <w:tcPr>
            <w:tcW w:w="754" w:type="pct"/>
            <w:noWrap/>
            <w:vAlign w:val="center"/>
          </w:tcPr>
          <w:p w14:paraId="7996A62F" w14:textId="77777777" w:rsidR="000A3731" w:rsidRPr="000A3731" w:rsidRDefault="000A3731" w:rsidP="000A3731">
            <w:pPr>
              <w:jc w:val="center"/>
              <w:rPr>
                <w:rFonts w:cstheme="minorHAnsi"/>
                <w:sz w:val="18"/>
                <w:lang w:val="en-GB"/>
              </w:rPr>
            </w:pPr>
            <w:r w:rsidRPr="000A3731">
              <w:rPr>
                <w:rFonts w:cstheme="minorHAnsi"/>
                <w:sz w:val="18"/>
                <w:lang w:val="en-GB"/>
              </w:rPr>
              <w:t>2 Xerostomia,</w:t>
            </w:r>
          </w:p>
        </w:tc>
        <w:tc>
          <w:tcPr>
            <w:tcW w:w="689" w:type="pct"/>
            <w:noWrap/>
            <w:vAlign w:val="center"/>
          </w:tcPr>
          <w:p w14:paraId="23724A4B" w14:textId="77777777" w:rsidR="000A3731" w:rsidRPr="000A3731" w:rsidRDefault="000A3731" w:rsidP="000A3731">
            <w:pPr>
              <w:jc w:val="center"/>
              <w:rPr>
                <w:rFonts w:cstheme="minorHAnsi"/>
                <w:sz w:val="18"/>
                <w:lang w:val="en-GB"/>
              </w:rPr>
            </w:pPr>
            <w:r w:rsidRPr="000A3731">
              <w:rPr>
                <w:rFonts w:cstheme="minorHAnsi"/>
                <w:sz w:val="18"/>
                <w:lang w:val="en-GB"/>
              </w:rPr>
              <w:t>13 Xerostomia, 5 Nephro</w:t>
            </w:r>
          </w:p>
        </w:tc>
        <w:tc>
          <w:tcPr>
            <w:tcW w:w="205" w:type="pct"/>
            <w:noWrap/>
            <w:vAlign w:val="center"/>
          </w:tcPr>
          <w:p w14:paraId="7298E467" w14:textId="77777777" w:rsidR="000A3731" w:rsidRPr="000A3731" w:rsidRDefault="000A3731" w:rsidP="000A3731">
            <w:pPr>
              <w:jc w:val="center"/>
              <w:rPr>
                <w:rFonts w:cstheme="minorHAnsi"/>
                <w:sz w:val="18"/>
                <w:lang w:val="en-GB"/>
              </w:rPr>
            </w:pPr>
            <w:r w:rsidRPr="000A3731">
              <w:rPr>
                <w:rFonts w:cstheme="minorHAnsi"/>
                <w:sz w:val="18"/>
                <w:lang w:val="en-GB"/>
              </w:rPr>
              <w:t>19,4</w:t>
            </w:r>
          </w:p>
        </w:tc>
      </w:tr>
      <w:tr w:rsidR="000A3731" w:rsidRPr="00B47BAA" w14:paraId="49658B13" w14:textId="77777777" w:rsidTr="000A3731">
        <w:trPr>
          <w:trHeight w:val="576"/>
        </w:trPr>
        <w:tc>
          <w:tcPr>
            <w:tcW w:w="229" w:type="pct"/>
            <w:tcBorders>
              <w:bottom w:val="nil"/>
              <w:right w:val="single" w:sz="4" w:space="0" w:color="auto"/>
            </w:tcBorders>
            <w:vAlign w:val="center"/>
          </w:tcPr>
          <w:p w14:paraId="2155337A" w14:textId="19E6B80B"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{"citationID":"bSPSQjXj","properties":{"formattedCitation":"(54)","plainCitation":"(54)","noteIndex":0},"citationItems":[{"id":4,"uris":["http://zotero.org/users/15628667/items/P4ZJUMZN"],"itemData":{"id":4,"type":"article-journal","abstract":"BACKGROUND: Beta-emitting Lu-177-labeled prostate-specific membrane antigen (PSMA) radioligand therapy (RLT) is a new option for metastatic  castration-resistant prostate cancer (mCRPC), but its antitumor effect can  decrease over time. OBJECTIVE: To report the safety and activity of  alpha-emitting Ac-225-PSMA-617 RLT in mCRPC that has progressed after  Lu-177-PSMA. DESIGN, SETTING, AND PARTICIPANTS: Twenty-six patients were treated  under a compassionate use protocol. The eligibility criteria included previous  treatment with abiraterone or enzalutamide, previous taxane-based chemotherapy,  progression after Lu-177-PSMA, and positive PSMA-ligand uptake. The median number  of previous mCRPC regimens was 6. Ac-225-PSMA-617 was given every 8 wk until  progression/intolerable side effects. OUTCOME MEASUREMENTS AND STATISTICAL  ANALYSIS: Prostate-specific antigen (PSA) decline, PSA progression-free survival  (PSA-PFS), clinical progression-free survival (cPFS), overall survival (OS), and  toxicity were measured. RESULTS AND LIMITATIONS: Sixty-one cycles of  Ac-225-PSMA-617 (median number of cycles 2; median activity 9 MBq) were  administered. A PSA decline of ≥50% was achieved in 17/26 patients. The median  PSA-PFS, cPFS, and OS periods were 3.5 (95% confidence interval [CI] 1.8-11.2),  4.1 (95% CI 3-14.8), and 7.7 (95% CI 4.5-12.1) mo, respectively. Liver metastases  were associated with shorter PSA-PFS (median 1.9 vs 4.0 mo; p = 0.02), cPFS  (median 1.8 vs 5.2 mo; p = 0.001), and OS (median 4.3 vs 10.4 mo; p = 0.01).  Hematological grade 3/4 toxicities were anemia (35%), leucopenia (27%), and  thrombocytopenia (19%). All patients experienced grade 1/2 xerostomia. Two and  six patients stopped due to hematological toxicity and xerostomia, respectively.  A limitation is the retrospective design. CONCLUSIONS: Ac-225-PSMA-617 showed  measurable antitumor effect after Lu-177-PSMA failure in late-stage mCRPC. Grade  3/4 hematological side effects were observed in up to one-third of patients, and  xerostomia led to treatment halt in a relevant number of patients. PATIENT  SUMMARY: Ac-225-labeled prostate-specific membrane antigen (PSMA)-617 therapy  showed substantial antitumor effect in late metastatic castration-resistant  prostate cancer after Lu-177-PSMA failure. However, dry mouth is a common side  effect that caused about a quarter of patients to stop therapy.","container-title":"European urology","DOI":"10.1016/j.eururo.2020.11.013","ISSN":"1873-7560 0302-2838","issue":"3","journalAbbreviation":"Eur Urol","language":"eng","license":"Copyright © 2020 European Association of Urology. Published by Elsevier B.V. All rights reserved.","note":"publisher-place: Switzerland\nPMID: 33293081","page":"343-350","title":"Activity and Adverse Events of Actinium-225-PSMA-617 in Advanced Metastatic Castration-resistant Prostate Cancer After Failure of Lutetium-177-PSMA.","volume":"79","author":[{"family":"Feuerecker","given":"Benedikt"},{"family":"Tauber","given":"Robert"},{"family":"Knorr","given":"Karina"},{"family":"Heck","given":"Matthias"},{"family":"Beheshti","given":"Ali"},{"family":"Seidl","given":"Christof"},{"family":"Bruchertseifer","given":"Frank"},{"family":"Pickhard","given":"Anja"},{"family":"Gafita","given":"Andrei"},{"family":"Kratochwil","given":"Clemens"},{"family":"Retz","given":"Margitta"},{"family":"Gschwend","given":"Jürgen E."},{"family":"Weber","given":"Wolfgang A."},{"family":"D'Alessandria","given":"Calogero"},{"family":"Morgenstern","given":"Alfred"},{"family":"Eiber","given":"Matthias"}],"issued":{"date-parts":[["2021",3]]}}}],"schema":"https://github.com/citation-style-language/schema/raw/master/csl-citation.json"}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(54)</w:t>
            </w:r>
            <w:r>
              <w:rPr>
                <w:rFonts w:cstheme="minorHAnsi"/>
                <w:sz w:val="18"/>
              </w:rPr>
              <w:fldChar w:fldCharType="end"/>
            </w:r>
          </w:p>
        </w:tc>
        <w:tc>
          <w:tcPr>
            <w:tcW w:w="2026" w:type="pct"/>
            <w:tcBorders>
              <w:left w:val="single" w:sz="4" w:space="0" w:color="auto"/>
              <w:bottom w:val="nil"/>
            </w:tcBorders>
            <w:noWrap/>
            <w:vAlign w:val="center"/>
          </w:tcPr>
          <w:p w14:paraId="5CA490E2" w14:textId="77777777" w:rsidR="000A3731" w:rsidRPr="000A3731" w:rsidRDefault="000A3731" w:rsidP="000A3731">
            <w:pPr>
              <w:jc w:val="center"/>
              <w:rPr>
                <w:rFonts w:cstheme="minorHAnsi"/>
                <w:sz w:val="18"/>
                <w:lang w:val="en-GB"/>
              </w:rPr>
            </w:pPr>
            <w:r w:rsidRPr="000A3731">
              <w:rPr>
                <w:rFonts w:cstheme="minorHAnsi"/>
                <w:sz w:val="18"/>
                <w:lang w:val="en-GB"/>
              </w:rPr>
              <w:t>Antitumor activity is substantial. Although dry mouth caused about a quarter of patients to stop the therapy</w:t>
            </w:r>
          </w:p>
        </w:tc>
        <w:tc>
          <w:tcPr>
            <w:tcW w:w="922" w:type="pct"/>
            <w:tcBorders>
              <w:bottom w:val="nil"/>
            </w:tcBorders>
            <w:noWrap/>
            <w:vAlign w:val="center"/>
          </w:tcPr>
          <w:p w14:paraId="30570578"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w:t>
            </w:r>
          </w:p>
        </w:tc>
        <w:tc>
          <w:tcPr>
            <w:tcW w:w="175" w:type="pct"/>
            <w:tcBorders>
              <w:bottom w:val="nil"/>
            </w:tcBorders>
            <w:vAlign w:val="center"/>
          </w:tcPr>
          <w:p w14:paraId="15799E7E" w14:textId="77777777" w:rsidR="000A3731" w:rsidRPr="000A3731" w:rsidRDefault="000A3731" w:rsidP="000A3731">
            <w:pPr>
              <w:jc w:val="center"/>
              <w:rPr>
                <w:rFonts w:cstheme="minorHAnsi"/>
                <w:sz w:val="18"/>
                <w:lang w:val="en-GB"/>
              </w:rPr>
            </w:pPr>
            <w:r w:rsidRPr="000A3731">
              <w:rPr>
                <w:rFonts w:cstheme="minorHAnsi"/>
                <w:sz w:val="18"/>
                <w:lang w:val="en-GB"/>
              </w:rPr>
              <w:t>26</w:t>
            </w:r>
          </w:p>
        </w:tc>
        <w:tc>
          <w:tcPr>
            <w:tcW w:w="754" w:type="pct"/>
            <w:tcBorders>
              <w:bottom w:val="nil"/>
            </w:tcBorders>
            <w:noWrap/>
            <w:vAlign w:val="center"/>
          </w:tcPr>
          <w:p w14:paraId="75C20FB4" w14:textId="77777777" w:rsidR="000A3731" w:rsidRPr="000A3731" w:rsidRDefault="000A3731" w:rsidP="000A3731">
            <w:pPr>
              <w:jc w:val="center"/>
              <w:rPr>
                <w:rFonts w:cstheme="minorHAnsi"/>
                <w:sz w:val="18"/>
                <w:lang w:val="en-GB"/>
              </w:rPr>
            </w:pPr>
            <w:r w:rsidRPr="000A3731">
              <w:rPr>
                <w:rFonts w:cstheme="minorHAnsi"/>
                <w:sz w:val="18"/>
                <w:lang w:val="en-GB"/>
              </w:rPr>
              <w:t>21 Hemato</w:t>
            </w:r>
          </w:p>
        </w:tc>
        <w:tc>
          <w:tcPr>
            <w:tcW w:w="689" w:type="pct"/>
            <w:tcBorders>
              <w:bottom w:val="nil"/>
            </w:tcBorders>
            <w:noWrap/>
            <w:vAlign w:val="center"/>
          </w:tcPr>
          <w:p w14:paraId="30E1549E" w14:textId="77777777" w:rsidR="000A3731" w:rsidRPr="000A3731" w:rsidRDefault="000A3731" w:rsidP="000A3731">
            <w:pPr>
              <w:jc w:val="center"/>
              <w:rPr>
                <w:rFonts w:cstheme="minorHAnsi"/>
                <w:sz w:val="18"/>
                <w:lang w:val="en-GB"/>
              </w:rPr>
            </w:pPr>
            <w:r w:rsidRPr="000A3731">
              <w:rPr>
                <w:rFonts w:cstheme="minorHAnsi"/>
                <w:sz w:val="18"/>
                <w:lang w:val="en-GB"/>
              </w:rPr>
              <w:t>8 loss of appetite, 3 weight loss, 12 Fatigue, 5 Nephrotoxicity</w:t>
            </w:r>
          </w:p>
        </w:tc>
        <w:tc>
          <w:tcPr>
            <w:tcW w:w="205" w:type="pct"/>
            <w:tcBorders>
              <w:bottom w:val="nil"/>
            </w:tcBorders>
            <w:noWrap/>
            <w:vAlign w:val="center"/>
          </w:tcPr>
          <w:p w14:paraId="4F77FE59" w14:textId="77777777" w:rsidR="000A3731" w:rsidRPr="000A3731" w:rsidRDefault="000A3731" w:rsidP="000A3731">
            <w:pPr>
              <w:jc w:val="center"/>
              <w:rPr>
                <w:rFonts w:cstheme="minorHAnsi"/>
                <w:sz w:val="18"/>
                <w:lang w:val="en-GB"/>
              </w:rPr>
            </w:pPr>
            <w:r w:rsidRPr="000A3731">
              <w:rPr>
                <w:rFonts w:cstheme="minorHAnsi"/>
                <w:sz w:val="18"/>
                <w:lang w:val="en-GB"/>
              </w:rPr>
              <w:t>12</w:t>
            </w:r>
          </w:p>
        </w:tc>
      </w:tr>
      <w:tr w:rsidR="000A3731" w:rsidRPr="00B47BAA" w14:paraId="2919A7B1" w14:textId="77777777" w:rsidTr="000A3731">
        <w:trPr>
          <w:trHeight w:val="576"/>
        </w:trPr>
        <w:tc>
          <w:tcPr>
            <w:tcW w:w="229" w:type="pct"/>
            <w:tcBorders>
              <w:top w:val="nil"/>
              <w:bottom w:val="nil"/>
              <w:right w:val="single" w:sz="4" w:space="0" w:color="auto"/>
            </w:tcBorders>
            <w:vAlign w:val="center"/>
          </w:tcPr>
          <w:p w14:paraId="57954393" w14:textId="10C41828"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{"citationID":"WRWeSbzm","properties":{"formattedCitation":"(55)","plainCitation":"(55)","noteIndex":0},"citationItems":[{"id":432,"uris":["http://zotero.org/users/15628667/items/YQUBHMUP"],"itemData":{"id":432,"type":"article-journal","abstract":"AIMS: Actinium-225 ((225)Ac) labeled prostate-specific membrane antigen (PSMA)-617 is a novel treatment modality in the management of metastatic  castration-resistant prostate cancer (mCRPC). The present study was conducted to  assess the impact of (225)Ac-PSMA-617 therapy on the quality-of-life of patients  with heavily pretreated mCRPC using the National Comprehensive Cancer  Network-Functional Assessment of Cancer Therapy-Prostate Symptom Index-17  (NCCN-FACT-FPSI-17) questionnaire. MATERIALS AND METHODS: This was a  retrospective single-center study where data of consecutive heavily pretreated  mCRPC patients treated with (225)Ac-PSMA-617 from January 2019 to February 2020,  was collected and analyzed for the biochemical response, quality-of-life outcomes  and treatment-related toxicity. RESULTS: Eleven heavily pretreated mCRPC patients  received a median cumulative dose of 8.3 MBq (interquartile range [IQR] 5.6-20.4  MBq) (225)Ac-PSMA-617 over 1-4 cycles. 5/11 patients (46%) showed a ≥50% decline  in Prostate Specific Antigen (PSA), while stable values and PSA progression were  observed in 3/11 (27%) patients each. Pre- and post-therapy NCCN-FACT-FPSI-17  questionnaires revealed statistically significant improvement in the total FPSI  score (P = 0.003) as well as the disease-related symptoms-physical (P = 0.004)  and disease-related symptoms-emotional (P = 0.046) subscores. Among the physical  symptoms, significant improvement was noted with respect to pain, difficulty in  urination, bone pain, fatigue, and restriction in physical activity. No  significant change was noted in the treatment side-effects subscore. Of the  treatment-related adverse effects, Grade 3 dryness of the mouth, anemia, and  nephrotoxicity was observed in 1/11 patients (9%) each and Grade 3  thrombocytopenia in 2/11 patients (18%). CONCLUSION: Health-related  quality-of-life of the mCRPC patients improved significantly with  (225)Ac-PSMA-617 despite extensive pretreatment and advanced nature of the  disease.","container-title":"Indian journal of nuclear medicine : IJNM : the official journal of the Society of Nuclear Medicine, India","DOI":"10.4103/ijnm.IJNM_130_20","ISSN":"0972-3919 0974-0244","issue":"4","journalAbbreviation":"Indian J Nucl Med","language":"eng","license":"Copyright: © 2020 Indian Journal of Nuclear Medicine.","note":"publisher-place: India\nPMID: 33642753 \nPMCID: PMC7905268","page":"299-304","title":"Health-Related Quality-of-Life Outcomes with Actinium-225-Prostate-Specific Membrane Antigen-617 Therapy in Patients with Heavily Pretreated Metastatic  Castration-Resistant Prostate Cancer.","volume":"35","author":[{"family":"Satapathy","given":"Swayamjeet"},{"family":"Mittal","given":"Bhagwant Rai"},{"family":"Sood","given":"Ashwani"},{"family":"Das","given":"Chandan Krushna"},{"family":"Singh","given":"Shrawan Kumar"},{"family":"Mavuduru","given":"Ravimohan Suryanarayan"},{"family":"Bora","given":"Girdhar Singh"}],"issued":{"date-parts":[["2020",12]]}}}],"schema":"https://github.com/citation-style-language/schema/raw/master/csl-citation.json"}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(55)</w:t>
            </w:r>
            <w:r>
              <w:rPr>
                <w:rFonts w:cstheme="minorHAnsi"/>
                <w:sz w:val="18"/>
              </w:rPr>
              <w:fldChar w:fldCharType="end"/>
            </w:r>
          </w:p>
        </w:tc>
        <w:tc>
          <w:tcPr>
            <w:tcW w:w="2026" w:type="pct"/>
            <w:tcBorders>
              <w:top w:val="nil"/>
              <w:left w:val="single" w:sz="4" w:space="0" w:color="auto"/>
              <w:bottom w:val="nil"/>
            </w:tcBorders>
            <w:noWrap/>
            <w:vAlign w:val="center"/>
            <w:hideMark/>
          </w:tcPr>
          <w:p w14:paraId="144E38EB" w14:textId="77777777" w:rsidR="000A3731" w:rsidRPr="000A3731" w:rsidRDefault="000A3731" w:rsidP="000A3731">
            <w:pPr>
              <w:jc w:val="center"/>
              <w:rPr>
                <w:rFonts w:cstheme="minorHAnsi"/>
                <w:sz w:val="18"/>
                <w:lang w:val="en-GB"/>
              </w:rPr>
            </w:pPr>
            <w:r w:rsidRPr="000A3731">
              <w:rPr>
                <w:rFonts w:cstheme="minorHAnsi"/>
                <w:sz w:val="18"/>
                <w:lang w:val="en-GB"/>
              </w:rPr>
              <w:t>Treatment-related adverse effects were not clinically significant in most of the patients.</w:t>
            </w:r>
          </w:p>
        </w:tc>
        <w:tc>
          <w:tcPr>
            <w:tcW w:w="922" w:type="pct"/>
            <w:tcBorders>
              <w:top w:val="nil"/>
              <w:bottom w:val="nil"/>
            </w:tcBorders>
            <w:noWrap/>
            <w:vAlign w:val="center"/>
            <w:hideMark/>
          </w:tcPr>
          <w:p w14:paraId="17EA5309" w14:textId="77777777" w:rsidR="000A3731" w:rsidRPr="000A3731" w:rsidRDefault="000A3731" w:rsidP="000A3731">
            <w:pPr>
              <w:jc w:val="center"/>
              <w:rPr>
                <w:rFonts w:cstheme="minorHAnsi"/>
                <w:sz w:val="18"/>
                <w:lang w:val="en-GB"/>
              </w:rPr>
            </w:pPr>
            <w:r w:rsidRPr="000A3731">
              <w:rPr>
                <w:rFonts w:cstheme="minorHAnsi"/>
                <w:sz w:val="18"/>
                <w:lang w:val="en-GB"/>
              </w:rPr>
              <w:t xml:space="preserve">Safe with satisfactory toxicity. However looks greater than 177-Lu PSMA-617 </w:t>
            </w:r>
          </w:p>
        </w:tc>
        <w:tc>
          <w:tcPr>
            <w:tcW w:w="175" w:type="pct"/>
            <w:tcBorders>
              <w:top w:val="nil"/>
              <w:bottom w:val="nil"/>
            </w:tcBorders>
            <w:vAlign w:val="center"/>
          </w:tcPr>
          <w:p w14:paraId="13803493" w14:textId="77777777" w:rsidR="000A3731" w:rsidRPr="000A3731" w:rsidRDefault="000A3731" w:rsidP="000A3731">
            <w:pPr>
              <w:jc w:val="center"/>
              <w:rPr>
                <w:rFonts w:cstheme="minorHAnsi"/>
                <w:sz w:val="18"/>
                <w:lang w:val="en-GB"/>
              </w:rPr>
            </w:pPr>
            <w:r w:rsidRPr="000A3731">
              <w:rPr>
                <w:rFonts w:cstheme="minorHAnsi"/>
                <w:sz w:val="18"/>
                <w:lang w:val="en-GB"/>
              </w:rPr>
              <w:t>11</w:t>
            </w:r>
          </w:p>
        </w:tc>
        <w:tc>
          <w:tcPr>
            <w:tcW w:w="754" w:type="pct"/>
            <w:tcBorders>
              <w:top w:val="nil"/>
              <w:bottom w:val="nil"/>
            </w:tcBorders>
            <w:noWrap/>
            <w:vAlign w:val="center"/>
            <w:hideMark/>
          </w:tcPr>
          <w:p w14:paraId="386D96A3" w14:textId="77777777" w:rsidR="000A3731" w:rsidRPr="000A3731" w:rsidRDefault="000A3731" w:rsidP="000A3731">
            <w:pPr>
              <w:jc w:val="center"/>
              <w:rPr>
                <w:rFonts w:cstheme="minorHAnsi"/>
                <w:sz w:val="18"/>
                <w:lang w:val="en-GB"/>
              </w:rPr>
            </w:pPr>
            <w:r w:rsidRPr="000A3731">
              <w:rPr>
                <w:rFonts w:cstheme="minorHAnsi"/>
                <w:sz w:val="18"/>
                <w:lang w:val="en-GB"/>
              </w:rPr>
              <w:t>3 Hemato, 1 Xerostomia, 2 Nausea, 1 Nephro</w:t>
            </w:r>
          </w:p>
        </w:tc>
        <w:tc>
          <w:tcPr>
            <w:tcW w:w="689" w:type="pct"/>
            <w:tcBorders>
              <w:top w:val="nil"/>
              <w:bottom w:val="nil"/>
            </w:tcBorders>
            <w:noWrap/>
            <w:vAlign w:val="center"/>
            <w:hideMark/>
          </w:tcPr>
          <w:p w14:paraId="5F38BDA2" w14:textId="77777777" w:rsidR="000A3731" w:rsidRPr="000A3731" w:rsidRDefault="000A3731" w:rsidP="000A3731">
            <w:pPr>
              <w:jc w:val="center"/>
              <w:rPr>
                <w:rFonts w:cstheme="minorHAnsi"/>
                <w:sz w:val="18"/>
                <w:lang w:val="en-GB"/>
              </w:rPr>
            </w:pPr>
            <w:r w:rsidRPr="000A3731">
              <w:rPr>
                <w:rFonts w:cstheme="minorHAnsi"/>
                <w:sz w:val="18"/>
                <w:lang w:val="en-GB"/>
              </w:rPr>
              <w:t>3 fatigue, 2 weight loss, 3 appetite loss, 2 constipation</w:t>
            </w:r>
          </w:p>
        </w:tc>
        <w:tc>
          <w:tcPr>
            <w:tcW w:w="205" w:type="pct"/>
            <w:tcBorders>
              <w:top w:val="nil"/>
              <w:bottom w:val="nil"/>
            </w:tcBorders>
            <w:noWrap/>
            <w:vAlign w:val="center"/>
            <w:hideMark/>
          </w:tcPr>
          <w:p w14:paraId="1ECFE890"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B47BAA" w14:paraId="276CFC0C" w14:textId="77777777" w:rsidTr="000A3731">
        <w:trPr>
          <w:trHeight w:val="576"/>
        </w:trPr>
        <w:tc>
          <w:tcPr>
            <w:tcW w:w="229" w:type="pct"/>
            <w:tcBorders>
              <w:top w:val="nil"/>
              <w:right w:val="single" w:sz="4" w:space="0" w:color="auto"/>
            </w:tcBorders>
            <w:vAlign w:val="center"/>
          </w:tcPr>
          <w:p w14:paraId="584300CC" w14:textId="60FD4C64"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{"citationID":"oMHot41E","properties":{"formattedCitation":"(56)","plainCitation":"(56)","noteIndex":0},"citationItems":[{"id":178,"uris":["http://zotero.org/users/15628667/items/H2G6U5KC"],"itemData":{"id":178,"type":"article-journal","abstract":"Treatment of advanced metastatic castration-resistant prostate cancer after failure of approved therapy options remains challenging. Prostate-specific  membrane antigen (PSMA)-targeting β- and α-emitters have been introduced, with  promising response rates. Here, we present the first-to our knowledge-clinical  data for PSMA-targeted α-therapy (TAT) using (225)Ac-PSMA imaging and therapy  (I&amp;T). Methods: Fourteen patients receiving (225)Ac-PSMA-I&amp;T were included in  this retrospective analysis. Eleven of the 14 had prior second-line antiandrogen  treatment with abiraterone or enzalutamide, prior chemotherapy, and prior  (177)Lu-PSMA treatment. Patients were treated at bimonthly intervals until  progression or intolerable side effects. Prostate-specific antigen (PSA) was  measured for response assessment. Hematologic and nonhematologic side effects  were recorded according to the Common Terminology Criteria for Adverse Events,  version 5.0. Results: Thirty-four cycles of (225)Ac-PSMA-I&amp;T were applied (median  dose, 7.8 MBq; range, 6.0-8.5), with 1 cycle in 3 patients, 2 cycles in 7  patients, 4 cycles in 3 patients, and 5 cycles in 1 patient. No acute toxicity  was observed during hospitalization. Baseline PSA was 112 ng/mL (range, 20.5-818  ng/mL). The best PSA response after TAT (a PSA decline ≥ 50%) was observed in 7  patients, and a PSA decline of any amount was observed in 11 patients. Three  patients had no PSA decline at any time. A subgroup analysis of 11 patients with  prior (177)Lu-PSMA treatment showed any PSA decline in 8 patients and a decline  of at least 50% in 5 patients. After TAT, grade 3 anemia was observed in 3 of the  14 patients, with 2 of them presenting with grade 2 anemia already at baseline.  Grade 3 leukopenia was observed in 1 patient. Eight patients with preexisting  xerostomia after (177)Lu-PSMA showed no worsening after TAT. Newly diagnosed  grade 1 or 2 xerostomia after TAT was observed in 5 patients. One patient  reported no xerostomia at all. Conclusion: Our first clinical data for TAT using  (225)Ac-PSMA-I&amp;T showed a promising antitumor effect in advanced metastatic  castration-resistant prostate cancer. These results are highly comparable to data  on (225)Ac-PSMA-617 TAT.","container-title":"Journal of nuclear medicine : official publication, Society of Nuclear Medicine","DOI":"10.2967/jnumed.120.251017","ISSN":"1535-5667 0161-5505","issue":"5","journalAbbreviation":"J Nucl Med","language":"eng","license":"© 2021 by the Society of Nuclear Medicine and Molecular Imaging.","note":"publisher-place: United States\nPMID: 33008928","page":"669-674","title":"First Clinical Results for PSMA-Targeted α-Therapy Using (225)Ac-PSMA-I&amp;T in Advanced-mCRPC Patients.","volume":"62","author":[{"family":"Zacherl","given":"Mathias Johannes"},{"family":"Gildehaus","given":"Franz Josef"},{"family":"Mittlmeier","given":"Lena"},{"family":"Böning","given":"Guido"},{"family":"Gosewisch","given":"Astrid"},{"family":"Wenter","given":"Vera"},{"family":"Unterrainer","given":"Marcus"},{"family":"Schmidt-Hegemann","given":"Nina"},{"family":"Belka","given":"Claus"},{"family":"Kretschmer","given":"Alexander"},{"family":"Casuscelli","given":"Jozefina"},{"family":"Stief","given":"Christian G."},{"family":"Unterrainer","given":"Marcus"},{"family":"Bartenstein","given":"Peter"},{"family":"Todica","given":"Andrei"},{"family":"Ilhan","given":"Harun"}],"issued":{"date-parts":[["2021",5,10]]}}}],"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(56)</w:t>
            </w:r>
            <w:r>
              <w:rPr>
                <w:rFonts w:cstheme="minorHAnsi"/>
                <w:sz w:val="18"/>
              </w:rPr>
              <w:fldChar w:fldCharType="end"/>
            </w:r>
          </w:p>
        </w:tc>
        <w:tc>
          <w:tcPr>
            <w:tcW w:w="2026" w:type="pct"/>
            <w:tcBorders>
              <w:top w:val="nil"/>
              <w:left w:val="single" w:sz="4" w:space="0" w:color="auto"/>
            </w:tcBorders>
            <w:noWrap/>
            <w:vAlign w:val="center"/>
          </w:tcPr>
          <w:p w14:paraId="1D828799" w14:textId="77777777" w:rsidR="000A3731" w:rsidRPr="000A3731" w:rsidRDefault="000A3731" w:rsidP="000A3731">
            <w:pPr>
              <w:jc w:val="center"/>
              <w:rPr>
                <w:rFonts w:cstheme="minorHAnsi"/>
                <w:sz w:val="18"/>
                <w:lang w:val="en-GB"/>
              </w:rPr>
            </w:pPr>
            <w:r w:rsidRPr="000A3731">
              <w:rPr>
                <w:rFonts w:cstheme="minorHAnsi"/>
                <w:sz w:val="18"/>
                <w:lang w:val="en-GB"/>
              </w:rPr>
              <w:t>Antitumor effects are comparable to PSMA-617. hematological events Grades 3&amp;4 were rare</w:t>
            </w:r>
          </w:p>
        </w:tc>
        <w:tc>
          <w:tcPr>
            <w:tcW w:w="922" w:type="pct"/>
            <w:tcBorders>
              <w:top w:val="nil"/>
            </w:tcBorders>
            <w:noWrap/>
            <w:vAlign w:val="center"/>
          </w:tcPr>
          <w:p w14:paraId="3398CB3B"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w:t>
            </w:r>
          </w:p>
        </w:tc>
        <w:tc>
          <w:tcPr>
            <w:tcW w:w="175" w:type="pct"/>
            <w:tcBorders>
              <w:top w:val="nil"/>
            </w:tcBorders>
            <w:vAlign w:val="center"/>
          </w:tcPr>
          <w:p w14:paraId="07B95753" w14:textId="77777777" w:rsidR="000A3731" w:rsidRPr="000A3731" w:rsidRDefault="000A3731" w:rsidP="000A3731">
            <w:pPr>
              <w:jc w:val="center"/>
              <w:rPr>
                <w:rFonts w:cstheme="minorHAnsi"/>
                <w:sz w:val="18"/>
                <w:lang w:val="en-GB"/>
              </w:rPr>
            </w:pPr>
            <w:r w:rsidRPr="000A3731">
              <w:rPr>
                <w:rFonts w:cstheme="minorHAnsi"/>
                <w:sz w:val="18"/>
                <w:lang w:val="en-GB"/>
              </w:rPr>
              <w:t>14</w:t>
            </w:r>
          </w:p>
        </w:tc>
        <w:tc>
          <w:tcPr>
            <w:tcW w:w="754" w:type="pct"/>
            <w:tcBorders>
              <w:top w:val="nil"/>
            </w:tcBorders>
            <w:noWrap/>
            <w:vAlign w:val="center"/>
          </w:tcPr>
          <w:p w14:paraId="6C57CA2A" w14:textId="77777777" w:rsidR="000A3731" w:rsidRPr="000A3731" w:rsidRDefault="000A3731" w:rsidP="000A3731">
            <w:pPr>
              <w:jc w:val="center"/>
              <w:rPr>
                <w:rFonts w:cstheme="minorHAnsi"/>
                <w:sz w:val="18"/>
                <w:lang w:val="en-GB"/>
              </w:rPr>
            </w:pPr>
            <w:r w:rsidRPr="000A3731">
              <w:rPr>
                <w:rFonts w:cstheme="minorHAnsi"/>
                <w:sz w:val="18"/>
                <w:lang w:val="en-GB"/>
              </w:rPr>
              <w:t>3 Hemato</w:t>
            </w:r>
          </w:p>
        </w:tc>
        <w:tc>
          <w:tcPr>
            <w:tcW w:w="689" w:type="pct"/>
            <w:tcBorders>
              <w:top w:val="nil"/>
            </w:tcBorders>
            <w:noWrap/>
            <w:vAlign w:val="center"/>
          </w:tcPr>
          <w:p w14:paraId="7EF3A43E" w14:textId="77777777" w:rsidR="000A3731" w:rsidRPr="000A3731" w:rsidRDefault="000A3731" w:rsidP="000A3731">
            <w:pPr>
              <w:jc w:val="center"/>
              <w:rPr>
                <w:rFonts w:cstheme="minorHAnsi"/>
                <w:sz w:val="18"/>
                <w:lang w:val="en-GB"/>
              </w:rPr>
            </w:pPr>
            <w:r w:rsidRPr="000A3731">
              <w:rPr>
                <w:rFonts w:cstheme="minorHAnsi"/>
                <w:sz w:val="18"/>
                <w:lang w:val="en-GB"/>
              </w:rPr>
              <w:t>13 Xerostomia, 12 Fatigue, 9 Anorexia</w:t>
            </w:r>
          </w:p>
        </w:tc>
        <w:tc>
          <w:tcPr>
            <w:tcW w:w="205" w:type="pct"/>
            <w:tcBorders>
              <w:top w:val="nil"/>
            </w:tcBorders>
            <w:noWrap/>
            <w:vAlign w:val="center"/>
          </w:tcPr>
          <w:p w14:paraId="63F0C972" w14:textId="77777777" w:rsidR="000A3731" w:rsidRPr="000A3731" w:rsidRDefault="000A3731" w:rsidP="000A3731">
            <w:pPr>
              <w:jc w:val="center"/>
              <w:rPr>
                <w:rFonts w:cstheme="minorHAnsi"/>
                <w:sz w:val="18"/>
                <w:lang w:val="en-GB"/>
              </w:rPr>
            </w:pPr>
            <w:r w:rsidRPr="000A3731">
              <w:rPr>
                <w:rFonts w:cstheme="minorHAnsi"/>
                <w:sz w:val="18"/>
                <w:lang w:val="en-GB"/>
              </w:rPr>
              <w:t>23.6</w:t>
            </w:r>
          </w:p>
        </w:tc>
      </w:tr>
      <w:tr w:rsidR="000A3731" w:rsidRPr="00B47BAA" w14:paraId="5A49E47B" w14:textId="77777777" w:rsidTr="000A3731">
        <w:trPr>
          <w:trHeight w:val="576"/>
        </w:trPr>
        <w:tc>
          <w:tcPr>
            <w:tcW w:w="229" w:type="pct"/>
            <w:tcBorders>
              <w:right w:val="single" w:sz="4" w:space="0" w:color="auto"/>
            </w:tcBorders>
            <w:vAlign w:val="center"/>
          </w:tcPr>
          <w:p w14:paraId="1B0E25D6" w14:textId="4B7845EB" w:rsidR="000A3731" w:rsidRPr="00B47BAA" w:rsidRDefault="000A3731" w:rsidP="000A3731">
            <w:pPr>
              <w:jc w:val="center"/>
              <w:rPr>
                <w:rFonts w:cstheme="minorHAnsi"/>
                <w:sz w:val="18"/>
              </w:rPr>
            </w:pPr>
            <w:r>
              <w:rPr>
                <w:rFonts w:cstheme="minorHAnsi"/>
                <w:sz w:val="18"/>
              </w:rPr>
              <w:fldChar w:fldCharType="begin"/>
            </w:r>
            <w:r w:rsidR="008666A7">
              <w:rPr>
                <w:rFonts w:cstheme="minorHAnsi"/>
                <w:sz w:val="18"/>
                <w:lang w:val="en-GB"/>
              </w:rPr>
              <w:instrText xml:space="preserve"> ADDIN ZOTERO_ITEM CSL_CITATION {"citationID":"qoTmwVot","properties":{"formattedCitation":"(57)","plainCitation":"(57)","noteIndex":0},"citationItems":[{"id":1200,"uris":["http://zotero.org/users/15628667/items/A3ACEW3G"],"itemData":{"id":1200,"type":"article-journal","container-title":"European Journal of Nuclear Medicine and Molecular Imaging","DOI":"10.1007/s00259-019-04612-0","ISSN":"1619-7070, 1619-7089","issue":"3","journalAbbreviation":"Eur J Nucl Med Mol Imaging","language":"en","license":"http://www.springer.com/tdm","note":"publisher: Springer Science and Business Media LLC","page":"721-728","source":"Crossref","title":"225Ac-PSMA-617/177Lu-PSMA-617 tandem therapy of metastatic castration-resistant prostate cancer: pilot experience","title-short":"225Ac-PSMA-617/177Lu-PSMA-617 tandem therapy of metastatic castration-resistant prostate cancer","URL":"http://link.springer.com/10.1007/s00259-019-04612-0","volume":"47","author":[{"family":"Khreish","given":"Fadi"},{"family":"Ebert","given":"Niklas"},{"family":"Ries","given":"Martin"},{"family":"Maus","given":"Stephan"},{"family":"Rosar","given":"Florian"},{"family":"Bohnenberger","given":"Hendrik"},{"family":"Stemler","given":"Tobias"},{"family":"Saar","given":"Matthias"},{"family":"Bartholomä","given":"Mark"},{"family":"Ezziddin","given":"Samer"}],"accessed":{"date-parts":[["2025",7,25]]},"issued":{"date-parts":[["2020",3]]}}}],"schema":"https://github.com/citation-style-language/schema/raw/master/csl-citation.json"} </w:instrText>
            </w:r>
            <w:r>
              <w:rPr>
                <w:rFonts w:cstheme="minorHAnsi"/>
                <w:sz w:val="18"/>
              </w:rPr>
              <w:fldChar w:fldCharType="separate"/>
            </w:r>
            <w:r w:rsidR="008666A7" w:rsidRPr="008666A7">
              <w:rPr>
                <w:rFonts w:ascii="Calibri" w:hAnsi="Calibri" w:cs="Calibri"/>
                <w:sz w:val="18"/>
              </w:rPr>
              <w:t>(57)</w:t>
            </w:r>
            <w:r>
              <w:rPr>
                <w:rFonts w:cstheme="minorHAnsi"/>
                <w:sz w:val="18"/>
              </w:rPr>
              <w:fldChar w:fldCharType="end"/>
            </w:r>
          </w:p>
        </w:tc>
        <w:tc>
          <w:tcPr>
            <w:tcW w:w="2026" w:type="pct"/>
            <w:tcBorders>
              <w:left w:val="single" w:sz="4" w:space="0" w:color="auto"/>
            </w:tcBorders>
            <w:noWrap/>
            <w:vAlign w:val="center"/>
          </w:tcPr>
          <w:p w14:paraId="08CE558B" w14:textId="77777777" w:rsidR="000A3731" w:rsidRPr="000A3731" w:rsidRDefault="000A3731" w:rsidP="000A3731">
            <w:pPr>
              <w:jc w:val="center"/>
              <w:rPr>
                <w:rFonts w:cstheme="minorHAnsi"/>
                <w:sz w:val="18"/>
                <w:lang w:val="en-GB"/>
              </w:rPr>
            </w:pPr>
            <w:r w:rsidRPr="000A3731">
              <w:rPr>
                <w:rFonts w:cstheme="minorHAnsi"/>
                <w:sz w:val="18"/>
                <w:lang w:val="en-GB"/>
              </w:rPr>
              <w:t>A single course of tandem therapy with low-activity 225Ac-PSMA-617/full-activity 177Lu-PSMA-617 may safely enhance response to TRT in men with late-stage/end-stage mCRPC while minimizing xerostomia severity.</w:t>
            </w:r>
          </w:p>
        </w:tc>
        <w:tc>
          <w:tcPr>
            <w:tcW w:w="922" w:type="pct"/>
            <w:noWrap/>
            <w:vAlign w:val="center"/>
          </w:tcPr>
          <w:p w14:paraId="6EB45DF4" w14:textId="77777777" w:rsidR="000A3731" w:rsidRPr="000A3731" w:rsidRDefault="000A3731" w:rsidP="000A3731">
            <w:pPr>
              <w:jc w:val="center"/>
              <w:rPr>
                <w:rFonts w:cstheme="minorHAnsi"/>
                <w:sz w:val="18"/>
                <w:lang w:val="en-GB"/>
              </w:rPr>
            </w:pPr>
            <w:r w:rsidRPr="000A3731">
              <w:rPr>
                <w:rFonts w:cstheme="minorHAnsi"/>
                <w:sz w:val="18"/>
                <w:lang w:val="en-GB"/>
              </w:rPr>
              <w:t>Safe in general with acceptable toxicity. but appears greater than Lu-PSMA-617 warrants further studies</w:t>
            </w:r>
          </w:p>
        </w:tc>
        <w:tc>
          <w:tcPr>
            <w:tcW w:w="175" w:type="pct"/>
            <w:vAlign w:val="center"/>
          </w:tcPr>
          <w:p w14:paraId="18855D24" w14:textId="77777777" w:rsidR="000A3731" w:rsidRPr="00B47BAA" w:rsidRDefault="000A3731" w:rsidP="000A3731">
            <w:pPr>
              <w:jc w:val="center"/>
              <w:rPr>
                <w:rFonts w:cstheme="minorHAnsi"/>
                <w:sz w:val="18"/>
              </w:rPr>
            </w:pPr>
            <w:r>
              <w:rPr>
                <w:rFonts w:cstheme="minorHAnsi"/>
                <w:sz w:val="18"/>
              </w:rPr>
              <w:t>20</w:t>
            </w:r>
          </w:p>
        </w:tc>
        <w:tc>
          <w:tcPr>
            <w:tcW w:w="754" w:type="pct"/>
            <w:noWrap/>
            <w:vAlign w:val="center"/>
          </w:tcPr>
          <w:p w14:paraId="4F52FF86" w14:textId="77777777" w:rsidR="000A3731" w:rsidRPr="00B47BAA" w:rsidRDefault="000A3731" w:rsidP="000A3731">
            <w:pPr>
              <w:jc w:val="center"/>
              <w:rPr>
                <w:rFonts w:cstheme="minorHAnsi"/>
                <w:sz w:val="18"/>
              </w:rPr>
            </w:pPr>
            <w:r w:rsidRPr="00B47BAA">
              <w:rPr>
                <w:rFonts w:cstheme="minorHAnsi"/>
                <w:sz w:val="18"/>
              </w:rPr>
              <w:t>N/A</w:t>
            </w:r>
          </w:p>
        </w:tc>
        <w:tc>
          <w:tcPr>
            <w:tcW w:w="689" w:type="pct"/>
            <w:noWrap/>
            <w:vAlign w:val="center"/>
          </w:tcPr>
          <w:p w14:paraId="3E21A287" w14:textId="77777777" w:rsidR="000A3731" w:rsidRPr="00B47BAA" w:rsidRDefault="000A3731" w:rsidP="000A3731">
            <w:pPr>
              <w:jc w:val="center"/>
              <w:rPr>
                <w:rFonts w:cstheme="minorHAnsi"/>
                <w:sz w:val="18"/>
              </w:rPr>
            </w:pPr>
            <w:r w:rsidRPr="00B47BAA">
              <w:rPr>
                <w:rFonts w:cstheme="minorHAnsi"/>
                <w:sz w:val="18"/>
              </w:rPr>
              <w:t>13 Xerostomia, 5 fatigue, 4 Anorexia</w:t>
            </w:r>
          </w:p>
        </w:tc>
        <w:tc>
          <w:tcPr>
            <w:tcW w:w="205" w:type="pct"/>
            <w:noWrap/>
            <w:vAlign w:val="center"/>
          </w:tcPr>
          <w:p w14:paraId="2B64EFA2" w14:textId="77777777" w:rsidR="000A3731" w:rsidRPr="00B47BAA" w:rsidRDefault="000A3731" w:rsidP="000A3731">
            <w:pPr>
              <w:jc w:val="center"/>
              <w:rPr>
                <w:rFonts w:cstheme="minorHAnsi"/>
                <w:sz w:val="18"/>
              </w:rPr>
            </w:pPr>
            <w:r>
              <w:rPr>
                <w:rFonts w:cstheme="minorHAnsi"/>
                <w:sz w:val="18"/>
              </w:rPr>
              <w:t>5.5</w:t>
            </w:r>
          </w:p>
        </w:tc>
      </w:tr>
      <w:tr w:rsidR="000A3731" w:rsidRPr="00B47BAA" w14:paraId="720EE585" w14:textId="77777777" w:rsidTr="000A3731">
        <w:trPr>
          <w:trHeight w:val="576"/>
        </w:trPr>
        <w:tc>
          <w:tcPr>
            <w:tcW w:w="229" w:type="pct"/>
            <w:tcBorders>
              <w:right w:val="single" w:sz="4" w:space="0" w:color="auto"/>
            </w:tcBorders>
            <w:vAlign w:val="center"/>
          </w:tcPr>
          <w:p w14:paraId="5FCF1939" w14:textId="664617A6"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rPr>
              <w:instrText xml:space="preserve"> ADDIN ZOTERO_ITEM CSL_CITATION {"citationID":"cHtorfaN","properties":{"formattedCitation":"(58)","plainCitation":"(58)","noteIndex":0},"citationItems":[{"id":485,"uris":["http://zotero.org/users/15628667/items/QRM7LCZ6"],"itemData":{"id":485,"type":"article-journal","abstract":"Metastatic prostate carcinoma overexpresses prostate-specific membrane antigen (PSMA), making this antigen a suitable target for radioligand therapy of the  disease. Here we report on our experience with a series of 73  castration-resistant prostate carcinoma patients treated with (225)Ac-PSMA-617,  identifying variables predictive for overall survival (OS) and progression-free  survival (PFS) after (225)Ac-PSMA-617 treatment. Methods:(225)Ac-PSMA-617 was  administered to patients who had metastatic castration-resistant prostate  carcinoma and who had exhausted available therapy options for their disease. Full  blood count, glomerular filtration rate, and liver function test were obtained at  baseline and on follow-up for evaluation of toxicity. (68)Ga-PSMA PET/CT was  obtained at baseline, before every treatment cycle, and on follow-up for  selection of patients for treatment, to determine the activity of the treatment  agent to be administered, and for response assessment. Serial prostate-specific  antigen (PSA) was obtained for PSA response assessment. Results: Seventy-three  men (mean age, 69 y; range, 45-85 y) with metastatic castration-resistant  prostate carcinoma were treated with 210 cycles of (225)Ac-PSMA-617. In 70% of  patients, a PSA decline of greater than or equal to 50% was obtained; 82% of  patients had any PSA decline. In 29% of patients, all lesions on (68)Ga-PSMA PET  resolved in response to treatment. During follow-up, 23 patients experienced  disease progression, whereas 13 patients died from their disease. The estimated  median PFS and OS were 15.2 mo (95% CI, 13.1-17.4) and 18 mo (95% CI, 16.2-19.9),  respectively. In univariate analyses, factors such as baseline PSA, any PSA  decline, PSA decline of greater than or equal to 50%, prior chemotherapy, prior  radiation therapy, and baseline hemoglobin level were associated with longer PFS  and OS (all Ps &lt; 0.05). In multivariate analyses, there was a negative  association between prior (177)Lu-PSMA therapy and PFS, and a positive  association between PSA decline of greater or equal to 50% and PFS. Only a PSA  decline of greater than or equal to 50% remained significantly associated with OS  on multivariate analyses. Xerostomia was seen in 85% of patients but was not  severe enough to warrant discontinuing treatment. Anemia was seen in 27 patients;  no patients had grade IV bone marrow toxicity. Renal failure of grade III or IV  was seen in 5 patients with baseline renal impairment. Conclusion: In this study,  a PSA decline of greater than or equal to 50% afte</w:instrText>
            </w:r>
            <w:r w:rsidR="008666A7" w:rsidRPr="008666A7">
              <w:rPr>
                <w:rFonts w:cstheme="minorHAnsi"/>
                <w:sz w:val="18"/>
                <w:lang w:val="en-US"/>
              </w:rPr>
              <w:instrText xml:space="preserve">r treatment with  (225)Ac-PSMA-617 was proven by multivariate analyses to be significantly  associated with OS and PFS. Furthermore, previous (177)Lu-PSMA treatment was  negatively associated with PFS in both univariate and multivariate analyses.","container-title":"Journal of nuclear medicine : official publication, Society of Nuclear Medicine","DOI":"10.2967/jnumed.119.229229","ISSN":"1535-5667 0161-5505","issue":"1","journalAbbreviation":"J Nucl Med","language":"eng","license":"© 2020 by the Society of Nuclear Medicine and Molecular Imaging.","note":"publisher-place: United States\nPMID: 31101746","page":"62-69","title":"Predictors of Overall and Disease-Free Survival in Metastatic Castration-Resistant Prostate Cancer Patients Receiving (225)Ac-PSMA-617  Radioligand Therapy.","volume":"61","author":[{"family":"Sathekge","given":"Mike"},{"family":"Bruchertseifer","given":"Frank"},{"family":"Vorster","given":"Mariza"},{"family":"Lawal","given":"Ismaheel O."},{"family":"Knoesen","given":"Otto"},{"family":"Mahapane","given":"Johncy"},{"family":"Davis","given":"Cindy"},{"family":"Reyneke","given":"Florette"},{"family":"Maes","given":"Alex"},{"family":"Kratochwil","given":"Clemens"},{"family":"Lengana","given":"Thabo"},{"family":"Giesel","given":"Frederik L."},{"family":"Van de Wiele","given":"Christophe"},{"family":"Morgenstern","given":"Alfred"}],"issued":{"date-parts":[["2020",1]]}}}],"schema":"https://github.com/citation-style-language/schema/raw/master/csl-citation.json"}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(58)</w:t>
            </w:r>
            <w:r>
              <w:rPr>
                <w:rFonts w:cstheme="minorHAnsi"/>
                <w:sz w:val="18"/>
              </w:rPr>
              <w:fldChar w:fldCharType="end"/>
            </w:r>
          </w:p>
        </w:tc>
        <w:tc>
          <w:tcPr>
            <w:tcW w:w="2026" w:type="pct"/>
            <w:tcBorders>
              <w:left w:val="single" w:sz="4" w:space="0" w:color="auto"/>
            </w:tcBorders>
            <w:noWrap/>
            <w:vAlign w:val="center"/>
          </w:tcPr>
          <w:p w14:paraId="2707980B" w14:textId="77777777" w:rsidR="000A3731" w:rsidRPr="000A3731" w:rsidRDefault="000A3731" w:rsidP="000A3731">
            <w:pPr>
              <w:jc w:val="center"/>
              <w:rPr>
                <w:rFonts w:cstheme="minorHAnsi"/>
                <w:sz w:val="18"/>
                <w:lang w:val="en-GB"/>
              </w:rPr>
            </w:pPr>
            <w:r w:rsidRPr="000A3731">
              <w:rPr>
                <w:rFonts w:cstheme="minorHAnsi"/>
                <w:sz w:val="18"/>
                <w:lang w:val="en-GB"/>
              </w:rPr>
              <w:t>The most common toxicity was grade 1&amp;2 dry mouth. No patients had grade IV bone marrow toxicity. Renal failure of grade III or IV was seen in 5 patients with baseline renal impairment.</w:t>
            </w:r>
          </w:p>
        </w:tc>
        <w:tc>
          <w:tcPr>
            <w:tcW w:w="922" w:type="pct"/>
            <w:noWrap/>
            <w:vAlign w:val="center"/>
          </w:tcPr>
          <w:p w14:paraId="6960ACE5" w14:textId="77777777" w:rsidR="000A3731" w:rsidRPr="000A3731" w:rsidRDefault="000A3731" w:rsidP="000A3731">
            <w:pPr>
              <w:jc w:val="center"/>
              <w:rPr>
                <w:rFonts w:cstheme="minorHAnsi"/>
                <w:sz w:val="18"/>
                <w:lang w:val="en-GB"/>
              </w:rPr>
            </w:pPr>
            <w:r w:rsidRPr="000A3731">
              <w:rPr>
                <w:rFonts w:cstheme="minorHAnsi"/>
                <w:sz w:val="18"/>
                <w:lang w:val="en-GB"/>
              </w:rPr>
              <w:t>safe</w:t>
            </w:r>
          </w:p>
        </w:tc>
        <w:tc>
          <w:tcPr>
            <w:tcW w:w="175" w:type="pct"/>
            <w:vAlign w:val="center"/>
          </w:tcPr>
          <w:p w14:paraId="3CD5B14C" w14:textId="77777777" w:rsidR="000A3731" w:rsidRPr="000A3731" w:rsidRDefault="000A3731" w:rsidP="000A3731">
            <w:pPr>
              <w:jc w:val="center"/>
              <w:rPr>
                <w:rFonts w:cstheme="minorHAnsi"/>
                <w:sz w:val="18"/>
                <w:lang w:val="en-GB"/>
              </w:rPr>
            </w:pPr>
            <w:r w:rsidRPr="000A3731">
              <w:rPr>
                <w:rFonts w:cstheme="minorHAnsi"/>
                <w:sz w:val="18"/>
                <w:lang w:val="en-GB"/>
              </w:rPr>
              <w:t>73</w:t>
            </w:r>
          </w:p>
        </w:tc>
        <w:tc>
          <w:tcPr>
            <w:tcW w:w="754" w:type="pct"/>
            <w:noWrap/>
            <w:vAlign w:val="center"/>
          </w:tcPr>
          <w:p w14:paraId="6CFF7DDC" w14:textId="77777777" w:rsidR="000A3731" w:rsidRPr="000A3731" w:rsidRDefault="000A3731" w:rsidP="000A3731">
            <w:pPr>
              <w:jc w:val="center"/>
              <w:rPr>
                <w:rFonts w:cstheme="minorHAnsi"/>
                <w:sz w:val="18"/>
                <w:lang w:val="en-GB"/>
              </w:rPr>
            </w:pPr>
            <w:r w:rsidRPr="000A3731">
              <w:rPr>
                <w:rFonts w:cstheme="minorHAnsi"/>
                <w:sz w:val="18"/>
                <w:lang w:val="en-GB"/>
              </w:rPr>
              <w:t>8 Hemato, 5 Nephro</w:t>
            </w:r>
          </w:p>
        </w:tc>
        <w:tc>
          <w:tcPr>
            <w:tcW w:w="689" w:type="pct"/>
            <w:noWrap/>
            <w:vAlign w:val="center"/>
          </w:tcPr>
          <w:p w14:paraId="208C452E" w14:textId="77777777" w:rsidR="000A3731" w:rsidRPr="000A3731" w:rsidRDefault="000A3731" w:rsidP="000A3731">
            <w:pPr>
              <w:jc w:val="center"/>
              <w:rPr>
                <w:rFonts w:cstheme="minorHAnsi"/>
                <w:sz w:val="18"/>
                <w:lang w:val="en-GB"/>
              </w:rPr>
            </w:pPr>
            <w:r w:rsidRPr="000A3731">
              <w:rPr>
                <w:rFonts w:cstheme="minorHAnsi"/>
                <w:sz w:val="18"/>
                <w:lang w:val="en-GB"/>
              </w:rPr>
              <w:t>62 Xerostomia, 37 fatigue, 14 hepato,</w:t>
            </w:r>
          </w:p>
        </w:tc>
        <w:tc>
          <w:tcPr>
            <w:tcW w:w="205" w:type="pct"/>
            <w:noWrap/>
            <w:vAlign w:val="center"/>
          </w:tcPr>
          <w:p w14:paraId="4046AAB0" w14:textId="77777777" w:rsidR="000A3731" w:rsidRPr="000A3731" w:rsidRDefault="000A3731" w:rsidP="000A3731">
            <w:pPr>
              <w:jc w:val="center"/>
              <w:rPr>
                <w:rFonts w:cstheme="minorHAnsi"/>
                <w:sz w:val="18"/>
                <w:lang w:val="en-GB"/>
              </w:rPr>
            </w:pPr>
            <w:r w:rsidRPr="000A3731">
              <w:rPr>
                <w:rFonts w:cstheme="minorHAnsi"/>
                <w:sz w:val="18"/>
                <w:lang w:val="en-GB"/>
              </w:rPr>
              <w:t>36</w:t>
            </w:r>
          </w:p>
        </w:tc>
      </w:tr>
      <w:tr w:rsidR="000A3731" w:rsidRPr="0012037A" w14:paraId="26642AC7" w14:textId="77777777" w:rsidTr="000A3731">
        <w:trPr>
          <w:trHeight w:val="576"/>
        </w:trPr>
        <w:tc>
          <w:tcPr>
            <w:tcW w:w="229" w:type="pct"/>
            <w:tcBorders>
              <w:right w:val="single" w:sz="4" w:space="0" w:color="auto"/>
            </w:tcBorders>
            <w:vAlign w:val="center"/>
          </w:tcPr>
          <w:p w14:paraId="40881960" w14:textId="5FFA5088"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{"citationID":"3z6F3OPC","properties":{"formattedCitation":"(59)","plainCitation":"(59)","noteIndex":0},"citationItems":[{"id":265,"uris":["http://zotero.org/users/15628667/items/QYDPBNM6"],"itemData":{"id":265,"type":"article-journal","abstract":"Rationale: Despite the success of several standards of care treatment options in metastatic castration-resistant prostate cancer (mCRPC), a significant number of  patients attain therapeutic resistance and eventually develop disease  progression. Managing these patients are currently challenging. Hence, there is  an unmet need for further efficient therapeutic options that induce anti-tumor  activity and improve survival. The objective of this study was to assess the  safety and therapeutic efficacy of (225)Ac-PSMA-617 targeted alpha therapy (TAT)  in mCRPC patients in real-world conditions. Methods: In this prospective study,  we recruited patients with mCRPC who either were refractory to (177)Lu-PSMA-617  radioligand therapy (RLT) or did not receive previous (177)Lu-PSMA-617 RLT.  Patients were treated with (225)Ac-PSMA-617 TAT (100 KBq/Kg body weight) at  8-weekly intervals. The primary endpoint included the assessment of biochemical  response by measuring the serum prostate-specific antigen (PSA) response rate as  per the prostate cancer working group criteria (PCWG3). Secondary endpoints  comprised the estimation of overall survival (OS), progression-free survival  (PFS), molecular tumor response assessment (PERCIST 1 criteria), disease control  rate (DCR), toxicity according to CTCAE v5.0, and clinical response evaluation.  Results: A total of 28 patients were recruited for this cohort study among whom  15 (54%) received prior (177)Lu-PSMA-617 RLT and the remaining 13 (46%) patients  were (177)Lu-PSMA-617 RLT naïve. The mean age was 69.7 years (range: 46-87  years). All patients, except one, had extensive skeletal metastases on baseline  (68)Ga-PSMA-11 PET/CT scan; one patient had lymph node dominant disease and  advanced primary prostatic tumor. The mean activity administered was 26.5 ± 12  MBq (range: 9.25 - 62.9 MBq) [715.5 ± 327 µCi, range: 250 - 1700 µCi] with a  median of 3 cycles (range: 1 - 7 cycles). At 8(th) week of post first cycle of  (225)Ac-PSMA-617 therapy (initial follow-up) and the end of the follow-up, &gt;50%  decline in PSA was observed in 25% and 39%, respectively. The median PFS and OS  were 12 months (95% CI: 9 - 13 months) and 17 months (95% CI: 16 months - upper  limit not reached), respectively. Molecular tumor response by PERCIST 1 criteria  could be conducted in 22/28 (78.6%) patients, which revealed complete response in  2/22 (9%), partial response in 10/22 (45.4%) patients, 2/22 (9%) with stable  disease, and 8/22 (36%) with progressive diseases. The disease control rate,  according to the biochemical and molecular tumor response criteria, was 82% and  63.6%, respectively. Multivariate analysis revealed PSA progression as adverse  prognostic indicator of OS, and any PSA decline as a good prognostic indicator of  PFS. There was no Grade III/IV toxicity noted in this series. The most common  side-effect was transient fatigue (50%) followed by grade I/II xerostomia (29%).  Conclusion:(225)Ac-PSMA-617 TAT showed promising disease control rate, even when  all other therapeutic options were exhausted, with low treatment-related  toxicities.","container-title":"Theranostics","DOI":"10.7150/thno.48107","ISSN":"1838-7640","issue":"20","journalAbbreviation":"Theranostics","language":"eng","license":"© The author(s).","note":"publisher-place: Australia\nPMID: 32802197 \nPMCID: PMC7415797","page":"9364-9377","title":"Efficacy and safety of (225)Ac-PSMA-617 targeted alpha therapy in metastatic castration-resistant Prostate Cancer patients.","volume":"10","author":[{"family":"Yadav","given":"Madhav Prasad"},{"family":"Ballal","given":"Sanjana"},{"family":"Sahoo","given":"Ranjit Kumar"},{"family":"Tripathi","given":"Madhavi"},{"family":"Seth","given":"Amlesh"},{"family":"Bal","given":"Chandrasekhar"}],"issued":{"date-parts":[["2020"]]}}}],"schema":"https://github.com/citation-style-language/schema/raw/master/csl-citation.json"}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(59)</w:t>
            </w:r>
            <w:r>
              <w:rPr>
                <w:rFonts w:cstheme="minorHAnsi"/>
                <w:sz w:val="18"/>
              </w:rPr>
              <w:fldChar w:fldCharType="end"/>
            </w:r>
          </w:p>
        </w:tc>
        <w:tc>
          <w:tcPr>
            <w:tcW w:w="2026" w:type="pct"/>
            <w:tcBorders>
              <w:left w:val="single" w:sz="4" w:space="0" w:color="auto"/>
            </w:tcBorders>
            <w:noWrap/>
            <w:vAlign w:val="center"/>
          </w:tcPr>
          <w:p w14:paraId="40424DAB" w14:textId="77777777" w:rsidR="000A3731" w:rsidRPr="000A3731" w:rsidRDefault="000A3731" w:rsidP="000A3731">
            <w:pPr>
              <w:jc w:val="center"/>
              <w:rPr>
                <w:rFonts w:cstheme="minorHAnsi"/>
                <w:sz w:val="18"/>
                <w:lang w:val="en-GB"/>
              </w:rPr>
            </w:pPr>
            <w:r w:rsidRPr="000A3731">
              <w:rPr>
                <w:rFonts w:cstheme="minorHAnsi"/>
                <w:sz w:val="18"/>
                <w:lang w:val="en-GB"/>
              </w:rPr>
              <w:t>Low treatment-related toxicity profile. The most common side-effect was transient fatigue (50%) followed by grade I/II xerostomia (29%)</w:t>
            </w:r>
          </w:p>
        </w:tc>
        <w:tc>
          <w:tcPr>
            <w:tcW w:w="922" w:type="pct"/>
            <w:noWrap/>
            <w:vAlign w:val="center"/>
          </w:tcPr>
          <w:p w14:paraId="4AAA7223"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175" w:type="pct"/>
            <w:vAlign w:val="center"/>
          </w:tcPr>
          <w:p w14:paraId="07E97A77" w14:textId="77777777" w:rsidR="000A3731" w:rsidRPr="000A3731" w:rsidRDefault="000A3731" w:rsidP="000A3731">
            <w:pPr>
              <w:jc w:val="center"/>
              <w:rPr>
                <w:rFonts w:cstheme="minorHAnsi"/>
                <w:sz w:val="18"/>
                <w:lang w:val="en-GB"/>
              </w:rPr>
            </w:pPr>
            <w:r w:rsidRPr="000A3731">
              <w:rPr>
                <w:rFonts w:cstheme="minorHAnsi"/>
                <w:sz w:val="18"/>
                <w:lang w:val="en-GB"/>
              </w:rPr>
              <w:t>28</w:t>
            </w:r>
          </w:p>
        </w:tc>
        <w:tc>
          <w:tcPr>
            <w:tcW w:w="754" w:type="pct"/>
            <w:noWrap/>
            <w:vAlign w:val="center"/>
          </w:tcPr>
          <w:p w14:paraId="230BE13A" w14:textId="77777777" w:rsidR="000A3731" w:rsidRPr="000A3731" w:rsidRDefault="000A3731" w:rsidP="000A3731">
            <w:pPr>
              <w:jc w:val="center"/>
              <w:rPr>
                <w:rFonts w:cstheme="minorHAnsi"/>
                <w:sz w:val="18"/>
                <w:lang w:val="en-GB"/>
              </w:rPr>
            </w:pPr>
            <w:r w:rsidRPr="000A3731">
              <w:rPr>
                <w:rFonts w:cstheme="minorHAnsi"/>
                <w:sz w:val="18"/>
                <w:lang w:val="en-GB"/>
              </w:rPr>
              <w:t>1 Hemato, 1 Fatigue</w:t>
            </w:r>
          </w:p>
        </w:tc>
        <w:tc>
          <w:tcPr>
            <w:tcW w:w="689" w:type="pct"/>
            <w:noWrap/>
            <w:vAlign w:val="center"/>
          </w:tcPr>
          <w:p w14:paraId="19CC382D" w14:textId="77777777" w:rsidR="000A3731" w:rsidRPr="000A3731" w:rsidRDefault="000A3731" w:rsidP="000A3731">
            <w:pPr>
              <w:jc w:val="center"/>
              <w:rPr>
                <w:rFonts w:cstheme="minorHAnsi"/>
                <w:sz w:val="18"/>
                <w:lang w:val="en-GB"/>
              </w:rPr>
            </w:pPr>
            <w:r w:rsidRPr="000A3731">
              <w:rPr>
                <w:rFonts w:cstheme="minorHAnsi"/>
                <w:sz w:val="18"/>
                <w:lang w:val="en-GB"/>
              </w:rPr>
              <w:t>14 fatigue, 8 dry mouth,</w:t>
            </w:r>
          </w:p>
        </w:tc>
        <w:tc>
          <w:tcPr>
            <w:tcW w:w="205" w:type="pct"/>
            <w:noWrap/>
            <w:vAlign w:val="center"/>
          </w:tcPr>
          <w:p w14:paraId="4A93E279" w14:textId="77777777" w:rsidR="000A3731" w:rsidRPr="000A3731" w:rsidRDefault="000A3731" w:rsidP="000A3731">
            <w:pPr>
              <w:jc w:val="center"/>
              <w:rPr>
                <w:rFonts w:cstheme="minorHAnsi"/>
                <w:sz w:val="18"/>
                <w:lang w:val="en-GB"/>
              </w:rPr>
            </w:pPr>
          </w:p>
        </w:tc>
      </w:tr>
      <w:tr w:rsidR="000A3731" w:rsidRPr="0012037A" w14:paraId="3B4E3405" w14:textId="77777777" w:rsidTr="000A3731">
        <w:trPr>
          <w:trHeight w:val="576"/>
        </w:trPr>
        <w:tc>
          <w:tcPr>
            <w:tcW w:w="229" w:type="pct"/>
            <w:tcBorders>
              <w:right w:val="single" w:sz="4" w:space="0" w:color="auto"/>
            </w:tcBorders>
            <w:vAlign w:val="center"/>
          </w:tcPr>
          <w:p w14:paraId="6BC9E091" w14:textId="05117894"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{"citationID":"EExpWbin","properties":{"formattedCitation":"(60)","plainCitation":"(60)","noteIndex":0},"citationItems":[{"id":46,"uris":["http://zotero.org/users/15628667/items/N7BUGN98"],"itemData":{"id":46,"type":"article-journal","abstract":"BACKGROUND: A remarkable therapeutic efficacy has been demonstrated with (225)Ac-prostate-specific membrane antigen (PSMA)-617 in heavily pre-treated  metastatic castration-resistant prostate cancer (mCRPC) patients. We report our  experience with (225)Ac-PSMA-617 therapy in chemotherapy-naïve patients with  advanced metastatic prostate carcinoma. METHODS: Seventeen patients with advanced  prostate cancer were selected for treatment with (225)Ac-PSMA-617 in 2-month  intervals, with initial activity of 8 MBq, then de-escalation to 7 MBq, 6 MBq or  4 MBq in cases of good response. In one patient, activity was escalated to 13 MBq  in the third cycle. Fourteen patients had three treatment cycles administered,  while in three patients treatment was discontinued after two cycles due to good  response. Six out of 17 patients received additional treatments after the third  cycle. Prostate-specific antigen (PSA) was measured every 4 weeks for PSA  response assessment. (68)Ga-PSMA-PET/CT was used for functional response  assessment before each subsequent treatment cycle. Serial full blood count, renal  function test, and liver function were obtained to determine treatment-related  side effects. RESULTS: Good antitumor activity assessed by serum PSA level and  (68)Ga-PSMA-PET/CT was seen in 16/17 patients. In 14/17 patients, PSA decline  ≥90% was seen after treatment, including seven patients with undetectable serum  PSA following two (2/7) or three cycles (5/7) cycles of (225)Ac-PSMA-617. Fifteen  of 17 patients had a &gt; 50% decline in lesions avidity for tracer on  (68)Ga-PSMA-PET/CT including 11 patients with complete resolution (PET-negative  and either stable sclerosis on CT for bone or resolution of lymph node  metastases) of all metastatic lesions. Grade 1/2 xerostomia was seen in all  patients, and none was severe enough to lead to discontinuation of treatment. One  patient had with extensive bone marrow metastases and a background anemia  developed a grade 3 anemia while another patient with solitary kidney and  pre-treatment grade 3 renal failure developed grade 4 renal toxicity following  treatment. The group presented with significant palliation of bone pain and  reduced toxicity to salivary glands due to de-escalation. CONCLUSIONS:  (225)Ac-PSMA-617 RLT of chemotherapy-naïve patients with advanced metastatic  prostate carcinoma led to a ≥ 90% decline in serum PSA in 82% of patients  including 41% of patients with undetectable serum PSA who remained in remission  12 months after therapy. The remarkable therapeutic efficacy reported in this  study could be achieved with reduced toxicity to salivary glands due to  de-escalation of administered activities in subsequent treatment cycles. This  necessitates further exploration for informing clinical practice and clinical  trial design.","container-title":"European journal of nuclear medicine and molecular imaging","DOI":"10.1007/s00259-018-4167-0","ISSN":"1619-7089 1619-7070","issue":"1","journalAbbreviation":"Eur J Nucl Med Mol Imaging","language":"eng","note":"publisher-place: Germany\nPMID: 30232539 \nPMCID: PMC6267694","page":"129-138","title":"(225)Ac-PSMA-617 in chemotherapy-naive patients with advanced prostate cancer: a pilot study.","volume":"46","author":[{"family":"Sathekge","given":"Mike"},{"family":"Bruchertseifer","given":"Frank"},{"family":"Knoesen","given":"Otto"},{"family":"Reyneke","given":"Florette"},{"family":"Lawal","given":"Ismaheel"},{"family":"Lengana","given":"Thabo"},{"family":"Davis","given":"Cindy"},{"family":"Mahapane","given":"Johncy"},{"family":"Corbett","given":"Ceceila"},{"family":"Vorster","given":"Mariza"},{"family":"Morgenstern","given":"Alfred"}],"issued":{"date-parts":[["2019",1]]}}}],"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(60)</w:t>
            </w:r>
            <w:r>
              <w:rPr>
                <w:rFonts w:cstheme="minorHAnsi"/>
                <w:sz w:val="18"/>
              </w:rPr>
              <w:fldChar w:fldCharType="end"/>
            </w:r>
          </w:p>
        </w:tc>
        <w:tc>
          <w:tcPr>
            <w:tcW w:w="2026" w:type="pct"/>
            <w:tcBorders>
              <w:left w:val="single" w:sz="4" w:space="0" w:color="auto"/>
            </w:tcBorders>
            <w:noWrap/>
            <w:vAlign w:val="center"/>
          </w:tcPr>
          <w:p w14:paraId="3AB9176F" w14:textId="77777777" w:rsidR="000A3731" w:rsidRPr="000A3731" w:rsidRDefault="000A3731" w:rsidP="000A3731">
            <w:pPr>
              <w:jc w:val="center"/>
              <w:rPr>
                <w:rFonts w:cstheme="minorHAnsi"/>
                <w:sz w:val="18"/>
                <w:lang w:val="en-GB"/>
              </w:rPr>
            </w:pPr>
            <w:r w:rsidRPr="000A3731">
              <w:rPr>
                <w:rFonts w:cstheme="minorHAnsi"/>
                <w:sz w:val="18"/>
                <w:lang w:val="en-GB"/>
              </w:rPr>
              <w:t xml:space="preserve">No treatment discontinuation due to TAT adverse events. Grade 3 hemato- &amp; nephrological toxicities occurred in two patients with previous bone marrow and renal impairment, respectively </w:t>
            </w:r>
          </w:p>
        </w:tc>
        <w:tc>
          <w:tcPr>
            <w:tcW w:w="922" w:type="pct"/>
            <w:noWrap/>
            <w:vAlign w:val="center"/>
          </w:tcPr>
          <w:p w14:paraId="69C4C16F" w14:textId="77777777" w:rsidR="000A3731" w:rsidRPr="000A3731" w:rsidRDefault="000A3731" w:rsidP="000A3731">
            <w:pPr>
              <w:jc w:val="center"/>
              <w:rPr>
                <w:rFonts w:cstheme="minorHAnsi"/>
                <w:sz w:val="18"/>
                <w:lang w:val="en-GB"/>
              </w:rPr>
            </w:pPr>
            <w:r w:rsidRPr="000A3731">
              <w:rPr>
                <w:rFonts w:cstheme="minorHAnsi"/>
                <w:sz w:val="18"/>
                <w:lang w:val="en-GB"/>
              </w:rPr>
              <w:t>Safe, Dose de-escalation strategy reduced the high-grade Xerostomia</w:t>
            </w:r>
          </w:p>
        </w:tc>
        <w:tc>
          <w:tcPr>
            <w:tcW w:w="175" w:type="pct"/>
            <w:vAlign w:val="center"/>
          </w:tcPr>
          <w:p w14:paraId="3C3D9D6F" w14:textId="77777777" w:rsidR="000A3731" w:rsidRPr="000A3731" w:rsidRDefault="000A3731" w:rsidP="000A3731">
            <w:pPr>
              <w:jc w:val="center"/>
              <w:rPr>
                <w:rFonts w:cstheme="minorHAnsi"/>
                <w:sz w:val="18"/>
                <w:lang w:val="en-GB"/>
              </w:rPr>
            </w:pPr>
            <w:r w:rsidRPr="000A3731">
              <w:rPr>
                <w:rFonts w:cstheme="minorHAnsi"/>
                <w:sz w:val="18"/>
                <w:lang w:val="en-GB"/>
              </w:rPr>
              <w:t>17</w:t>
            </w:r>
          </w:p>
        </w:tc>
        <w:tc>
          <w:tcPr>
            <w:tcW w:w="754" w:type="pct"/>
            <w:noWrap/>
            <w:vAlign w:val="center"/>
          </w:tcPr>
          <w:p w14:paraId="22CD8A8F" w14:textId="77777777" w:rsidR="000A3731" w:rsidRPr="000A3731" w:rsidRDefault="000A3731" w:rsidP="000A3731">
            <w:pPr>
              <w:jc w:val="center"/>
              <w:rPr>
                <w:rFonts w:cstheme="minorHAnsi"/>
                <w:sz w:val="18"/>
                <w:lang w:val="en-GB"/>
              </w:rPr>
            </w:pPr>
            <w:r w:rsidRPr="000A3731">
              <w:rPr>
                <w:rFonts w:cstheme="minorHAnsi"/>
                <w:sz w:val="18"/>
                <w:lang w:val="en-GB"/>
              </w:rPr>
              <w:t>1 Hemato, 1 Nephro</w:t>
            </w:r>
          </w:p>
        </w:tc>
        <w:tc>
          <w:tcPr>
            <w:tcW w:w="689" w:type="pct"/>
            <w:noWrap/>
            <w:vAlign w:val="center"/>
          </w:tcPr>
          <w:p w14:paraId="4249649E" w14:textId="77777777" w:rsidR="000A3731" w:rsidRPr="000A3731" w:rsidRDefault="000A3731" w:rsidP="000A3731">
            <w:pPr>
              <w:jc w:val="center"/>
              <w:rPr>
                <w:rFonts w:cstheme="minorHAnsi"/>
                <w:sz w:val="18"/>
                <w:lang w:val="en-GB"/>
              </w:rPr>
            </w:pPr>
            <w:r w:rsidRPr="000A3731">
              <w:rPr>
                <w:rFonts w:cstheme="minorHAnsi"/>
                <w:sz w:val="18"/>
                <w:lang w:val="en-GB"/>
              </w:rPr>
              <w:t>17 Xerostomia</w:t>
            </w:r>
          </w:p>
        </w:tc>
        <w:tc>
          <w:tcPr>
            <w:tcW w:w="205" w:type="pct"/>
            <w:noWrap/>
            <w:vAlign w:val="center"/>
          </w:tcPr>
          <w:p w14:paraId="14A5E4FB" w14:textId="77777777" w:rsidR="000A3731" w:rsidRPr="000A3731" w:rsidRDefault="000A3731" w:rsidP="000A3731">
            <w:pPr>
              <w:jc w:val="center"/>
              <w:rPr>
                <w:rFonts w:cstheme="minorHAnsi"/>
                <w:sz w:val="18"/>
                <w:lang w:val="en-GB"/>
              </w:rPr>
            </w:pPr>
            <w:r w:rsidRPr="000A3731">
              <w:rPr>
                <w:rFonts w:cstheme="minorHAnsi"/>
                <w:sz w:val="18"/>
                <w:lang w:val="en-GB"/>
              </w:rPr>
              <w:t>13(11-15)</w:t>
            </w:r>
          </w:p>
        </w:tc>
      </w:tr>
      <w:tr w:rsidR="000A3731" w:rsidRPr="00B47BAA" w14:paraId="61492F01" w14:textId="77777777" w:rsidTr="000A3731">
        <w:trPr>
          <w:trHeight w:val="576"/>
        </w:trPr>
        <w:tc>
          <w:tcPr>
            <w:tcW w:w="229" w:type="pct"/>
            <w:tcBorders>
              <w:right w:val="single" w:sz="4" w:space="0" w:color="auto"/>
            </w:tcBorders>
            <w:vAlign w:val="center"/>
          </w:tcPr>
          <w:p w14:paraId="422E7E8E" w14:textId="7369EB79" w:rsidR="000A3731" w:rsidRPr="000A3731" w:rsidRDefault="000A3731" w:rsidP="000A3731">
            <w:pPr>
              <w:jc w:val="center"/>
              <w:rPr>
                <w:rFonts w:cstheme="minorHAnsi"/>
                <w:sz w:val="18"/>
                <w:lang w:val="en-GB"/>
              </w:rPr>
            </w:pPr>
            <w:r>
              <w:rPr>
                <w:rFonts w:cstheme="minorHAnsi"/>
                <w:sz w:val="18"/>
              </w:rPr>
              <w:lastRenderedPageBreak/>
              <w:fldChar w:fldCharType="begin"/>
            </w:r>
            <w:r w:rsidR="008666A7">
              <w:rPr>
                <w:rFonts w:cstheme="minorHAnsi"/>
                <w:sz w:val="18"/>
                <w:lang w:val="en-GB"/>
              </w:rPr>
              <w:instrText xml:space="preserve"> ADDIN ZOTERO_ITEM CSL_CITATION {"citationID":"jqgW4RP9","properties":{"formattedCitation":"(61)","plainCitation":"(61)","noteIndex":0},"citationItems":[{"id":542,"uris":["http://zotero.org/users/15628667/items/RSQPSECF"],"itemData":{"id":542,"type":"article-journal","abstract":"The aim of this evaluation was to identify the first indicators of efficacy for (225)Ac-labeled prostate-specific membrane antigen (PSMA)-617 therapy in a  retrospectively analyzed group of patients. Methods: Forty patients with  metastatic castration-resistant prostate cancer were selected for treatment with  three 100 kBq/kg cycles of (225)Ac-PSMA-617 at 2-mo intervals. Prostate-specific  antigen (PSA) and blood cell count were measured every 4 wk. PSMA PET/CT or PSMA  SPECT/CT were used for baseline staging and imaging follow-up at month 6.  Follow-up included the duration of PSA response and radiologic progression-free  survival at month 6. Patient histories were reviewed for the duration of previous  treatment lines, and a swimmer plot was used to intraindividually compare the  duration of tumor control by PSMA therapy versus prior treatment modalities.  Results: Thirty-one of 40 patients were treated per protocol. Five patients  discontinued treatment because of nonresponse, and 4 because of xerostomia. Of  the 38 patients surviving at least 8 wk, 24 (63%) had a PSA decline of more than  50%, and 33 (87%) had a PSA response of any degree. The median duration of tumor  control under (225)Ac-PSMA-617 last-line therapy was 9.0 mo; 5 patients had an  enduring response of more than 2 y. Because all patients had advanced disease,  this result compares favorably with the tumor control rates associated with  earlier-phase disease; the most common preceding first-, second-, third-, and  fourth-line therapies were abiraterone (median duration 10.0 mo), docetaxel (6.5  mo), enzalutamide (6.5 mo), and cabazitaxel (6.0 mo), respectively. Conclusion: A  positive response for surrogate parameters demonstrates remarkable antitumor  activity for (225)Ac-PSMA-617. Swimmer-plot analysis indicates a promising  duration of tumor control, especially considering the unfavorable prognostic  profile of the selected advanced-stage patients. Xerostomia was the main reason  patients discontinued therapy or refused additional administrations and was in  the same dimension as nonresponse; this finding indicates that further  modifications of the treatment regimen with regard to side effects might be  necessary to further enhance the therapeutic range.","container-title":"Journal of nuclear medicine : official publication, Society of Nuclear Medicine","DOI":"10.2967/jnumed.117.203539","ISSN":"1535-5667 0161-5505","issue":"5","journalAbbreviation":"J Nucl Med","language":"eng","license":"© 2018 by the Society of Nuclear Medicine and Molecular Imaging.","note":"publisher-place: United States\nPMID: 29326358","page":"795-802","title":"Targeted α-Therapy of Metastatic Castration-Resistant Prostate Cancer with (225)Ac-PSMA-617: Swimmer-Plot Analysis Suggests Efficacy Regarding Duration of  Tumor Control.","volume":"59","author":[{"family":"Kratochwil","given":"Clemens"},{"family":"Bruchertseifer","given":"Frank"},{"family":"Rathke","given":"Hendrik"},{"family":"Hohenfellner","given":"Markus"},{"family":"Giesel","given":"Frederik L."},{"family":"Haberkorn","given":"Uwe"},{"family":"Morgenstern","given":"Alfred"}],"issued":{"date-parts":[["2018",5]]}}}],"schema":"https://github.com/citation-style-language/schema/raw/master/csl-citation.json"}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(61)</w:t>
            </w:r>
            <w:r>
              <w:rPr>
                <w:rFonts w:cstheme="minorHAnsi"/>
                <w:sz w:val="18"/>
              </w:rPr>
              <w:fldChar w:fldCharType="end"/>
            </w:r>
          </w:p>
        </w:tc>
        <w:tc>
          <w:tcPr>
            <w:tcW w:w="2026" w:type="pct"/>
            <w:tcBorders>
              <w:left w:val="single" w:sz="4" w:space="0" w:color="auto"/>
            </w:tcBorders>
            <w:vAlign w:val="center"/>
          </w:tcPr>
          <w:p w14:paraId="0CB9E628" w14:textId="77777777" w:rsidR="000A3731" w:rsidRPr="000A3731" w:rsidRDefault="000A3731" w:rsidP="000A3731">
            <w:pPr>
              <w:jc w:val="center"/>
              <w:rPr>
                <w:rFonts w:cstheme="minorHAnsi"/>
                <w:sz w:val="18"/>
                <w:lang w:val="en-GB"/>
              </w:rPr>
            </w:pPr>
            <w:r w:rsidRPr="000A3731">
              <w:rPr>
                <w:rFonts w:cstheme="minorHAnsi"/>
                <w:sz w:val="18"/>
                <w:lang w:val="en-GB"/>
              </w:rPr>
              <w:t>Intolerable xerostomia in some patients is a major issue</w:t>
            </w:r>
          </w:p>
        </w:tc>
        <w:tc>
          <w:tcPr>
            <w:tcW w:w="922" w:type="pct"/>
            <w:noWrap/>
            <w:vAlign w:val="center"/>
          </w:tcPr>
          <w:p w14:paraId="52BF3478" w14:textId="77777777" w:rsidR="000A3731" w:rsidRPr="000A3731" w:rsidRDefault="000A3731" w:rsidP="000A3731">
            <w:pPr>
              <w:jc w:val="center"/>
              <w:rPr>
                <w:rFonts w:cstheme="minorHAnsi"/>
                <w:sz w:val="18"/>
                <w:lang w:val="en-GB"/>
              </w:rPr>
            </w:pPr>
            <w:r w:rsidRPr="000A3731">
              <w:rPr>
                <w:rFonts w:cstheme="minorHAnsi"/>
                <w:sz w:val="18"/>
                <w:lang w:val="en-GB"/>
              </w:rPr>
              <w:t>Overall safe with acceptable toxicity</w:t>
            </w:r>
          </w:p>
        </w:tc>
        <w:tc>
          <w:tcPr>
            <w:tcW w:w="175" w:type="pct"/>
            <w:vAlign w:val="center"/>
          </w:tcPr>
          <w:p w14:paraId="0C4CB251" w14:textId="77777777" w:rsidR="000A3731" w:rsidRPr="000A3731" w:rsidRDefault="000A3731" w:rsidP="000A3731">
            <w:pPr>
              <w:jc w:val="center"/>
              <w:rPr>
                <w:rFonts w:cstheme="minorHAnsi"/>
                <w:sz w:val="18"/>
                <w:lang w:val="en-GB"/>
              </w:rPr>
            </w:pPr>
            <w:r w:rsidRPr="000A3731">
              <w:rPr>
                <w:rFonts w:cstheme="minorHAnsi"/>
                <w:sz w:val="18"/>
                <w:lang w:val="en-GB"/>
              </w:rPr>
              <w:t>40</w:t>
            </w:r>
          </w:p>
        </w:tc>
        <w:tc>
          <w:tcPr>
            <w:tcW w:w="754" w:type="pct"/>
            <w:noWrap/>
            <w:vAlign w:val="center"/>
          </w:tcPr>
          <w:p w14:paraId="75619547" w14:textId="77777777" w:rsidR="000A3731" w:rsidRPr="000A3731" w:rsidRDefault="000A3731" w:rsidP="000A3731">
            <w:pPr>
              <w:jc w:val="center"/>
              <w:rPr>
                <w:rFonts w:cstheme="minorHAnsi"/>
                <w:sz w:val="18"/>
                <w:lang w:val="en-GB"/>
              </w:rPr>
            </w:pPr>
            <w:r w:rsidRPr="000A3731">
              <w:rPr>
                <w:rFonts w:cstheme="minorHAnsi"/>
                <w:sz w:val="18"/>
                <w:lang w:val="en-GB"/>
              </w:rPr>
              <w:t>19 Xerostomia</w:t>
            </w:r>
          </w:p>
        </w:tc>
        <w:tc>
          <w:tcPr>
            <w:tcW w:w="689" w:type="pct"/>
            <w:noWrap/>
            <w:vAlign w:val="center"/>
          </w:tcPr>
          <w:p w14:paraId="3BA8CC6A"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noWrap/>
            <w:vAlign w:val="center"/>
          </w:tcPr>
          <w:p w14:paraId="55B6CFA7" w14:textId="77777777" w:rsidR="000A3731" w:rsidRPr="000A3731" w:rsidRDefault="000A3731" w:rsidP="000A3731">
            <w:pPr>
              <w:jc w:val="center"/>
              <w:rPr>
                <w:rFonts w:cstheme="minorHAnsi"/>
                <w:sz w:val="18"/>
                <w:lang w:val="en-GB"/>
              </w:rPr>
            </w:pPr>
            <w:r w:rsidRPr="000A3731">
              <w:rPr>
                <w:rFonts w:cstheme="minorHAnsi"/>
                <w:sz w:val="18"/>
                <w:lang w:val="en-GB"/>
              </w:rPr>
              <w:t xml:space="preserve">12 </w:t>
            </w:r>
          </w:p>
        </w:tc>
      </w:tr>
      <w:tr w:rsidR="000A3731" w:rsidRPr="00B47BAA" w14:paraId="38D528FC" w14:textId="77777777" w:rsidTr="000A3731">
        <w:trPr>
          <w:trHeight w:val="576"/>
        </w:trPr>
        <w:tc>
          <w:tcPr>
            <w:tcW w:w="229" w:type="pct"/>
            <w:tcBorders>
              <w:right w:val="single" w:sz="4" w:space="0" w:color="auto"/>
            </w:tcBorders>
            <w:vAlign w:val="center"/>
          </w:tcPr>
          <w:p w14:paraId="4F9D246F" w14:textId="2691FB59" w:rsidR="000A3731" w:rsidRPr="000A3731" w:rsidRDefault="000A3731" w:rsidP="000A3731">
            <w:pPr>
              <w:jc w:val="center"/>
              <w:rPr>
                <w:rFonts w:cstheme="minorHAnsi"/>
                <w:sz w:val="18"/>
                <w:lang w:val="en-GB"/>
              </w:rPr>
            </w:pPr>
            <w:r>
              <w:rPr>
                <w:rFonts w:cstheme="minorHAnsi"/>
                <w:sz w:val="18"/>
              </w:rPr>
              <w:fldChar w:fldCharType="begin"/>
            </w:r>
            <w:r w:rsidR="00D829EB">
              <w:rPr>
                <w:rFonts w:cstheme="minorHAnsi"/>
                <w:sz w:val="18"/>
                <w:lang w:val="en-GB"/>
              </w:rPr>
              <w:instrText xml:space="preserve"> ADDIN ZOTERO_ITEM CSL_CITATION {"citationID":"fE9x3mno","properties":{"formattedCitation":"(36)","plainCitation":"(36)","noteIndex":0},"citationItems":[{"id":481,"uris":["http://zotero.org/users/15628667/items/USNRZF8T"],"itemData":{"id":481,"type":"article-journal","abstract":"The aim of this study was to develop a treatment protocol for (225)Ac-PSMA-617 α-radiation therapy in advanced-stage, metastatic castration-resistant prostate  cancer patients with prostate-specific membrane antigen (PSMA)-positive tumor  phenotype. Methods: A dosimetry estimate was calculated on the basis of  time-activity curves derived from serially obtained (177)Lu-PSMA-617 scans  extrapolated to the physical half-life of (225)Ac, assuming instant decay of  unstable daughter nuclides. Salvage therapies empirically conducted with 50 (n =  4), 100 (n = 4), 150 (n = 2), and 200 kBq/kg (n = 4) of (225)Ac-PSMA-617 were  evaluated retrospectively regarding toxicity and treatment response. Eight of 14  patients received further cycles in either 2- or 4-mo intervals with identical or  deescalated activities. Results: Dosimetry estimates for 1 MBq of  (225)Ac-PSMA-617 assuming a relative biologic effectiveness of 5 revealed mean  doses of 2.3 Sv for salivary glands, 0.7 Sv for kidneys, and 0.05 Sv for red  marrow that are composed of 99.4% α, 0.5% β, and 0.1% photon radiation,  respectively. In clinical application, severe xerostomia became the dose-limiting  toxicity if treatment activity exceeded 100 kBq/kg per cycle. At 100 kBq/kg, the  duration of prostate-specific antigen decline was less than 4 mo, but if therapy  was repeated every 2 mo patients experienced additive antitumor effects.  Treatment activities of 50 kBq/kg were without toxicity but induced insufficient  antitumor response in these high-tumor-burden patients. Remarkable antitumor  activity by means of objective radiologic response or tumor marker decline was  observed in 9 of 11 evaluable patients. Conclusion: For advanced-stage patients,  a treatment activity of 100 kBq/kg of (225)Ac-PSMA-617 per cycle repeated every 8  wk presents a reasonable trade-off between toxicity and biochemical response.","container-title":"Journal of nuclear medicine : official publication, Society of Nuclear Medicine","DOI":"10.2967/jnumed.117.191395","ISSN":"1535-5667 0161-5505","issue":"10","journalAbbreviation":"J Nucl Med","language":"eng","license":"© 2017 by the Society of Nuclear Medicine and Molecular Imaging.","note":"publisher-place: United States\nPMID: 28408529","page":"1624-1631","title":"Targeted α-Therapy of Metastatic Castration-Resistant Prostate Cancer with (225)Ac-PSMA-617: Dosimetry Estimate and Empiric Dose Finding.","volume":"58","author":[{"family":"Kratochwil","given":"Clemens"},{"family":"Bruchertseifer","given":"Frank"},{"family":"Rathke","given":"Hendrik"},{"family":"Bronzel","given":"Marcus"},{"family":"Apostolidis","given":"Christos"},{"family":"Weichert","given":"Wilko"},{"family":"Haberkorn","given":"Uwe"},{"family":"Giesel","given":"Frederik L."},{"family":"Morgenstern","given":"Alfred"}],"issued":{"date-parts":[["2017",10]]}}}],"schema":"https://github.com/citation-style-language/schema/raw/master/csl-citation.json"} </w:instrText>
            </w:r>
            <w:r>
              <w:rPr>
                <w:rFonts w:cstheme="minorHAnsi"/>
                <w:sz w:val="18"/>
              </w:rPr>
              <w:fldChar w:fldCharType="separate"/>
            </w:r>
            <w:r w:rsidR="00D829EB" w:rsidRPr="00D829EB">
              <w:rPr>
                <w:rFonts w:ascii="Calibri" w:hAnsi="Calibri" w:cs="Calibri"/>
                <w:sz w:val="18"/>
                <w:lang w:val="en-US"/>
              </w:rPr>
              <w:t>(36)</w:t>
            </w:r>
            <w:r>
              <w:rPr>
                <w:rFonts w:cstheme="minorHAnsi"/>
                <w:sz w:val="18"/>
              </w:rPr>
              <w:fldChar w:fldCharType="end"/>
            </w:r>
          </w:p>
        </w:tc>
        <w:tc>
          <w:tcPr>
            <w:tcW w:w="2026" w:type="pct"/>
            <w:tcBorders>
              <w:left w:val="single" w:sz="4" w:space="0" w:color="auto"/>
            </w:tcBorders>
            <w:noWrap/>
            <w:vAlign w:val="center"/>
          </w:tcPr>
          <w:p w14:paraId="5A8BA5D1" w14:textId="77777777" w:rsidR="000A3731" w:rsidRPr="000A3731" w:rsidRDefault="000A3731" w:rsidP="000A3731">
            <w:pPr>
              <w:jc w:val="center"/>
              <w:rPr>
                <w:rFonts w:cstheme="minorHAnsi"/>
                <w:sz w:val="18"/>
                <w:lang w:val="en-GB"/>
              </w:rPr>
            </w:pPr>
            <w:r w:rsidRPr="000A3731">
              <w:rPr>
                <w:rFonts w:cstheme="minorHAnsi"/>
                <w:sz w:val="18"/>
                <w:lang w:val="en-GB"/>
              </w:rPr>
              <w:t>Most of the high-grade adverse events reported in the patients with prior reduced bone marrow reserve due to either previous therapy or extensive metastases</w:t>
            </w:r>
          </w:p>
        </w:tc>
        <w:tc>
          <w:tcPr>
            <w:tcW w:w="922" w:type="pct"/>
            <w:noWrap/>
            <w:vAlign w:val="center"/>
          </w:tcPr>
          <w:p w14:paraId="3A65278E" w14:textId="77777777" w:rsidR="000A3731" w:rsidRPr="000A3731" w:rsidRDefault="000A3731" w:rsidP="000A3731">
            <w:pPr>
              <w:jc w:val="center"/>
              <w:rPr>
                <w:rFonts w:cstheme="minorHAnsi"/>
                <w:sz w:val="18"/>
                <w:lang w:val="en-GB"/>
              </w:rPr>
            </w:pPr>
            <w:r w:rsidRPr="000A3731">
              <w:rPr>
                <w:rFonts w:cstheme="minorHAnsi"/>
                <w:sz w:val="18"/>
                <w:lang w:val="en-GB"/>
              </w:rPr>
              <w:t>Safe depending on administered dose, especially regarding Xerostomia(recommended safe dose: 0,1</w:t>
            </w:r>
            <w:r w:rsidRPr="000A3731">
              <w:rPr>
                <w:lang w:val="en-GB"/>
              </w:rPr>
              <w:t xml:space="preserve"> </w:t>
            </w:r>
            <w:r w:rsidRPr="000A3731">
              <w:rPr>
                <w:rFonts w:cstheme="minorHAnsi"/>
                <w:sz w:val="18"/>
                <w:lang w:val="en-GB"/>
              </w:rPr>
              <w:t>MBq/kg per cycle)</w:t>
            </w:r>
          </w:p>
        </w:tc>
        <w:tc>
          <w:tcPr>
            <w:tcW w:w="175" w:type="pct"/>
            <w:vAlign w:val="center"/>
          </w:tcPr>
          <w:p w14:paraId="55AB4A40" w14:textId="77777777" w:rsidR="000A3731" w:rsidRPr="000A3731" w:rsidRDefault="000A3731" w:rsidP="000A3731">
            <w:pPr>
              <w:jc w:val="center"/>
              <w:rPr>
                <w:rFonts w:cstheme="minorHAnsi"/>
                <w:sz w:val="18"/>
                <w:lang w:val="en-GB"/>
              </w:rPr>
            </w:pPr>
            <w:r w:rsidRPr="000A3731">
              <w:rPr>
                <w:rFonts w:cstheme="minorHAnsi"/>
                <w:sz w:val="18"/>
                <w:lang w:val="en-GB"/>
              </w:rPr>
              <w:t>14</w:t>
            </w:r>
          </w:p>
        </w:tc>
        <w:tc>
          <w:tcPr>
            <w:tcW w:w="754" w:type="pct"/>
            <w:noWrap/>
            <w:vAlign w:val="center"/>
          </w:tcPr>
          <w:p w14:paraId="274C6706" w14:textId="77777777" w:rsidR="000A3731" w:rsidRPr="000A3731" w:rsidRDefault="000A3731" w:rsidP="000A3731">
            <w:pPr>
              <w:jc w:val="center"/>
              <w:rPr>
                <w:rFonts w:cstheme="minorHAnsi"/>
                <w:sz w:val="18"/>
                <w:lang w:val="en-GB"/>
              </w:rPr>
            </w:pPr>
            <w:r w:rsidRPr="000A3731">
              <w:rPr>
                <w:rFonts w:cstheme="minorHAnsi"/>
                <w:sz w:val="18"/>
                <w:lang w:val="en-GB"/>
              </w:rPr>
              <w:t>4 Hemato</w:t>
            </w:r>
          </w:p>
        </w:tc>
        <w:tc>
          <w:tcPr>
            <w:tcW w:w="689" w:type="pct"/>
            <w:noWrap/>
            <w:vAlign w:val="center"/>
          </w:tcPr>
          <w:p w14:paraId="391908A1" w14:textId="77777777" w:rsidR="000A3731" w:rsidRPr="000A3731" w:rsidRDefault="000A3731" w:rsidP="000A3731">
            <w:pPr>
              <w:jc w:val="center"/>
              <w:rPr>
                <w:rFonts w:cstheme="minorHAnsi"/>
                <w:sz w:val="18"/>
                <w:lang w:val="en-GB"/>
              </w:rPr>
            </w:pPr>
            <w:r w:rsidRPr="000A3731">
              <w:rPr>
                <w:rFonts w:cstheme="minorHAnsi"/>
                <w:sz w:val="18"/>
                <w:lang w:val="en-GB"/>
              </w:rPr>
              <w:t>8 Xerostomia, 2 hemato, 1 fatigue, 1 Xerophthalmia</w:t>
            </w:r>
          </w:p>
        </w:tc>
        <w:tc>
          <w:tcPr>
            <w:tcW w:w="205" w:type="pct"/>
            <w:noWrap/>
            <w:vAlign w:val="center"/>
          </w:tcPr>
          <w:p w14:paraId="106CCBDA"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585FD4" w14:paraId="00B31926" w14:textId="77777777" w:rsidTr="000A3731">
        <w:trPr>
          <w:trHeight w:val="576"/>
        </w:trPr>
        <w:tc>
          <w:tcPr>
            <w:tcW w:w="229" w:type="pct"/>
            <w:tcBorders>
              <w:right w:val="single" w:sz="4" w:space="0" w:color="auto"/>
            </w:tcBorders>
            <w:vAlign w:val="center"/>
          </w:tcPr>
          <w:p w14:paraId="64922DA0" w14:textId="17DDC467" w:rsidR="000A3731" w:rsidRDefault="000A3731" w:rsidP="000A3731">
            <w:pPr>
              <w:jc w:val="center"/>
              <w:rPr>
                <w:rFonts w:cstheme="minorHAnsi"/>
                <w:sz w:val="18"/>
              </w:rPr>
            </w:pPr>
            <w:r>
              <w:rPr>
                <w:rFonts w:cstheme="minorHAnsi"/>
                <w:sz w:val="18"/>
              </w:rPr>
              <w:fldChar w:fldCharType="begin"/>
            </w:r>
            <w:r w:rsidR="008666A7">
              <w:rPr>
                <w:rFonts w:cstheme="minorHAnsi"/>
                <w:sz w:val="18"/>
                <w:lang w:val="en-GB"/>
              </w:rPr>
              <w:instrText xml:space="preserve"> ADDIN ZOTERO_ITEM CSL_CITATION {"citationID":"thDbDEqa","properties":{"formattedCitation":"(62)","plainCitation":"(62)","noteIndex":0},"citationItems":[{"id":167,"uris":["http://zotero.org/users/15628667/items/JDSMV9AD"],"itemData":{"id":167,"type":"article-journal","abstract":"Prostate-specific membrane antigen (PSMA) is a promising target in prostate cancer. Recently, we started the first-in-human treatment with an  α-radionuclide-labeled PSMA ligand. Although the case series is still ongoing, we  here report in advance about two patients in highly challenging clinical  situations who showed a complete response to (225)Ac-PSMA-617 therapy. METHODS:  (68)Ga-PSMA-11 PET/CT validated the presence of the PSMA-positive tumor  phenotype. A 100-kBq activity of (225)Ac-PSMA-617 per kilogram of body weight was  administered bimonthly. Prostate-specific antigen response and hematologic  toxicity were measured at least every 4 wk. Restaging was performed with  (68)Ga-PSMA-11 PET/CT. RESULTS: Both patients experienced a prostate-specific  antigen decline to below the measurable level and showed a complete response on  imaging. No relevant hematologic toxicity was observed. Xerostomia was the only  mentionable clinical side effect. CONCLUSION: Targeted α-therapy with  (225)Ac-PSMA-617, although still experimental, obviously has strong potential to  significantly benefit advanced-stage prostate cancer patients.","container-title":"Journal of nuclear medicine : official publication, Society of Nuclear Medicine","DOI":"10.2967/jnumed.116.178673","ISSN":"1535-5667 0161-5505","issue":"12","journalAbbreviation":"J Nucl Med","language":"eng","license":"© 2016 by the Society of Nuclear Medicine and Molecular Imaging, Inc.","note":"publisher-place: United States\nPMID: 27390158","page":"1941-1944","title":"225Ac-PSMA-617 for PSMA-Targeted α-Radiation Therapy of Metastatic Castration-Resistant Prostate Cancer.","volume":"57","author":[{"family":"Kratochwil","given":"Clemens"},{"family":"Bruchertseifer","given":"Frank"},{"family":"Giesel","given":"Frederik L."},{"family":"Weis","given":"Mirjam"},{"family":"Verburg","given":"Frederik A."},{"family":"Mottaghy","given":"Felix"},{"family":"Kopka","given":"Klaus"},{"family":"Apostolidis","given":"Christos"},{"family":"Haberkorn","given":"Uwe"},{"family":"Morgenstern","given":"Alfred"}],"issued":{"date-parts":[["2016",12]]}}}],"schema":"https://github.com/citation-style-language/schema/raw/master/csl-citation.json"} </w:instrText>
            </w:r>
            <w:r>
              <w:rPr>
                <w:rFonts w:cstheme="minorHAnsi"/>
                <w:sz w:val="18"/>
              </w:rPr>
              <w:fldChar w:fldCharType="separate"/>
            </w:r>
            <w:r w:rsidR="008666A7" w:rsidRPr="008666A7">
              <w:rPr>
                <w:rFonts w:ascii="Calibri" w:hAnsi="Calibri" w:cs="Calibri"/>
                <w:sz w:val="18"/>
              </w:rPr>
              <w:t>(62)</w:t>
            </w:r>
            <w:r>
              <w:rPr>
                <w:rFonts w:cstheme="minorHAnsi"/>
                <w:sz w:val="18"/>
              </w:rPr>
              <w:fldChar w:fldCharType="end"/>
            </w:r>
          </w:p>
        </w:tc>
        <w:tc>
          <w:tcPr>
            <w:tcW w:w="2026" w:type="pct"/>
            <w:tcBorders>
              <w:left w:val="single" w:sz="4" w:space="0" w:color="auto"/>
            </w:tcBorders>
            <w:noWrap/>
            <w:vAlign w:val="center"/>
          </w:tcPr>
          <w:p w14:paraId="56ED4A69" w14:textId="77777777" w:rsidR="000A3731" w:rsidRPr="000A3731" w:rsidRDefault="000A3731" w:rsidP="000A3731">
            <w:pPr>
              <w:jc w:val="center"/>
              <w:rPr>
                <w:rFonts w:cstheme="minorHAnsi"/>
                <w:sz w:val="18"/>
                <w:lang w:val="en-GB"/>
              </w:rPr>
            </w:pPr>
            <w:r w:rsidRPr="000A3731">
              <w:rPr>
                <w:rFonts w:cstheme="minorHAnsi"/>
                <w:sz w:val="18"/>
                <w:lang w:val="en-GB"/>
              </w:rPr>
              <w:t>In a case series of two patients, although they underwent heavily pretreatment, Ac-225 TAT tolerated well with no significant side effect</w:t>
            </w:r>
          </w:p>
        </w:tc>
        <w:tc>
          <w:tcPr>
            <w:tcW w:w="922" w:type="pct"/>
            <w:noWrap/>
            <w:vAlign w:val="center"/>
          </w:tcPr>
          <w:p w14:paraId="684C7E93" w14:textId="77777777" w:rsidR="000A3731" w:rsidRPr="00B47BAA" w:rsidRDefault="000A3731" w:rsidP="000A3731">
            <w:pPr>
              <w:jc w:val="center"/>
              <w:rPr>
                <w:rFonts w:cstheme="minorHAnsi"/>
                <w:sz w:val="18"/>
              </w:rPr>
            </w:pPr>
            <w:r>
              <w:rPr>
                <w:rFonts w:cstheme="minorHAnsi"/>
                <w:sz w:val="18"/>
              </w:rPr>
              <w:t>Safe</w:t>
            </w:r>
          </w:p>
        </w:tc>
        <w:tc>
          <w:tcPr>
            <w:tcW w:w="175" w:type="pct"/>
            <w:vAlign w:val="center"/>
          </w:tcPr>
          <w:p w14:paraId="59A0C4D6" w14:textId="77777777" w:rsidR="000A3731" w:rsidRPr="00B47BAA" w:rsidRDefault="000A3731" w:rsidP="000A3731">
            <w:pPr>
              <w:jc w:val="center"/>
              <w:rPr>
                <w:rFonts w:cstheme="minorHAnsi"/>
                <w:sz w:val="18"/>
              </w:rPr>
            </w:pPr>
            <w:r>
              <w:rPr>
                <w:rFonts w:cstheme="minorHAnsi"/>
                <w:sz w:val="18"/>
              </w:rPr>
              <w:t>2</w:t>
            </w:r>
          </w:p>
        </w:tc>
        <w:tc>
          <w:tcPr>
            <w:tcW w:w="754" w:type="pct"/>
            <w:noWrap/>
            <w:vAlign w:val="center"/>
          </w:tcPr>
          <w:p w14:paraId="07AC341E" w14:textId="77777777" w:rsidR="000A3731" w:rsidRPr="00B47BAA" w:rsidRDefault="000A3731" w:rsidP="000A3731">
            <w:pPr>
              <w:jc w:val="center"/>
              <w:rPr>
                <w:rFonts w:cstheme="minorHAnsi"/>
                <w:sz w:val="18"/>
              </w:rPr>
            </w:pPr>
            <w:r>
              <w:rPr>
                <w:rFonts w:cstheme="minorHAnsi"/>
                <w:sz w:val="18"/>
              </w:rPr>
              <w:t>1 Xerostomia</w:t>
            </w:r>
          </w:p>
        </w:tc>
        <w:tc>
          <w:tcPr>
            <w:tcW w:w="689" w:type="pct"/>
            <w:noWrap/>
            <w:vAlign w:val="center"/>
          </w:tcPr>
          <w:p w14:paraId="7458055D" w14:textId="77777777" w:rsidR="000A3731" w:rsidRPr="00B47BAA" w:rsidRDefault="000A3731" w:rsidP="000A3731">
            <w:pPr>
              <w:jc w:val="center"/>
              <w:rPr>
                <w:rFonts w:cstheme="minorHAnsi"/>
                <w:sz w:val="18"/>
              </w:rPr>
            </w:pPr>
            <w:r>
              <w:rPr>
                <w:rFonts w:cstheme="minorHAnsi"/>
                <w:sz w:val="18"/>
              </w:rPr>
              <w:t>1 Xerostomia, 1 Hemato</w:t>
            </w:r>
          </w:p>
        </w:tc>
        <w:tc>
          <w:tcPr>
            <w:tcW w:w="205" w:type="pct"/>
            <w:noWrap/>
            <w:vAlign w:val="center"/>
          </w:tcPr>
          <w:p w14:paraId="6FD2AFE7" w14:textId="77777777" w:rsidR="000A3731" w:rsidRPr="00B47BAA" w:rsidRDefault="000A3731" w:rsidP="000A3731">
            <w:pPr>
              <w:jc w:val="center"/>
              <w:rPr>
                <w:rFonts w:cstheme="minorHAnsi"/>
                <w:sz w:val="18"/>
              </w:rPr>
            </w:pPr>
            <w:r>
              <w:rPr>
                <w:rFonts w:cstheme="minorHAnsi"/>
                <w:sz w:val="18"/>
              </w:rPr>
              <w:t>N/A</w:t>
            </w:r>
          </w:p>
        </w:tc>
      </w:tr>
      <w:tr w:rsidR="00E90EC9" w:rsidRPr="00585FD4" w14:paraId="7515EC50" w14:textId="77777777" w:rsidTr="000A3731">
        <w:trPr>
          <w:trHeight w:val="576"/>
        </w:trPr>
        <w:tc>
          <w:tcPr>
            <w:tcW w:w="229" w:type="pct"/>
            <w:tcBorders>
              <w:right w:val="single" w:sz="4" w:space="0" w:color="auto"/>
            </w:tcBorders>
            <w:vAlign w:val="center"/>
          </w:tcPr>
          <w:p w14:paraId="39889EEC" w14:textId="11989A49" w:rsidR="00E90EC9" w:rsidRDefault="00E90EC9" w:rsidP="00E90EC9">
            <w:pPr>
              <w:jc w:val="center"/>
              <w:rPr>
                <w:rFonts w:cstheme="minorHAnsi"/>
                <w:sz w:val="18"/>
              </w:rPr>
            </w:pPr>
            <w:r>
              <w:rPr>
                <w:rFonts w:cstheme="minorHAnsi"/>
                <w:sz w:val="18"/>
              </w:rPr>
              <w:fldChar w:fldCharType="begin"/>
            </w:r>
            <w:r w:rsidR="00BC4723">
              <w:rPr>
                <w:rFonts w:cstheme="minorHAnsi"/>
                <w:sz w:val="18"/>
              </w:rPr>
              <w:instrText xml:space="preserve"> ADDIN ZOTERO_ITEM CSL_CITATION {"citationID":"5hNPiv11","properties":{"formattedCitation":"(10)","plainCitation":"(10)","noteIndex":0},"citationItems":[{"id":1241,"uris":["http://zotero.org/users/15628667/items/VEQJMJSM"],"itemData":{"id":1241,"type":"article-journal","container-title":"Journal of Nuclear Medicine","DOI":"10.2967/jnumed.125.269655","ISSN":"0161-5505, 2159-662X","issue":"8","journalAbbreviation":"J Nucl Med","language":"en","page":"1239-1244","source":"DOI.org (Crossref)","title":"Efficacy, Safety, Blood Kinetics, and&lt;sup&gt;213&lt;/sup&gt; Bi Distribution Studies of [&lt;sup&gt;225&lt;/sup&gt; Ac]Ac-SibuDAB in Prostate Cancer Patients","URL":"http://jnm.snmjournals.org/lookup/doi/10.2967/jnumed.125.269655","volume":"66","author":[{"family":"Schmitl","given":"Stefan"},{"family":"Kretschmer-Chott","given":"Elisabeth"},{"family":"Patronas","given":"Eva-Maria"},{"family":"Kramer","given":"Gero"},{"family":"Ritt","given":"Philipp"},{"family":"Fuchs","given":"Elisabeth"},{"family":"Weisbrod","given":"Maximilian"},{"family":"Nics","given":"Lukas"},{"family":"Mitterhauser","given":"Markus"},{"family":"Hacker","given":"Marcus"}],"accessed":{"date-parts":[["2025",8,26]]},"issued":{"date-parts":[["2025",8]]}}}],"schema":"https://github.com/citation-style-language/schema/raw/master/csl-citation.json"} </w:instrText>
            </w:r>
            <w:r>
              <w:rPr>
                <w:rFonts w:cstheme="minorHAnsi"/>
                <w:sz w:val="18"/>
              </w:rPr>
              <w:fldChar w:fldCharType="separate"/>
            </w:r>
            <w:r w:rsidR="00BC4723" w:rsidRPr="00BC4723">
              <w:rPr>
                <w:rFonts w:ascii="Calibri" w:hAnsi="Calibri" w:cs="Calibri"/>
                <w:sz w:val="18"/>
              </w:rPr>
              <w:t>(10)</w:t>
            </w:r>
            <w:r>
              <w:rPr>
                <w:rFonts w:cstheme="minorHAnsi"/>
                <w:sz w:val="18"/>
              </w:rPr>
              <w:fldChar w:fldCharType="end"/>
            </w:r>
          </w:p>
        </w:tc>
        <w:tc>
          <w:tcPr>
            <w:tcW w:w="2026" w:type="pct"/>
            <w:tcBorders>
              <w:left w:val="single" w:sz="4" w:space="0" w:color="auto"/>
            </w:tcBorders>
            <w:noWrap/>
            <w:vAlign w:val="center"/>
          </w:tcPr>
          <w:p w14:paraId="4945915C" w14:textId="7C290E41" w:rsidR="00E90EC9" w:rsidRPr="000A3731" w:rsidRDefault="00E90EC9" w:rsidP="00E90EC9">
            <w:pPr>
              <w:jc w:val="center"/>
              <w:rPr>
                <w:rFonts w:cstheme="minorHAnsi"/>
                <w:sz w:val="18"/>
                <w:lang w:val="en-GB"/>
              </w:rPr>
            </w:pPr>
            <w:r>
              <w:rPr>
                <w:rFonts w:cstheme="minorHAnsi"/>
                <w:sz w:val="18"/>
                <w:lang w:val="en-GB"/>
              </w:rPr>
              <w:t xml:space="preserve">No acute adverse event. Treatment withdrawal in one patient due to TAT-induced thrombocytopenia. No </w:t>
            </w:r>
            <w:r w:rsidRPr="002D7333">
              <w:rPr>
                <w:rFonts w:cstheme="minorHAnsi"/>
                <w:sz w:val="18"/>
                <w:vertAlign w:val="superscript"/>
                <w:lang w:val="en-GB"/>
              </w:rPr>
              <w:t>213</w:t>
            </w:r>
            <w:r>
              <w:rPr>
                <w:rFonts w:cstheme="minorHAnsi"/>
                <w:sz w:val="18"/>
                <w:lang w:val="en-GB"/>
              </w:rPr>
              <w:t>Bi in blood, only excess in urine immediately after administration. No high-grade nephrotoxicity</w:t>
            </w:r>
          </w:p>
        </w:tc>
        <w:tc>
          <w:tcPr>
            <w:tcW w:w="922" w:type="pct"/>
            <w:noWrap/>
            <w:vAlign w:val="center"/>
          </w:tcPr>
          <w:p w14:paraId="0CE65728" w14:textId="4E14D816" w:rsidR="00E90EC9" w:rsidRDefault="00E90EC9" w:rsidP="00E90EC9">
            <w:pPr>
              <w:jc w:val="center"/>
              <w:rPr>
                <w:rFonts w:cstheme="minorHAnsi"/>
                <w:sz w:val="18"/>
              </w:rPr>
            </w:pPr>
            <w:r w:rsidRPr="00B47BAA">
              <w:rPr>
                <w:rFonts w:cstheme="minorHAnsi"/>
                <w:sz w:val="18"/>
              </w:rPr>
              <w:t>N/A</w:t>
            </w:r>
          </w:p>
        </w:tc>
        <w:tc>
          <w:tcPr>
            <w:tcW w:w="175" w:type="pct"/>
            <w:vAlign w:val="center"/>
          </w:tcPr>
          <w:p w14:paraId="7BAA601C" w14:textId="10B2A33B" w:rsidR="00E90EC9" w:rsidRDefault="00E90EC9" w:rsidP="00E90EC9">
            <w:pPr>
              <w:jc w:val="center"/>
              <w:rPr>
                <w:rFonts w:cstheme="minorHAnsi"/>
                <w:sz w:val="18"/>
              </w:rPr>
            </w:pPr>
            <w:r>
              <w:rPr>
                <w:rFonts w:cstheme="minorHAnsi"/>
                <w:sz w:val="18"/>
              </w:rPr>
              <w:t>15</w:t>
            </w:r>
          </w:p>
        </w:tc>
        <w:tc>
          <w:tcPr>
            <w:tcW w:w="754" w:type="pct"/>
            <w:noWrap/>
            <w:vAlign w:val="center"/>
          </w:tcPr>
          <w:p w14:paraId="5236166B" w14:textId="302CBCBE" w:rsidR="00E90EC9" w:rsidRDefault="00E90EC9" w:rsidP="00E90EC9">
            <w:pPr>
              <w:jc w:val="center"/>
              <w:rPr>
                <w:rFonts w:cstheme="minorHAnsi"/>
                <w:sz w:val="18"/>
              </w:rPr>
            </w:pPr>
            <w:r>
              <w:rPr>
                <w:rFonts w:cstheme="minorHAnsi"/>
                <w:sz w:val="18"/>
              </w:rPr>
              <w:t xml:space="preserve">3 Hemato, 1 Hepato </w:t>
            </w:r>
          </w:p>
        </w:tc>
        <w:tc>
          <w:tcPr>
            <w:tcW w:w="689" w:type="pct"/>
            <w:noWrap/>
            <w:vAlign w:val="center"/>
          </w:tcPr>
          <w:p w14:paraId="0006F7A4" w14:textId="3F51823D" w:rsidR="00E90EC9" w:rsidRDefault="00E90EC9" w:rsidP="00E90EC9">
            <w:pPr>
              <w:jc w:val="center"/>
              <w:rPr>
                <w:rFonts w:cstheme="minorHAnsi"/>
                <w:sz w:val="18"/>
              </w:rPr>
            </w:pPr>
            <w:r>
              <w:rPr>
                <w:rFonts w:cstheme="minorHAnsi"/>
                <w:sz w:val="18"/>
              </w:rPr>
              <w:t>15 Xerostomia,  6 Hemato, 1 Hepato</w:t>
            </w:r>
          </w:p>
        </w:tc>
        <w:tc>
          <w:tcPr>
            <w:tcW w:w="205" w:type="pct"/>
            <w:noWrap/>
            <w:vAlign w:val="center"/>
          </w:tcPr>
          <w:p w14:paraId="26571038" w14:textId="34FE475C" w:rsidR="00E90EC9" w:rsidRDefault="00E90EC9" w:rsidP="00E90EC9">
            <w:pPr>
              <w:jc w:val="center"/>
              <w:rPr>
                <w:rFonts w:cstheme="minorHAnsi"/>
                <w:sz w:val="18"/>
              </w:rPr>
            </w:pPr>
            <w:r w:rsidRPr="00B47BAA">
              <w:rPr>
                <w:rFonts w:cstheme="minorHAnsi"/>
                <w:sz w:val="18"/>
              </w:rPr>
              <w:t>N/A</w:t>
            </w:r>
          </w:p>
        </w:tc>
      </w:tr>
    </w:tbl>
    <w:p w14:paraId="71D86D64" w14:textId="77777777" w:rsidR="000A3731" w:rsidRPr="000A3731" w:rsidRDefault="000A3731" w:rsidP="000A3731">
      <w:pPr>
        <w:pStyle w:val="StandardWeb"/>
        <w:rPr>
          <w:rFonts w:asciiTheme="minorHAnsi" w:hAnsiTheme="minorHAnsi" w:cstheme="minorHAnsi"/>
          <w:i/>
          <w:sz w:val="18"/>
          <w:szCs w:val="22"/>
        </w:rPr>
      </w:pPr>
      <w:r w:rsidRPr="000A3731">
        <w:rPr>
          <w:rFonts w:asciiTheme="minorHAnsi" w:hAnsiTheme="minorHAnsi" w:cstheme="minorHAnsi"/>
          <w:i/>
          <w:sz w:val="18"/>
          <w:szCs w:val="22"/>
        </w:rPr>
        <w:t>Hemato: hematological; Nephro: nephrological; hepato: hepatological; Pts: patients; mCRPC: metastatic castration-resistant prostate cancer;</w:t>
      </w:r>
    </w:p>
    <w:p w14:paraId="177C9DC1" w14:textId="2249B5AC" w:rsidR="000A3731" w:rsidRDefault="000A3731" w:rsidP="000A3731">
      <w:pPr>
        <w:pStyle w:val="StandardWeb"/>
        <w:rPr>
          <w:rFonts w:asciiTheme="minorHAnsi" w:hAnsiTheme="minorHAnsi" w:cstheme="minorHAnsi"/>
          <w:sz w:val="22"/>
          <w:szCs w:val="22"/>
        </w:rPr>
      </w:pPr>
      <w:r w:rsidRPr="007F5EA2">
        <w:rPr>
          <w:rFonts w:asciiTheme="minorHAnsi" w:hAnsiTheme="minorHAnsi" w:cstheme="minorHAnsi"/>
          <w:sz w:val="22"/>
          <w:szCs w:val="22"/>
        </w:rPr>
        <w:t>Table 2</w:t>
      </w:r>
      <w:r>
        <w:rPr>
          <w:rFonts w:asciiTheme="minorHAnsi" w:hAnsiTheme="minorHAnsi" w:cstheme="minorHAnsi"/>
          <w:sz w:val="22"/>
          <w:szCs w:val="22"/>
        </w:rPr>
        <w:t>b</w:t>
      </w:r>
      <w:r w:rsidRPr="007F5EA2">
        <w:rPr>
          <w:rFonts w:asciiTheme="minorHAnsi" w:hAnsiTheme="minorHAnsi" w:cstheme="minorHAnsi"/>
          <w:sz w:val="22"/>
          <w:szCs w:val="22"/>
        </w:rPr>
        <w:t xml:space="preserve">. </w:t>
      </w:r>
      <w:r>
        <w:rPr>
          <w:rFonts w:asciiTheme="minorHAnsi" w:hAnsiTheme="minorHAnsi" w:cstheme="minorHAnsi"/>
          <w:sz w:val="22"/>
          <w:szCs w:val="22"/>
        </w:rPr>
        <w:t>Non-PSMA ligands</w:t>
      </w:r>
      <w:r w:rsidRPr="007F5EA2">
        <w:rPr>
          <w:rFonts w:asciiTheme="minorHAnsi" w:hAnsiTheme="minorHAnsi" w:cstheme="minorHAnsi"/>
          <w:sz w:val="22"/>
          <w:szCs w:val="22"/>
        </w:rPr>
        <w:t>.</w:t>
      </w:r>
    </w:p>
    <w:tbl>
      <w:tblPr>
        <w:tblStyle w:val="Tabellenraster"/>
        <w:tblW w:w="5000" w:type="pct"/>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4"/>
        <w:gridCol w:w="5789"/>
        <w:gridCol w:w="2635"/>
        <w:gridCol w:w="500"/>
        <w:gridCol w:w="2154"/>
        <w:gridCol w:w="1969"/>
        <w:gridCol w:w="586"/>
      </w:tblGrid>
      <w:tr w:rsidR="000A3731" w:rsidRPr="00B47BAA" w14:paraId="71EE8A61" w14:textId="77777777" w:rsidTr="000A3731">
        <w:trPr>
          <w:trHeight w:val="576"/>
        </w:trPr>
        <w:tc>
          <w:tcPr>
            <w:tcW w:w="229" w:type="pct"/>
            <w:tcBorders>
              <w:top w:val="single" w:sz="18" w:space="0" w:color="auto"/>
              <w:bottom w:val="single" w:sz="4" w:space="0" w:color="auto"/>
              <w:right w:val="single" w:sz="4" w:space="0" w:color="auto"/>
            </w:tcBorders>
            <w:vAlign w:val="center"/>
          </w:tcPr>
          <w:p w14:paraId="22BCA837" w14:textId="77777777" w:rsidR="000A3731" w:rsidRPr="00B47BAA" w:rsidRDefault="000A3731" w:rsidP="000A3731">
            <w:pPr>
              <w:jc w:val="center"/>
              <w:rPr>
                <w:rFonts w:cstheme="minorHAnsi"/>
                <w:b/>
                <w:bCs/>
                <w:sz w:val="16"/>
              </w:rPr>
            </w:pPr>
            <w:r w:rsidRPr="00277630">
              <w:rPr>
                <w:rFonts w:cstheme="minorHAnsi"/>
                <w:b/>
                <w:bCs/>
                <w:sz w:val="14"/>
                <w:lang w:val="en-GB"/>
              </w:rPr>
              <w:t>Study No.</w:t>
            </w:r>
          </w:p>
        </w:tc>
        <w:tc>
          <w:tcPr>
            <w:tcW w:w="2026" w:type="pct"/>
            <w:tcBorders>
              <w:top w:val="single" w:sz="18" w:space="0" w:color="auto"/>
              <w:left w:val="single" w:sz="4" w:space="0" w:color="auto"/>
              <w:bottom w:val="single" w:sz="4" w:space="0" w:color="auto"/>
            </w:tcBorders>
            <w:noWrap/>
            <w:vAlign w:val="center"/>
            <w:hideMark/>
          </w:tcPr>
          <w:p w14:paraId="3A8E1B2D" w14:textId="77777777" w:rsidR="000A3731" w:rsidRPr="00B47BAA" w:rsidRDefault="000A3731" w:rsidP="000A3731">
            <w:pPr>
              <w:jc w:val="center"/>
              <w:rPr>
                <w:rFonts w:cstheme="minorHAnsi"/>
                <w:b/>
                <w:bCs/>
                <w:sz w:val="18"/>
              </w:rPr>
            </w:pPr>
            <w:r w:rsidRPr="00B47BAA">
              <w:rPr>
                <w:rFonts w:cstheme="minorHAnsi"/>
                <w:b/>
                <w:bCs/>
                <w:sz w:val="18"/>
              </w:rPr>
              <w:t xml:space="preserve">Main </w:t>
            </w:r>
            <w:r w:rsidRPr="00B47BAA">
              <w:rPr>
                <w:rFonts w:cstheme="minorHAnsi"/>
                <w:b/>
                <w:bCs/>
                <w:i/>
                <w:sz w:val="18"/>
              </w:rPr>
              <w:t>safety</w:t>
            </w:r>
            <w:r w:rsidRPr="00B47BAA">
              <w:rPr>
                <w:rFonts w:cstheme="minorHAnsi"/>
                <w:b/>
                <w:bCs/>
                <w:sz w:val="18"/>
              </w:rPr>
              <w:t xml:space="preserve"> finding</w:t>
            </w:r>
          </w:p>
        </w:tc>
        <w:tc>
          <w:tcPr>
            <w:tcW w:w="922" w:type="pct"/>
            <w:tcBorders>
              <w:top w:val="single" w:sz="18" w:space="0" w:color="auto"/>
              <w:bottom w:val="single" w:sz="4" w:space="0" w:color="auto"/>
            </w:tcBorders>
            <w:noWrap/>
            <w:vAlign w:val="center"/>
            <w:hideMark/>
          </w:tcPr>
          <w:p w14:paraId="78B554FA" w14:textId="77777777" w:rsidR="000A3731" w:rsidRPr="00B47BAA" w:rsidRDefault="000A3731" w:rsidP="000A3731">
            <w:pPr>
              <w:jc w:val="center"/>
              <w:rPr>
                <w:rFonts w:cstheme="minorHAnsi"/>
                <w:b/>
                <w:bCs/>
                <w:sz w:val="18"/>
              </w:rPr>
            </w:pPr>
            <w:r w:rsidRPr="00B47BAA">
              <w:rPr>
                <w:rFonts w:cstheme="minorHAnsi"/>
                <w:b/>
                <w:bCs/>
                <w:sz w:val="18"/>
              </w:rPr>
              <w:t>Safe/recommendation</w:t>
            </w:r>
          </w:p>
        </w:tc>
        <w:tc>
          <w:tcPr>
            <w:tcW w:w="175" w:type="pct"/>
            <w:tcBorders>
              <w:top w:val="single" w:sz="18" w:space="0" w:color="auto"/>
              <w:bottom w:val="single" w:sz="4" w:space="0" w:color="auto"/>
            </w:tcBorders>
            <w:vAlign w:val="center"/>
          </w:tcPr>
          <w:p w14:paraId="5F89ED89" w14:textId="77777777" w:rsidR="000A3731" w:rsidRPr="00B47BAA" w:rsidRDefault="000A3731" w:rsidP="000A3731">
            <w:pPr>
              <w:jc w:val="center"/>
              <w:rPr>
                <w:rFonts w:cstheme="minorHAnsi"/>
                <w:b/>
                <w:bCs/>
                <w:sz w:val="18"/>
              </w:rPr>
            </w:pPr>
            <w:r w:rsidRPr="00C27AC8">
              <w:rPr>
                <w:rFonts w:cstheme="minorHAnsi"/>
                <w:b/>
                <w:bCs/>
                <w:sz w:val="18"/>
              </w:rPr>
              <w:t>Pts No.</w:t>
            </w:r>
          </w:p>
        </w:tc>
        <w:tc>
          <w:tcPr>
            <w:tcW w:w="754" w:type="pct"/>
            <w:tcBorders>
              <w:top w:val="single" w:sz="18" w:space="0" w:color="auto"/>
              <w:bottom w:val="single" w:sz="4" w:space="0" w:color="auto"/>
            </w:tcBorders>
            <w:noWrap/>
            <w:vAlign w:val="center"/>
            <w:hideMark/>
          </w:tcPr>
          <w:p w14:paraId="496A7E34" w14:textId="77777777" w:rsidR="000A3731" w:rsidRPr="00B47BAA" w:rsidRDefault="000A3731" w:rsidP="000A3731">
            <w:pPr>
              <w:jc w:val="center"/>
              <w:rPr>
                <w:rFonts w:cstheme="minorHAnsi"/>
                <w:b/>
                <w:bCs/>
                <w:sz w:val="18"/>
              </w:rPr>
            </w:pPr>
            <w:r w:rsidRPr="00B47BAA">
              <w:rPr>
                <w:rFonts w:cstheme="minorHAnsi"/>
                <w:b/>
                <w:bCs/>
                <w:sz w:val="18"/>
              </w:rPr>
              <w:t>CTCAE grade 3 or 4</w:t>
            </w:r>
          </w:p>
        </w:tc>
        <w:tc>
          <w:tcPr>
            <w:tcW w:w="689" w:type="pct"/>
            <w:tcBorders>
              <w:top w:val="single" w:sz="18" w:space="0" w:color="auto"/>
              <w:bottom w:val="single" w:sz="4" w:space="0" w:color="auto"/>
            </w:tcBorders>
            <w:noWrap/>
            <w:vAlign w:val="center"/>
            <w:hideMark/>
          </w:tcPr>
          <w:p w14:paraId="15787E24" w14:textId="77777777" w:rsidR="000A3731" w:rsidRPr="00B47BAA" w:rsidRDefault="000A3731" w:rsidP="000A3731">
            <w:pPr>
              <w:jc w:val="center"/>
              <w:rPr>
                <w:rFonts w:cstheme="minorHAnsi"/>
                <w:b/>
                <w:bCs/>
                <w:sz w:val="18"/>
              </w:rPr>
            </w:pPr>
            <w:r w:rsidRPr="00B47BAA">
              <w:rPr>
                <w:rFonts w:cstheme="minorHAnsi"/>
                <w:b/>
                <w:bCs/>
                <w:sz w:val="18"/>
              </w:rPr>
              <w:t>CTCAE any grade/1&amp;2</w:t>
            </w:r>
          </w:p>
        </w:tc>
        <w:tc>
          <w:tcPr>
            <w:tcW w:w="205" w:type="pct"/>
            <w:tcBorders>
              <w:top w:val="single" w:sz="18" w:space="0" w:color="auto"/>
              <w:bottom w:val="single" w:sz="4" w:space="0" w:color="auto"/>
            </w:tcBorders>
            <w:noWrap/>
            <w:vAlign w:val="center"/>
            <w:hideMark/>
          </w:tcPr>
          <w:p w14:paraId="4A8BD81C" w14:textId="77777777" w:rsidR="000A3731" w:rsidRPr="00B47BAA" w:rsidRDefault="000A3731" w:rsidP="000A3731">
            <w:pPr>
              <w:jc w:val="center"/>
              <w:rPr>
                <w:rFonts w:cstheme="minorHAnsi"/>
                <w:b/>
                <w:bCs/>
                <w:sz w:val="18"/>
              </w:rPr>
            </w:pPr>
            <w:r w:rsidRPr="00B47BAA">
              <w:rPr>
                <w:rFonts w:cstheme="minorHAnsi"/>
                <w:b/>
                <w:bCs/>
                <w:sz w:val="18"/>
              </w:rPr>
              <w:t>Follow-up (</w:t>
            </w:r>
            <w:r>
              <w:rPr>
                <w:rFonts w:cstheme="minorHAnsi"/>
                <w:b/>
                <w:bCs/>
                <w:sz w:val="18"/>
              </w:rPr>
              <w:t>mo</w:t>
            </w:r>
            <w:r w:rsidRPr="00B47BAA">
              <w:rPr>
                <w:rFonts w:cstheme="minorHAnsi"/>
                <w:b/>
                <w:bCs/>
                <w:sz w:val="18"/>
              </w:rPr>
              <w:t>)</w:t>
            </w:r>
          </w:p>
        </w:tc>
      </w:tr>
      <w:tr w:rsidR="000A3731" w:rsidRPr="00B47BAA" w14:paraId="2BB2AF8F" w14:textId="77777777" w:rsidTr="000A3731">
        <w:trPr>
          <w:trHeight w:val="576"/>
        </w:trPr>
        <w:tc>
          <w:tcPr>
            <w:tcW w:w="229" w:type="pct"/>
            <w:tcBorders>
              <w:right w:val="single" w:sz="4" w:space="0" w:color="auto"/>
            </w:tcBorders>
            <w:vAlign w:val="center"/>
          </w:tcPr>
          <w:p w14:paraId="673F8DC4" w14:textId="788763CD"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rPr>
              <w:instrText xml:space="preserve"> ADDIN ZOTERO_ITEM CSL_CITATION {"citationID":"O3kooleF","properties":{"formattedCitation":"(63)","plainCitation":"(63)","noteIndex":0},"citationItems":[{"id":1204,"uris":["http://zotero.org/users/15628667/items/S8NL4QWR"],"itemData":{"id":1204,"type":"article-journal","abstract":"Purpose            We aimed to evaluate the efficacy and safety of 225Ac-DOTATATE targeted α therapy (TAT) in various neuroendocrine neoplasms (NENs) with high somatostatin receptor (SSTR) expression.                                Patients and Methods            This single-center prospective study included 10 patients with histologically diagnosed NENs that exhibited increased SSTR expression on 68Ga-DOTATATE PET/CT imaging. All patients received 225Ac-DOTATATE TAT. The primary end points were molecular imaging–based response and disease control rate (DCR), measured using the slightly modified Positron Emission Tomography Response Criteria in Solid Tumors 1.0. The secondary end points were adverse event profiles and clinical responses. The adverse event profile was determined according to the Common Terminology Criteria for Adverse Events version 5.0. Clinical response was assessed using the EORTC QLQ-C30 v3.0 (European Organization for Research and Treatment of Cancer Core Quality of Life questionnaire version 3.0).                                Results            A molecular imaging–based partial response was observed in 40% of all patients, SD in 40%, PD in 20%, and DCR in 80%. The DCR was 83.3% (5/6) in patien</w:instrText>
            </w:r>
            <w:r w:rsidR="008666A7" w:rsidRPr="008666A7">
              <w:rPr>
                <w:rFonts w:cstheme="minorHAnsi"/>
                <w:sz w:val="18"/>
                <w:lang w:val="en-US"/>
              </w:rPr>
              <w:instrText xml:space="preserve">ts who were previously treated with 177Lu-DOTATATE. According to the EORTC QLQ-C30 v3.0 score, most symptoms improved after 225Ac-DOTATATE treatment, with only diarrhea showing no improvement. Grade III/IV hematological, kidney, and liver toxicities were not observed. The median follow-up time was 14 months (7–22 months), and no deaths were reported.                                Conclusions            This initial study suggests that 225Ac-DOTATATE is a potentially promising option for treating NENs with elevated SSTR expression, with an acceptable toxicity profile and well-tolerated adverse effects.","container-title":"Clinical Nuclear Medicine","DOI":"10.1097/rlu.0000000000005149","ISSN":"1536-0229, 0363-9762","issue":"6","journalAbbreviation":"Clin Nucl Med","language":"en","note":"publisher: Ovid Technologies (Wolters Kluwer Health)","page":"505-512","source":"Crossref","title":"Efficacy and Safety of 225Ac-DOTATATE in the Treatment of Neuroendocrine Neoplasms With High SSTR Expression","URL":"https://journals.lww.com/10.1097/RLU.0000000000005149","volume":"49","author":[{"family":"Yang","given":"Hongyu"},{"family":"Zhang","given":"Yu"},{"family":"Li","given":"Hongmei"},{"family":"Zhang","given":"Yu"},{"family":"Feng","given":"Yue"},{"family":"Yang","given":"Xiqun"},{"family":"Chen","given":"Yue"}],"accessed":{"date-parts":[["2025",7,25]]},"issued":{"date-parts":[["2024",6]]}}}],"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(63)</w:t>
            </w:r>
            <w:r>
              <w:rPr>
                <w:rFonts w:cstheme="minorHAnsi"/>
                <w:sz w:val="18"/>
              </w:rPr>
              <w:fldChar w:fldCharType="end"/>
            </w:r>
          </w:p>
        </w:tc>
        <w:tc>
          <w:tcPr>
            <w:tcW w:w="2026" w:type="pct"/>
            <w:tcBorders>
              <w:left w:val="single" w:sz="4" w:space="0" w:color="auto"/>
            </w:tcBorders>
            <w:noWrap/>
            <w:vAlign w:val="center"/>
          </w:tcPr>
          <w:p w14:paraId="0C2E9304" w14:textId="77777777" w:rsidR="000A3731" w:rsidRPr="000A3731" w:rsidRDefault="000A3731" w:rsidP="000A3731">
            <w:pPr>
              <w:jc w:val="center"/>
              <w:rPr>
                <w:rFonts w:cstheme="minorHAnsi"/>
                <w:sz w:val="18"/>
                <w:lang w:val="en-GB"/>
              </w:rPr>
            </w:pPr>
            <w:r w:rsidRPr="000A3731">
              <w:rPr>
                <w:rFonts w:cstheme="minorHAnsi"/>
                <w:sz w:val="18"/>
                <w:lang w:val="en-GB"/>
              </w:rPr>
              <w:t>Acceptable toxicity profile and well-tolerated adverse effects.</w:t>
            </w:r>
          </w:p>
        </w:tc>
        <w:tc>
          <w:tcPr>
            <w:tcW w:w="922" w:type="pct"/>
            <w:noWrap/>
            <w:vAlign w:val="center"/>
          </w:tcPr>
          <w:p w14:paraId="71CAA8C3" w14:textId="77777777" w:rsidR="000A3731" w:rsidRPr="000A3731" w:rsidRDefault="000A3731" w:rsidP="000A3731">
            <w:pPr>
              <w:jc w:val="center"/>
              <w:rPr>
                <w:rFonts w:cstheme="minorHAnsi"/>
                <w:sz w:val="18"/>
                <w:lang w:val="en-GB"/>
              </w:rPr>
            </w:pPr>
            <w:r w:rsidRPr="000A3731">
              <w:rPr>
                <w:rFonts w:cstheme="minorHAnsi"/>
                <w:sz w:val="18"/>
                <w:lang w:val="en-GB"/>
              </w:rPr>
              <w:t>Safe</w:t>
            </w:r>
          </w:p>
        </w:tc>
        <w:tc>
          <w:tcPr>
            <w:tcW w:w="175" w:type="pct"/>
            <w:vAlign w:val="center"/>
          </w:tcPr>
          <w:p w14:paraId="06B93668" w14:textId="77777777" w:rsidR="000A3731" w:rsidRPr="000A3731" w:rsidRDefault="000A3731" w:rsidP="000A3731">
            <w:pPr>
              <w:jc w:val="center"/>
              <w:rPr>
                <w:rFonts w:cstheme="minorHAnsi"/>
                <w:sz w:val="18"/>
                <w:lang w:val="en-GB"/>
              </w:rPr>
            </w:pPr>
            <w:r w:rsidRPr="000A3731">
              <w:rPr>
                <w:rFonts w:cstheme="minorHAnsi"/>
                <w:sz w:val="18"/>
                <w:lang w:val="en-GB"/>
              </w:rPr>
              <w:t>10</w:t>
            </w:r>
          </w:p>
        </w:tc>
        <w:tc>
          <w:tcPr>
            <w:tcW w:w="754" w:type="pct"/>
            <w:noWrap/>
            <w:vAlign w:val="center"/>
          </w:tcPr>
          <w:p w14:paraId="0A68E71C" w14:textId="77777777" w:rsidR="000A3731" w:rsidRPr="000A3731" w:rsidRDefault="000A3731" w:rsidP="000A3731">
            <w:pPr>
              <w:jc w:val="center"/>
              <w:rPr>
                <w:rFonts w:cstheme="minorHAnsi"/>
                <w:sz w:val="18"/>
                <w:lang w:val="en-GB"/>
              </w:rPr>
            </w:pPr>
            <w:r w:rsidRPr="000A3731">
              <w:rPr>
                <w:rFonts w:cstheme="minorHAnsi"/>
                <w:sz w:val="18"/>
                <w:lang w:val="en-GB"/>
              </w:rPr>
              <w:t>not observed (hemato,Nephro,Liver)</w:t>
            </w:r>
          </w:p>
        </w:tc>
        <w:tc>
          <w:tcPr>
            <w:tcW w:w="689" w:type="pct"/>
            <w:noWrap/>
            <w:vAlign w:val="center"/>
          </w:tcPr>
          <w:p w14:paraId="7576E0E7"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noWrap/>
            <w:vAlign w:val="center"/>
          </w:tcPr>
          <w:p w14:paraId="6C9F05E9" w14:textId="77777777" w:rsidR="000A3731" w:rsidRPr="000A3731" w:rsidRDefault="000A3731" w:rsidP="000A3731">
            <w:pPr>
              <w:jc w:val="center"/>
              <w:rPr>
                <w:rFonts w:cstheme="minorHAnsi"/>
                <w:sz w:val="18"/>
                <w:lang w:val="en-GB"/>
              </w:rPr>
            </w:pPr>
            <w:r w:rsidRPr="000A3731">
              <w:rPr>
                <w:rFonts w:cstheme="minorHAnsi"/>
                <w:sz w:val="18"/>
                <w:lang w:val="en-GB"/>
              </w:rPr>
              <w:t>14(7-22)</w:t>
            </w:r>
          </w:p>
        </w:tc>
      </w:tr>
      <w:tr w:rsidR="000A3731" w:rsidRPr="00B47BAA" w14:paraId="731038ED" w14:textId="77777777" w:rsidTr="000A3731">
        <w:trPr>
          <w:trHeight w:val="576"/>
        </w:trPr>
        <w:tc>
          <w:tcPr>
            <w:tcW w:w="229" w:type="pct"/>
            <w:tcBorders>
              <w:right w:val="single" w:sz="4" w:space="0" w:color="auto"/>
            </w:tcBorders>
            <w:vAlign w:val="center"/>
          </w:tcPr>
          <w:p w14:paraId="0105DACB" w14:textId="08BE2315"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{"citationID":"rB4sfYQ2","properties":{"formattedCitation":"(64)","plainCitation":"(64)","noteIndex":0},"citationItems":[{"id":1121,"uris":["http://zotero.org/users/15628667/items/DMY52GN3"],"itemData":{"id":1121,"type":"article-journal","abstract":"241428 Introduction: RYZ101 (225Ac-DOTATATE) is an alpha-emitting radiopharmaceutical in development for SSTR2+ solid tumors. Alpha-particles have a shorter path length/higher linear energy transfer than beta-particles, causing more frequent double-strand DNA breaks and potentially improved therapeutic index. ACTION-1 (NCT05477576) is a 2-part, global, randomized, controlled, open-label, phase 1b/3 trial of RYZ101 in advanced, well-differentiated SSTR+ GEP-NETs progressing after 177Lu-SSA therapy. Herein, we report updated results from the phase Ib portion of the trial.Methods: The phase Ib portion of the trial had a dose de-escalation/Bayesian optimal interval design with boundaries based on a dose-limiting toxicity (DLT) rate of 25%. Patients received RYZ101 IV every 8 weeks for 4 cycles. Planned dose levels (n=6/level): Level 0 (starting dose) 120 kBq/kg; Level –1 90 kBq/kg; Level –2 60 kBq/kg. DLT was assessed for 56 days after the first RYZ101 dose. Treatment-emergent adverse events (TEAEs) were graded by NCI-CTCAE v5.0. Dose de-escalation decisions/safety data were overseen by a Data Review Committee. Tumor response was assessed locally by RECIST v1.1.Results: 17 patients have received at least one dose of RYZ101 at 120 kBq/kg (4 doses: 15 patients; 2 doses: 2 patients; median 8.3 MBq). Baseline characteristics: median age 63 years; male (n=11); ECOG PS 0/1 (n=10/7); primary tumor site GI/pancreas (n=12/5). As of June 30 2023, the most frequent TEAEs were nausea (58.8%) and fatigue (52.9%). Serious adverse events (SAEs) were observed in 6 patients (none were treatment related); grade ≥3 AEs occurred in 9 patients (5 were treatment related). No AEs led to treatment discontinuation. 4 patients had TEAEs leading to dose modification, dose hold, and/or delays. The confirmed objective response rate was 29.4% (n=5; all partial responses); 1 patient had an unconfirmed partial response. 8 patients (47.1%) had stable disease and 3 patients (17.6%) had progressive disease. Updated safety and efficacy data, including duration of response and progression-free survival, will be presented.Conclusions: RYZ101 was well tolerated and a fixed dose of 10.2 MBq was declared the recommended phase 3 dose. Initial data suggest promising efficacy. Longer-term safety and efficacy data will be presented. Part 2 (phase 3) is enrolling and will compare RYZ101 at 10.2 MBq every 8 weeks for 4 cycles with standard of care in patients with advanced SSTR2+ GEP-NETs progressing following prior 177Lu-labeled SSAs.","container-title":"Journal of Nuclear Medicine","issue":"supplement 2","journalAbbreviation":"J Nucl Med","page":"241428","title":"&lt;strong&gt;Phase Ib portion of the ACTION-1 phase Ib/3 trial of RYZ101 in gastroenteropancreatic neuroendocrine tumors (GEP-NET) progressing after 177Lu somatostatin analogue (SSA) therapy: safety and efficacy findings&lt;/strong&gt;","URL":"http://jnm.snmjournals.org/content/65/supplement_2/241428.abstract","volume":"65","author":[{"family":"Morris","given":"Michael"},{"family":"Ulaner","given":"Gary"},{"family":"Halperin","given":"Daniel M"},{"family":"Strosberg","given":"Jonathan"},{"family":"Mehr","given":"Sam"},{"family":"Li","given":"Daneng"},{"family":"Soares","given":"Heloisa"},{"family":"Anthony","given":"Lowell"},{"family":"Kotiah","given":"Sandy"},{"family":"Jacene","given":"Heather"},{"family":"Pavel","given":"Marianne"},{"family":"Kunz","given":"Pamela"},{"family":"Ferreira","given":"Denis"},{"family":"Li","given":"Joanne"},{"family":"Ma","given":"Kimberly"},{"family":"Rearden","given":"Jessica"},{"family":"Moran","given":"Susan"},{"family":"Singh","given":"Simron"},{"family":"Hope","given":"Thomas"}],"issued":{"date-parts":[["2024",6,1]]}}}],"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(64)</w:t>
            </w:r>
            <w:r>
              <w:rPr>
                <w:rFonts w:cstheme="minorHAnsi"/>
                <w:sz w:val="18"/>
              </w:rPr>
              <w:fldChar w:fldCharType="end"/>
            </w:r>
          </w:p>
        </w:tc>
        <w:tc>
          <w:tcPr>
            <w:tcW w:w="2026" w:type="pct"/>
            <w:tcBorders>
              <w:left w:val="single" w:sz="4" w:space="0" w:color="auto"/>
            </w:tcBorders>
            <w:noWrap/>
            <w:vAlign w:val="center"/>
          </w:tcPr>
          <w:p w14:paraId="58A7490E" w14:textId="77777777" w:rsidR="000A3731" w:rsidRPr="000A3731" w:rsidRDefault="000A3731" w:rsidP="000A3731">
            <w:pPr>
              <w:jc w:val="center"/>
              <w:rPr>
                <w:rFonts w:cstheme="minorHAnsi"/>
                <w:sz w:val="18"/>
                <w:lang w:val="en-GB"/>
              </w:rPr>
            </w:pPr>
            <w:r w:rsidRPr="000A3731">
              <w:rPr>
                <w:rFonts w:cstheme="minorHAnsi"/>
                <w:sz w:val="18"/>
                <w:lang w:val="en-GB"/>
              </w:rPr>
              <w:t>The most frequent adverse events were nausea (58.8%) and fatigue (52.9%)</w:t>
            </w:r>
          </w:p>
        </w:tc>
        <w:tc>
          <w:tcPr>
            <w:tcW w:w="922" w:type="pct"/>
            <w:noWrap/>
            <w:vAlign w:val="center"/>
          </w:tcPr>
          <w:p w14:paraId="24AA777B" w14:textId="77777777" w:rsidR="000A3731" w:rsidRPr="000A3731" w:rsidRDefault="000A3731" w:rsidP="000A3731">
            <w:pPr>
              <w:jc w:val="center"/>
              <w:rPr>
                <w:rFonts w:cstheme="minorHAnsi"/>
                <w:sz w:val="18"/>
                <w:lang w:val="en-GB"/>
              </w:rPr>
            </w:pPr>
            <w:r w:rsidRPr="000A3731">
              <w:rPr>
                <w:rFonts w:cstheme="minorHAnsi"/>
                <w:sz w:val="18"/>
                <w:lang w:val="en-GB"/>
              </w:rPr>
              <w:t>Safe and well tolerated therapy</w:t>
            </w:r>
          </w:p>
        </w:tc>
        <w:tc>
          <w:tcPr>
            <w:tcW w:w="175" w:type="pct"/>
            <w:vAlign w:val="center"/>
          </w:tcPr>
          <w:p w14:paraId="3AB65D03" w14:textId="77777777" w:rsidR="000A3731" w:rsidRPr="000A3731" w:rsidRDefault="000A3731" w:rsidP="000A3731">
            <w:pPr>
              <w:jc w:val="center"/>
              <w:rPr>
                <w:rFonts w:cstheme="minorHAnsi"/>
                <w:sz w:val="18"/>
                <w:lang w:val="en-GB"/>
              </w:rPr>
            </w:pPr>
            <w:r w:rsidRPr="000A3731">
              <w:rPr>
                <w:rFonts w:cstheme="minorHAnsi"/>
                <w:sz w:val="18"/>
                <w:lang w:val="en-GB"/>
              </w:rPr>
              <w:t>17</w:t>
            </w:r>
          </w:p>
        </w:tc>
        <w:tc>
          <w:tcPr>
            <w:tcW w:w="754" w:type="pct"/>
            <w:noWrap/>
            <w:vAlign w:val="center"/>
          </w:tcPr>
          <w:p w14:paraId="011AFFD4" w14:textId="77777777" w:rsidR="000A3731" w:rsidRPr="000A3731" w:rsidRDefault="000A3731" w:rsidP="000A3731">
            <w:pPr>
              <w:jc w:val="center"/>
              <w:rPr>
                <w:rFonts w:cstheme="minorHAnsi"/>
                <w:sz w:val="18"/>
                <w:lang w:val="en-GB"/>
              </w:rPr>
            </w:pPr>
            <w:r w:rsidRPr="000A3731">
              <w:rPr>
                <w:rFonts w:cstheme="minorHAnsi"/>
                <w:sz w:val="18"/>
                <w:lang w:val="en-GB"/>
              </w:rPr>
              <w:t>5 N/A</w:t>
            </w:r>
          </w:p>
        </w:tc>
        <w:tc>
          <w:tcPr>
            <w:tcW w:w="689" w:type="pct"/>
            <w:noWrap/>
            <w:vAlign w:val="center"/>
          </w:tcPr>
          <w:p w14:paraId="03D5234A"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noWrap/>
            <w:vAlign w:val="center"/>
          </w:tcPr>
          <w:p w14:paraId="22B77500"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B47BAA" w14:paraId="5B75BF69" w14:textId="77777777" w:rsidTr="000A3731">
        <w:trPr>
          <w:trHeight w:val="576"/>
        </w:trPr>
        <w:tc>
          <w:tcPr>
            <w:tcW w:w="229" w:type="pct"/>
            <w:tcBorders>
              <w:right w:val="single" w:sz="4" w:space="0" w:color="auto"/>
            </w:tcBorders>
            <w:vAlign w:val="center"/>
          </w:tcPr>
          <w:p w14:paraId="5064D84A" w14:textId="2D408B98"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{"citationID":"XJbRRw03","properties":{"formattedCitation":"(65)","plainCitation":"(65)","noteIndex":0},"citationItems":[{"id":424,"uris":["http://zotero.org/users/15628667/items/Z3ERYZN7"],"itemData":{"id":424,"type":"article-journal","abstract":"Rationale: Although the short-term results of targeted alpha therapy (TAT) with (225)Ac-DOTATATE in gastroenteropancreatic neuroendocrine tumors (GEP-NETs) have  proven effective, none have assessed the long-term outcome results. In this  study, we aimed to evaluate the long-term outcome of (225)Ac-DOTATATE targeted  alpha therapy (TAT) in patients with somatostatin receptor (SSTR)-expressing  advanced-stage metastatic gastroenteropancreatic neuroendocrine tumors  (GEP-NETs). Methods: Patients with (68)Ga-DOTANOC PET/CT scans showing  moderate-to-high SSTR expression were recruited. Systemic TAT was performed in 91  adults with GEP-NET [54 males, and 37 females] mean age 54 years (y) (range:  25-75y)] using (225)Ac-DOTATATE (100-120 kBq/kg body weight). All patients were  given capecitabine therapy as a radiosensitizer (dose 2 g/day) from day 0 to 14  of every (225)Ac-DOTATATE treatment cycle. Patients were categorized into three  groups based on the status of prior (177)Lu-PRRT: prior  (177)Lu-PRRT-refractory-group; prior (177)Lu-PRRT-disease-control group; and  (177)Lu-PRRT naïve group. Primary endpoints were overall survival (OS), and  secondary endpoints included progression-free survival (PFS), objective tumour  response, clinical response, and the assessment of treatment-related toxicities.  Results: Among the 91 patients, 57 underwent prior (177)Lu-DOTATATE therapy [24  disease controlled (PR/SD), 33 progressive diseases (PD)]. A total of 453  (225)Ac-DOTATATE TAT cycles were administered [median four cycles per patient;  range 1-10] in a median follow-up duration of 24 months (range 5-41mo). Median OS  was not attained with a 24-month overall survival probability of 70.8%. In  multivariate analysis, prognostic factors associated with a poor OS included, the  presence bone metastases [HR: 2.501; 95% CI: 1.826 - 5.791; P&lt;0.032], and  (225)Ac-DOTATATE therapy refractory disease [HR: 8.781; 95% CI: 3.843 - 20.062;  P&lt;0.0001]. Median PFS was also not reached with a 24-month progression-free  survival probability of 67.5%. The multivariate analysis revealed only  (177)Lu-PRRT refractory disease significantly associated with a reduced PFS. [HR:  14.338; 95% CI: 1.853 - 97.698; P = 0.011]. Two of 79 patients (2.5%) with  assessable disease experienced complete response; 38 (48%) had a partial  response, 23 (29%) had SD, and 16 (20.2%) had PD. PD was observed in more  patients from the prior (177)Lu-PRRT-refractory group (11/33; 34%) as compared to  (177)Lu-PRRT-naïve patients (4/24; 11%), P-0.056. Patients from the prior  (177)Lu-PRRT-refractory group had the highest risk of poor PFS [HR:13.91; 95% CI:  4.45 - 42.271; P = 0.0009]. A significant clinical benefit was achieved post  (225)Ac-DOTATATE therapy with minimal treatment-related toxicities. Conclusion:  The long-term results reveal (225)Ac-DOTATATE TAT has shown promising results and  improves overall survival, even in patients refractory to prior (177)Lu-DOTATATE  treatment, with transient and acceptable adverse effects.","container-title":"Journal of nuclear medicine : official publication, Society of Nuclear Medicine","DOI":"10.2967/jnumed.122.264043","ISSN":"1535-5667 0161-5505","journalAbbreviation":"J Nucl Med","language":"eng","license":"Copyright © 2022 by the Society of Nuclear Medicine and Molecular Imaging, Inc.","note":"publisher-place: United States\nPMID: 35863893","page":"jnumed.122.264043","title":"Survival Outcomes in Metastatic Gastroenteropancreatic Neuroendocrine Tumor Patients receiving Concomitant (225)Ac-DOTATATE Targeted Alpha Therapy and  Capecitabine: A Real-world Scenario Management Based Long-term Outcome Study.","author":[{"family":"Ballal","given":"Sanjana"},{"family":"Yadav","given":"Madhav Prasad"},{"family":"Tripathi","given":"Madhavi"},{"family":"Sahoo","given":"Ranjit Kumar"},{"family":"Bal","given":"Chandrasekhar"}],"issued":{"date-parts":[["2022",7,21]]}}}],"schema":"https://github.com/citation-style-language/schema/raw/master/csl-citation.json"}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(65)</w:t>
            </w:r>
            <w:r>
              <w:rPr>
                <w:rFonts w:cstheme="minorHAnsi"/>
                <w:sz w:val="18"/>
              </w:rPr>
              <w:fldChar w:fldCharType="end"/>
            </w:r>
          </w:p>
        </w:tc>
        <w:tc>
          <w:tcPr>
            <w:tcW w:w="2026" w:type="pct"/>
            <w:tcBorders>
              <w:left w:val="single" w:sz="4" w:space="0" w:color="auto"/>
            </w:tcBorders>
            <w:noWrap/>
            <w:vAlign w:val="center"/>
            <w:hideMark/>
          </w:tcPr>
          <w:p w14:paraId="47CA7E9A" w14:textId="77777777" w:rsidR="000A3731" w:rsidRPr="000A3731" w:rsidRDefault="000A3731" w:rsidP="000A3731">
            <w:pPr>
              <w:jc w:val="center"/>
              <w:rPr>
                <w:rFonts w:cstheme="minorHAnsi"/>
                <w:sz w:val="18"/>
                <w:lang w:val="en-GB"/>
              </w:rPr>
            </w:pPr>
            <w:r w:rsidRPr="000A3731">
              <w:rPr>
                <w:rFonts w:cstheme="minorHAnsi"/>
                <w:sz w:val="18"/>
                <w:lang w:val="en-GB"/>
              </w:rPr>
              <w:t>Significant clinical benefit with minimal treatment-related adverse events. All the disease related symptoms like fatigue, loss of appetite improved after therapy. One patient passed away due to pleural effusion. 10 pts deceased due to malignant ascites</w:t>
            </w:r>
          </w:p>
        </w:tc>
        <w:tc>
          <w:tcPr>
            <w:tcW w:w="922" w:type="pct"/>
            <w:noWrap/>
            <w:vAlign w:val="center"/>
            <w:hideMark/>
          </w:tcPr>
          <w:p w14:paraId="3E67AD1E" w14:textId="77777777" w:rsidR="000A3731" w:rsidRPr="000A3731" w:rsidRDefault="000A3731" w:rsidP="000A3731">
            <w:pPr>
              <w:jc w:val="center"/>
              <w:rPr>
                <w:rFonts w:cstheme="minorHAnsi"/>
                <w:sz w:val="18"/>
                <w:lang w:val="en-GB"/>
              </w:rPr>
            </w:pPr>
            <w:r w:rsidRPr="000A3731">
              <w:rPr>
                <w:rFonts w:cstheme="minorHAnsi"/>
                <w:sz w:val="18"/>
                <w:lang w:val="en-GB"/>
              </w:rPr>
              <w:t>safe/ the long-term result show safety with transient and acceptable adverse event</w:t>
            </w:r>
          </w:p>
        </w:tc>
        <w:tc>
          <w:tcPr>
            <w:tcW w:w="175" w:type="pct"/>
            <w:vAlign w:val="center"/>
          </w:tcPr>
          <w:p w14:paraId="2A692334" w14:textId="77777777" w:rsidR="000A3731" w:rsidRPr="000A3731" w:rsidRDefault="000A3731" w:rsidP="000A3731">
            <w:pPr>
              <w:jc w:val="center"/>
              <w:rPr>
                <w:rFonts w:cstheme="minorHAnsi"/>
                <w:sz w:val="18"/>
                <w:lang w:val="en-GB"/>
              </w:rPr>
            </w:pPr>
            <w:r w:rsidRPr="000A3731">
              <w:rPr>
                <w:rFonts w:cstheme="minorHAnsi"/>
                <w:sz w:val="18"/>
                <w:lang w:val="en-GB"/>
              </w:rPr>
              <w:t>91</w:t>
            </w:r>
          </w:p>
        </w:tc>
        <w:tc>
          <w:tcPr>
            <w:tcW w:w="754" w:type="pct"/>
            <w:noWrap/>
            <w:vAlign w:val="center"/>
            <w:hideMark/>
          </w:tcPr>
          <w:p w14:paraId="1E784A6C" w14:textId="77777777" w:rsidR="000A3731" w:rsidRPr="000A3731" w:rsidRDefault="000A3731" w:rsidP="000A3731">
            <w:pPr>
              <w:jc w:val="center"/>
              <w:rPr>
                <w:rFonts w:cstheme="minorHAnsi"/>
                <w:sz w:val="18"/>
                <w:lang w:val="en-GB"/>
              </w:rPr>
            </w:pPr>
            <w:r w:rsidRPr="000A3731">
              <w:rPr>
                <w:rFonts w:cstheme="minorHAnsi"/>
                <w:sz w:val="18"/>
                <w:lang w:val="en-GB"/>
              </w:rPr>
              <w:t>1 Hemato  4 nephro</w:t>
            </w:r>
          </w:p>
        </w:tc>
        <w:tc>
          <w:tcPr>
            <w:tcW w:w="689" w:type="pct"/>
            <w:noWrap/>
            <w:vAlign w:val="center"/>
            <w:hideMark/>
          </w:tcPr>
          <w:p w14:paraId="07CBE47C"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noWrap/>
            <w:vAlign w:val="center"/>
            <w:hideMark/>
          </w:tcPr>
          <w:p w14:paraId="340914F5" w14:textId="77777777" w:rsidR="000A3731" w:rsidRPr="000A3731" w:rsidRDefault="000A3731" w:rsidP="000A3731">
            <w:pPr>
              <w:jc w:val="center"/>
              <w:rPr>
                <w:rFonts w:cstheme="minorHAnsi"/>
                <w:sz w:val="18"/>
                <w:lang w:val="en-GB"/>
              </w:rPr>
            </w:pPr>
            <w:r w:rsidRPr="000A3731">
              <w:rPr>
                <w:rFonts w:cstheme="minorHAnsi"/>
                <w:sz w:val="18"/>
                <w:lang w:val="en-GB"/>
              </w:rPr>
              <w:t>24(5-41)</w:t>
            </w:r>
          </w:p>
        </w:tc>
      </w:tr>
      <w:tr w:rsidR="000A3731" w:rsidRPr="004B3A66" w14:paraId="5B4CD4D3" w14:textId="77777777" w:rsidTr="000A3731">
        <w:trPr>
          <w:trHeight w:val="576"/>
        </w:trPr>
        <w:tc>
          <w:tcPr>
            <w:tcW w:w="229" w:type="pct"/>
            <w:tcBorders>
              <w:right w:val="single" w:sz="4" w:space="0" w:color="auto"/>
            </w:tcBorders>
            <w:vAlign w:val="center"/>
          </w:tcPr>
          <w:p w14:paraId="4F3D1921" w14:textId="5A3D3028"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{"citationID":"tBg28WJX","properties":{"formattedCitation":"(66)","plainCitation":"(66)","noteIndex":0},"citationItems":[{"id":356,"uris":["http://zotero.org/users/15628667/items/T4QI4M5X"],"itemData":{"id":356,"type":"article-journal","abstract":"OBJECTIVES: This study aimed to evaluate the stability, safety, and efficacy of alpha-targeted therapy with [(225)Ac]Ac-DOTATATE in patients with grade 1/2  metastatic neuroendocrine tumors (NETs). METHODS: This retrospective cohort  included patients (n=11) with metastatic NETs from different primary sites  (bronchial, pancreatic, nonpancreatic gastroenteropancreatic NETs, paraganglioma,  and unknown primary site) treated with [(225)Ac]Ac-DOTATATE with a mean activity  of 8.2±0.6 MBq (range: 7.5-10.0 MBq) at our institution between November 2019 and  March 2022. The in vivo and in vitro stability of [(225)Ac]Ac-DOTATATE was  calculated. The safety profile was evaluated according to the CTCAE-v5.0.  Treatment efficacy was evaluated according to [(68)Ga] Ga-DOTATATE positron  emission tomography/computed tomography (PET/CT) images and the RECIST 1.1  criteria. RESULTS: Patients had 73% (n=8) lymph node metastases, 91% (n=10) liver  metastases, 36% (n=4) lung metastases, and 73% (n=8) bone metastases. All but one  patient was refractory to treatment with [(177)Lu]Lu-DOTATATE.  [(225)Ac]Ac-DOTATATE was stable for at least 5 h in vitro (in saline) and 3 h in  vivo (urine and blood samples). Grade 2 renal toxicity and grade 2 hematotoxicity  were observed in one patient. No grade 3-4 toxicities were reported. According to  post-treatment [(68)Ga]Ga-DOTATATE PET/CT (n=9), 11% (n=1) had progressive  disease, 44.4% (n=4) had stable disease, and 44.4% (n=4) had a partial response.  The disease control rate was 89% (n=8). The median progression-free survival  estimated according to Kaplan-Meier analysis was 12 months. CONCLUSION: The  preliminary results of this study suggest that [(225)Ac]Ac-DOTATATE is stable,  safe, and effective for treating advanced and [(177)Lu] Lu-DOTATATE-refractory  NETs. However, prospective studies are needed to determine the impact of  treatment on overall survival and to uncover potential side effects.","container-title":"Molecular imaging and radionuclide therapy","DOI":"10.4274/mirt.galenos.2023.38258","ISSN":"2146-1414 2147-1959","issue":"3","journalAbbreviation":"Mol Imaging Radionucl Ther","language":"eng","license":"©Copyright 2023 by the Turkish Society of Nuclear Medicine / Molecular Imaging and Radionuclide Therapy published by Galenos Publishing House.","note":"publisher-place: Turkey\nPMID: 37870290 \nPMCID: PMC10600558","page":"226-232","title":"Initial Findings on the Use of [(225)Ac]Ac-DOTATATE Therapy as a Theranostic Application in Patients with Neuroendocrine Tumors.","volume":"32","author":[{"family":"Demirci","given":"Emre"},{"family":"Alan Selçuk","given":"Nalan"},{"family":"Beydağı","given":"Gamze"},{"family":"Ocak","given":"Meltem"},{"family":"Toklu","given":"Türkay"},{"family":"Akçay","given":"Kaan"},{"family":"Kabasakal","given":"Levent"}],"issued":{"date-parts":[["2023",10,20]]}}}],"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(66)</w:t>
            </w:r>
            <w:r>
              <w:rPr>
                <w:rFonts w:cstheme="minorHAnsi"/>
                <w:sz w:val="18"/>
              </w:rPr>
              <w:fldChar w:fldCharType="end"/>
            </w:r>
          </w:p>
        </w:tc>
        <w:tc>
          <w:tcPr>
            <w:tcW w:w="2026" w:type="pct"/>
            <w:tcBorders>
              <w:left w:val="single" w:sz="4" w:space="0" w:color="auto"/>
            </w:tcBorders>
            <w:noWrap/>
            <w:vAlign w:val="center"/>
          </w:tcPr>
          <w:p w14:paraId="75F9D5BC" w14:textId="77777777" w:rsidR="000A3731" w:rsidRPr="000A3731" w:rsidRDefault="000A3731" w:rsidP="000A3731">
            <w:pPr>
              <w:jc w:val="center"/>
              <w:rPr>
                <w:rFonts w:cstheme="minorHAnsi"/>
                <w:sz w:val="18"/>
                <w:lang w:val="en-GB"/>
              </w:rPr>
            </w:pPr>
            <w:r w:rsidRPr="000A3731">
              <w:rPr>
                <w:rFonts w:cstheme="minorHAnsi"/>
                <w:sz w:val="18"/>
                <w:lang w:val="en-GB"/>
              </w:rPr>
              <w:t>The results suggest Ac-225 TAT is safe and well tolerated. No acute side effect. No need to discontinuation of treatment</w:t>
            </w:r>
          </w:p>
        </w:tc>
        <w:tc>
          <w:tcPr>
            <w:tcW w:w="922" w:type="pct"/>
            <w:noWrap/>
            <w:vAlign w:val="center"/>
          </w:tcPr>
          <w:p w14:paraId="0C8989D5" w14:textId="77777777" w:rsidR="000A3731" w:rsidRPr="000A3731" w:rsidRDefault="000A3731" w:rsidP="000A3731">
            <w:pPr>
              <w:jc w:val="center"/>
              <w:rPr>
                <w:rFonts w:cstheme="minorHAnsi"/>
                <w:sz w:val="18"/>
                <w:lang w:val="en-GB"/>
              </w:rPr>
            </w:pPr>
            <w:r w:rsidRPr="000A3731">
              <w:rPr>
                <w:rFonts w:cstheme="minorHAnsi"/>
                <w:sz w:val="18"/>
                <w:lang w:val="en-GB"/>
              </w:rPr>
              <w:t>Safe</w:t>
            </w:r>
          </w:p>
        </w:tc>
        <w:tc>
          <w:tcPr>
            <w:tcW w:w="175" w:type="pct"/>
            <w:vAlign w:val="center"/>
          </w:tcPr>
          <w:p w14:paraId="13795FA9" w14:textId="77777777" w:rsidR="000A3731" w:rsidRPr="000A3731" w:rsidRDefault="000A3731" w:rsidP="000A3731">
            <w:pPr>
              <w:jc w:val="center"/>
              <w:rPr>
                <w:rFonts w:cstheme="minorHAnsi"/>
                <w:sz w:val="18"/>
                <w:lang w:val="en-GB"/>
              </w:rPr>
            </w:pPr>
            <w:r w:rsidRPr="000A3731">
              <w:rPr>
                <w:rFonts w:cstheme="minorHAnsi"/>
                <w:sz w:val="18"/>
                <w:lang w:val="en-GB"/>
              </w:rPr>
              <w:t>11</w:t>
            </w:r>
          </w:p>
        </w:tc>
        <w:tc>
          <w:tcPr>
            <w:tcW w:w="754" w:type="pct"/>
            <w:noWrap/>
            <w:vAlign w:val="center"/>
          </w:tcPr>
          <w:p w14:paraId="3257A179" w14:textId="77777777" w:rsidR="000A3731" w:rsidRPr="000A3731" w:rsidRDefault="000A3731" w:rsidP="000A3731">
            <w:pPr>
              <w:jc w:val="center"/>
              <w:rPr>
                <w:rFonts w:cstheme="minorHAnsi"/>
                <w:sz w:val="18"/>
                <w:lang w:val="en-GB"/>
              </w:rPr>
            </w:pPr>
            <w:r w:rsidRPr="000A3731">
              <w:rPr>
                <w:rFonts w:cstheme="minorHAnsi"/>
                <w:sz w:val="18"/>
                <w:lang w:val="en-GB"/>
              </w:rPr>
              <w:t>not observed (hemato,Nephro)</w:t>
            </w:r>
          </w:p>
        </w:tc>
        <w:tc>
          <w:tcPr>
            <w:tcW w:w="689" w:type="pct"/>
            <w:noWrap/>
            <w:vAlign w:val="center"/>
          </w:tcPr>
          <w:p w14:paraId="66DA78F2" w14:textId="77777777" w:rsidR="000A3731" w:rsidRPr="000A3731" w:rsidRDefault="000A3731" w:rsidP="000A3731">
            <w:pPr>
              <w:jc w:val="center"/>
              <w:rPr>
                <w:rFonts w:cstheme="minorHAnsi"/>
                <w:sz w:val="18"/>
                <w:lang w:val="en-GB"/>
              </w:rPr>
            </w:pPr>
            <w:r w:rsidRPr="000A3731">
              <w:rPr>
                <w:rFonts w:cstheme="minorHAnsi"/>
                <w:sz w:val="18"/>
                <w:lang w:val="en-GB"/>
              </w:rPr>
              <w:t>1 Hemato (grade2) 1 nephro (grade2) after 3 cycle</w:t>
            </w:r>
          </w:p>
        </w:tc>
        <w:tc>
          <w:tcPr>
            <w:tcW w:w="205" w:type="pct"/>
            <w:noWrap/>
            <w:vAlign w:val="center"/>
          </w:tcPr>
          <w:p w14:paraId="665EBB85"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8B7934" w14:paraId="4D7348F0" w14:textId="77777777" w:rsidTr="000A3731">
        <w:trPr>
          <w:trHeight w:val="576"/>
        </w:trPr>
        <w:tc>
          <w:tcPr>
            <w:tcW w:w="229" w:type="pct"/>
            <w:tcBorders>
              <w:right w:val="single" w:sz="4" w:space="0" w:color="auto"/>
            </w:tcBorders>
            <w:shd w:val="clear" w:color="auto" w:fill="auto"/>
            <w:vAlign w:val="center"/>
          </w:tcPr>
          <w:p w14:paraId="2D8D97FE" w14:textId="4DA7D080" w:rsidR="000A3731" w:rsidRPr="000A3731" w:rsidRDefault="000A3731" w:rsidP="000A3731">
            <w:pPr>
              <w:jc w:val="center"/>
              <w:rPr>
                <w:rFonts w:cstheme="minorHAnsi"/>
                <w:sz w:val="18"/>
                <w:lang w:val="en-GB"/>
              </w:rPr>
            </w:pPr>
            <w:r>
              <w:rPr>
                <w:rFonts w:cstheme="minorHAnsi"/>
                <w:sz w:val="18"/>
              </w:rPr>
              <w:fldChar w:fldCharType="begin"/>
            </w:r>
            <w:r w:rsidR="00BC4723">
              <w:rPr>
                <w:rFonts w:cstheme="minorHAnsi"/>
                <w:sz w:val="18"/>
                <w:lang w:val="en-GB"/>
              </w:rPr>
              <w:instrText xml:space="preserve"> ADDIN ZOTERO_ITEM CSL_CITATION {"citationID":"nMgoMgra","properties":{"formattedCitation":"(20)","plainCitation":"(20)","noteIndex":0},"citationItems":[{"id":1127,"uris":["http://zotero.org/users/15628667/items/9A3BL8NV"],"itemData":{"id":1127,"type":"article-journal","abstract":"P148 Introduction: PRRT with Lutetium -177(Lu177) DOTATATE is the first radiopharmaceutical approved by FDA for NETs. The limitation of Lu177-DOTATATE therapy is that 26– 55% only achieve stabilisation of disease and 18–32% are refractory . In this study, we report first clinical experience of two cases of rectal and ileal NET treated with Actinium225(Ac225)- DOTATATE as first line treatment .Methods: Two patients with Gallium-68(Ga68) DOTANOC avid NET was selected to undergo treatment with Ac225 DOTATATE as first line treatment .one patient underwent 2 cycles (7.4Mbq per cycle) along with aminoacid infusion to protect kidneys .another patient underwent 1 cycle .Endpoints included biochemical and radiologic response ,hematologic and nephtotoxicity ,post therapy imaging and health-related quality of life. Serum .Chromogranin(CgA) was determined every 4 wk. Interim DOTANOC PET CT was performed after each cycle.Results: first patient is 65 year old male presented with rectal pain ,on evaluation found to have rectal lesion and biospy showed grade 1 NET(Ki67-4%).Ga68 DOTANOC PET CT showed intense avid pararectal lesion, retroperiotneal lymphnodes ,liver lesions and right rib metastases.He underwent Ac225 DOTATATE . Posttherapy images were acquired at 24 hours. Highenergy generalpurpose collimators were used for both whole body and SPECT/CT using 218.keV and 440keV photon energies with 20% window width. Repeat PET CT at 2 months showed partial response in all lesions and CgA showed decreasing trend. He underwent 2nd cycle and on followup with no side effects and complete pain relief.Second patient is 70 year old male on diagnostic laparascopy showed multiple small bowel lesions ,on biopsy showed grade 1 NET .Ga68 DOTANOC PET CT images showed atleast 5 lesions in ileum with mesentric nodes .Patient prefered for Ac225 DOTATATE as first line treatment .After 2 months ,Interim PET CT showed partial response and without any side effects . Conclusions: We present here our first clinical experience on Ac225- DOTATATE therapy in 2 NET patients, a promising first line treatment option extending new dimension to treatment of NET.Post therapy Ac225 DOTATATE SPECT CT and whole body images were acquired at 218 and 440 Kev .Both patients showed partial response with no side effects and is on followup .","container-title":"Journal of Nuclear Medicine","issue":"supplement 1","journalAbbreviation":"J Nucl Med","page":"P148","title":"&lt;strong&gt;Actinium225 –DOTATATE peptide receptor radionuclide therapy(PRRT) as first line treatment in two cases of bowel Neuroendocrine tumors .&lt;/strong&gt;","URL":"http://jnm.snmjournals.org/content/64/supplement_1/P148.abstract","volume":"64","author":[{"family":"Kamaleshwaran","given":"Koramadai Karuppusamy"},{"family":"Kumar","given":"Ram"}],"issued":{"date-parts":[["2023",6,1]]}}}],"schema":"https://github.com/citation-style-language/schema/raw/master/csl-citation.json"}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(20)</w:t>
            </w:r>
            <w:r>
              <w:rPr>
                <w:rFonts w:cstheme="minorHAnsi"/>
                <w:sz w:val="18"/>
              </w:rPr>
              <w:fldChar w:fldCharType="end"/>
            </w:r>
          </w:p>
        </w:tc>
        <w:tc>
          <w:tcPr>
            <w:tcW w:w="2026" w:type="pct"/>
            <w:tcBorders>
              <w:left w:val="single" w:sz="4" w:space="0" w:color="auto"/>
            </w:tcBorders>
            <w:noWrap/>
            <w:vAlign w:val="center"/>
          </w:tcPr>
          <w:p w14:paraId="2C0CAFFC" w14:textId="77777777" w:rsidR="000A3731" w:rsidRPr="000A3731" w:rsidRDefault="000A3731" w:rsidP="000A3731">
            <w:pPr>
              <w:jc w:val="center"/>
              <w:rPr>
                <w:rFonts w:cstheme="minorHAnsi"/>
                <w:sz w:val="18"/>
                <w:lang w:val="en-GB"/>
              </w:rPr>
            </w:pPr>
            <w:r w:rsidRPr="000A3731">
              <w:rPr>
                <w:rFonts w:cstheme="minorHAnsi"/>
                <w:sz w:val="18"/>
                <w:lang w:val="en-GB"/>
              </w:rPr>
              <w:t>The preliminary study reported no severe side effect with partial to complete pain relief and response</w:t>
            </w:r>
          </w:p>
        </w:tc>
        <w:tc>
          <w:tcPr>
            <w:tcW w:w="922" w:type="pct"/>
            <w:noWrap/>
            <w:vAlign w:val="center"/>
          </w:tcPr>
          <w:p w14:paraId="7DC81FAC" w14:textId="77777777" w:rsidR="000A3731" w:rsidRPr="000A3731" w:rsidRDefault="000A3731" w:rsidP="000A3731">
            <w:pPr>
              <w:jc w:val="center"/>
              <w:rPr>
                <w:rFonts w:cstheme="minorHAnsi"/>
                <w:sz w:val="18"/>
                <w:lang w:val="en-GB"/>
              </w:rPr>
            </w:pPr>
            <w:r w:rsidRPr="000A3731">
              <w:rPr>
                <w:rFonts w:cstheme="minorHAnsi"/>
                <w:sz w:val="18"/>
                <w:lang w:val="en-GB"/>
              </w:rPr>
              <w:t>Safe as first line in these cases of Bowel NET</w:t>
            </w:r>
          </w:p>
        </w:tc>
        <w:tc>
          <w:tcPr>
            <w:tcW w:w="175" w:type="pct"/>
            <w:vAlign w:val="center"/>
          </w:tcPr>
          <w:p w14:paraId="0174147B" w14:textId="77777777" w:rsidR="000A3731" w:rsidRPr="000A3731" w:rsidRDefault="000A3731" w:rsidP="000A3731">
            <w:pPr>
              <w:jc w:val="center"/>
              <w:rPr>
                <w:rFonts w:cstheme="minorHAnsi"/>
                <w:sz w:val="18"/>
                <w:lang w:val="en-GB"/>
              </w:rPr>
            </w:pPr>
            <w:r w:rsidRPr="000A3731">
              <w:rPr>
                <w:rFonts w:cstheme="minorHAnsi"/>
                <w:sz w:val="18"/>
                <w:lang w:val="en-GB"/>
              </w:rPr>
              <w:t>2</w:t>
            </w:r>
          </w:p>
        </w:tc>
        <w:tc>
          <w:tcPr>
            <w:tcW w:w="754" w:type="pct"/>
            <w:noWrap/>
            <w:vAlign w:val="center"/>
          </w:tcPr>
          <w:p w14:paraId="5D42640F" w14:textId="77777777" w:rsidR="000A3731" w:rsidRPr="000A3731" w:rsidRDefault="000A3731" w:rsidP="000A3731">
            <w:pPr>
              <w:jc w:val="center"/>
              <w:rPr>
                <w:rFonts w:cstheme="minorHAnsi"/>
                <w:sz w:val="18"/>
                <w:lang w:val="en-GB"/>
              </w:rPr>
            </w:pPr>
            <w:r w:rsidRPr="000A3731">
              <w:rPr>
                <w:rFonts w:cstheme="minorHAnsi"/>
                <w:sz w:val="18"/>
                <w:lang w:val="en-GB"/>
              </w:rPr>
              <w:t>not observed (hemato,Nephro)</w:t>
            </w:r>
          </w:p>
        </w:tc>
        <w:tc>
          <w:tcPr>
            <w:tcW w:w="689" w:type="pct"/>
            <w:noWrap/>
            <w:vAlign w:val="center"/>
          </w:tcPr>
          <w:p w14:paraId="57058830"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noWrap/>
            <w:vAlign w:val="center"/>
          </w:tcPr>
          <w:p w14:paraId="0A467E98"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B47BAA" w14:paraId="6935B255" w14:textId="77777777" w:rsidTr="000A3731">
        <w:trPr>
          <w:trHeight w:val="576"/>
        </w:trPr>
        <w:tc>
          <w:tcPr>
            <w:tcW w:w="229" w:type="pct"/>
            <w:tcBorders>
              <w:right w:val="single" w:sz="4" w:space="0" w:color="auto"/>
            </w:tcBorders>
            <w:vAlign w:val="center"/>
          </w:tcPr>
          <w:p w14:paraId="5AC1F01C" w14:textId="537548B2" w:rsidR="000A3731" w:rsidRDefault="000A3731" w:rsidP="000A3731">
            <w:pPr>
              <w:jc w:val="center"/>
              <w:rPr>
                <w:rFonts w:cstheme="minorHAnsi"/>
                <w:sz w:val="18"/>
              </w:rPr>
            </w:pPr>
            <w:r>
              <w:rPr>
                <w:rFonts w:cstheme="minorHAnsi"/>
                <w:sz w:val="18"/>
              </w:rPr>
              <w:fldChar w:fldCharType="begin"/>
            </w:r>
            <w:r w:rsidR="00BC4723">
              <w:rPr>
                <w:rFonts w:cstheme="minorHAnsi"/>
                <w:sz w:val="18"/>
                <w:lang w:val="en-GB"/>
              </w:rPr>
              <w:instrText xml:space="preserve"> ADDIN ZOTERO_ITEM CSL_CITATION {"citationID":"XT0EPRu2","properties":{"formattedCitation":"(19)","plainCitation":"(19)","noteIndex":0},"citationItems":[{"id":1207,"uris":["http://zotero.org/users/15628667/items/F6S26YM8"],"itemData":{"id":1207,"type":"article-journal","abstract":"Abstract          The utility of β-emitter 177Lu-DOTATATE in patients of neuroendocrine tumors (NETs) with widespread skeletal metastases is limited by its relatively modest response rates and a significant concern for hematotoxicity. In such situations, targeted α therapy with 225Ac-DOTATATE can be potentially beneficial. In this report, a 46-year-old man with rectal NET and extensive skeletal metastases was treated upfront with 6 cycles of 225Ac-DOTATATE at 8 weeks’ intervals. The patient showed excellent symptomatic, biochemical, and radiological response with no grade 3/4 adverse events. The first-line use of 225Ac-DOTATATE, therefore, presents a novel strategy for metastatic NETs with high skeletal disease burden.","container-title":"Clinical Nuclear Medicine","DOI":"10.1097/rlu.0000000000003823","ISSN":"1536-0229, 0363-9762","issue":"2","journalAbbreviation":"Clin Nucl Med","language":"en","note":"publisher: Ovid Technologies (Wolters Kluwer Health)","page":"e156-e157","source":"Crossref","title":"Alpha Before Beta: Exceptional Response to First-Line 225Ac-DOTATATE in a Patient of Metastatic Neuroendocrine Tumor With Extensive Skeletal Involvement","title-short":"Alpha Before Beta","URL":"https://journals.lww.com/10.1097/RLU.0000000000003823","volume":"47","author":[{"family":"Satapathy","given":"Swayamjeet"},{"family":"Sood","given":"Ashwani"},{"family":"Das","given":"Chandan Krushna"},{"family":"Kavanal","given":"Anwin Joseph"},{"family":"Mittal","given":"Bhagwant Rai"}],"accessed":{"date-parts":[["2025",7,25]]},"issued":{"date-parts":[["2022",2]]}}}],"schema":"https://github.com/citation-style-language/schema/raw/master/csl-citation.json"} </w:instrText>
            </w:r>
            <w:r>
              <w:rPr>
                <w:rFonts w:cstheme="minorHAnsi"/>
                <w:sz w:val="18"/>
              </w:rPr>
              <w:fldChar w:fldCharType="separate"/>
            </w:r>
            <w:r w:rsidR="00BC4723" w:rsidRPr="00BC4723">
              <w:rPr>
                <w:rFonts w:ascii="Calibri" w:hAnsi="Calibri" w:cs="Calibri"/>
                <w:sz w:val="18"/>
              </w:rPr>
              <w:t>(19)</w:t>
            </w:r>
            <w:r>
              <w:rPr>
                <w:rFonts w:cstheme="minorHAnsi"/>
                <w:sz w:val="18"/>
              </w:rPr>
              <w:fldChar w:fldCharType="end"/>
            </w:r>
          </w:p>
        </w:tc>
        <w:tc>
          <w:tcPr>
            <w:tcW w:w="2026" w:type="pct"/>
            <w:tcBorders>
              <w:left w:val="single" w:sz="4" w:space="0" w:color="auto"/>
            </w:tcBorders>
            <w:noWrap/>
            <w:vAlign w:val="center"/>
          </w:tcPr>
          <w:p w14:paraId="5D25429A" w14:textId="77777777" w:rsidR="000A3731" w:rsidRPr="000A3731" w:rsidRDefault="000A3731" w:rsidP="000A3731">
            <w:pPr>
              <w:jc w:val="center"/>
              <w:rPr>
                <w:rFonts w:cstheme="minorHAnsi"/>
                <w:sz w:val="18"/>
                <w:lang w:val="en-GB"/>
              </w:rPr>
            </w:pPr>
            <w:r w:rsidRPr="000A3731">
              <w:rPr>
                <w:rFonts w:cstheme="minorHAnsi"/>
                <w:sz w:val="18"/>
                <w:lang w:val="en-GB"/>
              </w:rPr>
              <w:t xml:space="preserve">225Ac-DOTATATE, as a first line before beta TRT, in a NET patient with bone-dominant metastases showed efficient response along with no grade 3-4 toxicity </w:t>
            </w:r>
          </w:p>
        </w:tc>
        <w:tc>
          <w:tcPr>
            <w:tcW w:w="922" w:type="pct"/>
            <w:noWrap/>
            <w:vAlign w:val="center"/>
          </w:tcPr>
          <w:p w14:paraId="79790561" w14:textId="77777777" w:rsidR="000A3731" w:rsidRPr="000A3731" w:rsidRDefault="000A3731" w:rsidP="000A3731">
            <w:pPr>
              <w:jc w:val="center"/>
              <w:rPr>
                <w:rFonts w:cstheme="minorHAnsi"/>
                <w:sz w:val="18"/>
                <w:lang w:val="en-GB"/>
              </w:rPr>
            </w:pPr>
            <w:r w:rsidRPr="000A3731">
              <w:rPr>
                <w:rFonts w:cstheme="minorHAnsi"/>
                <w:sz w:val="18"/>
                <w:lang w:val="en-GB"/>
              </w:rPr>
              <w:t>Safe in a patient earlier than beta-TRT therapy</w:t>
            </w:r>
          </w:p>
        </w:tc>
        <w:tc>
          <w:tcPr>
            <w:tcW w:w="175" w:type="pct"/>
            <w:vAlign w:val="center"/>
          </w:tcPr>
          <w:p w14:paraId="32D0489C" w14:textId="77777777" w:rsidR="000A3731" w:rsidRDefault="000A3731" w:rsidP="000A3731">
            <w:pPr>
              <w:jc w:val="center"/>
              <w:rPr>
                <w:rFonts w:cstheme="minorHAnsi"/>
                <w:sz w:val="18"/>
              </w:rPr>
            </w:pPr>
            <w:r>
              <w:rPr>
                <w:rFonts w:cstheme="minorHAnsi"/>
                <w:sz w:val="18"/>
              </w:rPr>
              <w:t>1</w:t>
            </w:r>
          </w:p>
        </w:tc>
        <w:tc>
          <w:tcPr>
            <w:tcW w:w="754" w:type="pct"/>
            <w:noWrap/>
            <w:vAlign w:val="center"/>
          </w:tcPr>
          <w:p w14:paraId="7B7E5193" w14:textId="77777777" w:rsidR="000A3731" w:rsidRPr="00B47BAA" w:rsidRDefault="000A3731" w:rsidP="000A3731">
            <w:pPr>
              <w:jc w:val="center"/>
              <w:rPr>
                <w:rFonts w:cstheme="minorHAnsi"/>
                <w:sz w:val="18"/>
              </w:rPr>
            </w:pPr>
            <w:r w:rsidRPr="00B47BAA">
              <w:rPr>
                <w:rFonts w:cstheme="minorHAnsi"/>
                <w:sz w:val="18"/>
              </w:rPr>
              <w:t>not observed</w:t>
            </w:r>
          </w:p>
        </w:tc>
        <w:tc>
          <w:tcPr>
            <w:tcW w:w="689" w:type="pct"/>
            <w:noWrap/>
            <w:vAlign w:val="center"/>
          </w:tcPr>
          <w:p w14:paraId="380C6A7D" w14:textId="77777777" w:rsidR="000A3731" w:rsidRPr="00B47BAA" w:rsidRDefault="000A3731" w:rsidP="000A3731">
            <w:pPr>
              <w:jc w:val="center"/>
              <w:rPr>
                <w:rFonts w:cstheme="minorHAnsi"/>
                <w:sz w:val="18"/>
              </w:rPr>
            </w:pPr>
            <w:r>
              <w:rPr>
                <w:rFonts w:cstheme="minorHAnsi"/>
                <w:sz w:val="18"/>
              </w:rPr>
              <w:t>N/A</w:t>
            </w:r>
          </w:p>
        </w:tc>
        <w:tc>
          <w:tcPr>
            <w:tcW w:w="205" w:type="pct"/>
            <w:noWrap/>
            <w:vAlign w:val="center"/>
          </w:tcPr>
          <w:p w14:paraId="4F5E2170" w14:textId="77777777" w:rsidR="000A3731" w:rsidRPr="00B47BAA" w:rsidRDefault="000A3731" w:rsidP="000A3731">
            <w:pPr>
              <w:jc w:val="center"/>
              <w:rPr>
                <w:rFonts w:cstheme="minorHAnsi"/>
                <w:sz w:val="18"/>
              </w:rPr>
            </w:pPr>
            <w:r>
              <w:rPr>
                <w:rFonts w:cstheme="minorHAnsi"/>
                <w:sz w:val="18"/>
              </w:rPr>
              <w:t>N/A</w:t>
            </w:r>
          </w:p>
        </w:tc>
      </w:tr>
      <w:tr w:rsidR="000A3731" w:rsidRPr="00B47BAA" w14:paraId="77A8B978" w14:textId="77777777" w:rsidTr="000A3731">
        <w:trPr>
          <w:trHeight w:val="576"/>
        </w:trPr>
        <w:tc>
          <w:tcPr>
            <w:tcW w:w="229" w:type="pct"/>
            <w:tcBorders>
              <w:right w:val="single" w:sz="4" w:space="0" w:color="auto"/>
            </w:tcBorders>
            <w:vAlign w:val="center"/>
          </w:tcPr>
          <w:p w14:paraId="4C074F41" w14:textId="128879C1" w:rsidR="000A3731" w:rsidRPr="000A3731" w:rsidRDefault="000A3731" w:rsidP="000A3731">
            <w:pPr>
              <w:jc w:val="center"/>
              <w:rPr>
                <w:rFonts w:cstheme="minorHAnsi"/>
                <w:sz w:val="18"/>
                <w:lang w:val="en-GB"/>
              </w:rPr>
            </w:pPr>
            <w:r>
              <w:rPr>
                <w:rFonts w:cstheme="minorHAnsi"/>
                <w:sz w:val="18"/>
              </w:rPr>
              <w:fldChar w:fldCharType="begin"/>
            </w:r>
            <w:r w:rsidR="00BC4723">
              <w:rPr>
                <w:rFonts w:cstheme="minorHAnsi"/>
                <w:sz w:val="18"/>
              </w:rPr>
              <w:instrText xml:space="preserve"> ADDIN ZOTERO_ITEM CSL_CITATION {"citationID":"9tfGF6yF","properties":{"formattedCitation":"(21)","plainCitation":"(21)","noteIndex":0},"citationItems":[{"id":250,"uris":["http://zotero.org/users/15628667/items/3Z3YA745"],"itemData":{"id":250,"type":"article-journal","abstract":"PURPOSE: In this study, we aim to evaluate the efficacy and safety of (225)AC-DOTATATE targeted alpha therapy in advanced-stage paragangliomas (PGLs).  METHODS: Nine (6 males and 3 females) consecutive patients with histologically  proven PGLs were treated with (225)Ac-DOTATATE targeted alpha therapy (TAT) and  concomitant radiosensitizer, capecitabine, at 8-weekly intervals up to a  cumulative activity of ~ 74 MBq. The primary endpoint included evaluating therapy  response and disease control rate (DCR) using the RECIST 1.1 criteria. Additional  secondary endpoints comprised clinical response assessment using EORTC QLQ-H&amp;N35  questionnaire, Karnofsky Performance Scale (KPS), Eastern Cooperative Oncology  Group performance status (ECOG), analgesic score (AS), dose alterations of  anti-hypertensive drugs (anti-HTN), and the safety and side-effect profile  evaluation as per CTCAE criteria version 5.0. RESULTS: Following (225)Ac-DOTATATE  treatment, morphological response revealed partial response in 50%, stable  disease in 37.5%, and disease progression in 12.5%, with a DCR of 87.5%.  Similarly, the symptomatic response was remarkable, and anti-HTN drugs were  stopped in 25% and reduced in 37.5%. Another significant finding in our study  revealed a morphologic DCR of 66.6% (2/3) in patients who failed previous  lutetium-177 peptide receptor radionuclide therapy ((177)Lu-PRRT). Regarding the  KPS, ECOG, and AS performance scores, a notable improvement was observed  post-(225)Ac-DOTATATE treatment. The QLQ-H&amp;N35 symptom scores evaluated in s</w:instrText>
            </w:r>
            <w:r w:rsidR="00BC4723" w:rsidRPr="00F56005">
              <w:rPr>
                <w:rFonts w:cstheme="minorHAnsi"/>
                <w:sz w:val="18"/>
                <w:lang w:val="en-US"/>
              </w:rPr>
              <w:instrText xml:space="preserve">even  H&amp;N PGL patients showed significant improvement in all aspects. No improvement in  sexual function was noted (P = 0.3559). Despite the significant reduction in the  analgesic score post-treatment (P = 0.0031), the QLQ-H&amp;N35 revealed only marginal  significance concerning the intake of pain killers (P = 0.1723). No grade III/IV  hematological, renal, and hepatological toxicities were noted. CONCLUSION: The  evidence from this study suggests (225)Ac-DOTATATE therapy is effective and safe  in the treatment of advanced-stage PGLs and also reports a clear benefit even in  patient's refractory to the previous (177)Lu-PRRT.","container-title":"European journal of nuclear medicine and molecular imaging","DOI":"10.1007/s00259-021-05632-5","ISSN":"1619-7089 1619-7070","issue":"5","journalAbbreviation":"Eur J Nucl Med Mol Imaging","language":"eng","license":"© 2021. The Author(s), under exclusive licence to Springer-Verlag GmbH Germany, part of Springer Nature.","note":"publisher-place: Germany\nPMID: 34837103 \nPMCID: PMC8626283","page":"1595-1606","title":"Efficacy and safety of (225)Ac-DOTATATE targeted alpha therapy in metastatic paragangliomas: a pilot study.","volume":"49","author":[{"family":"Yadav","given":"Madhav Prasad"},{"family":"Ballal","given":"Sanjana"},{"family":"Sahoo","given":"Ranjit Kumar"},{"family":"Bal","given":"Chandrasekhar"}],"issued":{"date-parts":[["2022",4]]}}}],"schema":"https://github.com/citation-style-language/schema/raw/master/csl-citation.json"}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(21)</w:t>
            </w:r>
            <w:r>
              <w:rPr>
                <w:rFonts w:cstheme="minorHAnsi"/>
                <w:sz w:val="18"/>
              </w:rPr>
              <w:fldChar w:fldCharType="end"/>
            </w:r>
          </w:p>
        </w:tc>
        <w:tc>
          <w:tcPr>
            <w:tcW w:w="2026" w:type="pct"/>
            <w:tcBorders>
              <w:left w:val="single" w:sz="4" w:space="0" w:color="auto"/>
            </w:tcBorders>
            <w:noWrap/>
            <w:vAlign w:val="center"/>
            <w:hideMark/>
          </w:tcPr>
          <w:p w14:paraId="4F784B6D" w14:textId="77777777" w:rsidR="000A3731" w:rsidRPr="000A3731" w:rsidRDefault="000A3731" w:rsidP="000A3731">
            <w:pPr>
              <w:jc w:val="center"/>
              <w:rPr>
                <w:rFonts w:cstheme="minorHAnsi"/>
                <w:sz w:val="18"/>
                <w:lang w:val="en-GB"/>
              </w:rPr>
            </w:pPr>
            <w:r w:rsidRPr="000A3731">
              <w:rPr>
                <w:rFonts w:cstheme="minorHAnsi"/>
                <w:sz w:val="18"/>
                <w:lang w:val="en-GB"/>
              </w:rPr>
              <w:t>No life-threatening adverse event.</w:t>
            </w:r>
          </w:p>
        </w:tc>
        <w:tc>
          <w:tcPr>
            <w:tcW w:w="922" w:type="pct"/>
            <w:noWrap/>
            <w:vAlign w:val="center"/>
            <w:hideMark/>
          </w:tcPr>
          <w:p w14:paraId="54F27421" w14:textId="77777777" w:rsidR="000A3731" w:rsidRPr="000A3731" w:rsidRDefault="000A3731" w:rsidP="000A3731">
            <w:pPr>
              <w:jc w:val="center"/>
              <w:rPr>
                <w:rFonts w:cstheme="minorHAnsi"/>
                <w:sz w:val="18"/>
                <w:lang w:val="en-GB"/>
              </w:rPr>
            </w:pPr>
            <w:r w:rsidRPr="000A3731">
              <w:rPr>
                <w:rFonts w:cstheme="minorHAnsi"/>
                <w:sz w:val="18"/>
                <w:lang w:val="en-GB"/>
              </w:rPr>
              <w:t>Safe, Additional therapy in previously treated patients with L-DOTATATE would be safe. Higher doses of Ac-225 TATE up to 74 MBq are safe</w:t>
            </w:r>
          </w:p>
        </w:tc>
        <w:tc>
          <w:tcPr>
            <w:tcW w:w="175" w:type="pct"/>
            <w:vAlign w:val="center"/>
          </w:tcPr>
          <w:p w14:paraId="745E0687" w14:textId="77777777" w:rsidR="000A3731" w:rsidRPr="000A3731" w:rsidRDefault="000A3731" w:rsidP="000A3731">
            <w:pPr>
              <w:jc w:val="center"/>
              <w:rPr>
                <w:rFonts w:cstheme="minorHAnsi"/>
                <w:sz w:val="18"/>
                <w:lang w:val="en-GB"/>
              </w:rPr>
            </w:pPr>
            <w:r w:rsidRPr="000A3731">
              <w:rPr>
                <w:rFonts w:cstheme="minorHAnsi"/>
                <w:sz w:val="18"/>
                <w:lang w:val="en-GB"/>
              </w:rPr>
              <w:t>9</w:t>
            </w:r>
          </w:p>
        </w:tc>
        <w:tc>
          <w:tcPr>
            <w:tcW w:w="754" w:type="pct"/>
            <w:noWrap/>
            <w:vAlign w:val="center"/>
            <w:hideMark/>
          </w:tcPr>
          <w:p w14:paraId="562D6280" w14:textId="77777777" w:rsidR="000A3731" w:rsidRPr="000A3731" w:rsidRDefault="000A3731" w:rsidP="000A3731">
            <w:pPr>
              <w:jc w:val="center"/>
              <w:rPr>
                <w:rFonts w:cstheme="minorHAnsi"/>
                <w:sz w:val="18"/>
                <w:lang w:val="en-GB"/>
              </w:rPr>
            </w:pPr>
            <w:r w:rsidRPr="000A3731">
              <w:rPr>
                <w:rFonts w:cstheme="minorHAnsi"/>
                <w:sz w:val="18"/>
                <w:lang w:val="en-GB"/>
              </w:rPr>
              <w:t>not observed (hemato,Nephro,Liver)</w:t>
            </w:r>
          </w:p>
        </w:tc>
        <w:tc>
          <w:tcPr>
            <w:tcW w:w="689" w:type="pct"/>
            <w:noWrap/>
            <w:vAlign w:val="center"/>
            <w:hideMark/>
          </w:tcPr>
          <w:p w14:paraId="2628B346" w14:textId="77777777" w:rsidR="000A3731" w:rsidRPr="000A3731" w:rsidRDefault="000A3731" w:rsidP="000A3731">
            <w:pPr>
              <w:jc w:val="center"/>
              <w:rPr>
                <w:rFonts w:cstheme="minorHAnsi"/>
                <w:sz w:val="18"/>
                <w:lang w:val="en-GB"/>
              </w:rPr>
            </w:pPr>
            <w:r w:rsidRPr="000A3731">
              <w:rPr>
                <w:rFonts w:cstheme="minorHAnsi"/>
                <w:sz w:val="18"/>
                <w:lang w:val="en-GB"/>
              </w:rPr>
              <w:t>No new adverse event</w:t>
            </w:r>
          </w:p>
        </w:tc>
        <w:tc>
          <w:tcPr>
            <w:tcW w:w="205" w:type="pct"/>
            <w:noWrap/>
            <w:vAlign w:val="center"/>
            <w:hideMark/>
          </w:tcPr>
          <w:p w14:paraId="0272580E" w14:textId="77777777" w:rsidR="000A3731" w:rsidRPr="000A3731" w:rsidRDefault="000A3731" w:rsidP="000A3731">
            <w:pPr>
              <w:jc w:val="center"/>
              <w:rPr>
                <w:rFonts w:cstheme="minorHAnsi"/>
                <w:sz w:val="18"/>
                <w:lang w:val="en-GB"/>
              </w:rPr>
            </w:pPr>
            <w:r w:rsidRPr="000A3731">
              <w:rPr>
                <w:rFonts w:cstheme="minorHAnsi"/>
                <w:sz w:val="18"/>
                <w:lang w:val="en-GB"/>
              </w:rPr>
              <w:t>8-30</w:t>
            </w:r>
          </w:p>
        </w:tc>
      </w:tr>
      <w:tr w:rsidR="000A3731" w:rsidRPr="00B47BAA" w14:paraId="5A5A387B" w14:textId="77777777" w:rsidTr="000A3731">
        <w:trPr>
          <w:trHeight w:val="576"/>
        </w:trPr>
        <w:tc>
          <w:tcPr>
            <w:tcW w:w="229" w:type="pct"/>
            <w:tcBorders>
              <w:right w:val="single" w:sz="4" w:space="0" w:color="auto"/>
            </w:tcBorders>
            <w:vAlign w:val="center"/>
          </w:tcPr>
          <w:p w14:paraId="1EE02D21" w14:textId="1A03B7C4" w:rsidR="000A3731" w:rsidRPr="000A3731" w:rsidRDefault="000A3731" w:rsidP="000A3731">
            <w:pPr>
              <w:jc w:val="center"/>
              <w:rPr>
                <w:rFonts w:cstheme="minorHAnsi"/>
                <w:sz w:val="18"/>
                <w:lang w:val="en-GB"/>
              </w:rPr>
            </w:pPr>
            <w:r>
              <w:rPr>
                <w:rFonts w:cstheme="minorHAnsi"/>
                <w:sz w:val="18"/>
              </w:rPr>
              <w:fldChar w:fldCharType="begin"/>
            </w:r>
            <w:r w:rsidR="008666A7">
              <w:rPr>
                <w:rFonts w:cstheme="minorHAnsi"/>
                <w:sz w:val="18"/>
                <w:lang w:val="en-GB"/>
              </w:rPr>
              <w:instrText xml:space="preserve"> ADDIN ZOTERO_ITEM CSL_CITATION {"citationID":"nFo4ccis","properties":{"formattedCitation":"(67)","plainCitation":"(67)","noteIndex":0},"citationItems":[{"id":385,"uris":["http://zotero.org/users/15628667/items/58C76255"],"itemData":{"id":385,"type":"article-journal","abstract":"PURPOSE: The objective of this study was to investigate and present the early results on the efficacy, safety, and quality of life of (225)Ac-DOTATATE targeted  alpha therapy (TAT) in patients with advanced, progressive, (177)Lu-DOTATATE  refractory, and somatostatin receptor (SSTR) expressing metastatic GEP-NETs.  METHODS: In this prospective study, we recruited patients with metastatic  GEP-NETs who were stable or progressive disease on (177)Lu-DOTATATE therapy.  Systemic TAT using (225)Ac-DOTATATE was performed in all the patients with  (225)Ac-DOTATATE (100 kBq/kg body weight) at an interval of 8 weeks. The primary  end point was to assess the objective response (measured by RECIST 1.1 and  functional M.D. Anderson criteria). The secondary end points included biochemical  response assessment as per the Italian Trials in Medical Oncology (ITMO), adverse  event profile as per CTCAE v5.0, and clinical response assessment by the quality  of life (assessed with EORTC QLQ-GI.NET21 patient-based questionnaire). RESULTS:  Between April 2018 and March 2019, 32 patients (17 females, 15 males, mean age  52 ± 9.2 years, 35-72 years) with either stable disease after completing  (177)Lu-DOTATATE therapy (14, 44%) or progressive disease on (177)Lu-DOTATATE  therapy (18, 56%) were included in the study. The morphological response was  assessed in 24/32 patients that revealed partial remission in 15 and stable  disease in 9. There was no documented disease progression or deaths in the median  follow-up of 8 months (range 2-13 months). There was a significant decrease in  the plasma chromogranin level post-(225)Ac-DOTATATE therapy (P &lt; 0.0001).  CONCLUSION: Our short-term clinical results indicate (225)Ac-DOTATATE TAT as a  promising treatment option which adds a new dimension in patients who are  refractory to (177)Lu-DOTATATE therapy or have reached the maximum prescribed  cycles of (177)Lu-DOTATATE therapy.","container-title":"European journal of nuclear medicine and molecular imaging","DOI":"10.1007/s00259-019-04567-2","ISSN":"1619-7089 1619-7070","issue":"4","journalAbbreviation":"Eur J Nucl Med Mol Imaging","language":"eng","note":"publisher-place: Germany\nPMID: 31707430","page":"934-946","title":"Broadening horizons with (225)Ac-DOTATATE targeted alpha therapy for gastroenteropancreatic neuroendocrine tumour patients stable or refractory to  (177)Lu-DOTATATE PRRT: first clinical experience on the efficacy and safety.","volume":"47","author":[{"family":"Ballal","given":"Sanjana"},{"family":"Yadav","given":"Madhav Prasad"},{"family":"Bal","given":"Chandrasekhar"},{"family":"Sahoo","given":"Ranjit Kumar"},{"family":"Tripathi","given":"Madhavi"}],"issued":{"date-parts":[["2020",4]]}}}],"schema":"https://github.com/citation-style-language/schema/raw/master/csl-citation.json"} </w:instrText>
            </w:r>
            <w:r>
              <w:rPr>
                <w:rFonts w:cstheme="minorHAnsi"/>
                <w:sz w:val="18"/>
              </w:rPr>
              <w:fldChar w:fldCharType="separate"/>
            </w:r>
            <w:r w:rsidR="008666A7" w:rsidRPr="008666A7">
              <w:rPr>
                <w:rFonts w:ascii="Calibri" w:hAnsi="Calibri" w:cs="Calibri"/>
                <w:sz w:val="18"/>
                <w:lang w:val="en-US"/>
              </w:rPr>
              <w:t>(67)</w:t>
            </w:r>
            <w:r>
              <w:rPr>
                <w:rFonts w:cstheme="minorHAnsi"/>
                <w:sz w:val="18"/>
              </w:rPr>
              <w:fldChar w:fldCharType="end"/>
            </w:r>
          </w:p>
        </w:tc>
        <w:tc>
          <w:tcPr>
            <w:tcW w:w="2026" w:type="pct"/>
            <w:tcBorders>
              <w:left w:val="single" w:sz="4" w:space="0" w:color="auto"/>
            </w:tcBorders>
            <w:noWrap/>
            <w:vAlign w:val="center"/>
          </w:tcPr>
          <w:p w14:paraId="19301133" w14:textId="77777777" w:rsidR="000A3731" w:rsidRPr="000A3731" w:rsidRDefault="000A3731" w:rsidP="000A3731">
            <w:pPr>
              <w:jc w:val="center"/>
              <w:rPr>
                <w:rFonts w:cstheme="minorHAnsi"/>
                <w:sz w:val="18"/>
                <w:lang w:val="en-GB"/>
              </w:rPr>
            </w:pPr>
            <w:r w:rsidRPr="000A3731">
              <w:rPr>
                <w:rFonts w:cstheme="minorHAnsi"/>
                <w:sz w:val="18"/>
                <w:lang w:val="en-GB"/>
              </w:rPr>
              <w:t>Any tumor lysis syndrome. No life threatening toxicity. Most of the nausea and vomiting events were due to amino acid infusion.</w:t>
            </w:r>
          </w:p>
        </w:tc>
        <w:tc>
          <w:tcPr>
            <w:tcW w:w="922" w:type="pct"/>
            <w:noWrap/>
            <w:vAlign w:val="center"/>
          </w:tcPr>
          <w:p w14:paraId="64108C92" w14:textId="77777777" w:rsidR="000A3731" w:rsidRPr="000A3731" w:rsidRDefault="000A3731" w:rsidP="000A3731">
            <w:pPr>
              <w:jc w:val="center"/>
              <w:rPr>
                <w:rFonts w:cstheme="minorHAnsi"/>
                <w:sz w:val="18"/>
                <w:lang w:val="en-GB"/>
              </w:rPr>
            </w:pPr>
            <w:r w:rsidRPr="000A3731">
              <w:rPr>
                <w:rFonts w:cstheme="minorHAnsi"/>
                <w:sz w:val="18"/>
                <w:lang w:val="en-GB"/>
              </w:rPr>
              <w:t>Safe/ Low toxicity profile</w:t>
            </w:r>
          </w:p>
        </w:tc>
        <w:tc>
          <w:tcPr>
            <w:tcW w:w="175" w:type="pct"/>
            <w:vAlign w:val="center"/>
          </w:tcPr>
          <w:p w14:paraId="69ED9BF9" w14:textId="77777777" w:rsidR="000A3731" w:rsidRPr="000A3731" w:rsidRDefault="000A3731" w:rsidP="000A3731">
            <w:pPr>
              <w:jc w:val="center"/>
              <w:rPr>
                <w:rFonts w:cstheme="minorHAnsi"/>
                <w:sz w:val="18"/>
                <w:lang w:val="en-GB"/>
              </w:rPr>
            </w:pPr>
            <w:r w:rsidRPr="000A3731">
              <w:rPr>
                <w:rFonts w:cstheme="minorHAnsi"/>
                <w:sz w:val="18"/>
                <w:lang w:val="en-GB"/>
              </w:rPr>
              <w:t>32</w:t>
            </w:r>
          </w:p>
        </w:tc>
        <w:tc>
          <w:tcPr>
            <w:tcW w:w="754" w:type="pct"/>
            <w:noWrap/>
            <w:vAlign w:val="center"/>
          </w:tcPr>
          <w:p w14:paraId="5B857E9D" w14:textId="77777777" w:rsidR="000A3731" w:rsidRPr="000A3731" w:rsidRDefault="000A3731" w:rsidP="000A3731">
            <w:pPr>
              <w:jc w:val="center"/>
              <w:rPr>
                <w:rFonts w:cstheme="minorHAnsi"/>
                <w:sz w:val="18"/>
                <w:lang w:val="en-GB"/>
              </w:rPr>
            </w:pPr>
            <w:r w:rsidRPr="000A3731">
              <w:rPr>
                <w:rFonts w:cstheme="minorHAnsi"/>
                <w:sz w:val="18"/>
                <w:lang w:val="en-GB"/>
              </w:rPr>
              <w:t>7 gastritis/ 5 weight loss/ 3 flushing/ 2 headache/ not observed (hemato,Nephro,Liver)</w:t>
            </w:r>
          </w:p>
        </w:tc>
        <w:tc>
          <w:tcPr>
            <w:tcW w:w="689" w:type="pct"/>
            <w:noWrap/>
            <w:vAlign w:val="center"/>
          </w:tcPr>
          <w:p w14:paraId="2B57411A" w14:textId="77777777" w:rsidR="000A3731" w:rsidRPr="000A3731" w:rsidRDefault="000A3731" w:rsidP="000A3731">
            <w:pPr>
              <w:jc w:val="center"/>
              <w:rPr>
                <w:rFonts w:cstheme="minorHAnsi"/>
                <w:sz w:val="18"/>
                <w:lang w:val="en-GB"/>
              </w:rPr>
            </w:pPr>
            <w:r w:rsidRPr="000A3731">
              <w:rPr>
                <w:rFonts w:cstheme="minorHAnsi"/>
                <w:sz w:val="18"/>
                <w:lang w:val="en-GB"/>
              </w:rPr>
              <w:t>No new adverse event (20 Hemato pre-existing) / loss of appetite / 8 Flushing/</w:t>
            </w:r>
          </w:p>
        </w:tc>
        <w:tc>
          <w:tcPr>
            <w:tcW w:w="205" w:type="pct"/>
            <w:noWrap/>
            <w:vAlign w:val="center"/>
          </w:tcPr>
          <w:p w14:paraId="4D6943C8" w14:textId="77777777" w:rsidR="000A3731" w:rsidRPr="000A3731" w:rsidRDefault="000A3731" w:rsidP="000A3731">
            <w:pPr>
              <w:jc w:val="center"/>
              <w:rPr>
                <w:rFonts w:cstheme="minorHAnsi"/>
                <w:sz w:val="18"/>
                <w:lang w:val="en-GB"/>
              </w:rPr>
            </w:pPr>
            <w:r w:rsidRPr="000A3731">
              <w:rPr>
                <w:rFonts w:cstheme="minorHAnsi"/>
                <w:sz w:val="18"/>
                <w:lang w:val="en-GB"/>
              </w:rPr>
              <w:t>8(2-13)</w:t>
            </w:r>
          </w:p>
        </w:tc>
      </w:tr>
      <w:tr w:rsidR="000A3731" w:rsidRPr="00B47BAA" w14:paraId="2A7C8CDD" w14:textId="77777777" w:rsidTr="000A3731">
        <w:trPr>
          <w:trHeight w:val="576"/>
        </w:trPr>
        <w:tc>
          <w:tcPr>
            <w:tcW w:w="229" w:type="pct"/>
            <w:tcBorders>
              <w:bottom w:val="nil"/>
              <w:right w:val="single" w:sz="4" w:space="0" w:color="auto"/>
            </w:tcBorders>
            <w:vAlign w:val="center"/>
          </w:tcPr>
          <w:p w14:paraId="5235A4F1" w14:textId="7B07F941" w:rsidR="000A3731" w:rsidRPr="000A3731" w:rsidRDefault="000A3731" w:rsidP="000A3731">
            <w:pPr>
              <w:jc w:val="center"/>
              <w:rPr>
                <w:rFonts w:cstheme="minorHAnsi"/>
                <w:sz w:val="18"/>
                <w:lang w:val="en-GB"/>
              </w:rPr>
            </w:pPr>
            <w:r>
              <w:rPr>
                <w:rFonts w:cstheme="minorHAnsi"/>
                <w:sz w:val="18"/>
              </w:rPr>
              <w:fldChar w:fldCharType="begin"/>
            </w:r>
            <w:r w:rsidR="00BC4723">
              <w:rPr>
                <w:rFonts w:cstheme="minorHAnsi"/>
                <w:sz w:val="18"/>
                <w:lang w:val="en-GB"/>
              </w:rPr>
              <w:instrText xml:space="preserve"> ADDIN ZOTERO_ITEM CSL_CITATION {"citationID":"YfdWV2zJ","properties":{"formattedCitation":"(23)","plainCitation":"(23)","noteIndex":0},"citationItems":[{"id":1210,"uris":["http://zotero.org/users/15628667/items/ITWG46Q7"],"itemData":{"id":1210,"type":"article-journal","container-title":"European Journal of Nuclear Medicine and Molecular Imaging","DOI":"10.1007/s00259-022-05924-4","ISSN":"1619-7070, 1619-7089","issue":"S1","journalAbbreviation":"Eur J Nucl Med Mol Imaging","language":"en","license":"https://www.springernature.com/gp/researchers/text-and-data-mining","note":"publisher: Springer Science and Business Media LLC","page":"1-751","source":"Crossref","title":"Annual Congress of the European Association of Nuclear Medicine October 15-19, 2022 Barcelona, Spain","URL":"https://link.springer.com/10.1007/s00259-022-05924-4","volume":"49","author":[{"family":"Kulkarni","given":""}],"accessed":{"date-parts":[["2025",7,25]]},"issued":{"date-parts":[["2022",9]]}}}],"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(23)</w:t>
            </w:r>
            <w:r>
              <w:rPr>
                <w:rFonts w:cstheme="minorHAnsi"/>
                <w:sz w:val="18"/>
              </w:rPr>
              <w:fldChar w:fldCharType="end"/>
            </w:r>
          </w:p>
        </w:tc>
        <w:tc>
          <w:tcPr>
            <w:tcW w:w="2026" w:type="pct"/>
            <w:tcBorders>
              <w:left w:val="single" w:sz="4" w:space="0" w:color="auto"/>
              <w:bottom w:val="nil"/>
            </w:tcBorders>
            <w:noWrap/>
            <w:vAlign w:val="center"/>
          </w:tcPr>
          <w:p w14:paraId="6F059EB8" w14:textId="77777777" w:rsidR="000A3731" w:rsidRPr="000A3731" w:rsidRDefault="000A3731" w:rsidP="000A3731">
            <w:pPr>
              <w:jc w:val="center"/>
              <w:rPr>
                <w:rFonts w:cstheme="minorHAnsi"/>
                <w:sz w:val="18"/>
                <w:lang w:val="en-GB"/>
              </w:rPr>
            </w:pPr>
            <w:r w:rsidRPr="000A3731">
              <w:rPr>
                <w:rFonts w:cstheme="minorHAnsi"/>
                <w:sz w:val="18"/>
                <w:lang w:val="en-GB"/>
              </w:rPr>
              <w:t>TRT with 225 Ac-DOTATOC was well tolerated by all the patients</w:t>
            </w:r>
          </w:p>
        </w:tc>
        <w:tc>
          <w:tcPr>
            <w:tcW w:w="922" w:type="pct"/>
            <w:tcBorders>
              <w:bottom w:val="nil"/>
            </w:tcBorders>
            <w:noWrap/>
            <w:vAlign w:val="center"/>
          </w:tcPr>
          <w:p w14:paraId="45A6EBA2" w14:textId="77777777" w:rsidR="000A3731" w:rsidRPr="000A3731" w:rsidRDefault="000A3731" w:rsidP="000A3731">
            <w:pPr>
              <w:jc w:val="center"/>
              <w:rPr>
                <w:rFonts w:cstheme="minorHAnsi"/>
                <w:sz w:val="18"/>
                <w:lang w:val="en-GB"/>
              </w:rPr>
            </w:pPr>
            <w:r w:rsidRPr="000A3731">
              <w:rPr>
                <w:rFonts w:cstheme="minorHAnsi"/>
                <w:sz w:val="18"/>
                <w:lang w:val="en-GB"/>
              </w:rPr>
              <w:t>Safe</w:t>
            </w:r>
          </w:p>
        </w:tc>
        <w:tc>
          <w:tcPr>
            <w:tcW w:w="175" w:type="pct"/>
            <w:tcBorders>
              <w:bottom w:val="nil"/>
            </w:tcBorders>
            <w:vAlign w:val="center"/>
          </w:tcPr>
          <w:p w14:paraId="2FAA8A2F" w14:textId="77777777" w:rsidR="000A3731" w:rsidRPr="000A3731" w:rsidRDefault="000A3731" w:rsidP="000A3731">
            <w:pPr>
              <w:jc w:val="center"/>
              <w:rPr>
                <w:rFonts w:cstheme="minorHAnsi"/>
                <w:sz w:val="18"/>
                <w:lang w:val="en-GB"/>
              </w:rPr>
            </w:pPr>
            <w:r w:rsidRPr="000A3731">
              <w:rPr>
                <w:rFonts w:cstheme="minorHAnsi"/>
                <w:sz w:val="18"/>
                <w:lang w:val="en-GB"/>
              </w:rPr>
              <w:t>41</w:t>
            </w:r>
          </w:p>
        </w:tc>
        <w:tc>
          <w:tcPr>
            <w:tcW w:w="754" w:type="pct"/>
            <w:tcBorders>
              <w:bottom w:val="nil"/>
            </w:tcBorders>
            <w:noWrap/>
            <w:vAlign w:val="center"/>
          </w:tcPr>
          <w:p w14:paraId="3C83E8DE" w14:textId="77777777" w:rsidR="000A3731" w:rsidRPr="000A3731" w:rsidRDefault="000A3731" w:rsidP="000A3731">
            <w:pPr>
              <w:jc w:val="center"/>
              <w:rPr>
                <w:rFonts w:cstheme="minorHAnsi"/>
                <w:sz w:val="18"/>
                <w:lang w:val="en-GB"/>
              </w:rPr>
            </w:pPr>
            <w:r w:rsidRPr="000A3731">
              <w:rPr>
                <w:rFonts w:cstheme="minorHAnsi"/>
                <w:sz w:val="18"/>
                <w:lang w:val="en-GB"/>
              </w:rPr>
              <w:t>not observed(hemato, Nephro, hepatotoxicity)</w:t>
            </w:r>
          </w:p>
        </w:tc>
        <w:tc>
          <w:tcPr>
            <w:tcW w:w="689" w:type="pct"/>
            <w:tcBorders>
              <w:bottom w:val="nil"/>
            </w:tcBorders>
            <w:noWrap/>
            <w:vAlign w:val="center"/>
          </w:tcPr>
          <w:p w14:paraId="2B89648A" w14:textId="77777777" w:rsidR="000A3731" w:rsidRPr="00B47BAA" w:rsidRDefault="000A3731" w:rsidP="000A3731">
            <w:pPr>
              <w:jc w:val="center"/>
              <w:rPr>
                <w:rFonts w:cstheme="minorHAnsi"/>
                <w:sz w:val="18"/>
              </w:rPr>
            </w:pPr>
            <w:r w:rsidRPr="00B47BAA">
              <w:rPr>
                <w:rFonts w:cstheme="minorHAnsi"/>
                <w:sz w:val="18"/>
              </w:rPr>
              <w:t>N/A</w:t>
            </w:r>
          </w:p>
        </w:tc>
        <w:tc>
          <w:tcPr>
            <w:tcW w:w="205" w:type="pct"/>
            <w:tcBorders>
              <w:bottom w:val="nil"/>
            </w:tcBorders>
            <w:noWrap/>
            <w:vAlign w:val="center"/>
          </w:tcPr>
          <w:p w14:paraId="50E2DE72" w14:textId="77777777" w:rsidR="000A3731" w:rsidRPr="00B47BAA" w:rsidRDefault="000A3731" w:rsidP="000A3731">
            <w:pPr>
              <w:jc w:val="center"/>
              <w:rPr>
                <w:rFonts w:cstheme="minorHAnsi"/>
                <w:sz w:val="18"/>
              </w:rPr>
            </w:pPr>
            <w:r w:rsidRPr="00B47BAA">
              <w:rPr>
                <w:rFonts w:cstheme="minorHAnsi"/>
                <w:sz w:val="18"/>
              </w:rPr>
              <w:t>25</w:t>
            </w:r>
          </w:p>
        </w:tc>
      </w:tr>
      <w:tr w:rsidR="000A3731" w:rsidRPr="00B47BAA" w14:paraId="5E4AD0D1" w14:textId="77777777" w:rsidTr="000A3731">
        <w:trPr>
          <w:trHeight w:val="576"/>
        </w:trPr>
        <w:tc>
          <w:tcPr>
            <w:tcW w:w="229" w:type="pct"/>
            <w:tcBorders>
              <w:bottom w:val="nil"/>
              <w:right w:val="single" w:sz="4" w:space="0" w:color="auto"/>
            </w:tcBorders>
            <w:vAlign w:val="center"/>
          </w:tcPr>
          <w:p w14:paraId="0734BEC6" w14:textId="2CA63527" w:rsidR="000A3731" w:rsidRDefault="000A3731" w:rsidP="000A3731">
            <w:pPr>
              <w:jc w:val="center"/>
              <w:rPr>
                <w:rFonts w:cstheme="minorHAnsi"/>
                <w:sz w:val="18"/>
              </w:rPr>
            </w:pPr>
            <w:r>
              <w:rPr>
                <w:rFonts w:cstheme="minorHAnsi"/>
                <w:sz w:val="18"/>
              </w:rPr>
              <w:fldChar w:fldCharType="begin"/>
            </w:r>
            <w:r w:rsidR="00BC4723">
              <w:rPr>
                <w:rFonts w:cstheme="minorHAnsi"/>
                <w:sz w:val="18"/>
              </w:rPr>
              <w:instrText xml:space="preserve"> ADDIN ZOTERO_ITEM CSL_CITATION {"citationID":"HONnqfCK","properties":{"formattedCitation":"(22)","plainCitation":"(22)","noteIndex":0},"citationItems":[{"id":1142,"uris":["http://zotero.org/users/15628667/items/3738AKDT"],"itemData":{"id":1142,"type":"article-journal","abstract":"The aim of this retrospective analysis is to estimate the most appropriate single cycle and cumulative doses of 225Ac-DOTATOC in patients treated for somatostatin-receptor-expressing cancers.","container-title":"European Journal of Nuclear Medicine and Molecular Imaging","DOI":"10.1007/s00259-021-05474-1","ISSN":"1619-7089","issue":"1","journalAbbreviation":"European Journal of Nuclear Medicine and Molecular Imaging","page":"54-63","title":"Dosing 225Ac-DOTATOC in patients with somatostatin-receptor-positive solid tumors: 5-year follow-up of hematological and renal toxicity","URL":"https://doi.org/10.1007/s00259-021-05474-1","volume":"49","author":[{"family":"Kratochwil","given":"Clemens"},{"family":"Apostolidis","given":"Leonidas"},{"family":"Rathke","given":"Hendrik"},{"family":"Apostolidis","given":"Christos"},{"family":"Bicu","given":"Felix"},{"family":"Bruchertseifer","given":"Frank"},{"family":"Choyke","given":"Peter L."},{"family":"Haberkorn","given":"Uwe"},{"family":"Giesel","given":"Frederik L."},{"family":"Morgenstern","given":"Alfred"}],"issued":{"date-parts":[["2021",12,1]]}}}],"schema":"https://github.com/citation-style-language/schema/raw/master/csl-citation.json"} </w:instrText>
            </w:r>
            <w:r>
              <w:rPr>
                <w:rFonts w:cstheme="minorHAnsi"/>
                <w:sz w:val="18"/>
              </w:rPr>
              <w:fldChar w:fldCharType="separate"/>
            </w:r>
            <w:r w:rsidR="00BC4723" w:rsidRPr="00BC4723">
              <w:rPr>
                <w:rFonts w:ascii="Calibri" w:hAnsi="Calibri" w:cs="Calibri"/>
                <w:sz w:val="18"/>
              </w:rPr>
              <w:t>(22)</w:t>
            </w:r>
            <w:r>
              <w:rPr>
                <w:rFonts w:cstheme="minorHAnsi"/>
                <w:sz w:val="18"/>
              </w:rPr>
              <w:fldChar w:fldCharType="end"/>
            </w:r>
          </w:p>
        </w:tc>
        <w:tc>
          <w:tcPr>
            <w:tcW w:w="2026" w:type="pct"/>
            <w:tcBorders>
              <w:left w:val="single" w:sz="4" w:space="0" w:color="auto"/>
              <w:bottom w:val="nil"/>
            </w:tcBorders>
            <w:noWrap/>
            <w:vAlign w:val="center"/>
          </w:tcPr>
          <w:p w14:paraId="0D876628" w14:textId="77777777" w:rsidR="000A3731" w:rsidRPr="000A3731" w:rsidRDefault="000A3731" w:rsidP="000A3731">
            <w:pPr>
              <w:rPr>
                <w:rFonts w:cstheme="minorHAnsi"/>
                <w:sz w:val="18"/>
                <w:lang w:val="en-GB"/>
              </w:rPr>
            </w:pPr>
            <w:r w:rsidRPr="000A3731">
              <w:rPr>
                <w:rFonts w:cstheme="minorHAnsi"/>
                <w:sz w:val="18"/>
                <w:lang w:val="en-GB"/>
              </w:rPr>
              <w:t>Cumulative doses up to 60–80 MBq in general prevented both acute and chronic grade 3/4 hematotoxicity</w:t>
            </w:r>
          </w:p>
        </w:tc>
        <w:tc>
          <w:tcPr>
            <w:tcW w:w="922" w:type="pct"/>
            <w:tcBorders>
              <w:bottom w:val="nil"/>
            </w:tcBorders>
            <w:noWrap/>
            <w:vAlign w:val="center"/>
          </w:tcPr>
          <w:p w14:paraId="1E66D72A" w14:textId="77777777" w:rsidR="000A3731" w:rsidRPr="000A3731" w:rsidRDefault="000A3731" w:rsidP="000A3731">
            <w:pPr>
              <w:jc w:val="center"/>
              <w:rPr>
                <w:rFonts w:cstheme="minorHAnsi"/>
                <w:sz w:val="18"/>
                <w:lang w:val="en-GB"/>
              </w:rPr>
            </w:pPr>
            <w:r w:rsidRPr="000A3731">
              <w:rPr>
                <w:rFonts w:cstheme="minorHAnsi"/>
                <w:sz w:val="18"/>
                <w:lang w:val="en-GB"/>
              </w:rPr>
              <w:t>Safe, Dose-dependent hemato and nephro toxicities</w:t>
            </w:r>
          </w:p>
        </w:tc>
        <w:tc>
          <w:tcPr>
            <w:tcW w:w="175" w:type="pct"/>
            <w:tcBorders>
              <w:bottom w:val="nil"/>
            </w:tcBorders>
            <w:vAlign w:val="center"/>
          </w:tcPr>
          <w:p w14:paraId="6A59166F" w14:textId="77777777" w:rsidR="000A3731" w:rsidRPr="00B47BAA" w:rsidRDefault="000A3731" w:rsidP="000A3731">
            <w:pPr>
              <w:jc w:val="center"/>
              <w:rPr>
                <w:rFonts w:cstheme="minorHAnsi"/>
                <w:sz w:val="18"/>
              </w:rPr>
            </w:pPr>
            <w:r>
              <w:rPr>
                <w:rFonts w:cstheme="minorHAnsi"/>
                <w:sz w:val="18"/>
              </w:rPr>
              <w:t>39</w:t>
            </w:r>
          </w:p>
        </w:tc>
        <w:tc>
          <w:tcPr>
            <w:tcW w:w="754" w:type="pct"/>
            <w:tcBorders>
              <w:bottom w:val="nil"/>
            </w:tcBorders>
            <w:noWrap/>
            <w:vAlign w:val="center"/>
          </w:tcPr>
          <w:p w14:paraId="76BE98A8" w14:textId="77777777" w:rsidR="000A3731" w:rsidRPr="000A3731" w:rsidRDefault="000A3731" w:rsidP="000A3731">
            <w:pPr>
              <w:jc w:val="center"/>
              <w:rPr>
                <w:rFonts w:cstheme="minorHAnsi"/>
                <w:sz w:val="18"/>
                <w:lang w:val="en-GB"/>
              </w:rPr>
            </w:pPr>
            <w:r w:rsidRPr="000A3731">
              <w:rPr>
                <w:rFonts w:cstheme="minorHAnsi"/>
                <w:sz w:val="18"/>
                <w:lang w:val="en-GB"/>
              </w:rPr>
              <w:t>2 Nephro/no hemato up to 40 MBq</w:t>
            </w:r>
          </w:p>
        </w:tc>
        <w:tc>
          <w:tcPr>
            <w:tcW w:w="689" w:type="pct"/>
            <w:tcBorders>
              <w:bottom w:val="nil"/>
            </w:tcBorders>
            <w:noWrap/>
            <w:vAlign w:val="center"/>
          </w:tcPr>
          <w:p w14:paraId="08F35A4C" w14:textId="77777777" w:rsidR="000A3731" w:rsidRPr="00B47BAA" w:rsidRDefault="000A3731" w:rsidP="000A3731">
            <w:pPr>
              <w:jc w:val="center"/>
              <w:rPr>
                <w:rFonts w:cstheme="minorHAnsi"/>
                <w:sz w:val="18"/>
              </w:rPr>
            </w:pPr>
            <w:r>
              <w:rPr>
                <w:rFonts w:cstheme="minorHAnsi"/>
                <w:sz w:val="18"/>
              </w:rPr>
              <w:t>27 Hemato</w:t>
            </w:r>
          </w:p>
        </w:tc>
        <w:tc>
          <w:tcPr>
            <w:tcW w:w="205" w:type="pct"/>
            <w:tcBorders>
              <w:bottom w:val="nil"/>
            </w:tcBorders>
            <w:noWrap/>
            <w:vAlign w:val="center"/>
          </w:tcPr>
          <w:p w14:paraId="7ADBD36C" w14:textId="77777777" w:rsidR="000A3731" w:rsidRPr="00B47BAA" w:rsidRDefault="000A3731" w:rsidP="000A3731">
            <w:pPr>
              <w:jc w:val="center"/>
              <w:rPr>
                <w:rFonts w:cstheme="minorHAnsi"/>
                <w:sz w:val="18"/>
              </w:rPr>
            </w:pPr>
            <w:r>
              <w:rPr>
                <w:rFonts w:cstheme="minorHAnsi"/>
                <w:sz w:val="18"/>
              </w:rPr>
              <w:t>48</w:t>
            </w:r>
          </w:p>
        </w:tc>
      </w:tr>
      <w:tr w:rsidR="000A3731" w:rsidRPr="00B47BAA" w14:paraId="71330B13" w14:textId="77777777" w:rsidTr="000A3731">
        <w:trPr>
          <w:trHeight w:val="576"/>
        </w:trPr>
        <w:tc>
          <w:tcPr>
            <w:tcW w:w="229" w:type="pct"/>
            <w:tcBorders>
              <w:top w:val="nil"/>
              <w:bottom w:val="nil"/>
              <w:right w:val="single" w:sz="4" w:space="0" w:color="auto"/>
            </w:tcBorders>
            <w:vAlign w:val="center"/>
          </w:tcPr>
          <w:p w14:paraId="7739C20E" w14:textId="51424271" w:rsidR="000A3731" w:rsidRPr="00B47BAA" w:rsidRDefault="000A3731" w:rsidP="000A3731">
            <w:pPr>
              <w:jc w:val="center"/>
              <w:rPr>
                <w:rFonts w:cstheme="minorHAnsi"/>
                <w:sz w:val="18"/>
              </w:rPr>
            </w:pPr>
            <w:r>
              <w:rPr>
                <w:rFonts w:cstheme="minorHAnsi"/>
                <w:sz w:val="18"/>
              </w:rPr>
              <w:fldChar w:fldCharType="begin"/>
            </w:r>
            <w:r w:rsidR="00BC4723">
              <w:rPr>
                <w:rFonts w:cstheme="minorHAnsi"/>
                <w:sz w:val="18"/>
              </w:rPr>
              <w:instrText xml:space="preserve"> ADDIN ZOTERO_ITEM CSL_CITATION {"citationID":"KyiXe0uz","properties":{"formattedCitation":"(29)","plainCitation":"(29)","noteIndex":0},"citationItems":[{"id":1213,"uris":["http://zotero.org/users/15628667/items/TZVCXGCW"],"itemData":{"id":1213,"type":"article-journal","container-title":"European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2024","URL":"https://link.springer.com/10.1007/s00259-024-06838-z","volume":"51","author":[{"family":"Perrone E","given":""}],"accessed":{"date-parts":[["2025",7,25]]},"issued":{"date-parts":[["2024",9]]}}}],"schema":"https://github.com/citation-style-language/schema/raw/master/csl-citation.json"} </w:instrText>
            </w:r>
            <w:r>
              <w:rPr>
                <w:rFonts w:cstheme="minorHAnsi"/>
                <w:sz w:val="18"/>
              </w:rPr>
              <w:fldChar w:fldCharType="separate"/>
            </w:r>
            <w:r w:rsidR="00BC4723" w:rsidRPr="00BC4723">
              <w:rPr>
                <w:rFonts w:ascii="Calibri" w:hAnsi="Calibri" w:cs="Calibri"/>
                <w:sz w:val="18"/>
              </w:rPr>
              <w:t>(29)</w:t>
            </w:r>
            <w:r>
              <w:rPr>
                <w:rFonts w:cstheme="minorHAnsi"/>
                <w:sz w:val="18"/>
              </w:rPr>
              <w:fldChar w:fldCharType="end"/>
            </w:r>
          </w:p>
        </w:tc>
        <w:tc>
          <w:tcPr>
            <w:tcW w:w="2026" w:type="pct"/>
            <w:tcBorders>
              <w:top w:val="nil"/>
              <w:left w:val="single" w:sz="4" w:space="0" w:color="auto"/>
              <w:bottom w:val="nil"/>
            </w:tcBorders>
            <w:noWrap/>
            <w:vAlign w:val="center"/>
          </w:tcPr>
          <w:p w14:paraId="7DD69502" w14:textId="77777777" w:rsidR="000A3731" w:rsidRPr="000A3731" w:rsidRDefault="000A3731" w:rsidP="000A3731">
            <w:pPr>
              <w:jc w:val="center"/>
              <w:rPr>
                <w:rFonts w:cstheme="minorHAnsi"/>
                <w:sz w:val="18"/>
                <w:lang w:val="en-GB"/>
              </w:rPr>
            </w:pPr>
            <w:r w:rsidRPr="000A3731">
              <w:rPr>
                <w:rFonts w:cstheme="minorHAnsi"/>
                <w:sz w:val="18"/>
                <w:lang w:val="en-GB"/>
              </w:rPr>
              <w:t>225 Ac-FAP is overall safe in terms of acute and long-term severe events.</w:t>
            </w:r>
          </w:p>
        </w:tc>
        <w:tc>
          <w:tcPr>
            <w:tcW w:w="922" w:type="pct"/>
            <w:tcBorders>
              <w:top w:val="nil"/>
              <w:bottom w:val="nil"/>
            </w:tcBorders>
            <w:noWrap/>
            <w:vAlign w:val="center"/>
          </w:tcPr>
          <w:p w14:paraId="2C1F6CBB" w14:textId="77777777" w:rsidR="000A3731" w:rsidRPr="00B47BAA" w:rsidRDefault="000A3731" w:rsidP="000A3731">
            <w:pPr>
              <w:jc w:val="center"/>
              <w:rPr>
                <w:rFonts w:cstheme="minorHAnsi"/>
                <w:sz w:val="18"/>
              </w:rPr>
            </w:pPr>
            <w:r>
              <w:rPr>
                <w:rFonts w:cstheme="minorHAnsi"/>
                <w:sz w:val="18"/>
              </w:rPr>
              <w:t>S</w:t>
            </w:r>
            <w:r w:rsidRPr="00B47BAA">
              <w:rPr>
                <w:rFonts w:cstheme="minorHAnsi"/>
                <w:sz w:val="18"/>
              </w:rPr>
              <w:t>afe</w:t>
            </w:r>
          </w:p>
        </w:tc>
        <w:tc>
          <w:tcPr>
            <w:tcW w:w="175" w:type="pct"/>
            <w:tcBorders>
              <w:top w:val="nil"/>
              <w:bottom w:val="nil"/>
            </w:tcBorders>
            <w:vAlign w:val="center"/>
          </w:tcPr>
          <w:p w14:paraId="4C9B1747" w14:textId="77777777" w:rsidR="000A3731" w:rsidRPr="00B47BAA" w:rsidRDefault="000A3731" w:rsidP="000A3731">
            <w:pPr>
              <w:jc w:val="center"/>
              <w:rPr>
                <w:rFonts w:cstheme="minorHAnsi"/>
                <w:sz w:val="18"/>
              </w:rPr>
            </w:pPr>
            <w:r>
              <w:rPr>
                <w:rFonts w:cstheme="minorHAnsi"/>
                <w:sz w:val="18"/>
              </w:rPr>
              <w:t>50</w:t>
            </w:r>
          </w:p>
        </w:tc>
        <w:tc>
          <w:tcPr>
            <w:tcW w:w="754" w:type="pct"/>
            <w:tcBorders>
              <w:top w:val="nil"/>
              <w:bottom w:val="nil"/>
            </w:tcBorders>
            <w:noWrap/>
            <w:vAlign w:val="center"/>
          </w:tcPr>
          <w:p w14:paraId="74D8D45C" w14:textId="77777777" w:rsidR="000A3731" w:rsidRPr="00B47BAA" w:rsidRDefault="000A3731" w:rsidP="000A3731">
            <w:pPr>
              <w:jc w:val="center"/>
              <w:rPr>
                <w:rFonts w:cstheme="minorHAnsi"/>
                <w:sz w:val="18"/>
              </w:rPr>
            </w:pPr>
            <w:r w:rsidRPr="00B47BAA">
              <w:rPr>
                <w:rFonts w:cstheme="minorHAnsi"/>
                <w:sz w:val="18"/>
              </w:rPr>
              <w:t>2 Hemato</w:t>
            </w:r>
          </w:p>
        </w:tc>
        <w:tc>
          <w:tcPr>
            <w:tcW w:w="689" w:type="pct"/>
            <w:tcBorders>
              <w:top w:val="nil"/>
              <w:bottom w:val="nil"/>
            </w:tcBorders>
            <w:noWrap/>
            <w:vAlign w:val="center"/>
          </w:tcPr>
          <w:p w14:paraId="3D57B7E5" w14:textId="77777777" w:rsidR="000A3731" w:rsidRPr="00B47BAA" w:rsidRDefault="000A3731" w:rsidP="000A3731">
            <w:pPr>
              <w:jc w:val="center"/>
              <w:rPr>
                <w:rFonts w:cstheme="minorHAnsi"/>
                <w:sz w:val="18"/>
              </w:rPr>
            </w:pPr>
            <w:r w:rsidRPr="00B47BAA">
              <w:rPr>
                <w:rFonts w:cstheme="minorHAnsi"/>
                <w:sz w:val="18"/>
              </w:rPr>
              <w:t>38 hemato, 6 Nephro, 13 Hepato</w:t>
            </w:r>
          </w:p>
        </w:tc>
        <w:tc>
          <w:tcPr>
            <w:tcW w:w="205" w:type="pct"/>
            <w:tcBorders>
              <w:top w:val="nil"/>
              <w:bottom w:val="nil"/>
            </w:tcBorders>
            <w:noWrap/>
            <w:vAlign w:val="center"/>
          </w:tcPr>
          <w:p w14:paraId="6936AA60" w14:textId="77777777" w:rsidR="000A3731" w:rsidRPr="00B47BAA" w:rsidRDefault="000A3731" w:rsidP="000A3731">
            <w:pPr>
              <w:jc w:val="center"/>
              <w:rPr>
                <w:rFonts w:cstheme="minorHAnsi"/>
                <w:sz w:val="18"/>
              </w:rPr>
            </w:pPr>
            <w:r w:rsidRPr="00B47BAA">
              <w:rPr>
                <w:rFonts w:cstheme="minorHAnsi"/>
                <w:sz w:val="18"/>
              </w:rPr>
              <w:t>33</w:t>
            </w:r>
          </w:p>
        </w:tc>
      </w:tr>
      <w:tr w:rsidR="000A3731" w:rsidRPr="00B47BAA" w14:paraId="0B9B3A50" w14:textId="77777777" w:rsidTr="000A3731">
        <w:trPr>
          <w:trHeight w:val="576"/>
        </w:trPr>
        <w:tc>
          <w:tcPr>
            <w:tcW w:w="229" w:type="pct"/>
            <w:tcBorders>
              <w:top w:val="nil"/>
              <w:right w:val="single" w:sz="4" w:space="0" w:color="auto"/>
            </w:tcBorders>
            <w:vAlign w:val="center"/>
          </w:tcPr>
          <w:p w14:paraId="4E3CCED0" w14:textId="7D0E07FB" w:rsidR="000A3731" w:rsidRPr="00B47BAA" w:rsidRDefault="000A3731" w:rsidP="000A3731">
            <w:pPr>
              <w:jc w:val="center"/>
              <w:rPr>
                <w:rFonts w:cstheme="minorHAnsi"/>
                <w:sz w:val="18"/>
              </w:rPr>
            </w:pPr>
            <w:r>
              <w:rPr>
                <w:rFonts w:cstheme="minorHAnsi"/>
                <w:sz w:val="18"/>
              </w:rPr>
              <w:fldChar w:fldCharType="begin"/>
            </w:r>
            <w:r w:rsidR="00BC4723">
              <w:rPr>
                <w:rFonts w:cstheme="minorHAnsi"/>
                <w:sz w:val="18"/>
              </w:rPr>
              <w:instrText xml:space="preserve"> ADDIN ZOTERO_ITEM CSL_CITATION {"citationID":"LFqIWnLz","properties":{"formattedCitation":"(30)","plainCitation":"(30)","noteIndex":0},"citationItems":[{"id":1215,"uris":["http://zotero.org/users/15628667/items/QZJX4I62"],"itemData":{"id":1215,"type":"article-journal","container-title":"European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2024","URL":"https://link.springer.com/10.1007/s00259-024-06838-z","volume":"51","author":[{"family":"E perrone","given":""}],"accessed":{"date-parts":[["2025",7,25]]},"issued":{"date-parts":[["2024",9]]}}}],"schema":"https://github.com/citation-style-language/schema/raw/master/csl-citation.json"} </w:instrText>
            </w:r>
            <w:r>
              <w:rPr>
                <w:rFonts w:cstheme="minorHAnsi"/>
                <w:sz w:val="18"/>
              </w:rPr>
              <w:fldChar w:fldCharType="separate"/>
            </w:r>
            <w:r w:rsidR="00BC4723" w:rsidRPr="00BC4723">
              <w:rPr>
                <w:rFonts w:ascii="Calibri" w:hAnsi="Calibri" w:cs="Calibri"/>
                <w:sz w:val="18"/>
              </w:rPr>
              <w:t>(30)</w:t>
            </w:r>
            <w:r>
              <w:rPr>
                <w:rFonts w:cstheme="minorHAnsi"/>
                <w:sz w:val="18"/>
              </w:rPr>
              <w:fldChar w:fldCharType="end"/>
            </w:r>
          </w:p>
        </w:tc>
        <w:tc>
          <w:tcPr>
            <w:tcW w:w="2026" w:type="pct"/>
            <w:tcBorders>
              <w:top w:val="nil"/>
              <w:left w:val="single" w:sz="4" w:space="0" w:color="auto"/>
            </w:tcBorders>
            <w:noWrap/>
            <w:vAlign w:val="center"/>
          </w:tcPr>
          <w:p w14:paraId="0DD6E598" w14:textId="77777777" w:rsidR="000A3731" w:rsidRPr="000A3731" w:rsidRDefault="000A3731" w:rsidP="000A3731">
            <w:pPr>
              <w:jc w:val="center"/>
              <w:rPr>
                <w:rFonts w:cstheme="minorHAnsi"/>
                <w:sz w:val="18"/>
                <w:lang w:val="en-GB"/>
              </w:rPr>
            </w:pPr>
            <w:r w:rsidRPr="000A3731">
              <w:rPr>
                <w:rFonts w:cstheme="minorHAnsi"/>
                <w:sz w:val="18"/>
                <w:lang w:val="en-GB"/>
              </w:rPr>
              <w:t>225 Ac-DOTA-LM3 showed safe in term of acute and long-term adverse events in general</w:t>
            </w:r>
          </w:p>
        </w:tc>
        <w:tc>
          <w:tcPr>
            <w:tcW w:w="922" w:type="pct"/>
            <w:tcBorders>
              <w:top w:val="nil"/>
            </w:tcBorders>
            <w:noWrap/>
            <w:vAlign w:val="center"/>
          </w:tcPr>
          <w:p w14:paraId="0832BE81" w14:textId="77777777" w:rsidR="000A3731" w:rsidRPr="00B47BAA" w:rsidRDefault="000A3731" w:rsidP="000A3731">
            <w:pPr>
              <w:jc w:val="center"/>
              <w:rPr>
                <w:rFonts w:cstheme="minorHAnsi"/>
                <w:sz w:val="18"/>
              </w:rPr>
            </w:pPr>
            <w:r>
              <w:rPr>
                <w:rFonts w:cstheme="minorHAnsi"/>
                <w:sz w:val="18"/>
              </w:rPr>
              <w:t>S</w:t>
            </w:r>
            <w:r w:rsidRPr="00B47BAA">
              <w:rPr>
                <w:rFonts w:cstheme="minorHAnsi"/>
                <w:sz w:val="18"/>
              </w:rPr>
              <w:t>afe</w:t>
            </w:r>
          </w:p>
        </w:tc>
        <w:tc>
          <w:tcPr>
            <w:tcW w:w="175" w:type="pct"/>
            <w:tcBorders>
              <w:top w:val="nil"/>
            </w:tcBorders>
            <w:vAlign w:val="center"/>
          </w:tcPr>
          <w:p w14:paraId="1DC31CE1" w14:textId="77777777" w:rsidR="000A3731" w:rsidRPr="00B47BAA" w:rsidRDefault="000A3731" w:rsidP="000A3731">
            <w:pPr>
              <w:jc w:val="center"/>
              <w:rPr>
                <w:rFonts w:cstheme="minorHAnsi"/>
                <w:sz w:val="18"/>
              </w:rPr>
            </w:pPr>
            <w:r>
              <w:rPr>
                <w:rFonts w:cstheme="minorHAnsi"/>
                <w:sz w:val="18"/>
              </w:rPr>
              <w:t>28</w:t>
            </w:r>
          </w:p>
        </w:tc>
        <w:tc>
          <w:tcPr>
            <w:tcW w:w="754" w:type="pct"/>
            <w:tcBorders>
              <w:top w:val="nil"/>
            </w:tcBorders>
            <w:noWrap/>
            <w:vAlign w:val="center"/>
          </w:tcPr>
          <w:p w14:paraId="61379830" w14:textId="77777777" w:rsidR="000A3731" w:rsidRPr="00B47BAA" w:rsidRDefault="000A3731" w:rsidP="000A3731">
            <w:pPr>
              <w:jc w:val="center"/>
              <w:rPr>
                <w:rFonts w:cstheme="minorHAnsi"/>
                <w:sz w:val="18"/>
              </w:rPr>
            </w:pPr>
            <w:r w:rsidRPr="00B47BAA">
              <w:rPr>
                <w:rFonts w:cstheme="minorHAnsi"/>
                <w:sz w:val="18"/>
              </w:rPr>
              <w:t>12 Hemato, 2 nephro</w:t>
            </w:r>
          </w:p>
        </w:tc>
        <w:tc>
          <w:tcPr>
            <w:tcW w:w="689" w:type="pct"/>
            <w:tcBorders>
              <w:top w:val="nil"/>
            </w:tcBorders>
            <w:noWrap/>
            <w:vAlign w:val="center"/>
          </w:tcPr>
          <w:p w14:paraId="2CD648F9" w14:textId="77777777" w:rsidR="000A3731" w:rsidRPr="00B47BAA" w:rsidRDefault="000A3731" w:rsidP="000A3731">
            <w:pPr>
              <w:jc w:val="center"/>
              <w:rPr>
                <w:rFonts w:cstheme="minorHAnsi"/>
                <w:sz w:val="18"/>
              </w:rPr>
            </w:pPr>
            <w:r w:rsidRPr="00B47BAA">
              <w:rPr>
                <w:rFonts w:cstheme="minorHAnsi"/>
                <w:sz w:val="18"/>
              </w:rPr>
              <w:t>26 Hemato, 6 Nephro, 1 Hepato</w:t>
            </w:r>
          </w:p>
        </w:tc>
        <w:tc>
          <w:tcPr>
            <w:tcW w:w="205" w:type="pct"/>
            <w:tcBorders>
              <w:top w:val="nil"/>
            </w:tcBorders>
            <w:noWrap/>
            <w:vAlign w:val="center"/>
          </w:tcPr>
          <w:p w14:paraId="33BA42A3" w14:textId="77777777" w:rsidR="000A3731" w:rsidRPr="00B47BAA" w:rsidRDefault="000A3731" w:rsidP="000A3731">
            <w:pPr>
              <w:jc w:val="center"/>
              <w:rPr>
                <w:rFonts w:cstheme="minorHAnsi"/>
                <w:sz w:val="18"/>
              </w:rPr>
            </w:pPr>
            <w:r w:rsidRPr="00B47BAA">
              <w:rPr>
                <w:rFonts w:cstheme="minorHAnsi"/>
                <w:sz w:val="18"/>
              </w:rPr>
              <w:t>23</w:t>
            </w:r>
          </w:p>
        </w:tc>
      </w:tr>
      <w:tr w:rsidR="000A3731" w:rsidRPr="00B47BAA" w14:paraId="7C1404A0" w14:textId="77777777" w:rsidTr="000A3731">
        <w:trPr>
          <w:trHeight w:val="576"/>
        </w:trPr>
        <w:tc>
          <w:tcPr>
            <w:tcW w:w="229" w:type="pct"/>
            <w:tcBorders>
              <w:right w:val="single" w:sz="4" w:space="0" w:color="auto"/>
            </w:tcBorders>
            <w:vAlign w:val="center"/>
          </w:tcPr>
          <w:p w14:paraId="5D18D365" w14:textId="209C0B94" w:rsidR="000A3731" w:rsidRPr="00B47BAA" w:rsidRDefault="000A3731" w:rsidP="000A3731">
            <w:pPr>
              <w:jc w:val="center"/>
              <w:rPr>
                <w:rFonts w:cstheme="minorHAnsi"/>
                <w:sz w:val="18"/>
              </w:rPr>
            </w:pPr>
            <w:r>
              <w:rPr>
                <w:rFonts w:cstheme="minorHAnsi"/>
                <w:sz w:val="18"/>
              </w:rPr>
              <w:fldChar w:fldCharType="begin"/>
            </w:r>
            <w:r w:rsidR="00BC4723">
              <w:rPr>
                <w:rFonts w:cstheme="minorHAnsi"/>
                <w:sz w:val="18"/>
              </w:rPr>
              <w:instrText xml:space="preserve"> ADDIN ZOTERO_ITEM CSL_CITATION {"citationID":"MoftDqLb","properties":{"formattedCitation":"(31)","plainCitation":"(31)","noteIndex":0},"citationItems":[{"id":1217,"uris":["http://zotero.org/users/15628667/items/RVHSW73D"],"itemData":{"id":1217,"type":"article-journal","container-title":"European Journal of Nuclear Medicine and Molecular Imaging","DOI":"10.1007/s00259-024-06838-z","ISSN":"1619-7070, 1619-7089","issue":"S1","journalAbbreviation":"Eur J Nucl Med Mol Imaging","language":"en","license":"https://www.springernature.com/gp/researchers/text-and-data-mining","note":"publisher: Springer Science and Business Media LLC","page":"1-1026","source":"Crossref","title":"EANM’24 Abstract Book Congress Oct 19-23, 2024","URL":"https://link.springer.com/10.1007/s00259-024-06838-z","volume":"51","author":[{"family":"Zhang","given":""}],"accessed":{"date-parts":[["2025",7,25]]},"issued":{"date-parts":[["2024",9]]}}}],"schema":"https://github.com/citation-style-language/schema/raw/master/csl-citation.json"} </w:instrText>
            </w:r>
            <w:r>
              <w:rPr>
                <w:rFonts w:cstheme="minorHAnsi"/>
                <w:sz w:val="18"/>
              </w:rPr>
              <w:fldChar w:fldCharType="separate"/>
            </w:r>
            <w:r w:rsidR="00BC4723" w:rsidRPr="00BC4723">
              <w:rPr>
                <w:rFonts w:ascii="Calibri" w:hAnsi="Calibri" w:cs="Calibri"/>
                <w:sz w:val="18"/>
              </w:rPr>
              <w:t>(31)</w:t>
            </w:r>
            <w:r>
              <w:rPr>
                <w:rFonts w:cstheme="minorHAnsi"/>
                <w:sz w:val="18"/>
              </w:rPr>
              <w:fldChar w:fldCharType="end"/>
            </w:r>
          </w:p>
        </w:tc>
        <w:tc>
          <w:tcPr>
            <w:tcW w:w="2026" w:type="pct"/>
            <w:tcBorders>
              <w:left w:val="single" w:sz="4" w:space="0" w:color="auto"/>
            </w:tcBorders>
            <w:noWrap/>
            <w:vAlign w:val="center"/>
          </w:tcPr>
          <w:p w14:paraId="1C72BCB5" w14:textId="77777777" w:rsidR="000A3731" w:rsidRPr="000A3731" w:rsidRDefault="000A3731" w:rsidP="000A3731">
            <w:pPr>
              <w:jc w:val="center"/>
              <w:rPr>
                <w:rFonts w:cstheme="minorHAnsi"/>
                <w:sz w:val="18"/>
                <w:lang w:val="en-GB"/>
              </w:rPr>
            </w:pPr>
            <w:r w:rsidRPr="000A3731">
              <w:rPr>
                <w:rFonts w:cstheme="minorHAnsi"/>
                <w:sz w:val="18"/>
                <w:lang w:val="en-GB"/>
              </w:rPr>
              <w:t>In general therapy, either mono or tandem tolerated well.</w:t>
            </w:r>
          </w:p>
        </w:tc>
        <w:tc>
          <w:tcPr>
            <w:tcW w:w="922" w:type="pct"/>
            <w:noWrap/>
            <w:vAlign w:val="center"/>
          </w:tcPr>
          <w:p w14:paraId="78BE3E9F" w14:textId="77777777" w:rsidR="000A3731" w:rsidRPr="00B47BAA" w:rsidRDefault="000A3731" w:rsidP="000A3731">
            <w:pPr>
              <w:jc w:val="center"/>
              <w:rPr>
                <w:rFonts w:cstheme="minorHAnsi"/>
                <w:sz w:val="18"/>
              </w:rPr>
            </w:pPr>
            <w:r w:rsidRPr="00B47BAA">
              <w:rPr>
                <w:rFonts w:cstheme="minorHAnsi"/>
                <w:sz w:val="18"/>
              </w:rPr>
              <w:t>N/A</w:t>
            </w:r>
          </w:p>
        </w:tc>
        <w:tc>
          <w:tcPr>
            <w:tcW w:w="175" w:type="pct"/>
            <w:vAlign w:val="center"/>
          </w:tcPr>
          <w:p w14:paraId="357555EB" w14:textId="77777777" w:rsidR="000A3731" w:rsidRPr="00B47BAA" w:rsidRDefault="000A3731" w:rsidP="000A3731">
            <w:pPr>
              <w:jc w:val="center"/>
              <w:rPr>
                <w:rFonts w:cstheme="minorHAnsi"/>
                <w:sz w:val="18"/>
              </w:rPr>
            </w:pPr>
            <w:r>
              <w:rPr>
                <w:rFonts w:cstheme="minorHAnsi"/>
                <w:sz w:val="18"/>
              </w:rPr>
              <w:t>70</w:t>
            </w:r>
          </w:p>
        </w:tc>
        <w:tc>
          <w:tcPr>
            <w:tcW w:w="754" w:type="pct"/>
            <w:noWrap/>
            <w:vAlign w:val="center"/>
          </w:tcPr>
          <w:p w14:paraId="716DF175" w14:textId="77777777" w:rsidR="000A3731" w:rsidRPr="00B47BAA" w:rsidRDefault="000A3731" w:rsidP="000A3731">
            <w:pPr>
              <w:jc w:val="center"/>
              <w:rPr>
                <w:rFonts w:cstheme="minorHAnsi"/>
                <w:sz w:val="18"/>
              </w:rPr>
            </w:pPr>
            <w:r w:rsidRPr="00B47BAA">
              <w:rPr>
                <w:rFonts w:cstheme="minorHAnsi"/>
                <w:sz w:val="18"/>
              </w:rPr>
              <w:t>N/A</w:t>
            </w:r>
          </w:p>
        </w:tc>
        <w:tc>
          <w:tcPr>
            <w:tcW w:w="689" w:type="pct"/>
            <w:noWrap/>
            <w:vAlign w:val="center"/>
          </w:tcPr>
          <w:p w14:paraId="21D51496" w14:textId="77777777" w:rsidR="000A3731" w:rsidRPr="000A3731" w:rsidRDefault="000A3731" w:rsidP="000A3731">
            <w:pPr>
              <w:jc w:val="center"/>
              <w:rPr>
                <w:rFonts w:cstheme="minorHAnsi"/>
                <w:sz w:val="18"/>
                <w:lang w:val="en-GB"/>
              </w:rPr>
            </w:pPr>
            <w:r w:rsidRPr="000A3731">
              <w:rPr>
                <w:rFonts w:cstheme="minorHAnsi"/>
                <w:sz w:val="18"/>
                <w:lang w:val="en-GB"/>
              </w:rPr>
              <w:t>9 pain flair, 11 nausea, 7 partial alopecia</w:t>
            </w:r>
          </w:p>
        </w:tc>
        <w:tc>
          <w:tcPr>
            <w:tcW w:w="205" w:type="pct"/>
            <w:noWrap/>
            <w:vAlign w:val="center"/>
          </w:tcPr>
          <w:p w14:paraId="0683745F" w14:textId="77777777" w:rsidR="000A3731" w:rsidRPr="00B47BAA" w:rsidRDefault="000A3731" w:rsidP="000A3731">
            <w:pPr>
              <w:jc w:val="center"/>
              <w:rPr>
                <w:rFonts w:cstheme="minorHAnsi"/>
                <w:sz w:val="18"/>
              </w:rPr>
            </w:pPr>
            <w:r w:rsidRPr="00B47BAA">
              <w:rPr>
                <w:rFonts w:cstheme="minorHAnsi"/>
                <w:sz w:val="18"/>
              </w:rPr>
              <w:t>N/A</w:t>
            </w:r>
          </w:p>
        </w:tc>
      </w:tr>
      <w:tr w:rsidR="000A3731" w:rsidRPr="00B47BAA" w14:paraId="762E8A22" w14:textId="77777777" w:rsidTr="000A3731">
        <w:trPr>
          <w:trHeight w:val="576"/>
        </w:trPr>
        <w:tc>
          <w:tcPr>
            <w:tcW w:w="229" w:type="pct"/>
            <w:tcBorders>
              <w:bottom w:val="nil"/>
              <w:right w:val="single" w:sz="4" w:space="0" w:color="auto"/>
            </w:tcBorders>
            <w:vAlign w:val="center"/>
          </w:tcPr>
          <w:p w14:paraId="27025D18" w14:textId="09E7FF30" w:rsidR="000A3731" w:rsidRPr="000A3731" w:rsidRDefault="000A3731" w:rsidP="000A3731">
            <w:pPr>
              <w:jc w:val="center"/>
              <w:rPr>
                <w:rFonts w:cstheme="minorHAnsi"/>
                <w:sz w:val="18"/>
                <w:lang w:val="en-GB"/>
              </w:rPr>
            </w:pPr>
            <w:r>
              <w:rPr>
                <w:rFonts w:cstheme="minorHAnsi"/>
                <w:sz w:val="18"/>
              </w:rPr>
              <w:fldChar w:fldCharType="begin"/>
            </w:r>
            <w:r w:rsidR="00BC4723">
              <w:rPr>
                <w:rFonts w:cstheme="minorHAnsi"/>
                <w:sz w:val="18"/>
              </w:rPr>
              <w:instrText xml:space="preserve"> ADDIN ZOTERO_ITEM CSL_CITATION {"citationID":"6QGvK3vn","properties":{"formattedCitation":"(28)","plainCitation":"(28)","noteIndex":0},"citationItems":[{"id":1123,"uris":["http://zotero.org/users/15628667/items/XDCLXKVK"],"itemData":{"id":1123,"type":"article-journal","abstract":"241342 Introduction: Rosopatamab Tetraxetan (also known as DOTA-huJ591 mAb) was labeled with Ac-225, an alpha emitter for targeted radionuclide therapy (TRT) of mCRPC. Phase 1 dose escalation studies were performed with a single dose or two doses in a fractionated dosing schedule (2 doses given 2 weeks. apart). Safety data was analyzed to understand hematologic toxicity as a function of administered Ac-225 dose, and bone marrow (BM) absorbed radiation dose.Methods: Dose escalation strategy was based on Ac-RT dosimetry estimates based on 89Zr-DFO-J591-PET studies in patients with prostate Cancer (J Nucl Med 41:2093, 2014). Radiation dosimetry for select organs was estimated (Table 1) with a relative biological effectiveness (RBE) of 5 for alpha emitters. Assuming the dose limit for bone marrow (BM) is 2 Gy, the maximum Ac-RT injected dose was estimated to be 6.06 MBq (160 µCi). With a single dose, 32 patients (in 7 cohorts) received 13.3 to 93.3 KBq/Kg of Ac-RT (22 in dose escalation, 10 in expansion). With fractionated two doses, 28 patients (in 5 cohorts) received 45 to 65 KBq/Kg per each dose (90-130 KBq cumulative dose).Table 1. 225Ac-RT Dosimetry Estimation Based on 89Zr-DFO-PET Results: With a single dose of Ac-RT, only one patient experienced DLT at 80 KBq/kg, but none in cohort at 93.3 KBq/Kg and also MTD was not reached (Table 2). In the fractionated dosing schedule, DLT was experienced by one patient at 100 KBq/kg (cumulative dose), and 3 pts. at 120-130 KBq/kg (cumulative dose). Based on dosimetry, patients appear to tolerate BM dose up to 3 Gy. The majority of high-grade adverse events were hematologic with an apparent relationship to administered radioactivity. Non-hematologic adverse events, besides being low grade and were rare or uncommon. .Table 2. 225Ac-RT Dose</w:instrText>
            </w:r>
            <w:r w:rsidR="00BC4723" w:rsidRPr="00F56005">
              <w:rPr>
                <w:rFonts w:cstheme="minorHAnsi"/>
                <w:sz w:val="18"/>
                <w:lang w:val="en-US"/>
              </w:rPr>
              <w:instrText xml:space="preserve"> and Hematologic toxicityConclusions: Phase I dose escalation trials indicate that in a fractionated dose regimen, administration of two doses of 55-65 KBq/kg (injected 2 weeks apart) of Ac-RT is relatively safe for the treatment of mCRPC. Clinical data suggests that 225Ac-RT radiation dosimetry estimation based on RBE of 5 may not be appropriate and may need to be optimized to understand dose-response relationships. While prior treatments (chemotherapy, PARP inhibitors, Ra-223, Lu-177 labeled antibodies or PSMA inhibitors) may reduce the tolerability to Ac-RT, this requires further study.","container-title":"Journal of Nuclear Medicine","issue":"supplement 2","journalAbbreviation":"J Nucl Med","page":"241342","title":"&lt;strong&gt;Actinium (Ac-225) Rosopatamab tetraxetan (Ac-RT) therapy in metastatic castration resistant prostate cancer (mCRPC); Radiation dosimetry, hematological toxicity, and dose-limiting toxicity (DLT)&lt;/strong&gt;","URL":"http://jnm.snmjournals.org/content/65/supplement_2/241342.abstract","volume":"65","author":[{"family":"Vallabhajosula","given":"Shankar"},{"family":"Tagawa","given":"Scott"},{"family":"Osborne","given":"Joseph"},{"family":"Nauseef","given":"Jones"},{"family":"Ricaurte Fajardo","given":"Andres"},{"family":"Castellanos","given":"Sandra"},{"family":"Davidson","given":"Zachary"},{"family":"Bander","given":"Neil H."}],"issued":{"date-parts":[["2024",6,1]]}}}],"schema":"https://github.com/citation-style-language/schema/raw/master/csl-citation.json"}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(28)</w:t>
            </w:r>
            <w:r>
              <w:rPr>
                <w:rFonts w:cstheme="minorHAnsi"/>
                <w:sz w:val="18"/>
              </w:rPr>
              <w:fldChar w:fldCharType="end"/>
            </w:r>
          </w:p>
        </w:tc>
        <w:tc>
          <w:tcPr>
            <w:tcW w:w="2026" w:type="pct"/>
            <w:tcBorders>
              <w:left w:val="single" w:sz="4" w:space="0" w:color="auto"/>
              <w:bottom w:val="nil"/>
            </w:tcBorders>
            <w:noWrap/>
            <w:vAlign w:val="center"/>
          </w:tcPr>
          <w:p w14:paraId="20BA3C02" w14:textId="77777777" w:rsidR="000A3731" w:rsidRPr="000A3731" w:rsidRDefault="000A3731" w:rsidP="000A3731">
            <w:pPr>
              <w:jc w:val="center"/>
              <w:rPr>
                <w:rFonts w:cstheme="minorHAnsi"/>
                <w:sz w:val="18"/>
                <w:lang w:val="en-GB"/>
              </w:rPr>
            </w:pPr>
            <w:r w:rsidRPr="000A3731">
              <w:rPr>
                <w:rFonts w:cstheme="minorHAnsi"/>
                <w:sz w:val="18"/>
                <w:lang w:val="en-GB"/>
              </w:rPr>
              <w:t>The most common toxicities were hematologic with a relationship to administered radioactivity</w:t>
            </w:r>
            <w:r w:rsidRPr="000A3731">
              <w:rPr>
                <w:lang w:val="en-GB"/>
              </w:rPr>
              <w:t xml:space="preserve"> </w:t>
            </w:r>
          </w:p>
        </w:tc>
        <w:tc>
          <w:tcPr>
            <w:tcW w:w="922" w:type="pct"/>
            <w:tcBorders>
              <w:bottom w:val="nil"/>
            </w:tcBorders>
            <w:noWrap/>
            <w:vAlign w:val="center"/>
          </w:tcPr>
          <w:p w14:paraId="239CEDD9"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175" w:type="pct"/>
            <w:tcBorders>
              <w:bottom w:val="nil"/>
            </w:tcBorders>
            <w:vAlign w:val="center"/>
          </w:tcPr>
          <w:p w14:paraId="565D5E7E" w14:textId="77777777" w:rsidR="000A3731" w:rsidRPr="000A3731" w:rsidRDefault="000A3731" w:rsidP="000A3731">
            <w:pPr>
              <w:jc w:val="center"/>
              <w:rPr>
                <w:rFonts w:cstheme="minorHAnsi"/>
                <w:sz w:val="18"/>
                <w:lang w:val="en-GB"/>
              </w:rPr>
            </w:pPr>
            <w:r w:rsidRPr="000A3731">
              <w:rPr>
                <w:rFonts w:cstheme="minorHAnsi"/>
                <w:sz w:val="18"/>
                <w:lang w:val="en-GB"/>
              </w:rPr>
              <w:t>32</w:t>
            </w:r>
          </w:p>
        </w:tc>
        <w:tc>
          <w:tcPr>
            <w:tcW w:w="754" w:type="pct"/>
            <w:tcBorders>
              <w:bottom w:val="nil"/>
            </w:tcBorders>
            <w:noWrap/>
            <w:vAlign w:val="center"/>
          </w:tcPr>
          <w:p w14:paraId="56FEFE9C" w14:textId="77777777" w:rsidR="000A3731" w:rsidRPr="000A3731" w:rsidRDefault="000A3731" w:rsidP="000A3731">
            <w:pPr>
              <w:jc w:val="center"/>
              <w:rPr>
                <w:rFonts w:cstheme="minorHAnsi"/>
                <w:sz w:val="18"/>
                <w:lang w:val="en-GB"/>
              </w:rPr>
            </w:pPr>
            <w:r w:rsidRPr="000A3731">
              <w:rPr>
                <w:rFonts w:cstheme="minorHAnsi"/>
                <w:sz w:val="18"/>
                <w:lang w:val="en-GB"/>
              </w:rPr>
              <w:t>Hemato/ N/A</w:t>
            </w:r>
          </w:p>
        </w:tc>
        <w:tc>
          <w:tcPr>
            <w:tcW w:w="689" w:type="pct"/>
            <w:tcBorders>
              <w:bottom w:val="nil"/>
            </w:tcBorders>
            <w:noWrap/>
            <w:vAlign w:val="center"/>
          </w:tcPr>
          <w:p w14:paraId="0F7A83A9"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tcBorders>
              <w:bottom w:val="nil"/>
            </w:tcBorders>
            <w:noWrap/>
            <w:vAlign w:val="center"/>
          </w:tcPr>
          <w:p w14:paraId="6A19ADD4"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B47BAA" w14:paraId="0BEC00CE" w14:textId="77777777" w:rsidTr="000A3731">
        <w:trPr>
          <w:trHeight w:val="576"/>
        </w:trPr>
        <w:tc>
          <w:tcPr>
            <w:tcW w:w="229" w:type="pct"/>
            <w:tcBorders>
              <w:top w:val="nil"/>
              <w:bottom w:val="nil"/>
              <w:right w:val="single" w:sz="4" w:space="0" w:color="auto"/>
            </w:tcBorders>
            <w:vAlign w:val="center"/>
          </w:tcPr>
          <w:p w14:paraId="72763EAC" w14:textId="0625D8BF" w:rsidR="000A3731" w:rsidRPr="000A3731" w:rsidRDefault="000A3731" w:rsidP="000A3731">
            <w:pPr>
              <w:jc w:val="center"/>
              <w:rPr>
                <w:rFonts w:cstheme="minorHAnsi"/>
                <w:sz w:val="18"/>
                <w:lang w:val="en-GB"/>
              </w:rPr>
            </w:pPr>
            <w:r>
              <w:rPr>
                <w:rFonts w:cstheme="minorHAnsi"/>
                <w:sz w:val="18"/>
              </w:rPr>
              <w:fldChar w:fldCharType="begin"/>
            </w:r>
            <w:r w:rsidR="00BC4723">
              <w:rPr>
                <w:rFonts w:cstheme="minorHAnsi"/>
                <w:sz w:val="18"/>
                <w:lang w:val="en-GB"/>
              </w:rPr>
              <w:instrText xml:space="preserve"> ADDIN ZOTERO_ITEM CSL_CITATION {"citationID":"X5JcA83u","properties":{"formattedCitation":"(26,34)","plainCitation":"(26,34)","noteIndex":0},"citationItems":[{"id":1122,"uris":["http://zotero.org/users/15628667/items/UQ46X627"],"itemData":{"id":1122,"type":"article-journal","abstract":"241340 Introduction: Lintuzumab-Ac225 (Actimab-A) is a humanized CD33 antibody conjugated to 225Ac, which delivers high energy radiation over a short range to CD33 expressing AML blasts. When administering targeted alpha therapy, dosimetry and the safety profile of the therapy become paramount because of the potent cytotoxicity of alpha emitters. In previous results from this trial, we have shown that low dose Lintuzumab-Ac225 after salvage chemotherapy improves remission rates and produces potent clearance of residual disease, thereby achieving depth of remission. Here, we report the safety results from this Phase I study along with model-based estimates of organ-specific dosimetry.Methods: This study enrolled R/R AML pts deemed fit, with adequate organ function, and with CD33 expression on &amp;gt;25% of leukemic blasts. Induction consisted of G-CSF, 300mcg/d, given D1-6, cladribine 5mg/m2, given D2-6, cytarabine2g/m2, given D2-6, and mitoxantrone 10mg/m2, given D2-4. Lintuzumab-Ac225 was administered as a single dose on day 8 ±1 day within 4 cohorts, with doses ranging from 0.25uCi/kg to 1.0 uCi/kg. Absorbed dose calculations were performed following the guidelines in the MIRD committee pamphlet nr 21. The biodistribution and time-integrated activity coefficient (TIAC) in each source organ was estimated through biokinetic modeling using a previously validated model based on targeting CD33 expressing cells in patients with hematologic malignancies. Absorbed dose estimates for individual organs were calculated by multiplying the TIAC by the corresponding S-value (absorbed dose to a target tissue per unit TIAC in a source tissue), assuming a relative biologic effect (RBE) of 5 for alpha particlesResults: From 23 patients treated at 4 different dose levels in this study, the MTD was determined to be 1.0 µCi/kg, and the RP2D was set at 0.75 µCi/kg. Within the 1.0 µCi/kg dosing cohort, 2 dose limiting toxicities (DLTs), severe mucositis and prolonged neutropenia, were observed in 5 patients. Eight subjects were administered with lintuzumab-Ac225 at RP2D (0.75 μCi/kg). Among all patients, Grade 3/4 toxicities observed in &amp;gt;10% of patients included hematologic toxicities, as expected for heavily pre-treated patients with myeloid malignancy, as well as infection, rash and hypokalemia.As shown in Table 1, absorbed dose estimates from Lintuzumab-Ac225 to potentially dose-limiting organs-at-risk were well below established tolerance limits from external beam radiation therapy (EBRT), corroborating the safety profile which showed no signs of renal, hepatobiliary, pulmonary or cardiac toxicity. A single 30-minute infusion of Lintuzumab-Ac225 at 0.75 µCi/kg resulted in rapid radiation delivery and rapid clearance. Peak radiation concentrations were detected in blood around 0.6 hours after administration and was undetectable in blood by 48 hours.Conclusions: Lintuzumab-Ac225 can be delivered with estimated radiation doses well below expected tolerance thresholds from EBRT, which was validated by the safety results of this study showing no toxicity to potential dose-limiting organs (liver, lungs, kidneys, heart, intestine) at studied dose levels of Lintuzumab-Ac225.","container-title":"Journal of Nuclear Medicine","issue":"supplement 2","journalAbbreviation":"J Nucl Med","page":"241340","title":"&lt;strong&gt;Safety and Dosimetric Analysis of Lintuzumab-Ac225 in Combination with Intensive CLAG-M Chemotherapy in Patients with Relapsed/Refractory AML&lt;/strong&gt;","URL":"http://jnm.snmjournals.org/content/65/supplement_2/241340.abstract","volume":"65","author":[{"family":"Abedin","given":"Sameem"},{"family":"Brodin","given":"Patrik"},{"family":"Chen","given":"Mary"},{"family":"Rotibi","given":"Mojisola"},{"family":"Syed","given":"Umar"},{"family":"Desai","given":"Avinash"},{"family":"Atallah","given":"Ehab"}],"issued":{"date-parts":[["2024",6,1]]}}},{"id":1240,"uris":["http://zotero.org/users/15628667/items/R66U5YR7"],"itemData":{"id":1240,"type":"article-journal","container-title":"Leukemia","DOI":"10.1038/s41375-025-02528-3","ISSN":"0887-6924, 1476-5551","issue":"4","journalAbbreviation":"Leukemia","language":"en","page":"837-843","source":"DOI.org (Crossref)","title":"Phase 1 study of lintuzumab-Ac225 combined with CLAG-M salvage therapy in relapsed/refractory acute myeloid leukemia","URL":"https://www.nature.com/articles/s41375-025-02528-3","volume":"39","author":[{"family":"Abedin","given":"Sameem M."},{"family":"Guru Murthy","given":"Guru Subramanian"},{"family":"Hamadani","given":"Mehdi"},{"family":"Michaelis","given":"Laura C."},{"family":"Carlson","given":"Karen-Sue"},{"family":"Runaas","given":"Lyndsey"},{"family":"Gauger","given":"Katelyn"},{"family":"Desai","given":"Avinash G."},{"family":"Chen","given":"Mary M."},{"family":"Li","given":"Kate L."},{"family":"Rotibi","given":"Mojisola"},{"family":"Syed","given":"Umar"},{"family":"Vusirikala","given":"Madhuri"},{"family":"Harrington","given":"Alexandra"},{"family":"Atallah","given":"Ehab L."}],"accessed":{"date-parts":[["2025",8,26]]},"issued":{"date-parts":[["2025",4]]}}}],"schema":"https://github.com/citation-style-language/schema/raw/master/csl-citation.json"}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(26,34)</w:t>
            </w:r>
            <w:r>
              <w:rPr>
                <w:rFonts w:cstheme="minorHAnsi"/>
                <w:sz w:val="18"/>
              </w:rPr>
              <w:fldChar w:fldCharType="end"/>
            </w:r>
          </w:p>
        </w:tc>
        <w:tc>
          <w:tcPr>
            <w:tcW w:w="2026" w:type="pct"/>
            <w:tcBorders>
              <w:top w:val="nil"/>
              <w:left w:val="single" w:sz="4" w:space="0" w:color="auto"/>
              <w:bottom w:val="nil"/>
            </w:tcBorders>
            <w:noWrap/>
            <w:vAlign w:val="center"/>
          </w:tcPr>
          <w:p w14:paraId="3D4F444C" w14:textId="77777777" w:rsidR="000A3731" w:rsidRPr="000A3731" w:rsidRDefault="000A3731" w:rsidP="000A3731">
            <w:pPr>
              <w:jc w:val="center"/>
              <w:rPr>
                <w:rFonts w:cstheme="minorHAnsi"/>
                <w:sz w:val="18"/>
                <w:lang w:val="en-GB"/>
              </w:rPr>
            </w:pPr>
            <w:r w:rsidRPr="000A3731">
              <w:rPr>
                <w:rFonts w:cstheme="minorHAnsi"/>
                <w:sz w:val="18"/>
                <w:lang w:val="en-GB"/>
              </w:rPr>
              <w:t>Severe mucositis and prolonged neutropenia, were observed in 5 patients</w:t>
            </w:r>
          </w:p>
        </w:tc>
        <w:tc>
          <w:tcPr>
            <w:tcW w:w="922" w:type="pct"/>
            <w:tcBorders>
              <w:top w:val="nil"/>
              <w:bottom w:val="nil"/>
            </w:tcBorders>
            <w:noWrap/>
            <w:vAlign w:val="center"/>
          </w:tcPr>
          <w:p w14:paraId="24FBDC2C" w14:textId="77777777" w:rsidR="000A3731" w:rsidRPr="000A3731" w:rsidRDefault="000A3731" w:rsidP="000A3731">
            <w:pPr>
              <w:jc w:val="center"/>
              <w:rPr>
                <w:rFonts w:cstheme="minorHAnsi"/>
                <w:sz w:val="18"/>
                <w:lang w:val="en-GB"/>
              </w:rPr>
            </w:pPr>
            <w:r w:rsidRPr="000A3731">
              <w:rPr>
                <w:rFonts w:cstheme="minorHAnsi"/>
                <w:sz w:val="18"/>
                <w:lang w:val="en-GB"/>
              </w:rPr>
              <w:t>Safe, No toxicity to potential dose-limiting organs</w:t>
            </w:r>
          </w:p>
        </w:tc>
        <w:tc>
          <w:tcPr>
            <w:tcW w:w="175" w:type="pct"/>
            <w:tcBorders>
              <w:top w:val="nil"/>
              <w:bottom w:val="nil"/>
            </w:tcBorders>
            <w:vAlign w:val="center"/>
          </w:tcPr>
          <w:p w14:paraId="6D3A3F2D" w14:textId="77777777" w:rsidR="000A3731" w:rsidRPr="000A3731" w:rsidRDefault="000A3731" w:rsidP="000A3731">
            <w:pPr>
              <w:jc w:val="center"/>
              <w:rPr>
                <w:rFonts w:cstheme="minorHAnsi"/>
                <w:sz w:val="18"/>
                <w:lang w:val="en-GB"/>
              </w:rPr>
            </w:pPr>
            <w:r w:rsidRPr="000A3731">
              <w:rPr>
                <w:rFonts w:cstheme="minorHAnsi"/>
                <w:sz w:val="18"/>
                <w:lang w:val="en-GB"/>
              </w:rPr>
              <w:t>23</w:t>
            </w:r>
          </w:p>
        </w:tc>
        <w:tc>
          <w:tcPr>
            <w:tcW w:w="754" w:type="pct"/>
            <w:tcBorders>
              <w:top w:val="nil"/>
              <w:bottom w:val="nil"/>
            </w:tcBorders>
            <w:noWrap/>
            <w:vAlign w:val="center"/>
          </w:tcPr>
          <w:p w14:paraId="6E968E37" w14:textId="77777777" w:rsidR="000A3731" w:rsidRPr="000A3731" w:rsidRDefault="000A3731" w:rsidP="000A3731">
            <w:pPr>
              <w:jc w:val="center"/>
              <w:rPr>
                <w:rFonts w:cstheme="minorHAnsi"/>
                <w:sz w:val="18"/>
                <w:lang w:val="en-GB"/>
              </w:rPr>
            </w:pPr>
            <w:r w:rsidRPr="000A3731">
              <w:rPr>
                <w:rFonts w:cstheme="minorHAnsi"/>
                <w:sz w:val="18"/>
                <w:lang w:val="en-GB"/>
              </w:rPr>
              <w:t>3 Hemato</w:t>
            </w:r>
          </w:p>
        </w:tc>
        <w:tc>
          <w:tcPr>
            <w:tcW w:w="689" w:type="pct"/>
            <w:tcBorders>
              <w:top w:val="nil"/>
              <w:bottom w:val="nil"/>
            </w:tcBorders>
            <w:noWrap/>
            <w:vAlign w:val="center"/>
          </w:tcPr>
          <w:p w14:paraId="20DAD156"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tcBorders>
              <w:top w:val="nil"/>
              <w:bottom w:val="nil"/>
            </w:tcBorders>
            <w:noWrap/>
            <w:vAlign w:val="center"/>
          </w:tcPr>
          <w:p w14:paraId="059DA5BD"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0A3731" w:rsidRPr="00D82F0B" w14:paraId="05BE0B2C" w14:textId="77777777" w:rsidTr="00CD1614">
        <w:trPr>
          <w:trHeight w:val="576"/>
        </w:trPr>
        <w:tc>
          <w:tcPr>
            <w:tcW w:w="229" w:type="pct"/>
            <w:tcBorders>
              <w:top w:val="nil"/>
              <w:bottom w:val="nil"/>
              <w:right w:val="single" w:sz="4" w:space="0" w:color="auto"/>
            </w:tcBorders>
            <w:vAlign w:val="center"/>
          </w:tcPr>
          <w:p w14:paraId="77E79AB3" w14:textId="2A6BE380" w:rsidR="000A3731" w:rsidRPr="000A3731" w:rsidRDefault="000A3731" w:rsidP="000A3731">
            <w:pPr>
              <w:jc w:val="center"/>
              <w:rPr>
                <w:rFonts w:cstheme="minorHAnsi"/>
                <w:sz w:val="18"/>
                <w:lang w:val="en-GB"/>
              </w:rPr>
            </w:pPr>
            <w:r>
              <w:rPr>
                <w:rFonts w:cstheme="minorHAnsi"/>
                <w:sz w:val="18"/>
              </w:rPr>
              <w:fldChar w:fldCharType="begin"/>
            </w:r>
            <w:r w:rsidR="00BC4723">
              <w:rPr>
                <w:rFonts w:cstheme="minorHAnsi"/>
                <w:sz w:val="18"/>
                <w:lang w:val="en-GB"/>
              </w:rPr>
              <w:instrText xml:space="preserve"> ADDIN ZOTERO_ITEM CSL_CITATION {"citationID":"6z174row","properties":{"formattedCitation":"(27)","plainCitation":"(27)","noteIndex":0},"citationItems":[{"id":1126,"uris":["http://zotero.org/users/15628667/items/XX8K77FS"],"itemData":{"id":1126,"type":"article-journal","abstract":"P1036 Introduction: Over 900 inpatient radioligand therapies (RLT) were performed between February 2020 and January 2023. As per COVID-19 pandemic regulations, indications for inpatient admission included negative rapid antigen test and absence of COVID-19 related symptoms such as fever, coughing, loss of smell and/or taste as well as contact with COVID-19 positive patient in the preceding 14 days. All patients also underwent polymerase chain reaction (PCR) test before admission. In 12 patients, PCR test was came out to be positive on the second day of admission.Methods: Upon admission, patients underwent history taking (including vaccination status), physical examination and blood tests (CBC, renal &amp;amp; liver panel, tumor markers). Antibody titers (BAU/ml) against SARS-CoV-2 were measured in all patients as well as neutralizing antibodies (in %). All patients were without symptoms. RLT was performed under monitoring of vitals, and single-photon emission computed tomography (SPECT/CT) was performed one day after treatment. In our hospital setting, PCR tests require between 12-24 hours to declare results (time point starting from sample collection), some COVID-positive patients were treated without knowledge of the positive PCR test status.This table summarizes the data of 12 patients who underwent radioligand therapies and were incidentally detected as COVID-19 positive (while being asymtomatic)-Abbreviations: M - male, F - female, NET - neuroendocrine tumor, PCa - prostate cancer, Lu - Lutetium, Ac - Actinium, PSMA - Ct -cycle threshold, N/A - not availableResults: Radioligand therapies performed in PCR positive patients with neuroendocrine tumors (NET), prostate cancer (PCa) and in a sarcoma patient (Ac-225 FAP-3BP-3940) were completely uneventful. Daily monitoring of vitals was unremarkable, patients were followed-up for at least several months. High uptake of the radiotherapeutic in the metastases and normal physiologic biodistribution was noted in the posttherapy SPECT/CT scans. Positive patients were discharged after 24 hours (German regulations usually demand 48 hours stay) under appropriate radiation safety measures (the remaining radiation - gamma and beta radiation - was in all cases less than one Millisievert (1 mSv) per year at one-meter distance from the patient). High antibody titers against SARS-CoV-2 were present in the follow up blood tests of 3 patients, indicating undisturbed immune response.Conclusions: Due to global logistics of radiopharmacy delivery, patients for RLT are planned usually weeks in advance. Our data indicate that PSMA radioligand therapy as well as radiopeptide therapy (as well as FAP PTRT) can be performed in asymptomatic COVID-positive patients - without any sequelae. Therefore, COVID-19 infection is not a limiting factor for performing RLT.","container-title":"Journal of Nuclear Medicine","issue":"supplement 1","journalAbbreviation":"J Nucl Med","page":"P1036","title":"&lt;strong&gt;Radioligand therapy during incidental asymptomatic acute COVID-19 infection – a case series.&lt;/strong&gt;","URL":"http://jnm.snmjournals.org/content/64/supplement_1/P1036.abstract","volume":"64","author":[{"family":"Baum","given":"Richard P."},{"family":"Mishra","given":"Aditi"},{"family":"Landvogt","given":"Christian"},{"family":"Eismant","given":"Aleksandr"},{"family":"Mueller","given":"Corinna"}],"issued":{"date-parts":[["2023",6,1]]}}}],"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(27)</w:t>
            </w:r>
            <w:r>
              <w:rPr>
                <w:rFonts w:cstheme="minorHAnsi"/>
                <w:sz w:val="18"/>
              </w:rPr>
              <w:fldChar w:fldCharType="end"/>
            </w:r>
          </w:p>
        </w:tc>
        <w:tc>
          <w:tcPr>
            <w:tcW w:w="2026" w:type="pct"/>
            <w:tcBorders>
              <w:top w:val="nil"/>
              <w:left w:val="single" w:sz="4" w:space="0" w:color="auto"/>
              <w:bottom w:val="nil"/>
            </w:tcBorders>
            <w:noWrap/>
            <w:vAlign w:val="center"/>
          </w:tcPr>
          <w:p w14:paraId="0B26CA41" w14:textId="77777777" w:rsidR="000A3731" w:rsidRPr="000A3731" w:rsidRDefault="000A3731" w:rsidP="000A3731">
            <w:pPr>
              <w:jc w:val="center"/>
              <w:rPr>
                <w:rFonts w:cstheme="minorHAnsi"/>
                <w:sz w:val="18"/>
                <w:lang w:val="en-GB"/>
              </w:rPr>
            </w:pPr>
            <w:r w:rsidRPr="000A3731">
              <w:rPr>
                <w:rFonts w:cstheme="minorHAnsi"/>
                <w:sz w:val="18"/>
                <w:lang w:val="en-GB"/>
              </w:rPr>
              <w:t>No report of (high-grade) adverse events in Pts with asymptomatic positive COVID underwent TRT</w:t>
            </w:r>
          </w:p>
        </w:tc>
        <w:tc>
          <w:tcPr>
            <w:tcW w:w="922" w:type="pct"/>
            <w:tcBorders>
              <w:top w:val="nil"/>
              <w:bottom w:val="nil"/>
            </w:tcBorders>
            <w:noWrap/>
            <w:vAlign w:val="center"/>
          </w:tcPr>
          <w:p w14:paraId="6A29D197" w14:textId="77777777" w:rsidR="000A3731" w:rsidRPr="000A3731" w:rsidRDefault="000A3731" w:rsidP="000A3731">
            <w:pPr>
              <w:jc w:val="center"/>
              <w:rPr>
                <w:rFonts w:cstheme="minorHAnsi"/>
                <w:sz w:val="18"/>
                <w:lang w:val="en-GB"/>
              </w:rPr>
            </w:pPr>
            <w:r w:rsidRPr="000A3731">
              <w:rPr>
                <w:rFonts w:cstheme="minorHAnsi"/>
                <w:sz w:val="18"/>
                <w:lang w:val="en-GB"/>
              </w:rPr>
              <w:t>Safe, TRT; in particular TAT with Ac-225 in this subgroup of Pts would be safe</w:t>
            </w:r>
          </w:p>
        </w:tc>
        <w:tc>
          <w:tcPr>
            <w:tcW w:w="175" w:type="pct"/>
            <w:tcBorders>
              <w:top w:val="nil"/>
              <w:bottom w:val="nil"/>
            </w:tcBorders>
            <w:vAlign w:val="center"/>
          </w:tcPr>
          <w:p w14:paraId="615A6D9D" w14:textId="77777777" w:rsidR="000A3731" w:rsidRPr="000A3731" w:rsidRDefault="000A3731" w:rsidP="000A3731">
            <w:pPr>
              <w:jc w:val="center"/>
              <w:rPr>
                <w:rFonts w:cstheme="minorHAnsi"/>
                <w:sz w:val="18"/>
                <w:lang w:val="en-GB"/>
              </w:rPr>
            </w:pPr>
            <w:r w:rsidRPr="000A3731">
              <w:rPr>
                <w:rFonts w:cstheme="minorHAnsi"/>
                <w:sz w:val="18"/>
                <w:lang w:val="en-GB"/>
              </w:rPr>
              <w:t>2</w:t>
            </w:r>
          </w:p>
        </w:tc>
        <w:tc>
          <w:tcPr>
            <w:tcW w:w="754" w:type="pct"/>
            <w:tcBorders>
              <w:top w:val="nil"/>
              <w:bottom w:val="nil"/>
            </w:tcBorders>
            <w:noWrap/>
            <w:vAlign w:val="center"/>
          </w:tcPr>
          <w:p w14:paraId="652BFF1E"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689" w:type="pct"/>
            <w:tcBorders>
              <w:top w:val="nil"/>
              <w:bottom w:val="nil"/>
            </w:tcBorders>
            <w:noWrap/>
            <w:vAlign w:val="center"/>
          </w:tcPr>
          <w:p w14:paraId="63E70EFE" w14:textId="77777777" w:rsidR="000A3731" w:rsidRPr="000A3731" w:rsidRDefault="000A3731" w:rsidP="000A3731">
            <w:pPr>
              <w:jc w:val="center"/>
              <w:rPr>
                <w:rFonts w:cstheme="minorHAnsi"/>
                <w:sz w:val="18"/>
                <w:lang w:val="en-GB"/>
              </w:rPr>
            </w:pPr>
            <w:r w:rsidRPr="000A3731">
              <w:rPr>
                <w:rFonts w:cstheme="minorHAnsi"/>
                <w:sz w:val="18"/>
                <w:lang w:val="en-GB"/>
              </w:rPr>
              <w:t>N/A</w:t>
            </w:r>
          </w:p>
        </w:tc>
        <w:tc>
          <w:tcPr>
            <w:tcW w:w="205" w:type="pct"/>
            <w:tcBorders>
              <w:top w:val="nil"/>
              <w:bottom w:val="nil"/>
            </w:tcBorders>
            <w:noWrap/>
            <w:vAlign w:val="center"/>
          </w:tcPr>
          <w:p w14:paraId="32371219" w14:textId="77777777" w:rsidR="000A3731" w:rsidRPr="000A3731" w:rsidRDefault="000A3731" w:rsidP="000A3731">
            <w:pPr>
              <w:jc w:val="center"/>
              <w:rPr>
                <w:rFonts w:cstheme="minorHAnsi"/>
                <w:sz w:val="18"/>
                <w:lang w:val="en-GB"/>
              </w:rPr>
            </w:pPr>
            <w:r w:rsidRPr="000A3731">
              <w:rPr>
                <w:rFonts w:cstheme="minorHAnsi"/>
                <w:sz w:val="18"/>
                <w:lang w:val="en-GB"/>
              </w:rPr>
              <w:t>N/A</w:t>
            </w:r>
          </w:p>
        </w:tc>
      </w:tr>
      <w:tr w:rsidR="00B612FD" w:rsidRPr="00D82F0B" w14:paraId="30CF023C" w14:textId="77777777" w:rsidTr="00CD1614">
        <w:trPr>
          <w:trHeight w:val="576"/>
        </w:trPr>
        <w:tc>
          <w:tcPr>
            <w:tcW w:w="229" w:type="pct"/>
            <w:tcBorders>
              <w:top w:val="nil"/>
              <w:bottom w:val="nil"/>
              <w:right w:val="single" w:sz="4" w:space="0" w:color="auto"/>
            </w:tcBorders>
            <w:vAlign w:val="center"/>
          </w:tcPr>
          <w:p w14:paraId="2A36D801" w14:textId="37B3EB39" w:rsidR="00B612FD" w:rsidRPr="00CD1614" w:rsidRDefault="00B612FD" w:rsidP="000A3731">
            <w:pPr>
              <w:jc w:val="center"/>
              <w:rPr>
                <w:rFonts w:cstheme="minorHAnsi"/>
                <w:sz w:val="18"/>
                <w:lang w:val="en-US"/>
              </w:rPr>
            </w:pPr>
            <w:r>
              <w:rPr>
                <w:rFonts w:cstheme="minorHAnsi"/>
                <w:sz w:val="18"/>
              </w:rPr>
              <w:fldChar w:fldCharType="begin"/>
            </w:r>
            <w:r w:rsidR="00BC4723">
              <w:rPr>
                <w:rFonts w:cstheme="minorHAnsi"/>
                <w:sz w:val="18"/>
                <w:lang w:val="en-US"/>
              </w:rPr>
              <w:instrText xml:space="preserve"> ADDIN ZOTERO_ITEM CSL_CITATION {"citationID":"QRsBepml","properties":{"formattedCitation":"(33)","plainCitation":"(33)","noteIndex":0},"citationItems":[{"id":1242,"uris":["http://zotero.org/users/15628667/items/9ZZ2REQT"],"itemData":{"id":1242,"type":"article-journal","abstract":"The median survival time has been reported to vary between 5 and 8 years in low-grade (WHO grade 2) astrocytoma, and between 10 and 15 years for grade 2 oligodendroglioma. Targeted alpha therapy (TAT), using the modified peptide vector [213Bi]Bi/[225Ac]Ac-DOTA-substance P, has been developed to treat glioblastoma (GBM), a prevalent malignant brain tumor. In order to assess the risk of late neurotoxicity, assuming that reduced tumor cell proliferation and invasion should directly translate into good responses in low-grade gliomas (LGGs), a limited number of patients with diffuse invasive astrocytoma (n = 8) and oligodendroglioma (n = 3) were offered TAT. In two oligodendroglioma patients, TAT was applied as a second-line treatment for tumor progression, 10 years after targeted beta therapy using [90Y]Y-DOTA-substance P. The radiopharmaceutical was locally injected directly into the tumor via a stereotactic insertion of a capsule–catheter system. The activity used for radiolabeling was 2–2.5 GBq of Bismuth-213 and 17 to 35 MBq of Actinium-225, mostly applied in a single fraction. The recurrence-free survival times were in the range of 2 to 16 years (median 11 years) in low-grade astrocytoma (n = 8), in which TAT was administered following a biopsy or tumor debulking. Regarding oligodendroglioma, the recurrence-free survival time was 24 years in the first case treated, and 4 and 5 years in the two second-line cases. In conclusion, TAT leads to long-term tumor control in the majority of patients with LGG, and recurrence has so far not manifested in patients with low-grade (grade 2) astrocytomas who received TAT as a first-line therapy. We conclude that targeted alpha therapy has the potential to become a new treatment paradigm in LGG.","container-title":"International Journal of Molecular Sciences","DOI":"10.3390/ijms242115701","ISSN":"1422-0067","issue":"21","journalAbbreviation":"IJMS","language":"en","license":"https://creativecommons.org/licenses/by/4.0/","page":"15701","source":"DOI.org (Crossref)","title":"Long-Term Tumor Control Following Targeted Alpha Therapy (TAT) of Low-Grade Gliomas (LGGs): A New Treatment Paradigm?","title-short":"Long-Term Tumor Control Following Targeted Alpha Therapy (TAT) of Low-Grade Gliomas (LGGs)","URL":"https://www.mdpi.com/1422-0067/24/21/15701","volume":"24","author":[{"family":"Krolicki","given":"Leszek"},{"family":"Kunikowska","given":"Jolanta"},{"family":"Cordier","given":"Dominik"},{"family":"Slavova","given":"Nedelina"},{"family":"Koziara","given":"Henryk"},{"family":"Bruchertseifer","given":"Frank"},{"family":"Maecke","given":"Helmut R."},{"family":"Morgenstern","given":"Alfred"},{"family":"Merlo","given":"Adrian"}],"accessed":{"date-parts":[["2025",8,26]]},"issued":{"date-parts":[["2023",10,28]]}}}],"schema":"https://github.com/citation-style-language/schema/raw/master/csl-citation.json"} </w:instrText>
            </w:r>
            <w:r>
              <w:rPr>
                <w:rFonts w:cstheme="minorHAnsi"/>
                <w:sz w:val="18"/>
              </w:rPr>
              <w:fldChar w:fldCharType="separate"/>
            </w:r>
            <w:r w:rsidR="00BC4723" w:rsidRPr="00F56005">
              <w:rPr>
                <w:rFonts w:ascii="Calibri" w:hAnsi="Calibri" w:cs="Calibri"/>
                <w:sz w:val="18"/>
                <w:lang w:val="en-US"/>
              </w:rPr>
              <w:t>(33)</w:t>
            </w:r>
            <w:r>
              <w:rPr>
                <w:rFonts w:cstheme="minorHAnsi"/>
                <w:sz w:val="18"/>
              </w:rPr>
              <w:fldChar w:fldCharType="end"/>
            </w:r>
          </w:p>
        </w:tc>
        <w:tc>
          <w:tcPr>
            <w:tcW w:w="2026" w:type="pct"/>
            <w:tcBorders>
              <w:top w:val="nil"/>
              <w:left w:val="single" w:sz="4" w:space="0" w:color="auto"/>
              <w:bottom w:val="nil"/>
            </w:tcBorders>
            <w:noWrap/>
            <w:vAlign w:val="center"/>
          </w:tcPr>
          <w:p w14:paraId="150976B5" w14:textId="0577F2CE" w:rsidR="00B612FD" w:rsidRPr="000A3731" w:rsidRDefault="00B70D2E" w:rsidP="007B6C3A">
            <w:pPr>
              <w:jc w:val="center"/>
              <w:rPr>
                <w:rFonts w:cstheme="minorHAnsi"/>
                <w:sz w:val="18"/>
                <w:lang w:val="en-GB"/>
              </w:rPr>
            </w:pPr>
            <w:r>
              <w:rPr>
                <w:rFonts w:cstheme="minorHAnsi"/>
                <w:sz w:val="18"/>
                <w:lang w:val="en-GB"/>
              </w:rPr>
              <w:t xml:space="preserve">Well tolerated. Manageable and </w:t>
            </w:r>
            <w:r w:rsidR="005B3497">
              <w:rPr>
                <w:rFonts w:cstheme="minorHAnsi"/>
                <w:sz w:val="18"/>
                <w:lang w:val="en-GB"/>
              </w:rPr>
              <w:t>temporary</w:t>
            </w:r>
            <w:r>
              <w:rPr>
                <w:rFonts w:cstheme="minorHAnsi"/>
                <w:sz w:val="18"/>
                <w:lang w:val="en-GB"/>
              </w:rPr>
              <w:t xml:space="preserve"> short-term –about five days after injection-perifocal inflammatory oedema. Pre-existing complications transiently after TAT increased.</w:t>
            </w:r>
          </w:p>
        </w:tc>
        <w:tc>
          <w:tcPr>
            <w:tcW w:w="922" w:type="pct"/>
            <w:tcBorders>
              <w:top w:val="nil"/>
              <w:bottom w:val="nil"/>
            </w:tcBorders>
            <w:noWrap/>
            <w:vAlign w:val="center"/>
          </w:tcPr>
          <w:p w14:paraId="271BB727" w14:textId="05A023C7" w:rsidR="00B612FD" w:rsidRPr="000A3731" w:rsidRDefault="00B70D2E" w:rsidP="000A3731">
            <w:pPr>
              <w:jc w:val="center"/>
              <w:rPr>
                <w:rFonts w:cstheme="minorHAnsi"/>
                <w:sz w:val="18"/>
                <w:lang w:val="en-GB"/>
              </w:rPr>
            </w:pPr>
            <w:r>
              <w:rPr>
                <w:rFonts w:cstheme="minorHAnsi"/>
                <w:sz w:val="18"/>
                <w:lang w:val="en-GB"/>
              </w:rPr>
              <w:t xml:space="preserve">Local injection showed minimal toxicities </w:t>
            </w:r>
          </w:p>
        </w:tc>
        <w:tc>
          <w:tcPr>
            <w:tcW w:w="175" w:type="pct"/>
            <w:tcBorders>
              <w:top w:val="nil"/>
              <w:bottom w:val="nil"/>
            </w:tcBorders>
            <w:vAlign w:val="center"/>
          </w:tcPr>
          <w:p w14:paraId="6D4E0BE3" w14:textId="64928DE8" w:rsidR="00B612FD" w:rsidRPr="000A3731" w:rsidRDefault="00B612FD" w:rsidP="000A3731">
            <w:pPr>
              <w:jc w:val="center"/>
              <w:rPr>
                <w:rFonts w:cstheme="minorHAnsi"/>
                <w:sz w:val="18"/>
                <w:lang w:val="en-GB"/>
              </w:rPr>
            </w:pPr>
            <w:r>
              <w:rPr>
                <w:rFonts w:cstheme="minorHAnsi"/>
                <w:sz w:val="18"/>
                <w:lang w:val="en-GB"/>
              </w:rPr>
              <w:t>3</w:t>
            </w:r>
          </w:p>
        </w:tc>
        <w:tc>
          <w:tcPr>
            <w:tcW w:w="754" w:type="pct"/>
            <w:tcBorders>
              <w:top w:val="nil"/>
              <w:bottom w:val="nil"/>
            </w:tcBorders>
            <w:noWrap/>
            <w:vAlign w:val="center"/>
          </w:tcPr>
          <w:p w14:paraId="662AF08F" w14:textId="745F591C" w:rsidR="00B612FD" w:rsidRPr="000A3731" w:rsidRDefault="00B70D2E" w:rsidP="000A3731">
            <w:pPr>
              <w:jc w:val="center"/>
              <w:rPr>
                <w:rFonts w:cstheme="minorHAnsi"/>
                <w:sz w:val="18"/>
                <w:lang w:val="en-GB"/>
              </w:rPr>
            </w:pPr>
            <w:r w:rsidRPr="000A3731">
              <w:rPr>
                <w:rFonts w:cstheme="minorHAnsi"/>
                <w:sz w:val="18"/>
                <w:lang w:val="en-GB"/>
              </w:rPr>
              <w:t>N/A</w:t>
            </w:r>
          </w:p>
        </w:tc>
        <w:tc>
          <w:tcPr>
            <w:tcW w:w="689" w:type="pct"/>
            <w:tcBorders>
              <w:top w:val="nil"/>
              <w:bottom w:val="nil"/>
            </w:tcBorders>
            <w:noWrap/>
            <w:vAlign w:val="center"/>
          </w:tcPr>
          <w:p w14:paraId="185B89C6" w14:textId="33DCC477" w:rsidR="00B612FD" w:rsidRPr="000A3731" w:rsidRDefault="00B70D2E" w:rsidP="000A3731">
            <w:pPr>
              <w:jc w:val="center"/>
              <w:rPr>
                <w:rFonts w:cstheme="minorHAnsi"/>
                <w:sz w:val="18"/>
                <w:lang w:val="en-GB"/>
              </w:rPr>
            </w:pPr>
            <w:r w:rsidRPr="000A3731">
              <w:rPr>
                <w:rFonts w:cstheme="minorHAnsi"/>
                <w:sz w:val="18"/>
                <w:lang w:val="en-GB"/>
              </w:rPr>
              <w:t>N/A</w:t>
            </w:r>
          </w:p>
        </w:tc>
        <w:tc>
          <w:tcPr>
            <w:tcW w:w="205" w:type="pct"/>
            <w:tcBorders>
              <w:top w:val="nil"/>
              <w:bottom w:val="nil"/>
            </w:tcBorders>
            <w:noWrap/>
            <w:vAlign w:val="center"/>
          </w:tcPr>
          <w:p w14:paraId="0AC13305" w14:textId="405D2100" w:rsidR="00B612FD" w:rsidRPr="000A3731" w:rsidRDefault="00B70D2E" w:rsidP="000A3731">
            <w:pPr>
              <w:jc w:val="center"/>
              <w:rPr>
                <w:rFonts w:cstheme="minorHAnsi"/>
                <w:sz w:val="18"/>
                <w:lang w:val="en-GB"/>
              </w:rPr>
            </w:pPr>
            <w:r w:rsidRPr="000A3731">
              <w:rPr>
                <w:rFonts w:cstheme="minorHAnsi"/>
                <w:sz w:val="18"/>
                <w:lang w:val="en-GB"/>
              </w:rPr>
              <w:t>N/A</w:t>
            </w:r>
          </w:p>
        </w:tc>
      </w:tr>
      <w:tr w:rsidR="00B612FD" w:rsidRPr="00D82F0B" w14:paraId="1AF2387B" w14:textId="77777777" w:rsidTr="00CD1614">
        <w:trPr>
          <w:trHeight w:val="576"/>
        </w:trPr>
        <w:tc>
          <w:tcPr>
            <w:tcW w:w="229" w:type="pct"/>
            <w:tcBorders>
              <w:top w:val="nil"/>
              <w:bottom w:val="single" w:sz="18" w:space="0" w:color="auto"/>
              <w:right w:val="single" w:sz="4" w:space="0" w:color="auto"/>
            </w:tcBorders>
            <w:vAlign w:val="center"/>
          </w:tcPr>
          <w:p w14:paraId="2443057C" w14:textId="1C0BCDBE" w:rsidR="00B612FD" w:rsidRPr="00990432" w:rsidRDefault="00990432" w:rsidP="000A3731">
            <w:pPr>
              <w:jc w:val="center"/>
              <w:rPr>
                <w:rFonts w:cstheme="minorHAnsi"/>
                <w:sz w:val="18"/>
                <w:lang w:val="en-US"/>
              </w:rPr>
            </w:pPr>
            <w:r>
              <w:rPr>
                <w:rFonts w:cstheme="minorHAnsi"/>
                <w:sz w:val="18"/>
              </w:rPr>
              <w:fldChar w:fldCharType="begin"/>
            </w:r>
            <w:r w:rsidR="00BC4723">
              <w:rPr>
                <w:rFonts w:cstheme="minorHAnsi"/>
                <w:sz w:val="18"/>
                <w:lang w:val="en-US"/>
              </w:rPr>
              <w:instrText xml:space="preserve"> ADDIN ZOTERO_ITEM CSL_CITATION {"citationID":"sY7rQ1gv","properties":{"formattedCitation":"(32)","plainCitation":"(32)","noteIndex":0},"citationItems":[{"id":1235,"uris":["http://zotero.org/users/15628667/items/SKUSP9JR"],"itemData":{"id":1235,"type":"article-journal","abstract":"Abstract\n              \n                Glioblastoma is the most common and malignant primary brain tumour, with a poor prognosis. Introduction of new treatment options is critically important. The study aimed to assess the appropriateness of escalation doses and toxicity of [\n                225\n                Ac]Ac-DOTA-SP therapy.\n              \n            \n            \n              Material and methods\n              \n                A total of 21 patients (age of 43.0 ± 9.5 years), with histologically confirmed recurrent or conversion glioblastoma grade 4 following a standard therapy, have been included in the study. One to 2 intracavitary port-a-cath systems were stereotactically inserted. Patients were treated with escalation dose protocol with 10, 20 and 30 MBq per cycle totally 1–6 doses of [\n                225\n                Ac]Ac-DOTA-SP in 2-month intervals. Therapeutic response was monitored by clinical performance status and MRI imaging.\n              \n            \n            \n              Results\n              \n                Treatment was well tolerated with mostly mild temporary adverse effects (oedema, epileptic seizures, aphasia, hemiparesis) mainly in the group of patients treated with 30 MBq of [\n                225\n                Ac]Ac-DOTA-SP. Only one patient treated with 30 MBq revealed thrombopenia grade 3. There was no other grade 3 and 4 toxicity related to [\n                225\n                Ac]Ac-DOTA-treatment in all groups. The median overall survival time from the primary diagnosis (OS-d) was 35.0 months and from the diagnosis of the recurrence/conversion (OS-r/c) was 13.2 months. From the start of treatment with [\n                225\n                Ac]Ac-DOTA-SP, the median PFS was 2.4 months, and the OS-t was 9.0 months. There were no statistically significant differences between the investigated dose escalation groups.\n              \n            \n            \n              Conclusions\n              \n                Treatment of recurrent glioblastoma with [\n                225\n                Ac]Ac-DOTA-SP is safe and well tolerated up to 30 MBq per cycle. The escalation dose protocol showed good tolerability. Only mild temporary adverse effects were observed. No remarkable haematological, kidney and liver toxicity was seen.","container-title":"European Journal of Nuclear Medicine and Molecular Imaging","DOI":"10.1007/s00259-021-05350-y","ISSN":"1619-7070, 1619-7089","issue":"11","journalAbbreviation":"Eur J Nucl Med Mol Imaging","language":"en","page":"3595-3605","source":"DOI.org (Crossref)","title":"Dose escalation study of targeted alpha therapy with [225Ac]Ac-DOTA-substance P in recurrence glioblastoma – safety and efficacy","URL":"https://link.springer.com/10.1007/s00259-021-05350-y","volume":"48","author":[{"family":"Królicki","given":"Leszek"},{"family":"Bruchertseifer","given":"Frank"},{"family":"Kunikowska","given":"Jolanta"},{"family":"Koziara","given":"Henryk"},{"family":"Pawlak","given":"Dariusz"},{"family":"Kuliński","given":"Radosław"},{"family":"Rola","given":"Rafał"},{"family":"Merlo","given":"Adrian"},{"family":"Morgenstern","given":"Alfred"}],"accessed":{"date-parts":[["2025",8,20]]},"issued":{"date-parts":[["2021",10]]}}}],"schema":"https://github.com/citation-style-language/schema/raw/master/csl-citation.json"} </w:instrText>
            </w:r>
            <w:r>
              <w:rPr>
                <w:rFonts w:cstheme="minorHAnsi"/>
                <w:sz w:val="18"/>
              </w:rPr>
              <w:fldChar w:fldCharType="separate"/>
            </w:r>
            <w:r w:rsidR="00BC4723" w:rsidRPr="00BC4723">
              <w:rPr>
                <w:rFonts w:ascii="Calibri" w:hAnsi="Calibri" w:cs="Calibri"/>
                <w:sz w:val="18"/>
                <w:lang w:val="en-US"/>
              </w:rPr>
              <w:t>(32)</w:t>
            </w:r>
            <w:r>
              <w:rPr>
                <w:rFonts w:cstheme="minorHAnsi"/>
                <w:sz w:val="18"/>
              </w:rPr>
              <w:fldChar w:fldCharType="end"/>
            </w:r>
          </w:p>
        </w:tc>
        <w:tc>
          <w:tcPr>
            <w:tcW w:w="2026" w:type="pct"/>
            <w:tcBorders>
              <w:top w:val="nil"/>
              <w:left w:val="single" w:sz="4" w:space="0" w:color="auto"/>
              <w:bottom w:val="single" w:sz="18" w:space="0" w:color="auto"/>
            </w:tcBorders>
            <w:noWrap/>
            <w:vAlign w:val="center"/>
          </w:tcPr>
          <w:p w14:paraId="3A36224A" w14:textId="206F15E6" w:rsidR="00B612FD" w:rsidRPr="000A3731" w:rsidRDefault="000D7B63" w:rsidP="007B6C3A">
            <w:pPr>
              <w:jc w:val="center"/>
              <w:rPr>
                <w:rFonts w:cstheme="minorHAnsi"/>
                <w:sz w:val="18"/>
                <w:lang w:val="en-GB"/>
              </w:rPr>
            </w:pPr>
            <w:r>
              <w:rPr>
                <w:rFonts w:cstheme="minorHAnsi"/>
                <w:sz w:val="18"/>
                <w:lang w:val="en-GB"/>
              </w:rPr>
              <w:t xml:space="preserve">Overall well tolerated. </w:t>
            </w:r>
            <w:r w:rsidR="005B3497">
              <w:rPr>
                <w:rFonts w:cstheme="minorHAnsi"/>
                <w:sz w:val="18"/>
                <w:lang w:val="en-GB"/>
              </w:rPr>
              <w:t>Transient non-severe side effects such as oedema, focal neurologic deficits which most of them existed before TAT and worsened.</w:t>
            </w:r>
          </w:p>
        </w:tc>
        <w:tc>
          <w:tcPr>
            <w:tcW w:w="922" w:type="pct"/>
            <w:tcBorders>
              <w:top w:val="nil"/>
              <w:bottom w:val="single" w:sz="18" w:space="0" w:color="auto"/>
            </w:tcBorders>
            <w:noWrap/>
            <w:vAlign w:val="center"/>
          </w:tcPr>
          <w:p w14:paraId="49CE4C38" w14:textId="28D994EB" w:rsidR="00B612FD" w:rsidRPr="000A3731" w:rsidRDefault="005B3497" w:rsidP="000A3731">
            <w:pPr>
              <w:jc w:val="center"/>
              <w:rPr>
                <w:rFonts w:cstheme="minorHAnsi"/>
                <w:sz w:val="18"/>
                <w:lang w:val="en-GB"/>
              </w:rPr>
            </w:pPr>
            <w:r>
              <w:rPr>
                <w:rFonts w:cstheme="minorHAnsi"/>
                <w:sz w:val="18"/>
                <w:lang w:val="en-GB"/>
              </w:rPr>
              <w:t>Local injection would be safe tolerable up to 30 MBq per cycle</w:t>
            </w:r>
          </w:p>
        </w:tc>
        <w:tc>
          <w:tcPr>
            <w:tcW w:w="175" w:type="pct"/>
            <w:tcBorders>
              <w:top w:val="nil"/>
              <w:bottom w:val="single" w:sz="18" w:space="0" w:color="auto"/>
            </w:tcBorders>
            <w:vAlign w:val="center"/>
          </w:tcPr>
          <w:p w14:paraId="0A4EEA4C" w14:textId="670079A3" w:rsidR="00B612FD" w:rsidRPr="000A3731" w:rsidRDefault="00990432" w:rsidP="000A3731">
            <w:pPr>
              <w:jc w:val="center"/>
              <w:rPr>
                <w:rFonts w:cstheme="minorHAnsi"/>
                <w:sz w:val="18"/>
                <w:lang w:val="en-GB"/>
              </w:rPr>
            </w:pPr>
            <w:r>
              <w:rPr>
                <w:rFonts w:cstheme="minorHAnsi"/>
                <w:sz w:val="18"/>
                <w:lang w:val="en-GB"/>
              </w:rPr>
              <w:t>21</w:t>
            </w:r>
          </w:p>
        </w:tc>
        <w:tc>
          <w:tcPr>
            <w:tcW w:w="754" w:type="pct"/>
            <w:tcBorders>
              <w:top w:val="nil"/>
              <w:bottom w:val="single" w:sz="18" w:space="0" w:color="auto"/>
            </w:tcBorders>
            <w:noWrap/>
            <w:vAlign w:val="center"/>
          </w:tcPr>
          <w:p w14:paraId="107F12F2" w14:textId="25FCD022" w:rsidR="00B612FD" w:rsidRPr="000A3731" w:rsidRDefault="005B3497" w:rsidP="000A3731">
            <w:pPr>
              <w:jc w:val="center"/>
              <w:rPr>
                <w:rFonts w:cstheme="minorHAnsi"/>
                <w:sz w:val="18"/>
                <w:lang w:val="en-GB"/>
              </w:rPr>
            </w:pPr>
            <w:r>
              <w:rPr>
                <w:rFonts w:cstheme="minorHAnsi"/>
                <w:sz w:val="18"/>
                <w:lang w:val="en-GB"/>
              </w:rPr>
              <w:t>1 hemato(with the highest dose of 30 MBq)</w:t>
            </w:r>
          </w:p>
        </w:tc>
        <w:tc>
          <w:tcPr>
            <w:tcW w:w="689" w:type="pct"/>
            <w:tcBorders>
              <w:top w:val="nil"/>
              <w:bottom w:val="single" w:sz="18" w:space="0" w:color="auto"/>
            </w:tcBorders>
            <w:noWrap/>
            <w:vAlign w:val="center"/>
          </w:tcPr>
          <w:p w14:paraId="76067D44" w14:textId="05D027CE" w:rsidR="00B612FD" w:rsidRPr="000A3731" w:rsidRDefault="005B3497" w:rsidP="000A3731">
            <w:pPr>
              <w:jc w:val="center"/>
              <w:rPr>
                <w:rFonts w:cstheme="minorHAnsi"/>
                <w:sz w:val="18"/>
                <w:lang w:val="en-GB"/>
              </w:rPr>
            </w:pPr>
            <w:r>
              <w:rPr>
                <w:rFonts w:cstheme="minorHAnsi"/>
                <w:sz w:val="18"/>
                <w:lang w:val="en-GB"/>
              </w:rPr>
              <w:t>1 Hemato, 1 Hepato</w:t>
            </w:r>
          </w:p>
        </w:tc>
        <w:tc>
          <w:tcPr>
            <w:tcW w:w="205" w:type="pct"/>
            <w:tcBorders>
              <w:top w:val="nil"/>
              <w:bottom w:val="single" w:sz="18" w:space="0" w:color="auto"/>
            </w:tcBorders>
            <w:noWrap/>
            <w:vAlign w:val="center"/>
          </w:tcPr>
          <w:p w14:paraId="7200921C" w14:textId="78FC640C" w:rsidR="00B612FD" w:rsidRPr="000A3731" w:rsidRDefault="00990432" w:rsidP="000A3731">
            <w:pPr>
              <w:jc w:val="center"/>
              <w:rPr>
                <w:rFonts w:cstheme="minorHAnsi"/>
                <w:sz w:val="18"/>
                <w:lang w:val="en-GB"/>
              </w:rPr>
            </w:pPr>
            <w:r>
              <w:rPr>
                <w:rFonts w:cstheme="minorHAnsi"/>
                <w:sz w:val="18"/>
                <w:lang w:val="en-GB"/>
              </w:rPr>
              <w:t>6.9</w:t>
            </w:r>
          </w:p>
        </w:tc>
      </w:tr>
    </w:tbl>
    <w:p w14:paraId="36EC4D3B" w14:textId="6D6CA0B8" w:rsidR="00277630" w:rsidRPr="00CD1614" w:rsidRDefault="000A3731" w:rsidP="0018521B">
      <w:pPr>
        <w:pStyle w:val="StandardWeb"/>
        <w:rPr>
          <w:rFonts w:asciiTheme="minorHAnsi" w:hAnsiTheme="minorHAnsi" w:cstheme="minorHAnsi"/>
          <w:i/>
          <w:sz w:val="18"/>
          <w:szCs w:val="22"/>
        </w:rPr>
      </w:pPr>
      <w:r w:rsidRPr="000A3731">
        <w:rPr>
          <w:rFonts w:asciiTheme="minorHAnsi" w:hAnsiTheme="minorHAnsi" w:cstheme="minorHAnsi"/>
          <w:i/>
          <w:sz w:val="18"/>
          <w:szCs w:val="22"/>
        </w:rPr>
        <w:t>Hemato: hematological; Nephro: nephrological; hepato: hepatological; Pts: patients; mCRPC: metastatic castration-resistant prostate cancer;</w:t>
      </w:r>
    </w:p>
    <w:sectPr w:rsidR="00277630" w:rsidRPr="00CD1614" w:rsidSect="000A3731">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9786D4" w14:textId="77777777" w:rsidR="00ED13C8" w:rsidRDefault="00ED13C8" w:rsidP="007E3277">
      <w:r>
        <w:separator/>
      </w:r>
    </w:p>
  </w:endnote>
  <w:endnote w:type="continuationSeparator" w:id="0">
    <w:p w14:paraId="2C2ACA38" w14:textId="77777777" w:rsidR="00ED13C8" w:rsidRDefault="00ED13C8" w:rsidP="007E3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6029297"/>
      <w:docPartObj>
        <w:docPartGallery w:val="Page Numbers (Bottom of Page)"/>
        <w:docPartUnique/>
      </w:docPartObj>
    </w:sdtPr>
    <w:sdtContent>
      <w:p w14:paraId="72EAE96B" w14:textId="0EAD2F7C" w:rsidR="00ED13C8" w:rsidRDefault="00ED13C8">
        <w:pPr>
          <w:pStyle w:val="Fuzeile"/>
          <w:jc w:val="center"/>
        </w:pPr>
        <w:r>
          <w:fldChar w:fldCharType="begin"/>
        </w:r>
        <w:r>
          <w:instrText>PAGE   \* MERGEFORMAT</w:instrText>
        </w:r>
        <w:r>
          <w:fldChar w:fldCharType="separate"/>
        </w:r>
        <w:r w:rsidR="00CD1614" w:rsidRPr="00CD1614">
          <w:rPr>
            <w:noProof/>
            <w:lang w:val="de-DE"/>
          </w:rPr>
          <w:t>25</w:t>
        </w:r>
        <w:r>
          <w:fldChar w:fldCharType="end"/>
        </w:r>
      </w:p>
    </w:sdtContent>
  </w:sdt>
  <w:p w14:paraId="7ADCC8B7" w14:textId="77777777" w:rsidR="00ED13C8" w:rsidRDefault="00ED13C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9C5117" w14:textId="77777777" w:rsidR="00ED13C8" w:rsidRDefault="00ED13C8" w:rsidP="007E3277">
      <w:r>
        <w:separator/>
      </w:r>
    </w:p>
  </w:footnote>
  <w:footnote w:type="continuationSeparator" w:id="0">
    <w:p w14:paraId="5B051130" w14:textId="77777777" w:rsidR="00ED13C8" w:rsidRDefault="00ED13C8" w:rsidP="007E32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F7E25"/>
    <w:multiLevelType w:val="hybridMultilevel"/>
    <w:tmpl w:val="44FCF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0F5746"/>
    <w:multiLevelType w:val="hybridMultilevel"/>
    <w:tmpl w:val="B9B00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915035"/>
    <w:multiLevelType w:val="hybridMultilevel"/>
    <w:tmpl w:val="7FF8ECC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3B5"/>
    <w:rsid w:val="00001573"/>
    <w:rsid w:val="00001AF6"/>
    <w:rsid w:val="00003AEE"/>
    <w:rsid w:val="0000775E"/>
    <w:rsid w:val="0000780D"/>
    <w:rsid w:val="00011CB6"/>
    <w:rsid w:val="00012E4C"/>
    <w:rsid w:val="000138F9"/>
    <w:rsid w:val="00014C51"/>
    <w:rsid w:val="0001540B"/>
    <w:rsid w:val="000157B9"/>
    <w:rsid w:val="000255C7"/>
    <w:rsid w:val="00025AC0"/>
    <w:rsid w:val="00026CC1"/>
    <w:rsid w:val="0002739C"/>
    <w:rsid w:val="0002766A"/>
    <w:rsid w:val="00027E26"/>
    <w:rsid w:val="00041872"/>
    <w:rsid w:val="0004559A"/>
    <w:rsid w:val="0004680F"/>
    <w:rsid w:val="00051BF3"/>
    <w:rsid w:val="00064CA6"/>
    <w:rsid w:val="00064E31"/>
    <w:rsid w:val="0007249B"/>
    <w:rsid w:val="00072DBA"/>
    <w:rsid w:val="0007566B"/>
    <w:rsid w:val="00077908"/>
    <w:rsid w:val="000817BF"/>
    <w:rsid w:val="0008767E"/>
    <w:rsid w:val="000879F5"/>
    <w:rsid w:val="00093E3D"/>
    <w:rsid w:val="000A0637"/>
    <w:rsid w:val="000A3731"/>
    <w:rsid w:val="000A3A7D"/>
    <w:rsid w:val="000A5ADE"/>
    <w:rsid w:val="000A74D8"/>
    <w:rsid w:val="000B0A19"/>
    <w:rsid w:val="000B3183"/>
    <w:rsid w:val="000C1F4C"/>
    <w:rsid w:val="000D246E"/>
    <w:rsid w:val="000D3DDE"/>
    <w:rsid w:val="000D4D38"/>
    <w:rsid w:val="000D7B63"/>
    <w:rsid w:val="000E272D"/>
    <w:rsid w:val="000E5301"/>
    <w:rsid w:val="000F348E"/>
    <w:rsid w:val="000F55A9"/>
    <w:rsid w:val="000F6752"/>
    <w:rsid w:val="0010116F"/>
    <w:rsid w:val="0010435F"/>
    <w:rsid w:val="00104F93"/>
    <w:rsid w:val="00114A7C"/>
    <w:rsid w:val="0011642A"/>
    <w:rsid w:val="001170BB"/>
    <w:rsid w:val="00123D9C"/>
    <w:rsid w:val="0012452E"/>
    <w:rsid w:val="00135F55"/>
    <w:rsid w:val="00136CF2"/>
    <w:rsid w:val="00142D37"/>
    <w:rsid w:val="00153916"/>
    <w:rsid w:val="00153D09"/>
    <w:rsid w:val="0016066A"/>
    <w:rsid w:val="0016110C"/>
    <w:rsid w:val="00164412"/>
    <w:rsid w:val="00165703"/>
    <w:rsid w:val="0016640D"/>
    <w:rsid w:val="001707E8"/>
    <w:rsid w:val="00172A84"/>
    <w:rsid w:val="00175121"/>
    <w:rsid w:val="001757E0"/>
    <w:rsid w:val="0018521B"/>
    <w:rsid w:val="00186EC7"/>
    <w:rsid w:val="00190AD7"/>
    <w:rsid w:val="00192B71"/>
    <w:rsid w:val="001943D7"/>
    <w:rsid w:val="00194878"/>
    <w:rsid w:val="001973CC"/>
    <w:rsid w:val="001A42DA"/>
    <w:rsid w:val="001A43B5"/>
    <w:rsid w:val="001A7BA6"/>
    <w:rsid w:val="001B0C83"/>
    <w:rsid w:val="001B1DFE"/>
    <w:rsid w:val="001B21DE"/>
    <w:rsid w:val="001C1162"/>
    <w:rsid w:val="001C5F6B"/>
    <w:rsid w:val="001D51C7"/>
    <w:rsid w:val="001D5BE2"/>
    <w:rsid w:val="001D6157"/>
    <w:rsid w:val="001E03AB"/>
    <w:rsid w:val="001E1A06"/>
    <w:rsid w:val="001F2851"/>
    <w:rsid w:val="00203BB6"/>
    <w:rsid w:val="0020409C"/>
    <w:rsid w:val="00204244"/>
    <w:rsid w:val="002042B6"/>
    <w:rsid w:val="0020682E"/>
    <w:rsid w:val="002077C0"/>
    <w:rsid w:val="0021482B"/>
    <w:rsid w:val="00216EFE"/>
    <w:rsid w:val="00233160"/>
    <w:rsid w:val="00236E68"/>
    <w:rsid w:val="00243499"/>
    <w:rsid w:val="002436F7"/>
    <w:rsid w:val="0024604F"/>
    <w:rsid w:val="00247954"/>
    <w:rsid w:val="002543AC"/>
    <w:rsid w:val="00254B1E"/>
    <w:rsid w:val="002611D8"/>
    <w:rsid w:val="002621BD"/>
    <w:rsid w:val="00272202"/>
    <w:rsid w:val="002727E3"/>
    <w:rsid w:val="0027434E"/>
    <w:rsid w:val="002762AD"/>
    <w:rsid w:val="00276388"/>
    <w:rsid w:val="00277630"/>
    <w:rsid w:val="0028078F"/>
    <w:rsid w:val="00283B2A"/>
    <w:rsid w:val="00285476"/>
    <w:rsid w:val="002873EB"/>
    <w:rsid w:val="0028768E"/>
    <w:rsid w:val="00291296"/>
    <w:rsid w:val="00293146"/>
    <w:rsid w:val="00295478"/>
    <w:rsid w:val="0029582C"/>
    <w:rsid w:val="002959FA"/>
    <w:rsid w:val="002A65C3"/>
    <w:rsid w:val="002B3732"/>
    <w:rsid w:val="002B6CC7"/>
    <w:rsid w:val="002B7349"/>
    <w:rsid w:val="002C460C"/>
    <w:rsid w:val="002C4637"/>
    <w:rsid w:val="002C5828"/>
    <w:rsid w:val="002D29D7"/>
    <w:rsid w:val="002D5A74"/>
    <w:rsid w:val="002E0E4F"/>
    <w:rsid w:val="002E14AB"/>
    <w:rsid w:val="002F0AB1"/>
    <w:rsid w:val="002F300D"/>
    <w:rsid w:val="002F6B69"/>
    <w:rsid w:val="0030687E"/>
    <w:rsid w:val="00314824"/>
    <w:rsid w:val="003222B3"/>
    <w:rsid w:val="00323500"/>
    <w:rsid w:val="00323AC0"/>
    <w:rsid w:val="00325BC6"/>
    <w:rsid w:val="00331BB4"/>
    <w:rsid w:val="00334283"/>
    <w:rsid w:val="003350EE"/>
    <w:rsid w:val="00335146"/>
    <w:rsid w:val="0033554D"/>
    <w:rsid w:val="00342DBF"/>
    <w:rsid w:val="00346648"/>
    <w:rsid w:val="003476AD"/>
    <w:rsid w:val="00351236"/>
    <w:rsid w:val="003541D3"/>
    <w:rsid w:val="00356A5F"/>
    <w:rsid w:val="0036140C"/>
    <w:rsid w:val="003624C6"/>
    <w:rsid w:val="00363708"/>
    <w:rsid w:val="00373913"/>
    <w:rsid w:val="00376680"/>
    <w:rsid w:val="00380EE4"/>
    <w:rsid w:val="00383C64"/>
    <w:rsid w:val="00387EF7"/>
    <w:rsid w:val="003A1087"/>
    <w:rsid w:val="003A1BF4"/>
    <w:rsid w:val="003A3A79"/>
    <w:rsid w:val="003A5599"/>
    <w:rsid w:val="003A6461"/>
    <w:rsid w:val="003A6616"/>
    <w:rsid w:val="003A798D"/>
    <w:rsid w:val="003B13FC"/>
    <w:rsid w:val="003B7389"/>
    <w:rsid w:val="003C11FB"/>
    <w:rsid w:val="003C6299"/>
    <w:rsid w:val="003D4013"/>
    <w:rsid w:val="003D5E19"/>
    <w:rsid w:val="003E0838"/>
    <w:rsid w:val="003E37DC"/>
    <w:rsid w:val="003F0294"/>
    <w:rsid w:val="003F0C97"/>
    <w:rsid w:val="003F28B3"/>
    <w:rsid w:val="003F31CC"/>
    <w:rsid w:val="004025D7"/>
    <w:rsid w:val="00410D7D"/>
    <w:rsid w:val="00415D35"/>
    <w:rsid w:val="0041711D"/>
    <w:rsid w:val="00417FF7"/>
    <w:rsid w:val="0042003E"/>
    <w:rsid w:val="00420CFB"/>
    <w:rsid w:val="00421351"/>
    <w:rsid w:val="0042168F"/>
    <w:rsid w:val="004240C4"/>
    <w:rsid w:val="004267D2"/>
    <w:rsid w:val="004337B5"/>
    <w:rsid w:val="00437EC3"/>
    <w:rsid w:val="00440B69"/>
    <w:rsid w:val="00446889"/>
    <w:rsid w:val="004561DB"/>
    <w:rsid w:val="0046605C"/>
    <w:rsid w:val="00476911"/>
    <w:rsid w:val="004878E1"/>
    <w:rsid w:val="00490013"/>
    <w:rsid w:val="004908FF"/>
    <w:rsid w:val="00491CC6"/>
    <w:rsid w:val="0049655F"/>
    <w:rsid w:val="004A0F60"/>
    <w:rsid w:val="004A4E28"/>
    <w:rsid w:val="004A5803"/>
    <w:rsid w:val="004A6B43"/>
    <w:rsid w:val="004A6D00"/>
    <w:rsid w:val="004B4436"/>
    <w:rsid w:val="004C6A5B"/>
    <w:rsid w:val="004D0CE9"/>
    <w:rsid w:val="004D488F"/>
    <w:rsid w:val="004E0F8F"/>
    <w:rsid w:val="004E532C"/>
    <w:rsid w:val="004E5484"/>
    <w:rsid w:val="004E5CF5"/>
    <w:rsid w:val="004E6F03"/>
    <w:rsid w:val="004E716D"/>
    <w:rsid w:val="004F038D"/>
    <w:rsid w:val="004F3EFB"/>
    <w:rsid w:val="004F6BC0"/>
    <w:rsid w:val="0050305E"/>
    <w:rsid w:val="00503E6C"/>
    <w:rsid w:val="005040E1"/>
    <w:rsid w:val="005216B4"/>
    <w:rsid w:val="00535F2B"/>
    <w:rsid w:val="005420EB"/>
    <w:rsid w:val="00547ABF"/>
    <w:rsid w:val="00547C1F"/>
    <w:rsid w:val="005538CE"/>
    <w:rsid w:val="00554DE8"/>
    <w:rsid w:val="00563575"/>
    <w:rsid w:val="0056459E"/>
    <w:rsid w:val="00566032"/>
    <w:rsid w:val="005675C9"/>
    <w:rsid w:val="0057357F"/>
    <w:rsid w:val="00573C91"/>
    <w:rsid w:val="00574D2E"/>
    <w:rsid w:val="00586641"/>
    <w:rsid w:val="005921EC"/>
    <w:rsid w:val="005A3127"/>
    <w:rsid w:val="005A34E1"/>
    <w:rsid w:val="005A3F3D"/>
    <w:rsid w:val="005A4A44"/>
    <w:rsid w:val="005A7F01"/>
    <w:rsid w:val="005B1E44"/>
    <w:rsid w:val="005B3497"/>
    <w:rsid w:val="005B56CD"/>
    <w:rsid w:val="005B5C46"/>
    <w:rsid w:val="005C1BE9"/>
    <w:rsid w:val="005D135B"/>
    <w:rsid w:val="005D27BF"/>
    <w:rsid w:val="005D37CB"/>
    <w:rsid w:val="005D4304"/>
    <w:rsid w:val="005D4C20"/>
    <w:rsid w:val="005D7048"/>
    <w:rsid w:val="005D7149"/>
    <w:rsid w:val="005D7D55"/>
    <w:rsid w:val="005E3C2F"/>
    <w:rsid w:val="005F272B"/>
    <w:rsid w:val="005F405D"/>
    <w:rsid w:val="005F47F3"/>
    <w:rsid w:val="005F585C"/>
    <w:rsid w:val="005F61D2"/>
    <w:rsid w:val="006078C4"/>
    <w:rsid w:val="00610D4C"/>
    <w:rsid w:val="0061192F"/>
    <w:rsid w:val="00630675"/>
    <w:rsid w:val="00637C68"/>
    <w:rsid w:val="006507B1"/>
    <w:rsid w:val="00654056"/>
    <w:rsid w:val="00662D19"/>
    <w:rsid w:val="0066340E"/>
    <w:rsid w:val="006636E1"/>
    <w:rsid w:val="0066573C"/>
    <w:rsid w:val="00666604"/>
    <w:rsid w:val="0068386E"/>
    <w:rsid w:val="0069394F"/>
    <w:rsid w:val="006A17CB"/>
    <w:rsid w:val="006A3088"/>
    <w:rsid w:val="006A4DCA"/>
    <w:rsid w:val="006A6D57"/>
    <w:rsid w:val="006B0F99"/>
    <w:rsid w:val="006B15E0"/>
    <w:rsid w:val="006C2099"/>
    <w:rsid w:val="006C36DC"/>
    <w:rsid w:val="006C7CAA"/>
    <w:rsid w:val="006D4B46"/>
    <w:rsid w:val="006D5726"/>
    <w:rsid w:val="006D6066"/>
    <w:rsid w:val="006D775C"/>
    <w:rsid w:val="006E22E2"/>
    <w:rsid w:val="006F639B"/>
    <w:rsid w:val="00701F60"/>
    <w:rsid w:val="007032DC"/>
    <w:rsid w:val="007061C0"/>
    <w:rsid w:val="00721082"/>
    <w:rsid w:val="0072684D"/>
    <w:rsid w:val="00726FFC"/>
    <w:rsid w:val="0073410E"/>
    <w:rsid w:val="007434BA"/>
    <w:rsid w:val="007453A9"/>
    <w:rsid w:val="007564D7"/>
    <w:rsid w:val="00757C48"/>
    <w:rsid w:val="007636D9"/>
    <w:rsid w:val="007644B2"/>
    <w:rsid w:val="00767BCE"/>
    <w:rsid w:val="00771185"/>
    <w:rsid w:val="0078171F"/>
    <w:rsid w:val="00783DC4"/>
    <w:rsid w:val="00784D1D"/>
    <w:rsid w:val="007917FC"/>
    <w:rsid w:val="00792130"/>
    <w:rsid w:val="007A55C2"/>
    <w:rsid w:val="007B56A0"/>
    <w:rsid w:val="007B6C3A"/>
    <w:rsid w:val="007C1DB1"/>
    <w:rsid w:val="007C7171"/>
    <w:rsid w:val="007D114F"/>
    <w:rsid w:val="007D497C"/>
    <w:rsid w:val="007E3277"/>
    <w:rsid w:val="007E5627"/>
    <w:rsid w:val="007F33F1"/>
    <w:rsid w:val="007F5EA2"/>
    <w:rsid w:val="007F5F4D"/>
    <w:rsid w:val="007F6F64"/>
    <w:rsid w:val="0080427F"/>
    <w:rsid w:val="008043BE"/>
    <w:rsid w:val="00804534"/>
    <w:rsid w:val="00805598"/>
    <w:rsid w:val="00810D1B"/>
    <w:rsid w:val="008131D3"/>
    <w:rsid w:val="00823F6B"/>
    <w:rsid w:val="00825F7B"/>
    <w:rsid w:val="00833BE4"/>
    <w:rsid w:val="00836EE3"/>
    <w:rsid w:val="008401E0"/>
    <w:rsid w:val="00844470"/>
    <w:rsid w:val="0084620A"/>
    <w:rsid w:val="008474FC"/>
    <w:rsid w:val="00856180"/>
    <w:rsid w:val="00864B18"/>
    <w:rsid w:val="008666A7"/>
    <w:rsid w:val="00872B01"/>
    <w:rsid w:val="00874827"/>
    <w:rsid w:val="008772FE"/>
    <w:rsid w:val="00877A09"/>
    <w:rsid w:val="00877E6E"/>
    <w:rsid w:val="008806F3"/>
    <w:rsid w:val="00881ABE"/>
    <w:rsid w:val="008821D4"/>
    <w:rsid w:val="0088723A"/>
    <w:rsid w:val="0089056F"/>
    <w:rsid w:val="00891D50"/>
    <w:rsid w:val="00892070"/>
    <w:rsid w:val="0089293D"/>
    <w:rsid w:val="00896A35"/>
    <w:rsid w:val="00897622"/>
    <w:rsid w:val="008A066A"/>
    <w:rsid w:val="008A11DA"/>
    <w:rsid w:val="008A1D36"/>
    <w:rsid w:val="008A3965"/>
    <w:rsid w:val="008A7B72"/>
    <w:rsid w:val="008B17C5"/>
    <w:rsid w:val="008B6B83"/>
    <w:rsid w:val="008C6A2F"/>
    <w:rsid w:val="008D1073"/>
    <w:rsid w:val="008D2324"/>
    <w:rsid w:val="008D2F26"/>
    <w:rsid w:val="008D3745"/>
    <w:rsid w:val="008D3964"/>
    <w:rsid w:val="008E5B92"/>
    <w:rsid w:val="008F5531"/>
    <w:rsid w:val="008F787D"/>
    <w:rsid w:val="009001C1"/>
    <w:rsid w:val="009022A2"/>
    <w:rsid w:val="009041E9"/>
    <w:rsid w:val="0090582F"/>
    <w:rsid w:val="00915FFA"/>
    <w:rsid w:val="00931F74"/>
    <w:rsid w:val="009347D2"/>
    <w:rsid w:val="00942A3B"/>
    <w:rsid w:val="00942A9C"/>
    <w:rsid w:val="009460FC"/>
    <w:rsid w:val="00950D2B"/>
    <w:rsid w:val="009529BD"/>
    <w:rsid w:val="00953D7B"/>
    <w:rsid w:val="00954BE3"/>
    <w:rsid w:val="009579B6"/>
    <w:rsid w:val="00960D43"/>
    <w:rsid w:val="009631D7"/>
    <w:rsid w:val="00964EAB"/>
    <w:rsid w:val="009658FE"/>
    <w:rsid w:val="00965F5E"/>
    <w:rsid w:val="00970CE3"/>
    <w:rsid w:val="0097736B"/>
    <w:rsid w:val="00981830"/>
    <w:rsid w:val="00984FB8"/>
    <w:rsid w:val="009853C8"/>
    <w:rsid w:val="00990432"/>
    <w:rsid w:val="00991FFB"/>
    <w:rsid w:val="009929F7"/>
    <w:rsid w:val="00992C0F"/>
    <w:rsid w:val="009954D4"/>
    <w:rsid w:val="009973B5"/>
    <w:rsid w:val="009A0B2E"/>
    <w:rsid w:val="009A357C"/>
    <w:rsid w:val="009A3C21"/>
    <w:rsid w:val="009A5EEA"/>
    <w:rsid w:val="009B492C"/>
    <w:rsid w:val="009B5073"/>
    <w:rsid w:val="009B6C02"/>
    <w:rsid w:val="009B6D4B"/>
    <w:rsid w:val="009D0A2B"/>
    <w:rsid w:val="009D47E1"/>
    <w:rsid w:val="009D4A9A"/>
    <w:rsid w:val="009E16A6"/>
    <w:rsid w:val="009E239D"/>
    <w:rsid w:val="009E55FD"/>
    <w:rsid w:val="009E5943"/>
    <w:rsid w:val="009F0070"/>
    <w:rsid w:val="009F34B4"/>
    <w:rsid w:val="00A00214"/>
    <w:rsid w:val="00A01F00"/>
    <w:rsid w:val="00A02D85"/>
    <w:rsid w:val="00A03B73"/>
    <w:rsid w:val="00A04363"/>
    <w:rsid w:val="00A051F7"/>
    <w:rsid w:val="00A118E5"/>
    <w:rsid w:val="00A36901"/>
    <w:rsid w:val="00A47020"/>
    <w:rsid w:val="00A55590"/>
    <w:rsid w:val="00A62DE3"/>
    <w:rsid w:val="00A66CC0"/>
    <w:rsid w:val="00A73B74"/>
    <w:rsid w:val="00A74701"/>
    <w:rsid w:val="00A778B7"/>
    <w:rsid w:val="00A804EB"/>
    <w:rsid w:val="00A8568A"/>
    <w:rsid w:val="00A934A9"/>
    <w:rsid w:val="00A94AFC"/>
    <w:rsid w:val="00A9539A"/>
    <w:rsid w:val="00AA1A61"/>
    <w:rsid w:val="00AA39FA"/>
    <w:rsid w:val="00AA512E"/>
    <w:rsid w:val="00AB0100"/>
    <w:rsid w:val="00AB0F86"/>
    <w:rsid w:val="00AB36EB"/>
    <w:rsid w:val="00AB74B5"/>
    <w:rsid w:val="00AC004C"/>
    <w:rsid w:val="00AC59D6"/>
    <w:rsid w:val="00AD19E5"/>
    <w:rsid w:val="00AD3AFD"/>
    <w:rsid w:val="00AD3EFE"/>
    <w:rsid w:val="00AD50F1"/>
    <w:rsid w:val="00AD6C3E"/>
    <w:rsid w:val="00AD6CB4"/>
    <w:rsid w:val="00AE1FBD"/>
    <w:rsid w:val="00AE42AF"/>
    <w:rsid w:val="00AE689C"/>
    <w:rsid w:val="00AE69B6"/>
    <w:rsid w:val="00AF4CFC"/>
    <w:rsid w:val="00B00351"/>
    <w:rsid w:val="00B0186A"/>
    <w:rsid w:val="00B22329"/>
    <w:rsid w:val="00B24769"/>
    <w:rsid w:val="00B3537A"/>
    <w:rsid w:val="00B36CDC"/>
    <w:rsid w:val="00B404F5"/>
    <w:rsid w:val="00B40BCF"/>
    <w:rsid w:val="00B40CD9"/>
    <w:rsid w:val="00B42837"/>
    <w:rsid w:val="00B44D38"/>
    <w:rsid w:val="00B51F80"/>
    <w:rsid w:val="00B612FD"/>
    <w:rsid w:val="00B641EF"/>
    <w:rsid w:val="00B6545B"/>
    <w:rsid w:val="00B70D2E"/>
    <w:rsid w:val="00B73AF1"/>
    <w:rsid w:val="00B73C60"/>
    <w:rsid w:val="00B81C81"/>
    <w:rsid w:val="00B83172"/>
    <w:rsid w:val="00B831EF"/>
    <w:rsid w:val="00B85A82"/>
    <w:rsid w:val="00B9018B"/>
    <w:rsid w:val="00B9121B"/>
    <w:rsid w:val="00B921E7"/>
    <w:rsid w:val="00B94406"/>
    <w:rsid w:val="00BA395C"/>
    <w:rsid w:val="00BA464A"/>
    <w:rsid w:val="00BA4B70"/>
    <w:rsid w:val="00BA6283"/>
    <w:rsid w:val="00BA63EA"/>
    <w:rsid w:val="00BB0EE2"/>
    <w:rsid w:val="00BB1ABE"/>
    <w:rsid w:val="00BB421A"/>
    <w:rsid w:val="00BB4B7B"/>
    <w:rsid w:val="00BB4BB7"/>
    <w:rsid w:val="00BB77B2"/>
    <w:rsid w:val="00BC0718"/>
    <w:rsid w:val="00BC4723"/>
    <w:rsid w:val="00BC5426"/>
    <w:rsid w:val="00BC7191"/>
    <w:rsid w:val="00BD3343"/>
    <w:rsid w:val="00BD6303"/>
    <w:rsid w:val="00BE0C97"/>
    <w:rsid w:val="00BE5055"/>
    <w:rsid w:val="00BE694C"/>
    <w:rsid w:val="00BF003D"/>
    <w:rsid w:val="00BF0F1B"/>
    <w:rsid w:val="00BF2345"/>
    <w:rsid w:val="00BF60E9"/>
    <w:rsid w:val="00C02A50"/>
    <w:rsid w:val="00C044D0"/>
    <w:rsid w:val="00C25336"/>
    <w:rsid w:val="00C277A8"/>
    <w:rsid w:val="00C32083"/>
    <w:rsid w:val="00C34A61"/>
    <w:rsid w:val="00C40C67"/>
    <w:rsid w:val="00C40DA8"/>
    <w:rsid w:val="00C4560E"/>
    <w:rsid w:val="00C51875"/>
    <w:rsid w:val="00C51F6D"/>
    <w:rsid w:val="00C541A0"/>
    <w:rsid w:val="00C54321"/>
    <w:rsid w:val="00C55211"/>
    <w:rsid w:val="00C57D1B"/>
    <w:rsid w:val="00C57DE4"/>
    <w:rsid w:val="00C614C1"/>
    <w:rsid w:val="00C63912"/>
    <w:rsid w:val="00C64E75"/>
    <w:rsid w:val="00C659CF"/>
    <w:rsid w:val="00C65E4B"/>
    <w:rsid w:val="00C6792E"/>
    <w:rsid w:val="00C700D3"/>
    <w:rsid w:val="00C7458B"/>
    <w:rsid w:val="00C75977"/>
    <w:rsid w:val="00C7666D"/>
    <w:rsid w:val="00C778D0"/>
    <w:rsid w:val="00C82369"/>
    <w:rsid w:val="00C85376"/>
    <w:rsid w:val="00C866A1"/>
    <w:rsid w:val="00C87C57"/>
    <w:rsid w:val="00C96AEA"/>
    <w:rsid w:val="00C97D49"/>
    <w:rsid w:val="00CB1797"/>
    <w:rsid w:val="00CB1C25"/>
    <w:rsid w:val="00CB5048"/>
    <w:rsid w:val="00CC1A86"/>
    <w:rsid w:val="00CC58EA"/>
    <w:rsid w:val="00CD1614"/>
    <w:rsid w:val="00CD1C71"/>
    <w:rsid w:val="00CD2CBC"/>
    <w:rsid w:val="00CD4A4D"/>
    <w:rsid w:val="00CE4740"/>
    <w:rsid w:val="00CE4AE4"/>
    <w:rsid w:val="00CE6E5D"/>
    <w:rsid w:val="00CF7373"/>
    <w:rsid w:val="00D00049"/>
    <w:rsid w:val="00D015CE"/>
    <w:rsid w:val="00D030BB"/>
    <w:rsid w:val="00D07246"/>
    <w:rsid w:val="00D164B7"/>
    <w:rsid w:val="00D2246A"/>
    <w:rsid w:val="00D2711B"/>
    <w:rsid w:val="00D30374"/>
    <w:rsid w:val="00D339DB"/>
    <w:rsid w:val="00D53EF7"/>
    <w:rsid w:val="00D5401A"/>
    <w:rsid w:val="00D56B2B"/>
    <w:rsid w:val="00D677A1"/>
    <w:rsid w:val="00D711CB"/>
    <w:rsid w:val="00D745BE"/>
    <w:rsid w:val="00D829EB"/>
    <w:rsid w:val="00D87B34"/>
    <w:rsid w:val="00D909D3"/>
    <w:rsid w:val="00D9312F"/>
    <w:rsid w:val="00D9365B"/>
    <w:rsid w:val="00DB0074"/>
    <w:rsid w:val="00DB2F6E"/>
    <w:rsid w:val="00DB3D04"/>
    <w:rsid w:val="00DB4165"/>
    <w:rsid w:val="00DB6C5C"/>
    <w:rsid w:val="00DB6F6A"/>
    <w:rsid w:val="00DC1C5C"/>
    <w:rsid w:val="00DC1E5C"/>
    <w:rsid w:val="00DC5B6F"/>
    <w:rsid w:val="00DC6147"/>
    <w:rsid w:val="00DC6E25"/>
    <w:rsid w:val="00DC7725"/>
    <w:rsid w:val="00DD09EF"/>
    <w:rsid w:val="00DE6687"/>
    <w:rsid w:val="00DF2F41"/>
    <w:rsid w:val="00E00C67"/>
    <w:rsid w:val="00E02D75"/>
    <w:rsid w:val="00E10A4D"/>
    <w:rsid w:val="00E25EEE"/>
    <w:rsid w:val="00E273E3"/>
    <w:rsid w:val="00E27E12"/>
    <w:rsid w:val="00E27E33"/>
    <w:rsid w:val="00E33BCB"/>
    <w:rsid w:val="00E36A56"/>
    <w:rsid w:val="00E41C99"/>
    <w:rsid w:val="00E42527"/>
    <w:rsid w:val="00E4342E"/>
    <w:rsid w:val="00E45E3A"/>
    <w:rsid w:val="00E5251D"/>
    <w:rsid w:val="00E5677B"/>
    <w:rsid w:val="00E65BA6"/>
    <w:rsid w:val="00E6640B"/>
    <w:rsid w:val="00E7273D"/>
    <w:rsid w:val="00E72993"/>
    <w:rsid w:val="00E753F2"/>
    <w:rsid w:val="00E77C75"/>
    <w:rsid w:val="00E77F50"/>
    <w:rsid w:val="00E815A7"/>
    <w:rsid w:val="00E90EC9"/>
    <w:rsid w:val="00E92617"/>
    <w:rsid w:val="00E92E32"/>
    <w:rsid w:val="00E93ED9"/>
    <w:rsid w:val="00EA0078"/>
    <w:rsid w:val="00EA42B4"/>
    <w:rsid w:val="00EB6BBF"/>
    <w:rsid w:val="00EC1F39"/>
    <w:rsid w:val="00EC3EA9"/>
    <w:rsid w:val="00ED13C8"/>
    <w:rsid w:val="00ED4745"/>
    <w:rsid w:val="00ED5F75"/>
    <w:rsid w:val="00ED65EB"/>
    <w:rsid w:val="00EE1E62"/>
    <w:rsid w:val="00EE27B6"/>
    <w:rsid w:val="00EE43E2"/>
    <w:rsid w:val="00EE4A78"/>
    <w:rsid w:val="00EF543B"/>
    <w:rsid w:val="00EF6FC7"/>
    <w:rsid w:val="00F00645"/>
    <w:rsid w:val="00F00CD3"/>
    <w:rsid w:val="00F01BE7"/>
    <w:rsid w:val="00F23192"/>
    <w:rsid w:val="00F26F56"/>
    <w:rsid w:val="00F31DE6"/>
    <w:rsid w:val="00F33F67"/>
    <w:rsid w:val="00F35F53"/>
    <w:rsid w:val="00F36A9D"/>
    <w:rsid w:val="00F451ED"/>
    <w:rsid w:val="00F46584"/>
    <w:rsid w:val="00F512F3"/>
    <w:rsid w:val="00F56005"/>
    <w:rsid w:val="00F56D26"/>
    <w:rsid w:val="00F60857"/>
    <w:rsid w:val="00F62855"/>
    <w:rsid w:val="00F6673F"/>
    <w:rsid w:val="00F7010F"/>
    <w:rsid w:val="00F70939"/>
    <w:rsid w:val="00F70E77"/>
    <w:rsid w:val="00F71CE6"/>
    <w:rsid w:val="00F77128"/>
    <w:rsid w:val="00F83D2B"/>
    <w:rsid w:val="00F86248"/>
    <w:rsid w:val="00F876B2"/>
    <w:rsid w:val="00F92D40"/>
    <w:rsid w:val="00F97155"/>
    <w:rsid w:val="00FA1812"/>
    <w:rsid w:val="00FA1891"/>
    <w:rsid w:val="00FA55A0"/>
    <w:rsid w:val="00FA6EFC"/>
    <w:rsid w:val="00FB143A"/>
    <w:rsid w:val="00FB31DA"/>
    <w:rsid w:val="00FB39F6"/>
    <w:rsid w:val="00FB3CA2"/>
    <w:rsid w:val="00FB73DB"/>
    <w:rsid w:val="00FC5EF5"/>
    <w:rsid w:val="00FD1A13"/>
    <w:rsid w:val="00FD1A53"/>
    <w:rsid w:val="00FD1D15"/>
    <w:rsid w:val="00FD3B54"/>
    <w:rsid w:val="00FE01DF"/>
    <w:rsid w:val="00FE10A2"/>
    <w:rsid w:val="00FE269B"/>
    <w:rsid w:val="00FE4202"/>
    <w:rsid w:val="00FF1EAA"/>
    <w:rsid w:val="00FF2D93"/>
    <w:rsid w:val="00FF7B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56B6D"/>
  <w15:chartTrackingRefBased/>
  <w15:docId w15:val="{287BEF35-C453-BB42-A880-1A14788B1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bidi="fa-I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6673F"/>
    <w:pPr>
      <w:ind w:left="720"/>
      <w:contextualSpacing/>
    </w:pPr>
  </w:style>
  <w:style w:type="paragraph" w:styleId="StandardWeb">
    <w:name w:val="Normal (Web)"/>
    <w:basedOn w:val="Standard"/>
    <w:uiPriority w:val="99"/>
    <w:unhideWhenUsed/>
    <w:rsid w:val="000F6752"/>
    <w:pPr>
      <w:spacing w:before="100" w:beforeAutospacing="1" w:after="100" w:afterAutospacing="1"/>
    </w:pPr>
    <w:rPr>
      <w:rFonts w:ascii="Times New Roman" w:eastAsia="Times New Roman" w:hAnsi="Times New Roman" w:cs="Times New Roman"/>
      <w:kern w:val="0"/>
      <w:lang w:bidi="ar-SA"/>
      <w14:ligatures w14:val="none"/>
    </w:rPr>
  </w:style>
  <w:style w:type="character" w:styleId="Fett">
    <w:name w:val="Strong"/>
    <w:basedOn w:val="Absatz-Standardschriftart"/>
    <w:uiPriority w:val="22"/>
    <w:qFormat/>
    <w:rsid w:val="000F6752"/>
    <w:rPr>
      <w:b/>
      <w:bCs/>
    </w:rPr>
  </w:style>
  <w:style w:type="character" w:styleId="Hyperlink">
    <w:name w:val="Hyperlink"/>
    <w:basedOn w:val="Absatz-Standardschriftart"/>
    <w:uiPriority w:val="99"/>
    <w:unhideWhenUsed/>
    <w:rsid w:val="00335146"/>
    <w:rPr>
      <w:color w:val="0563C1" w:themeColor="hyperlink"/>
      <w:u w:val="single"/>
    </w:rPr>
  </w:style>
  <w:style w:type="character" w:styleId="Kommentarzeichen">
    <w:name w:val="annotation reference"/>
    <w:basedOn w:val="Absatz-Standardschriftart"/>
    <w:uiPriority w:val="99"/>
    <w:semiHidden/>
    <w:unhideWhenUsed/>
    <w:rsid w:val="0041711D"/>
    <w:rPr>
      <w:sz w:val="16"/>
      <w:szCs w:val="16"/>
    </w:rPr>
  </w:style>
  <w:style w:type="paragraph" w:styleId="Kommentartext">
    <w:name w:val="annotation text"/>
    <w:basedOn w:val="Standard"/>
    <w:link w:val="KommentartextZchn"/>
    <w:uiPriority w:val="99"/>
    <w:semiHidden/>
    <w:unhideWhenUsed/>
    <w:rsid w:val="0041711D"/>
    <w:rPr>
      <w:sz w:val="20"/>
      <w:szCs w:val="20"/>
    </w:rPr>
  </w:style>
  <w:style w:type="character" w:customStyle="1" w:styleId="KommentartextZchn">
    <w:name w:val="Kommentartext Zchn"/>
    <w:basedOn w:val="Absatz-Standardschriftart"/>
    <w:link w:val="Kommentartext"/>
    <w:uiPriority w:val="99"/>
    <w:semiHidden/>
    <w:rsid w:val="0041711D"/>
    <w:rPr>
      <w:sz w:val="20"/>
      <w:szCs w:val="20"/>
      <w:lang w:bidi="fa-IR"/>
    </w:rPr>
  </w:style>
  <w:style w:type="paragraph" w:styleId="Kommentarthema">
    <w:name w:val="annotation subject"/>
    <w:basedOn w:val="Kommentartext"/>
    <w:next w:val="Kommentartext"/>
    <w:link w:val="KommentarthemaZchn"/>
    <w:uiPriority w:val="99"/>
    <w:semiHidden/>
    <w:unhideWhenUsed/>
    <w:rsid w:val="0041711D"/>
    <w:rPr>
      <w:b/>
      <w:bCs/>
    </w:rPr>
  </w:style>
  <w:style w:type="character" w:customStyle="1" w:styleId="KommentarthemaZchn">
    <w:name w:val="Kommentarthema Zchn"/>
    <w:basedOn w:val="KommentartextZchn"/>
    <w:link w:val="Kommentarthema"/>
    <w:uiPriority w:val="99"/>
    <w:semiHidden/>
    <w:rsid w:val="0041711D"/>
    <w:rPr>
      <w:b/>
      <w:bCs/>
      <w:sz w:val="20"/>
      <w:szCs w:val="20"/>
      <w:lang w:bidi="fa-IR"/>
    </w:rPr>
  </w:style>
  <w:style w:type="paragraph" w:styleId="Sprechblasentext">
    <w:name w:val="Balloon Text"/>
    <w:basedOn w:val="Standard"/>
    <w:link w:val="SprechblasentextZchn"/>
    <w:uiPriority w:val="99"/>
    <w:semiHidden/>
    <w:unhideWhenUsed/>
    <w:rsid w:val="0041711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1711D"/>
    <w:rPr>
      <w:rFonts w:ascii="Segoe UI" w:hAnsi="Segoe UI" w:cs="Segoe UI"/>
      <w:sz w:val="18"/>
      <w:szCs w:val="18"/>
      <w:lang w:bidi="fa-IR"/>
    </w:rPr>
  </w:style>
  <w:style w:type="character" w:styleId="BesuchterLink">
    <w:name w:val="FollowedHyperlink"/>
    <w:basedOn w:val="Absatz-Standardschriftart"/>
    <w:uiPriority w:val="99"/>
    <w:semiHidden/>
    <w:unhideWhenUsed/>
    <w:rsid w:val="008D2F26"/>
    <w:rPr>
      <w:color w:val="954F72" w:themeColor="followedHyperlink"/>
      <w:u w:val="single"/>
    </w:rPr>
  </w:style>
  <w:style w:type="paragraph" w:styleId="Kopfzeile">
    <w:name w:val="header"/>
    <w:basedOn w:val="Standard"/>
    <w:link w:val="KopfzeileZchn"/>
    <w:uiPriority w:val="99"/>
    <w:unhideWhenUsed/>
    <w:rsid w:val="007E3277"/>
    <w:pPr>
      <w:tabs>
        <w:tab w:val="center" w:pos="4536"/>
        <w:tab w:val="right" w:pos="9072"/>
      </w:tabs>
    </w:pPr>
  </w:style>
  <w:style w:type="character" w:customStyle="1" w:styleId="KopfzeileZchn">
    <w:name w:val="Kopfzeile Zchn"/>
    <w:basedOn w:val="Absatz-Standardschriftart"/>
    <w:link w:val="Kopfzeile"/>
    <w:uiPriority w:val="99"/>
    <w:rsid w:val="007E3277"/>
    <w:rPr>
      <w:lang w:bidi="fa-IR"/>
    </w:rPr>
  </w:style>
  <w:style w:type="paragraph" w:styleId="Fuzeile">
    <w:name w:val="footer"/>
    <w:basedOn w:val="Standard"/>
    <w:link w:val="FuzeileZchn"/>
    <w:uiPriority w:val="99"/>
    <w:unhideWhenUsed/>
    <w:rsid w:val="007E3277"/>
    <w:pPr>
      <w:tabs>
        <w:tab w:val="center" w:pos="4536"/>
        <w:tab w:val="right" w:pos="9072"/>
      </w:tabs>
    </w:pPr>
  </w:style>
  <w:style w:type="character" w:customStyle="1" w:styleId="FuzeileZchn">
    <w:name w:val="Fußzeile Zchn"/>
    <w:basedOn w:val="Absatz-Standardschriftart"/>
    <w:link w:val="Fuzeile"/>
    <w:uiPriority w:val="99"/>
    <w:rsid w:val="007E3277"/>
    <w:rPr>
      <w:lang w:bidi="fa-IR"/>
    </w:rPr>
  </w:style>
  <w:style w:type="paragraph" w:styleId="Literaturverzeichnis">
    <w:name w:val="Bibliography"/>
    <w:basedOn w:val="Standard"/>
    <w:next w:val="Standard"/>
    <w:uiPriority w:val="37"/>
    <w:unhideWhenUsed/>
    <w:rsid w:val="00771185"/>
    <w:pPr>
      <w:tabs>
        <w:tab w:val="left" w:pos="264"/>
      </w:tabs>
      <w:spacing w:after="240"/>
      <w:ind w:left="264" w:hanging="264"/>
    </w:pPr>
  </w:style>
  <w:style w:type="table" w:styleId="Tabellenraster">
    <w:name w:val="Table Grid"/>
    <w:basedOn w:val="NormaleTabelle"/>
    <w:uiPriority w:val="39"/>
    <w:rsid w:val="0020409C"/>
    <w:rPr>
      <w:kern w:val="0"/>
      <w:sz w:val="22"/>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196707">
      <w:bodyDiv w:val="1"/>
      <w:marLeft w:val="0"/>
      <w:marRight w:val="0"/>
      <w:marTop w:val="0"/>
      <w:marBottom w:val="0"/>
      <w:divBdr>
        <w:top w:val="none" w:sz="0" w:space="0" w:color="auto"/>
        <w:left w:val="none" w:sz="0" w:space="0" w:color="auto"/>
        <w:bottom w:val="none" w:sz="0" w:space="0" w:color="auto"/>
        <w:right w:val="none" w:sz="0" w:space="0" w:color="auto"/>
      </w:divBdr>
    </w:div>
    <w:div w:id="490483964">
      <w:bodyDiv w:val="1"/>
      <w:marLeft w:val="0"/>
      <w:marRight w:val="0"/>
      <w:marTop w:val="0"/>
      <w:marBottom w:val="0"/>
      <w:divBdr>
        <w:top w:val="none" w:sz="0" w:space="0" w:color="auto"/>
        <w:left w:val="none" w:sz="0" w:space="0" w:color="auto"/>
        <w:bottom w:val="none" w:sz="0" w:space="0" w:color="auto"/>
        <w:right w:val="none" w:sz="0" w:space="0" w:color="auto"/>
      </w:divBdr>
    </w:div>
    <w:div w:id="1196848314">
      <w:bodyDiv w:val="1"/>
      <w:marLeft w:val="0"/>
      <w:marRight w:val="0"/>
      <w:marTop w:val="0"/>
      <w:marBottom w:val="0"/>
      <w:divBdr>
        <w:top w:val="none" w:sz="0" w:space="0" w:color="auto"/>
        <w:left w:val="none" w:sz="0" w:space="0" w:color="auto"/>
        <w:bottom w:val="none" w:sz="0" w:space="0" w:color="auto"/>
        <w:right w:val="none" w:sz="0" w:space="0" w:color="auto"/>
      </w:divBdr>
    </w:div>
    <w:div w:id="1292322402">
      <w:bodyDiv w:val="1"/>
      <w:marLeft w:val="0"/>
      <w:marRight w:val="0"/>
      <w:marTop w:val="0"/>
      <w:marBottom w:val="0"/>
      <w:divBdr>
        <w:top w:val="none" w:sz="0" w:space="0" w:color="auto"/>
        <w:left w:val="none" w:sz="0" w:space="0" w:color="auto"/>
        <w:bottom w:val="none" w:sz="0" w:space="0" w:color="auto"/>
        <w:right w:val="none" w:sz="0" w:space="0" w:color="auto"/>
      </w:divBdr>
    </w:div>
    <w:div w:id="1348215977">
      <w:bodyDiv w:val="1"/>
      <w:marLeft w:val="0"/>
      <w:marRight w:val="0"/>
      <w:marTop w:val="0"/>
      <w:marBottom w:val="0"/>
      <w:divBdr>
        <w:top w:val="none" w:sz="0" w:space="0" w:color="auto"/>
        <w:left w:val="none" w:sz="0" w:space="0" w:color="auto"/>
        <w:bottom w:val="none" w:sz="0" w:space="0" w:color="auto"/>
        <w:right w:val="none" w:sz="0" w:space="0" w:color="auto"/>
      </w:divBdr>
    </w:div>
    <w:div w:id="1564636691">
      <w:bodyDiv w:val="1"/>
      <w:marLeft w:val="0"/>
      <w:marRight w:val="0"/>
      <w:marTop w:val="0"/>
      <w:marBottom w:val="0"/>
      <w:divBdr>
        <w:top w:val="none" w:sz="0" w:space="0" w:color="auto"/>
        <w:left w:val="none" w:sz="0" w:space="0" w:color="auto"/>
        <w:bottom w:val="none" w:sz="0" w:space="0" w:color="auto"/>
        <w:right w:val="none" w:sz="0" w:space="0" w:color="auto"/>
      </w:divBdr>
    </w:div>
    <w:div w:id="1642688365">
      <w:bodyDiv w:val="1"/>
      <w:marLeft w:val="0"/>
      <w:marRight w:val="0"/>
      <w:marTop w:val="0"/>
      <w:marBottom w:val="0"/>
      <w:divBdr>
        <w:top w:val="none" w:sz="0" w:space="0" w:color="auto"/>
        <w:left w:val="none" w:sz="0" w:space="0" w:color="auto"/>
        <w:bottom w:val="none" w:sz="0" w:space="0" w:color="auto"/>
        <w:right w:val="none" w:sz="0" w:space="0" w:color="auto"/>
      </w:divBdr>
    </w:div>
    <w:div w:id="1818447532">
      <w:bodyDiv w:val="1"/>
      <w:marLeft w:val="0"/>
      <w:marRight w:val="0"/>
      <w:marTop w:val="0"/>
      <w:marBottom w:val="0"/>
      <w:divBdr>
        <w:top w:val="none" w:sz="0" w:space="0" w:color="auto"/>
        <w:left w:val="none" w:sz="0" w:space="0" w:color="auto"/>
        <w:bottom w:val="none" w:sz="0" w:space="0" w:color="auto"/>
        <w:right w:val="none" w:sz="0" w:space="0" w:color="auto"/>
      </w:divBdr>
    </w:div>
    <w:div w:id="1982464503">
      <w:bodyDiv w:val="1"/>
      <w:marLeft w:val="0"/>
      <w:marRight w:val="0"/>
      <w:marTop w:val="0"/>
      <w:marBottom w:val="0"/>
      <w:divBdr>
        <w:top w:val="none" w:sz="0" w:space="0" w:color="auto"/>
        <w:left w:val="none" w:sz="0" w:space="0" w:color="auto"/>
        <w:bottom w:val="none" w:sz="0" w:space="0" w:color="auto"/>
        <w:right w:val="none" w:sz="0" w:space="0" w:color="auto"/>
      </w:divBdr>
    </w:div>
    <w:div w:id="2138639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2645-171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8B9F39-183D-4B8A-AA9D-7D1A95133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62295</Words>
  <Characters>392461</Characters>
  <Application>Microsoft Office Word</Application>
  <DocSecurity>0</DocSecurity>
  <Lines>3270</Lines>
  <Paragraphs>907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Hessam Roustaei</dc:creator>
  <cp:keywords/>
  <dc:description/>
  <cp:lastModifiedBy>DECRISTOFORO Clemens,Prof. h.c. Univ.Doz. Dr.</cp:lastModifiedBy>
  <cp:revision>6</cp:revision>
  <dcterms:created xsi:type="dcterms:W3CDTF">2025-08-28T10:30:00Z</dcterms:created>
  <dcterms:modified xsi:type="dcterms:W3CDTF">2025-08-28T14:51:00Z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id="JEwD11uc"/&gt;&lt;style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