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2D16" w:rsidRDefault="00AF5DD1" w:rsidP="00E271E2">
      <w:pPr>
        <w:spacing w:after="0" w:line="240" w:lineRule="auto"/>
        <w:jc w:val="both"/>
      </w:pPr>
      <w:r>
        <w:rPr>
          <w:noProof/>
          <w:lang w:val="en-US"/>
        </w:rPr>
        <mc:AlternateContent>
          <mc:Choice Requires="wps">
            <w:drawing>
              <wp:anchor distT="45720" distB="45720" distL="114300" distR="114300" simplePos="0" relativeHeight="251658240" behindDoc="0" locked="0" layoutInCell="1" allowOverlap="1" wp14:anchorId="6F897CEB" wp14:editId="67820C6F">
                <wp:simplePos x="0" y="0"/>
                <wp:positionH relativeFrom="column">
                  <wp:posOffset>2880360</wp:posOffset>
                </wp:positionH>
                <wp:positionV relativeFrom="paragraph">
                  <wp:posOffset>1455420</wp:posOffset>
                </wp:positionV>
                <wp:extent cx="3187700" cy="2705100"/>
                <wp:effectExtent l="0" t="0" r="0" b="0"/>
                <wp:wrapSquare wrapText="bothSides"/>
                <wp:docPr id="1706495030"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7700" cy="2705100"/>
                        </a:xfrm>
                        <a:prstGeom prst="rect">
                          <a:avLst/>
                        </a:prstGeom>
                        <a:noFill/>
                        <a:ln w="9525">
                          <a:noFill/>
                          <a:miter lim="800000"/>
                          <a:headEnd/>
                          <a:tailEnd/>
                        </a:ln>
                      </wps:spPr>
                      <wps:txbx>
                        <w:txbxContent>
                          <w:p w:rsidR="00AF5DD1" w:rsidRPr="00AF5DD1" w:rsidRDefault="00AF5DD1" w:rsidP="00AF5DD1">
                            <w:pPr>
                              <w:spacing w:after="0" w:line="240" w:lineRule="auto"/>
                              <w:jc w:val="right"/>
                              <w:rPr>
                                <w:rFonts w:ascii="Prompt" w:hAnsi="Prompt" w:cs="Prompt"/>
                                <w:color w:val="63AEBD"/>
                              </w:rPr>
                            </w:pPr>
                            <w:r w:rsidRPr="00AF5DD1">
                              <w:rPr>
                                <w:rFonts w:ascii="Prompt" w:hAnsi="Prompt" w:cs="Prompt"/>
                                <w:color w:val="63AEBD"/>
                              </w:rPr>
                              <w:t>Guadalupe del Carmen Balta Sevillano</w:t>
                            </w:r>
                          </w:p>
                          <w:p w:rsidR="00AF5DD1" w:rsidRPr="00AF5DD1" w:rsidRDefault="00AF5DD1" w:rsidP="00AF5DD1">
                            <w:pPr>
                              <w:spacing w:after="0" w:line="240" w:lineRule="auto"/>
                              <w:jc w:val="right"/>
                              <w:rPr>
                                <w:rFonts w:ascii="Prompt" w:hAnsi="Prompt" w:cs="Prompt"/>
                                <w:color w:val="FFFFFF" w:themeColor="background1"/>
                              </w:rPr>
                            </w:pPr>
                            <w:hyperlink r:id="rId7" w:history="1">
                              <w:r w:rsidRPr="00AF5DD1">
                                <w:rPr>
                                  <w:rStyle w:val="Hyperlink"/>
                                  <w:rFonts w:ascii="Prompt" w:hAnsi="Prompt" w:cs="Prompt"/>
                                  <w:color w:val="FFFFFF" w:themeColor="background1"/>
                                </w:rPr>
                                <w:t>https://orcid.org/0000-0002-1413-0653</w:t>
                              </w:r>
                            </w:hyperlink>
                            <w:r w:rsidRPr="00AF5DD1">
                              <w:rPr>
                                <w:rFonts w:ascii="Prompt" w:hAnsi="Prompt" w:cs="Prompt"/>
                                <w:color w:val="FFFFFF" w:themeColor="background1"/>
                              </w:rPr>
                              <w:t xml:space="preserve"> </w:t>
                            </w:r>
                            <w:r w:rsidRPr="00AF5DD1">
                              <w:rPr>
                                <w:rFonts w:ascii="Prompt" w:hAnsi="Prompt" w:cs="Prompt"/>
                                <w:color w:val="FFFFFF" w:themeColor="background1"/>
                              </w:rPr>
                              <w:t xml:space="preserve"> </w:t>
                            </w:r>
                          </w:p>
                          <w:p w:rsidR="00AF5DD1" w:rsidRPr="00AF5DD1" w:rsidRDefault="00AF5DD1" w:rsidP="00AF5DD1">
                            <w:pPr>
                              <w:spacing w:after="0" w:line="240" w:lineRule="auto"/>
                              <w:jc w:val="right"/>
                              <w:rPr>
                                <w:rFonts w:ascii="Prompt" w:hAnsi="Prompt" w:cs="Prompt"/>
                                <w:color w:val="FFFFFF" w:themeColor="background1"/>
                              </w:rPr>
                            </w:pPr>
                            <w:hyperlink r:id="rId8" w:history="1">
                              <w:r w:rsidRPr="00AF5DD1">
                                <w:rPr>
                                  <w:rStyle w:val="Hyperlink"/>
                                  <w:rFonts w:ascii="Prompt" w:hAnsi="Prompt" w:cs="Prompt"/>
                                  <w:color w:val="FFFFFF" w:themeColor="background1"/>
                                </w:rPr>
                                <w:t>dbalta@ucvvirtual.edu.pe</w:t>
                              </w:r>
                            </w:hyperlink>
                            <w:r w:rsidRPr="00AF5DD1">
                              <w:rPr>
                                <w:rFonts w:ascii="Prompt" w:hAnsi="Prompt" w:cs="Prompt"/>
                                <w:color w:val="FFFFFF" w:themeColor="background1"/>
                              </w:rPr>
                              <w:t xml:space="preserve"> </w:t>
                            </w:r>
                            <w:r w:rsidRPr="00AF5DD1">
                              <w:rPr>
                                <w:rFonts w:ascii="Prompt" w:hAnsi="Prompt" w:cs="Prompt"/>
                                <w:color w:val="FFFFFF" w:themeColor="background1"/>
                              </w:rPr>
                              <w:t xml:space="preserve"> </w:t>
                            </w:r>
                          </w:p>
                          <w:p w:rsidR="00AF5DD1" w:rsidRPr="00AF5DD1" w:rsidRDefault="00AF5DD1" w:rsidP="00AF5DD1">
                            <w:pPr>
                              <w:spacing w:after="0" w:line="240" w:lineRule="auto"/>
                              <w:jc w:val="right"/>
                              <w:rPr>
                                <w:rFonts w:ascii="Prompt" w:hAnsi="Prompt" w:cs="Prompt"/>
                                <w:color w:val="63AEBD"/>
                              </w:rPr>
                            </w:pPr>
                            <w:r>
                              <w:rPr>
                                <w:rFonts w:ascii="Prompt" w:hAnsi="Prompt" w:cs="Prompt"/>
                                <w:color w:val="63AEBD"/>
                              </w:rPr>
                              <w:t>Universidad César V</w:t>
                            </w:r>
                            <w:r w:rsidRPr="00AF5DD1">
                              <w:rPr>
                                <w:rFonts w:ascii="Prompt" w:hAnsi="Prompt" w:cs="Prompt"/>
                                <w:color w:val="63AEBD"/>
                              </w:rPr>
                              <w:t xml:space="preserve">allejo </w:t>
                            </w:r>
                          </w:p>
                          <w:p w:rsidR="000529D8" w:rsidRPr="007352BA" w:rsidRDefault="00AF5DD1" w:rsidP="00AF5DD1">
                            <w:pPr>
                              <w:spacing w:after="0" w:line="240" w:lineRule="auto"/>
                              <w:jc w:val="right"/>
                              <w:rPr>
                                <w:rFonts w:ascii="Prompt" w:hAnsi="Prompt" w:cs="Prompt"/>
                                <w:color w:val="63AEBD"/>
                              </w:rPr>
                            </w:pPr>
                            <w:r>
                              <w:rPr>
                                <w:rFonts w:ascii="Prompt" w:hAnsi="Prompt" w:cs="Prompt"/>
                                <w:color w:val="63AEBD"/>
                              </w:rPr>
                              <w:t>Lima</w:t>
                            </w:r>
                            <w:r w:rsidR="00E22E41">
                              <w:rPr>
                                <w:rFonts w:ascii="Prompt" w:hAnsi="Prompt" w:cs="Prompt"/>
                                <w:color w:val="63AEBD"/>
                              </w:rPr>
                              <w:t xml:space="preserve"> </w:t>
                            </w:r>
                            <w:r>
                              <w:rPr>
                                <w:rFonts w:ascii="Prompt" w:hAnsi="Prompt" w:cs="Prompt"/>
                                <w:color w:val="63AEBD"/>
                              </w:rPr>
                              <w:t>-</w:t>
                            </w:r>
                            <w:r w:rsidR="00E22E41">
                              <w:rPr>
                                <w:rFonts w:ascii="Prompt" w:hAnsi="Prompt" w:cs="Prompt"/>
                                <w:color w:val="63AEBD"/>
                              </w:rPr>
                              <w:t xml:space="preserve"> </w:t>
                            </w:r>
                            <w:r>
                              <w:rPr>
                                <w:rFonts w:ascii="Prompt" w:hAnsi="Prompt" w:cs="Prompt"/>
                                <w:color w:val="63AEBD"/>
                              </w:rPr>
                              <w:t>Perú.</w:t>
                            </w:r>
                            <w:r w:rsidRPr="00AF5DD1">
                              <w:rPr>
                                <w:rFonts w:ascii="Prompt" w:hAnsi="Prompt" w:cs="Prompt"/>
                                <w:color w:val="63AEBD"/>
                              </w:rPr>
                              <w:t xml:space="preserve"> </w:t>
                            </w:r>
                          </w:p>
                          <w:p w:rsidR="000529D8" w:rsidRPr="007352BA" w:rsidRDefault="000529D8" w:rsidP="000529D8">
                            <w:pPr>
                              <w:spacing w:after="0" w:line="240" w:lineRule="auto"/>
                              <w:jc w:val="right"/>
                              <w:rPr>
                                <w:rFonts w:ascii="Prompt" w:hAnsi="Prompt" w:cs="Prompt"/>
                                <w:color w:val="FFFFFF"/>
                              </w:rPr>
                            </w:pPr>
                          </w:p>
                          <w:p w:rsidR="000529D8" w:rsidRPr="007352BA" w:rsidRDefault="000529D8" w:rsidP="000529D8">
                            <w:pPr>
                              <w:spacing w:after="0" w:line="240" w:lineRule="auto"/>
                              <w:jc w:val="right"/>
                              <w:rPr>
                                <w:rFonts w:ascii="Prompt" w:hAnsi="Prompt" w:cs="Prompt"/>
                                <w:color w:val="63AEBD"/>
                              </w:rPr>
                            </w:pPr>
                          </w:p>
                          <w:p w:rsidR="00AF5DD1" w:rsidRPr="00AF5DD1" w:rsidRDefault="00AF5DD1" w:rsidP="00AF5DD1">
                            <w:pPr>
                              <w:spacing w:after="0" w:line="240" w:lineRule="auto"/>
                              <w:jc w:val="right"/>
                              <w:rPr>
                                <w:rFonts w:ascii="Prompt" w:hAnsi="Prompt" w:cs="Prompt"/>
                                <w:color w:val="FFFFFF" w:themeColor="background1"/>
                              </w:rPr>
                            </w:pPr>
                            <w:r w:rsidRPr="00AF5DD1">
                              <w:rPr>
                                <w:rFonts w:ascii="Prompt" w:hAnsi="Prompt" w:cs="Prompt"/>
                                <w:color w:val="63AEBD"/>
                              </w:rPr>
                              <w:t xml:space="preserve">Piero Alexander Sagastegui                                                                                   </w:t>
                            </w:r>
                            <w:hyperlink r:id="rId9" w:history="1">
                              <w:r w:rsidRPr="00AF5DD1">
                                <w:rPr>
                                  <w:rStyle w:val="Hyperlink"/>
                                  <w:rFonts w:ascii="Prompt" w:hAnsi="Prompt" w:cs="Prompt"/>
                                  <w:color w:val="FFFFFF" w:themeColor="background1"/>
                                </w:rPr>
                                <w:t>https://orcid.org/0009-0007-0709-0415</w:t>
                              </w:r>
                            </w:hyperlink>
                            <w:r w:rsidRPr="00AF5DD1">
                              <w:rPr>
                                <w:rFonts w:ascii="Prompt" w:hAnsi="Prompt" w:cs="Prompt"/>
                                <w:color w:val="FFFFFF" w:themeColor="background1"/>
                              </w:rPr>
                              <w:t xml:space="preserve"> </w:t>
                            </w:r>
                          </w:p>
                          <w:p w:rsidR="00AF5DD1" w:rsidRPr="00AF5DD1" w:rsidRDefault="00AF5DD1" w:rsidP="00AF5DD1">
                            <w:pPr>
                              <w:spacing w:after="0" w:line="240" w:lineRule="auto"/>
                              <w:jc w:val="right"/>
                              <w:rPr>
                                <w:rFonts w:ascii="Prompt" w:hAnsi="Prompt" w:cs="Prompt"/>
                                <w:color w:val="FFFFFF" w:themeColor="background1"/>
                              </w:rPr>
                            </w:pPr>
                            <w:hyperlink r:id="rId10" w:history="1">
                              <w:r w:rsidRPr="00AF5DD1">
                                <w:rPr>
                                  <w:rStyle w:val="Hyperlink"/>
                                  <w:rFonts w:ascii="Prompt" w:hAnsi="Prompt" w:cs="Prompt"/>
                                  <w:color w:val="FFFFFF" w:themeColor="background1"/>
                                </w:rPr>
                                <w:t>piero.sagastegui@edu.uah.es</w:t>
                              </w:r>
                            </w:hyperlink>
                            <w:r w:rsidRPr="00AF5DD1">
                              <w:rPr>
                                <w:rFonts w:ascii="Prompt" w:hAnsi="Prompt" w:cs="Prompt"/>
                                <w:color w:val="FFFFFF" w:themeColor="background1"/>
                              </w:rPr>
                              <w:t xml:space="preserve">  </w:t>
                            </w:r>
                          </w:p>
                          <w:p w:rsidR="00AF5DD1" w:rsidRPr="00AF5DD1" w:rsidRDefault="00AF5DD1" w:rsidP="00AF5DD1">
                            <w:pPr>
                              <w:spacing w:after="0" w:line="240" w:lineRule="auto"/>
                              <w:jc w:val="right"/>
                              <w:rPr>
                                <w:rFonts w:ascii="Prompt" w:hAnsi="Prompt" w:cs="Prompt"/>
                                <w:color w:val="63AEBD"/>
                              </w:rPr>
                            </w:pPr>
                            <w:r w:rsidRPr="00AF5DD1">
                              <w:rPr>
                                <w:rFonts w:ascii="Prompt" w:hAnsi="Prompt" w:cs="Prompt"/>
                                <w:color w:val="63AEBD"/>
                              </w:rPr>
                              <w:t>Universidad de Alcalá</w:t>
                            </w:r>
                          </w:p>
                          <w:p w:rsidR="000529D8" w:rsidRPr="007352BA" w:rsidRDefault="00AF5DD1" w:rsidP="00AF5DD1">
                            <w:pPr>
                              <w:spacing w:after="0" w:line="240" w:lineRule="auto"/>
                              <w:jc w:val="right"/>
                              <w:rPr>
                                <w:rFonts w:ascii="Prompt" w:hAnsi="Prompt" w:cs="Prompt"/>
                                <w:color w:val="63AEBD"/>
                              </w:rPr>
                            </w:pPr>
                            <w:r w:rsidRPr="00AF5DD1">
                              <w:rPr>
                                <w:rFonts w:ascii="Prompt" w:hAnsi="Prompt" w:cs="Prompt"/>
                                <w:color w:val="63AEBD"/>
                              </w:rPr>
                              <w:t>Madrid</w:t>
                            </w:r>
                            <w:r w:rsidR="00E22E41">
                              <w:rPr>
                                <w:rFonts w:ascii="Prompt" w:hAnsi="Prompt" w:cs="Prompt"/>
                                <w:color w:val="63AEBD"/>
                              </w:rPr>
                              <w:t xml:space="preserve"> </w:t>
                            </w:r>
                            <w:r w:rsidRPr="00AF5DD1">
                              <w:rPr>
                                <w:rFonts w:ascii="Prompt" w:hAnsi="Prompt" w:cs="Prompt"/>
                                <w:color w:val="63AEBD"/>
                              </w:rPr>
                              <w:t>- España</w:t>
                            </w:r>
                            <w:r>
                              <w:rPr>
                                <w:rFonts w:ascii="Prompt" w:hAnsi="Prompt" w:cs="Prompt"/>
                                <w:color w:val="63AEBD"/>
                              </w:rPr>
                              <w:t>.</w:t>
                            </w:r>
                          </w:p>
                          <w:p w:rsidR="000529D8" w:rsidRPr="007352BA" w:rsidRDefault="000529D8" w:rsidP="000529D8">
                            <w:pPr>
                              <w:spacing w:after="0" w:line="240" w:lineRule="auto"/>
                              <w:jc w:val="right"/>
                              <w:rPr>
                                <w:rFonts w:ascii="Prompt" w:hAnsi="Prompt" w:cs="Prompt"/>
                                <w:color w:val="63AEBD"/>
                              </w:rPr>
                            </w:pPr>
                          </w:p>
                          <w:p w:rsidR="000529D8" w:rsidRPr="007352BA" w:rsidRDefault="000529D8" w:rsidP="000529D8">
                            <w:pPr>
                              <w:spacing w:after="0" w:line="240" w:lineRule="auto"/>
                              <w:jc w:val="right"/>
                              <w:rPr>
                                <w:rFonts w:ascii="Prompt" w:hAnsi="Prompt" w:cs="Prompt"/>
                                <w:color w:val="FFFFFF"/>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F897CEB" id="_x0000_t202" coordsize="21600,21600" o:spt="202" path="m,l,21600r21600,l21600,xe">
                <v:stroke joinstyle="miter"/>
                <v:path gradientshapeok="t" o:connecttype="rect"/>
              </v:shapetype>
              <v:shape id="Cuadro de texto 5" o:spid="_x0000_s1026" type="#_x0000_t202" style="position:absolute;left:0;text-align:left;margin-left:226.8pt;margin-top:114.6pt;width:251pt;height:213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" filled="f" stroked="f">
                <v:textbox>
                  <w:txbxContent>
                    <w:p w:rsidR="00AF5DD1" w:rsidRPr="00AF5DD1" w:rsidRDefault="00AF5DD1" w:rsidP="00AF5DD1">
                      <w:pPr>
                        <w:spacing w:after="0" w:line="240" w:lineRule="auto"/>
                        <w:jc w:val="right"/>
                        <w:rPr>
                          <w:rFonts w:ascii="Prompt" w:hAnsi="Prompt" w:cs="Prompt"/>
                          <w:color w:val="63AEBD"/>
                        </w:rPr>
                      </w:pPr>
                      <w:r w:rsidRPr="00AF5DD1">
                        <w:rPr>
                          <w:rFonts w:ascii="Prompt" w:hAnsi="Prompt" w:cs="Prompt"/>
                          <w:color w:val="63AEBD"/>
                        </w:rPr>
                        <w:t>Guadalupe del Carmen Balta Sevillano</w:t>
                      </w:r>
                    </w:p>
                    <w:p w:rsidR="00AF5DD1" w:rsidRPr="00AF5DD1" w:rsidRDefault="00AF5DD1" w:rsidP="00AF5DD1">
                      <w:pPr>
                        <w:spacing w:after="0" w:line="240" w:lineRule="auto"/>
                        <w:jc w:val="right"/>
                        <w:rPr>
                          <w:rFonts w:ascii="Prompt" w:hAnsi="Prompt" w:cs="Prompt"/>
                          <w:color w:val="FFFFFF" w:themeColor="background1"/>
                        </w:rPr>
                      </w:pPr>
                      <w:hyperlink r:id="rId11" w:history="1">
                        <w:r w:rsidRPr="00AF5DD1">
                          <w:rPr>
                            <w:rStyle w:val="Hyperlink"/>
                            <w:rFonts w:ascii="Prompt" w:hAnsi="Prompt" w:cs="Prompt"/>
                            <w:color w:val="FFFFFF" w:themeColor="background1"/>
                          </w:rPr>
                          <w:t>https://orcid.org/0000-0002-1413-0653</w:t>
                        </w:r>
                      </w:hyperlink>
                      <w:r w:rsidRPr="00AF5DD1">
                        <w:rPr>
                          <w:rFonts w:ascii="Prompt" w:hAnsi="Prompt" w:cs="Prompt"/>
                          <w:color w:val="FFFFFF" w:themeColor="background1"/>
                        </w:rPr>
                        <w:t xml:space="preserve"> </w:t>
                      </w:r>
                      <w:r w:rsidRPr="00AF5DD1">
                        <w:rPr>
                          <w:rFonts w:ascii="Prompt" w:hAnsi="Prompt" w:cs="Prompt"/>
                          <w:color w:val="FFFFFF" w:themeColor="background1"/>
                        </w:rPr>
                        <w:t xml:space="preserve"> </w:t>
                      </w:r>
                    </w:p>
                    <w:p w:rsidR="00AF5DD1" w:rsidRPr="00AF5DD1" w:rsidRDefault="00AF5DD1" w:rsidP="00AF5DD1">
                      <w:pPr>
                        <w:spacing w:after="0" w:line="240" w:lineRule="auto"/>
                        <w:jc w:val="right"/>
                        <w:rPr>
                          <w:rFonts w:ascii="Prompt" w:hAnsi="Prompt" w:cs="Prompt"/>
                          <w:color w:val="FFFFFF" w:themeColor="background1"/>
                        </w:rPr>
                      </w:pPr>
                      <w:hyperlink r:id="rId12" w:history="1">
                        <w:r w:rsidRPr="00AF5DD1">
                          <w:rPr>
                            <w:rStyle w:val="Hyperlink"/>
                            <w:rFonts w:ascii="Prompt" w:hAnsi="Prompt" w:cs="Prompt"/>
                            <w:color w:val="FFFFFF" w:themeColor="background1"/>
                          </w:rPr>
                          <w:t>dbalta@ucvvirtual.edu.pe</w:t>
                        </w:r>
                      </w:hyperlink>
                      <w:r w:rsidRPr="00AF5DD1">
                        <w:rPr>
                          <w:rFonts w:ascii="Prompt" w:hAnsi="Prompt" w:cs="Prompt"/>
                          <w:color w:val="FFFFFF" w:themeColor="background1"/>
                        </w:rPr>
                        <w:t xml:space="preserve"> </w:t>
                      </w:r>
                      <w:r w:rsidRPr="00AF5DD1">
                        <w:rPr>
                          <w:rFonts w:ascii="Prompt" w:hAnsi="Prompt" w:cs="Prompt"/>
                          <w:color w:val="FFFFFF" w:themeColor="background1"/>
                        </w:rPr>
                        <w:t xml:space="preserve"> </w:t>
                      </w:r>
                    </w:p>
                    <w:p w:rsidR="00AF5DD1" w:rsidRPr="00AF5DD1" w:rsidRDefault="00AF5DD1" w:rsidP="00AF5DD1">
                      <w:pPr>
                        <w:spacing w:after="0" w:line="240" w:lineRule="auto"/>
                        <w:jc w:val="right"/>
                        <w:rPr>
                          <w:rFonts w:ascii="Prompt" w:hAnsi="Prompt" w:cs="Prompt"/>
                          <w:color w:val="63AEBD"/>
                        </w:rPr>
                      </w:pPr>
                      <w:r>
                        <w:rPr>
                          <w:rFonts w:ascii="Prompt" w:hAnsi="Prompt" w:cs="Prompt"/>
                          <w:color w:val="63AEBD"/>
                        </w:rPr>
                        <w:t>Universidad César V</w:t>
                      </w:r>
                      <w:r w:rsidRPr="00AF5DD1">
                        <w:rPr>
                          <w:rFonts w:ascii="Prompt" w:hAnsi="Prompt" w:cs="Prompt"/>
                          <w:color w:val="63AEBD"/>
                        </w:rPr>
                        <w:t xml:space="preserve">allejo </w:t>
                      </w:r>
                    </w:p>
                    <w:p w:rsidR="000529D8" w:rsidRPr="007352BA" w:rsidRDefault="00AF5DD1" w:rsidP="00AF5DD1">
                      <w:pPr>
                        <w:spacing w:after="0" w:line="240" w:lineRule="auto"/>
                        <w:jc w:val="right"/>
                        <w:rPr>
                          <w:rFonts w:ascii="Prompt" w:hAnsi="Prompt" w:cs="Prompt"/>
                          <w:color w:val="63AEBD"/>
                        </w:rPr>
                      </w:pPr>
                      <w:r>
                        <w:rPr>
                          <w:rFonts w:ascii="Prompt" w:hAnsi="Prompt" w:cs="Prompt"/>
                          <w:color w:val="63AEBD"/>
                        </w:rPr>
                        <w:t>Lima</w:t>
                      </w:r>
                      <w:r w:rsidR="00E22E41">
                        <w:rPr>
                          <w:rFonts w:ascii="Prompt" w:hAnsi="Prompt" w:cs="Prompt"/>
                          <w:color w:val="63AEBD"/>
                        </w:rPr>
                        <w:t xml:space="preserve"> </w:t>
                      </w:r>
                      <w:r>
                        <w:rPr>
                          <w:rFonts w:ascii="Prompt" w:hAnsi="Prompt" w:cs="Prompt"/>
                          <w:color w:val="63AEBD"/>
                        </w:rPr>
                        <w:t>-</w:t>
                      </w:r>
                      <w:r w:rsidR="00E22E41">
                        <w:rPr>
                          <w:rFonts w:ascii="Prompt" w:hAnsi="Prompt" w:cs="Prompt"/>
                          <w:color w:val="63AEBD"/>
                        </w:rPr>
                        <w:t xml:space="preserve"> </w:t>
                      </w:r>
                      <w:r>
                        <w:rPr>
                          <w:rFonts w:ascii="Prompt" w:hAnsi="Prompt" w:cs="Prompt"/>
                          <w:color w:val="63AEBD"/>
                        </w:rPr>
                        <w:t>Perú.</w:t>
                      </w:r>
                      <w:r w:rsidRPr="00AF5DD1">
                        <w:rPr>
                          <w:rFonts w:ascii="Prompt" w:hAnsi="Prompt" w:cs="Prompt"/>
                          <w:color w:val="63AEBD"/>
                        </w:rPr>
                        <w:t xml:space="preserve"> </w:t>
                      </w:r>
                    </w:p>
                    <w:p w:rsidR="000529D8" w:rsidRPr="007352BA" w:rsidRDefault="000529D8" w:rsidP="000529D8">
                      <w:pPr>
                        <w:spacing w:after="0" w:line="240" w:lineRule="auto"/>
                        <w:jc w:val="right"/>
                        <w:rPr>
                          <w:rFonts w:ascii="Prompt" w:hAnsi="Prompt" w:cs="Prompt"/>
                          <w:color w:val="FFFFFF"/>
                        </w:rPr>
                      </w:pPr>
                    </w:p>
                    <w:p w:rsidR="000529D8" w:rsidRPr="007352BA" w:rsidRDefault="000529D8" w:rsidP="000529D8">
                      <w:pPr>
                        <w:spacing w:after="0" w:line="240" w:lineRule="auto"/>
                        <w:jc w:val="right"/>
                        <w:rPr>
                          <w:rFonts w:ascii="Prompt" w:hAnsi="Prompt" w:cs="Prompt"/>
                          <w:color w:val="63AEBD"/>
                        </w:rPr>
                      </w:pPr>
                    </w:p>
                    <w:p w:rsidR="00AF5DD1" w:rsidRPr="00AF5DD1" w:rsidRDefault="00AF5DD1" w:rsidP="00AF5DD1">
                      <w:pPr>
                        <w:spacing w:after="0" w:line="240" w:lineRule="auto"/>
                        <w:jc w:val="right"/>
                        <w:rPr>
                          <w:rFonts w:ascii="Prompt" w:hAnsi="Prompt" w:cs="Prompt"/>
                          <w:color w:val="FFFFFF" w:themeColor="background1"/>
                        </w:rPr>
                      </w:pPr>
                      <w:r w:rsidRPr="00AF5DD1">
                        <w:rPr>
                          <w:rFonts w:ascii="Prompt" w:hAnsi="Prompt" w:cs="Prompt"/>
                          <w:color w:val="63AEBD"/>
                        </w:rPr>
                        <w:t xml:space="preserve">Piero Alexander Sagastegui                                                                                   </w:t>
                      </w:r>
                      <w:hyperlink r:id="rId13" w:history="1">
                        <w:r w:rsidRPr="00AF5DD1">
                          <w:rPr>
                            <w:rStyle w:val="Hyperlink"/>
                            <w:rFonts w:ascii="Prompt" w:hAnsi="Prompt" w:cs="Prompt"/>
                            <w:color w:val="FFFFFF" w:themeColor="background1"/>
                          </w:rPr>
                          <w:t>https://orcid.org/0009-0007-0709-0415</w:t>
                        </w:r>
                      </w:hyperlink>
                      <w:r w:rsidRPr="00AF5DD1">
                        <w:rPr>
                          <w:rFonts w:ascii="Prompt" w:hAnsi="Prompt" w:cs="Prompt"/>
                          <w:color w:val="FFFFFF" w:themeColor="background1"/>
                        </w:rPr>
                        <w:t xml:space="preserve"> </w:t>
                      </w:r>
                    </w:p>
                    <w:p w:rsidR="00AF5DD1" w:rsidRPr="00AF5DD1" w:rsidRDefault="00AF5DD1" w:rsidP="00AF5DD1">
                      <w:pPr>
                        <w:spacing w:after="0" w:line="240" w:lineRule="auto"/>
                        <w:jc w:val="right"/>
                        <w:rPr>
                          <w:rFonts w:ascii="Prompt" w:hAnsi="Prompt" w:cs="Prompt"/>
                          <w:color w:val="FFFFFF" w:themeColor="background1"/>
                        </w:rPr>
                      </w:pPr>
                      <w:hyperlink r:id="rId14" w:history="1">
                        <w:r w:rsidRPr="00AF5DD1">
                          <w:rPr>
                            <w:rStyle w:val="Hyperlink"/>
                            <w:rFonts w:ascii="Prompt" w:hAnsi="Prompt" w:cs="Prompt"/>
                            <w:color w:val="FFFFFF" w:themeColor="background1"/>
                          </w:rPr>
                          <w:t>piero.sagastegui@edu.uah.es</w:t>
                        </w:r>
                      </w:hyperlink>
                      <w:r w:rsidRPr="00AF5DD1">
                        <w:rPr>
                          <w:rFonts w:ascii="Prompt" w:hAnsi="Prompt" w:cs="Prompt"/>
                          <w:color w:val="FFFFFF" w:themeColor="background1"/>
                        </w:rPr>
                        <w:t xml:space="preserve">  </w:t>
                      </w:r>
                    </w:p>
                    <w:p w:rsidR="00AF5DD1" w:rsidRPr="00AF5DD1" w:rsidRDefault="00AF5DD1" w:rsidP="00AF5DD1">
                      <w:pPr>
                        <w:spacing w:after="0" w:line="240" w:lineRule="auto"/>
                        <w:jc w:val="right"/>
                        <w:rPr>
                          <w:rFonts w:ascii="Prompt" w:hAnsi="Prompt" w:cs="Prompt"/>
                          <w:color w:val="63AEBD"/>
                        </w:rPr>
                      </w:pPr>
                      <w:r w:rsidRPr="00AF5DD1">
                        <w:rPr>
                          <w:rFonts w:ascii="Prompt" w:hAnsi="Prompt" w:cs="Prompt"/>
                          <w:color w:val="63AEBD"/>
                        </w:rPr>
                        <w:t>Universidad de Alcalá</w:t>
                      </w:r>
                    </w:p>
                    <w:p w:rsidR="000529D8" w:rsidRPr="007352BA" w:rsidRDefault="00AF5DD1" w:rsidP="00AF5DD1">
                      <w:pPr>
                        <w:spacing w:after="0" w:line="240" w:lineRule="auto"/>
                        <w:jc w:val="right"/>
                        <w:rPr>
                          <w:rFonts w:ascii="Prompt" w:hAnsi="Prompt" w:cs="Prompt"/>
                          <w:color w:val="63AEBD"/>
                        </w:rPr>
                      </w:pPr>
                      <w:r w:rsidRPr="00AF5DD1">
                        <w:rPr>
                          <w:rFonts w:ascii="Prompt" w:hAnsi="Prompt" w:cs="Prompt"/>
                          <w:color w:val="63AEBD"/>
                        </w:rPr>
                        <w:t>Madrid</w:t>
                      </w:r>
                      <w:r w:rsidR="00E22E41">
                        <w:rPr>
                          <w:rFonts w:ascii="Prompt" w:hAnsi="Prompt" w:cs="Prompt"/>
                          <w:color w:val="63AEBD"/>
                        </w:rPr>
                        <w:t xml:space="preserve"> </w:t>
                      </w:r>
                      <w:r w:rsidRPr="00AF5DD1">
                        <w:rPr>
                          <w:rFonts w:ascii="Prompt" w:hAnsi="Prompt" w:cs="Prompt"/>
                          <w:color w:val="63AEBD"/>
                        </w:rPr>
                        <w:t>- España</w:t>
                      </w:r>
                      <w:r>
                        <w:rPr>
                          <w:rFonts w:ascii="Prompt" w:hAnsi="Prompt" w:cs="Prompt"/>
                          <w:color w:val="63AEBD"/>
                        </w:rPr>
                        <w:t>.</w:t>
                      </w:r>
                    </w:p>
                    <w:p w:rsidR="000529D8" w:rsidRPr="007352BA" w:rsidRDefault="000529D8" w:rsidP="000529D8">
                      <w:pPr>
                        <w:spacing w:after="0" w:line="240" w:lineRule="auto"/>
                        <w:jc w:val="right"/>
                        <w:rPr>
                          <w:rFonts w:ascii="Prompt" w:hAnsi="Prompt" w:cs="Prompt"/>
                          <w:color w:val="63AEBD"/>
                        </w:rPr>
                      </w:pPr>
                    </w:p>
                    <w:p w:rsidR="000529D8" w:rsidRPr="007352BA" w:rsidRDefault="000529D8" w:rsidP="000529D8">
                      <w:pPr>
                        <w:spacing w:after="0" w:line="240" w:lineRule="auto"/>
                        <w:jc w:val="right"/>
                        <w:rPr>
                          <w:rFonts w:ascii="Prompt" w:hAnsi="Prompt" w:cs="Prompt"/>
                          <w:color w:val="FFFFFF"/>
                        </w:rPr>
                      </w:pPr>
                    </w:p>
                  </w:txbxContent>
                </v:textbox>
                <w10:wrap type="square"/>
              </v:shape>
            </w:pict>
          </mc:Fallback>
        </mc:AlternateContent>
      </w:r>
      <w:r w:rsidR="00876224">
        <w:rPr>
          <w:noProof/>
          <w:lang w:val="en-US"/>
        </w:rPr>
        <mc:AlternateContent>
          <mc:Choice Requires="wps">
            <w:drawing>
              <wp:anchor distT="45720" distB="45720" distL="114300" distR="114300" simplePos="0" relativeHeight="251657216" behindDoc="0" locked="0" layoutInCell="1" allowOverlap="1" wp14:anchorId="4F8CF2EE" wp14:editId="3F6D494F">
                <wp:simplePos x="0" y="0"/>
                <wp:positionH relativeFrom="column">
                  <wp:posOffset>200025</wp:posOffset>
                </wp:positionH>
                <wp:positionV relativeFrom="paragraph">
                  <wp:posOffset>5308600</wp:posOffset>
                </wp:positionV>
                <wp:extent cx="3008630" cy="330200"/>
                <wp:effectExtent l="0" t="0" r="0" b="0"/>
                <wp:wrapSquare wrapText="bothSides"/>
                <wp:docPr id="2094095354" name="Cuadro de texto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08630" cy="330200"/>
                        </a:xfrm>
                        <a:prstGeom prst="rect">
                          <a:avLst/>
                        </a:prstGeom>
                        <a:noFill/>
                        <a:ln w="9525">
                          <a:noFill/>
                          <a:miter lim="800000"/>
                          <a:headEnd/>
                          <a:tailEnd/>
                        </a:ln>
                      </wps:spPr>
                      <wps:txbx>
                        <w:txbxContent>
                          <w:p w:rsidR="00802B39" w:rsidRPr="002D2ADB" w:rsidRDefault="00802B39">
                            <w:pPr>
                              <w:rPr>
                                <w:rFonts w:ascii="Poppins Black" w:hAnsi="Poppins Black" w:cs="Poppins Black"/>
                                <w:color w:val="FFFFFF"/>
                                <w:sz w:val="18"/>
                                <w:szCs w:val="18"/>
                              </w:rPr>
                            </w:pPr>
                            <w:r w:rsidRPr="00AF5DD1">
                              <w:rPr>
                                <w:rFonts w:ascii="Poppins Black" w:hAnsi="Poppins Black" w:cs="Poppins Black"/>
                                <w:color w:val="FFFFFF"/>
                                <w:sz w:val="18"/>
                                <w:szCs w:val="18"/>
                              </w:rPr>
                              <w:t>Reci</w:t>
                            </w:r>
                            <w:r w:rsidR="00111DD2" w:rsidRPr="00AF5DD1">
                              <w:rPr>
                                <w:rFonts w:ascii="Poppins Black" w:hAnsi="Poppins Black" w:cs="Poppins Black"/>
                                <w:color w:val="FFFFFF"/>
                                <w:sz w:val="18"/>
                                <w:szCs w:val="18"/>
                              </w:rPr>
                              <w:t>bido:</w:t>
                            </w:r>
                            <w:r w:rsidR="00AF5DD1">
                              <w:rPr>
                                <w:rFonts w:ascii="Poppins Black" w:hAnsi="Poppins Black" w:cs="Poppins Black"/>
                                <w:color w:val="FFFFFF"/>
                                <w:sz w:val="18"/>
                                <w:szCs w:val="18"/>
                              </w:rPr>
                              <w:t xml:space="preserve"> </w:t>
                            </w:r>
                            <w:r w:rsidR="00F972FB">
                              <w:rPr>
                                <w:rFonts w:ascii="Poppins Black" w:hAnsi="Poppins Black" w:cs="Poppins Black"/>
                                <w:color w:val="FFFFFF"/>
                                <w:sz w:val="18"/>
                                <w:szCs w:val="18"/>
                              </w:rPr>
                              <w:t xml:space="preserve"> </w:t>
                            </w:r>
                            <w:r w:rsidR="00EC32AF">
                              <w:rPr>
                                <w:rFonts w:ascii="Poppins Black" w:hAnsi="Poppins Black" w:cs="Poppins Black"/>
                                <w:color w:val="FFFFFF"/>
                                <w:sz w:val="18"/>
                                <w:szCs w:val="18"/>
                              </w:rPr>
                              <w:t>02/03/2025</w:t>
                            </w:r>
                            <w:r w:rsidR="00111DD2" w:rsidRPr="00AF5DD1">
                              <w:rPr>
                                <w:rFonts w:ascii="Poppins Black" w:hAnsi="Poppins Black" w:cs="Poppins Black"/>
                                <w:color w:val="FFFFFF"/>
                                <w:sz w:val="18"/>
                                <w:szCs w:val="18"/>
                              </w:rPr>
                              <w:t xml:space="preserve">      Aceptado:</w:t>
                            </w:r>
                            <w:r w:rsidR="00111DD2" w:rsidRPr="00BF421D">
                              <w:rPr>
                                <w:rFonts w:ascii="Poppins Black" w:hAnsi="Poppins Black" w:cs="Poppins Black"/>
                                <w:color w:val="FFFFFF"/>
                                <w:sz w:val="18"/>
                                <w:szCs w:val="18"/>
                              </w:rPr>
                              <w:t xml:space="preserve"> </w:t>
                            </w:r>
                            <w:r w:rsidR="00AF5DD1">
                              <w:rPr>
                                <w:rFonts w:ascii="Poppins Black" w:hAnsi="Poppins Black" w:cs="Poppins Black"/>
                                <w:color w:val="FFFFFF"/>
                                <w:sz w:val="18"/>
                                <w:szCs w:val="18"/>
                              </w:rPr>
                              <w:t>05/06/2025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8CF2EE" id="Cuadro de texto 13" o:spid="_x0000_s1027" type="#_x0000_t202" style="position:absolute;left:0;text-align:left;margin-left:15.75pt;margin-top:418pt;width:236.9pt;height:26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" filled="f" stroked="f">
                <v:textbox>
                  <w:txbxContent>
                    <w:p w:rsidR="00802B39" w:rsidRPr="002D2ADB" w:rsidRDefault="00802B39">
                      <w:pPr>
                        <w:rPr>
                          <w:rFonts w:ascii="Poppins Black" w:hAnsi="Poppins Black" w:cs="Poppins Black"/>
                          <w:color w:val="FFFFFF"/>
                          <w:sz w:val="18"/>
                          <w:szCs w:val="18"/>
                        </w:rPr>
                      </w:pPr>
                      <w:r w:rsidRPr="00AF5DD1">
                        <w:rPr>
                          <w:rFonts w:ascii="Poppins Black" w:hAnsi="Poppins Black" w:cs="Poppins Black"/>
                          <w:color w:val="FFFFFF"/>
                          <w:sz w:val="18"/>
                          <w:szCs w:val="18"/>
                        </w:rPr>
                        <w:t>Reci</w:t>
                      </w:r>
                      <w:r w:rsidR="00111DD2" w:rsidRPr="00AF5DD1">
                        <w:rPr>
                          <w:rFonts w:ascii="Poppins Black" w:hAnsi="Poppins Black" w:cs="Poppins Black"/>
                          <w:color w:val="FFFFFF"/>
                          <w:sz w:val="18"/>
                          <w:szCs w:val="18"/>
                        </w:rPr>
                        <w:t>bido:</w:t>
                      </w:r>
                      <w:r w:rsidR="00AF5DD1">
                        <w:rPr>
                          <w:rFonts w:ascii="Poppins Black" w:hAnsi="Poppins Black" w:cs="Poppins Black"/>
                          <w:color w:val="FFFFFF"/>
                          <w:sz w:val="18"/>
                          <w:szCs w:val="18"/>
                        </w:rPr>
                        <w:t xml:space="preserve"> </w:t>
                      </w:r>
                      <w:r w:rsidR="00F972FB">
                        <w:rPr>
                          <w:rFonts w:ascii="Poppins Black" w:hAnsi="Poppins Black" w:cs="Poppins Black"/>
                          <w:color w:val="FFFFFF"/>
                          <w:sz w:val="18"/>
                          <w:szCs w:val="18"/>
                        </w:rPr>
                        <w:t xml:space="preserve"> </w:t>
                      </w:r>
                      <w:r w:rsidR="00EC32AF">
                        <w:rPr>
                          <w:rFonts w:ascii="Poppins Black" w:hAnsi="Poppins Black" w:cs="Poppins Black"/>
                          <w:color w:val="FFFFFF"/>
                          <w:sz w:val="18"/>
                          <w:szCs w:val="18"/>
                        </w:rPr>
                        <w:t>02/03/2025</w:t>
                      </w:r>
                      <w:r w:rsidR="00111DD2" w:rsidRPr="00AF5DD1">
                        <w:rPr>
                          <w:rFonts w:ascii="Poppins Black" w:hAnsi="Poppins Black" w:cs="Poppins Black"/>
                          <w:color w:val="FFFFFF"/>
                          <w:sz w:val="18"/>
                          <w:szCs w:val="18"/>
                        </w:rPr>
                        <w:t xml:space="preserve">      Aceptado:</w:t>
                      </w:r>
                      <w:r w:rsidR="00111DD2" w:rsidRPr="00BF421D">
                        <w:rPr>
                          <w:rFonts w:ascii="Poppins Black" w:hAnsi="Poppins Black" w:cs="Poppins Black"/>
                          <w:color w:val="FFFFFF"/>
                          <w:sz w:val="18"/>
                          <w:szCs w:val="18"/>
                        </w:rPr>
                        <w:t xml:space="preserve"> </w:t>
                      </w:r>
                      <w:r w:rsidR="00AF5DD1">
                        <w:rPr>
                          <w:rFonts w:ascii="Poppins Black" w:hAnsi="Poppins Black" w:cs="Poppins Black"/>
                          <w:color w:val="FFFFFF"/>
                          <w:sz w:val="18"/>
                          <w:szCs w:val="18"/>
                        </w:rPr>
                        <w:t>05/06/2025</w:t>
                      </w:r>
                    </w:p>
                  </w:txbxContent>
                </v:textbox>
                <w10:wrap type="square"/>
              </v:shape>
            </w:pict>
          </mc:Fallback>
        </mc:AlternateContent>
      </w:r>
      <w:r w:rsidR="00A17E32">
        <w:rPr>
          <w:noProof/>
          <w:lang w:val="en-US"/>
        </w:rPr>
        <mc:AlternateContent>
          <mc:Choice Requires="wps">
            <w:drawing>
              <wp:anchor distT="45720" distB="45720" distL="114300" distR="114300" simplePos="0" relativeHeight="251660288" behindDoc="0" locked="0" layoutInCell="1" allowOverlap="1" wp14:anchorId="1B853866" wp14:editId="3B92E42D">
                <wp:simplePos x="0" y="0"/>
                <wp:positionH relativeFrom="column">
                  <wp:posOffset>5107940</wp:posOffset>
                </wp:positionH>
                <wp:positionV relativeFrom="paragraph">
                  <wp:posOffset>5305425</wp:posOffset>
                </wp:positionV>
                <wp:extent cx="981710" cy="272415"/>
                <wp:effectExtent l="0" t="0" r="0" b="0"/>
                <wp:wrapSquare wrapText="bothSides"/>
                <wp:docPr id="1747847261" name="Cuadro de texto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1710" cy="272415"/>
                        </a:xfrm>
                        <a:prstGeom prst="rect">
                          <a:avLst/>
                        </a:prstGeom>
                        <a:noFill/>
                        <a:ln w="9525">
                          <a:noFill/>
                          <a:miter lim="800000"/>
                          <a:headEnd/>
                          <a:tailEnd/>
                        </a:ln>
                      </wps:spPr>
                      <wps:txbx>
                        <w:txbxContent>
                          <w:p w:rsidR="00083D90" w:rsidRPr="002D2ADB" w:rsidRDefault="00642908" w:rsidP="00083D90">
                            <w:pPr>
                              <w:rPr>
                                <w:rFonts w:ascii="Poppins Black" w:hAnsi="Poppins Black" w:cs="Poppins Black"/>
                                <w:color w:val="FFFFFF"/>
                                <w:sz w:val="18"/>
                                <w:szCs w:val="18"/>
                              </w:rPr>
                            </w:pPr>
                            <w:r w:rsidRPr="002D2ADB">
                              <w:rPr>
                                <w:rFonts w:ascii="Poppins Black" w:hAnsi="Poppins Black" w:cs="Poppins Black"/>
                                <w:color w:val="FFFFFF"/>
                                <w:sz w:val="18"/>
                                <w:szCs w:val="18"/>
                              </w:rPr>
                              <w:t>202</w:t>
                            </w:r>
                            <w:r w:rsidR="00FF08B7">
                              <w:rPr>
                                <w:rFonts w:ascii="Poppins Black" w:hAnsi="Poppins Black" w:cs="Poppins Black"/>
                                <w:color w:val="FFFFFF"/>
                                <w:sz w:val="18"/>
                                <w:szCs w:val="18"/>
                              </w:rPr>
                              <w:t>6</w:t>
                            </w:r>
                            <w:r w:rsidRPr="002D2ADB">
                              <w:rPr>
                                <w:rFonts w:ascii="Poppins Black" w:hAnsi="Poppins Black" w:cs="Poppins Black"/>
                                <w:color w:val="FFFFFF"/>
                                <w:sz w:val="18"/>
                                <w:szCs w:val="18"/>
                              </w:rPr>
                              <w:t>. V</w:t>
                            </w:r>
                            <w:r w:rsidR="00F3007A">
                              <w:rPr>
                                <w:rFonts w:ascii="Poppins Black" w:hAnsi="Poppins Black" w:cs="Poppins Black"/>
                                <w:color w:val="FFFFFF"/>
                                <w:sz w:val="18"/>
                                <w:szCs w:val="18"/>
                              </w:rPr>
                              <w:t>6</w:t>
                            </w:r>
                            <w:r w:rsidRPr="002D2ADB">
                              <w:rPr>
                                <w:rFonts w:ascii="Poppins Black" w:hAnsi="Poppins Black" w:cs="Poppins Black"/>
                                <w:color w:val="FFFFFF"/>
                                <w:sz w:val="18"/>
                                <w:szCs w:val="18"/>
                              </w:rPr>
                              <w:t xml:space="preserve">. N </w:t>
                            </w:r>
                            <w:r w:rsidR="00F3007A">
                              <w:rPr>
                                <w:rFonts w:ascii="Poppins Black" w:hAnsi="Poppins Black" w:cs="Poppins Black"/>
                                <w:color w:val="FFFFFF"/>
                                <w:sz w:val="18"/>
                                <w:szCs w:val="18"/>
                              </w:rPr>
                              <w:t>1</w:t>
                            </w:r>
                            <w:r w:rsidRPr="002D2ADB">
                              <w:rPr>
                                <w:rFonts w:ascii="Poppins Black" w:hAnsi="Poppins Black" w:cs="Poppins Black"/>
                                <w:color w:val="FFFFFF"/>
                                <w:sz w:val="18"/>
                                <w:szCs w:val="1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853866" id="Cuadro de texto 19" o:spid="_x0000_s1028" type="#_x0000_t202" style="position:absolute;left:0;text-align:left;margin-left:402.2pt;margin-top:417.75pt;width:77.3pt;height:21.4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" filled="f" stroked="f">
                <v:textbox>
                  <w:txbxContent>
                    <w:p w:rsidR="00083D90" w:rsidRPr="002D2ADB" w:rsidRDefault="00642908" w:rsidP="00083D90">
                      <w:pPr>
                        <w:rPr>
                          <w:rFonts w:ascii="Poppins Black" w:hAnsi="Poppins Black" w:cs="Poppins Black"/>
                          <w:color w:val="FFFFFF"/>
                          <w:sz w:val="18"/>
                          <w:szCs w:val="18"/>
                        </w:rPr>
                      </w:pPr>
                      <w:r w:rsidRPr="002D2ADB">
                        <w:rPr>
                          <w:rFonts w:ascii="Poppins Black" w:hAnsi="Poppins Black" w:cs="Poppins Black"/>
                          <w:color w:val="FFFFFF"/>
                          <w:sz w:val="18"/>
                          <w:szCs w:val="18"/>
                        </w:rPr>
                        <w:t>202</w:t>
                      </w:r>
                      <w:r w:rsidR="00FF08B7">
                        <w:rPr>
                          <w:rFonts w:ascii="Poppins Black" w:hAnsi="Poppins Black" w:cs="Poppins Black"/>
                          <w:color w:val="FFFFFF"/>
                          <w:sz w:val="18"/>
                          <w:szCs w:val="18"/>
                        </w:rPr>
                        <w:t>6</w:t>
                      </w:r>
                      <w:r w:rsidRPr="002D2ADB">
                        <w:rPr>
                          <w:rFonts w:ascii="Poppins Black" w:hAnsi="Poppins Black" w:cs="Poppins Black"/>
                          <w:color w:val="FFFFFF"/>
                          <w:sz w:val="18"/>
                          <w:szCs w:val="18"/>
                        </w:rPr>
                        <w:t>. V</w:t>
                      </w:r>
                      <w:r w:rsidR="00F3007A">
                        <w:rPr>
                          <w:rFonts w:ascii="Poppins Black" w:hAnsi="Poppins Black" w:cs="Poppins Black"/>
                          <w:color w:val="FFFFFF"/>
                          <w:sz w:val="18"/>
                          <w:szCs w:val="18"/>
                        </w:rPr>
                        <w:t>6</w:t>
                      </w:r>
                      <w:r w:rsidRPr="002D2ADB">
                        <w:rPr>
                          <w:rFonts w:ascii="Poppins Black" w:hAnsi="Poppins Black" w:cs="Poppins Black"/>
                          <w:color w:val="FFFFFF"/>
                          <w:sz w:val="18"/>
                          <w:szCs w:val="18"/>
                        </w:rPr>
                        <w:t xml:space="preserve">. N </w:t>
                      </w:r>
                      <w:r w:rsidR="00F3007A">
                        <w:rPr>
                          <w:rFonts w:ascii="Poppins Black" w:hAnsi="Poppins Black" w:cs="Poppins Black"/>
                          <w:color w:val="FFFFFF"/>
                          <w:sz w:val="18"/>
                          <w:szCs w:val="18"/>
                        </w:rPr>
                        <w:t>1</w:t>
                      </w:r>
                      <w:r w:rsidRPr="002D2ADB">
                        <w:rPr>
                          <w:rFonts w:ascii="Poppins Black" w:hAnsi="Poppins Black" w:cs="Poppins Black"/>
                          <w:color w:val="FFFFFF"/>
                          <w:sz w:val="18"/>
                          <w:szCs w:val="18"/>
                        </w:rPr>
                        <w:t>.</w:t>
                      </w:r>
                    </w:p>
                  </w:txbxContent>
                </v:textbox>
                <w10:wrap type="square"/>
              </v:shape>
            </w:pict>
          </mc:Fallback>
        </mc:AlternateContent>
      </w:r>
      <w:r w:rsidR="00A17E32">
        <w:rPr>
          <w:noProof/>
          <w:lang w:val="en-US"/>
        </w:rPr>
        <w:drawing>
          <wp:anchor distT="0" distB="0" distL="114300" distR="114300" simplePos="0" relativeHeight="251661312" behindDoc="1" locked="0" layoutInCell="1" allowOverlap="1" wp14:anchorId="60D1502F" wp14:editId="7CD21536">
            <wp:simplePos x="0" y="0"/>
            <wp:positionH relativeFrom="column">
              <wp:posOffset>-626110</wp:posOffset>
            </wp:positionH>
            <wp:positionV relativeFrom="paragraph">
              <wp:posOffset>5043170</wp:posOffset>
            </wp:positionV>
            <wp:extent cx="1042035" cy="736600"/>
            <wp:effectExtent l="0" t="0" r="0" b="0"/>
            <wp:wrapTight wrapText="bothSides">
              <wp:wrapPolygon edited="0">
                <wp:start x="9082" y="1117"/>
                <wp:lineTo x="7108" y="2793"/>
                <wp:lineTo x="3949" y="8379"/>
                <wp:lineTo x="3949" y="13966"/>
                <wp:lineTo x="7108" y="18993"/>
                <wp:lineTo x="8687" y="20110"/>
                <wp:lineTo x="12636" y="20110"/>
                <wp:lineTo x="14216" y="18993"/>
                <wp:lineTo x="17770" y="13407"/>
                <wp:lineTo x="17770" y="8938"/>
                <wp:lineTo x="14216" y="2793"/>
                <wp:lineTo x="12241" y="1117"/>
                <wp:lineTo x="9082" y="1117"/>
              </wp:wrapPolygon>
            </wp:wrapTight>
            <wp:docPr id="10"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042035" cy="736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17E32">
        <w:rPr>
          <w:noProof/>
          <w:lang w:val="en-US"/>
        </w:rPr>
        <mc:AlternateContent>
          <mc:Choice Requires="wps">
            <w:drawing>
              <wp:anchor distT="0" distB="0" distL="114300" distR="114300" simplePos="0" relativeHeight="251654144" behindDoc="0" locked="0" layoutInCell="1" allowOverlap="1" wp14:anchorId="268ECE4C" wp14:editId="39F16588">
                <wp:simplePos x="0" y="0"/>
                <wp:positionH relativeFrom="column">
                  <wp:posOffset>-706755</wp:posOffset>
                </wp:positionH>
                <wp:positionV relativeFrom="paragraph">
                  <wp:posOffset>-887095</wp:posOffset>
                </wp:positionV>
                <wp:extent cx="7042150" cy="6705600"/>
                <wp:effectExtent l="0" t="0" r="6350" b="0"/>
                <wp:wrapNone/>
                <wp:docPr id="1649648180" name="Rectángulo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042150" cy="6705600"/>
                        </a:xfrm>
                        <a:prstGeom prst="rect">
                          <a:avLst/>
                        </a:prstGeom>
                        <a:solidFill>
                          <a:srgbClr val="0D1A46"/>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5A5C6E" id="Rectángulo 15" o:spid="_x0000_s1026" style="position:absolute;margin-left:-55.65pt;margin-top:-69.85pt;width:554.5pt;height:528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" fillcolor="#0d1a46" strokecolor="#172c51" strokeweight="1pt">
                <v:path arrowok="t"/>
              </v:rect>
            </w:pict>
          </mc:Fallback>
        </mc:AlternateContent>
      </w:r>
      <w:r w:rsidR="00A17E32">
        <w:rPr>
          <w:noProof/>
          <w:lang w:val="en-US"/>
        </w:rPr>
        <mc:AlternateContent>
          <mc:Choice Requires="wpg">
            <w:drawing>
              <wp:anchor distT="0" distB="0" distL="457200" distR="457200" simplePos="0" relativeHeight="251656192" behindDoc="0" locked="0" layoutInCell="1" allowOverlap="1" wp14:anchorId="6D506C93" wp14:editId="54262027">
                <wp:simplePos x="0" y="0"/>
                <wp:positionH relativeFrom="page">
                  <wp:posOffset>393700</wp:posOffset>
                </wp:positionH>
                <wp:positionV relativeFrom="page">
                  <wp:posOffset>12700</wp:posOffset>
                </wp:positionV>
                <wp:extent cx="6504940" cy="6705600"/>
                <wp:effectExtent l="0" t="0" r="0" b="0"/>
                <wp:wrapSquare wrapText="bothSides"/>
                <wp:docPr id="1445958400" name="Grupo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04940" cy="6705600"/>
                          <a:chOff x="227566" y="0"/>
                          <a:chExt cx="9903112" cy="9363457"/>
                        </a:xfrm>
                      </wpg:grpSpPr>
                      <wps:wsp>
                        <wps:cNvPr id="183" name="Rectángulo 5"/>
                        <wps:cNvSpPr/>
                        <wps:spPr>
                          <a:xfrm>
                            <a:off x="227566" y="0"/>
                            <a:ext cx="667512" cy="9363457"/>
                          </a:xfrm>
                          <a:custGeom>
                            <a:avLst/>
                            <a:gdLst>
                              <a:gd name="connsiteX0" fmla="*/ 0 w 667707"/>
                              <a:gd name="connsiteY0" fmla="*/ 0 h 9363456"/>
                              <a:gd name="connsiteX1" fmla="*/ 667707 w 667707"/>
                              <a:gd name="connsiteY1" fmla="*/ 0 h 9363456"/>
                              <a:gd name="connsiteX2" fmla="*/ 667707 w 667707"/>
                              <a:gd name="connsiteY2" fmla="*/ 9363456 h 9363456"/>
                              <a:gd name="connsiteX3" fmla="*/ 0 w 667707"/>
                              <a:gd name="connsiteY3" fmla="*/ 9363456 h 9363456"/>
                              <a:gd name="connsiteX4" fmla="*/ 0 w 667707"/>
                              <a:gd name="connsiteY4" fmla="*/ 0 h 9363456"/>
                              <a:gd name="connsiteX0" fmla="*/ 0 w 667718"/>
                              <a:gd name="connsiteY0" fmla="*/ 0 h 9363456"/>
                              <a:gd name="connsiteX1" fmla="*/ 667707 w 667718"/>
                              <a:gd name="connsiteY1" fmla="*/ 0 h 9363456"/>
                              <a:gd name="connsiteX2" fmla="*/ 667718 w 667718"/>
                              <a:gd name="connsiteY2" fmla="*/ 3971925 h 9363456"/>
                              <a:gd name="connsiteX3" fmla="*/ 667707 w 667718"/>
                              <a:gd name="connsiteY3" fmla="*/ 9363456 h 9363456"/>
                              <a:gd name="connsiteX4" fmla="*/ 0 w 667718"/>
                              <a:gd name="connsiteY4" fmla="*/ 9363456 h 9363456"/>
                              <a:gd name="connsiteX5" fmla="*/ 0 w 667718"/>
                              <a:gd name="connsiteY5" fmla="*/ 0 h 9363456"/>
                              <a:gd name="connsiteX0" fmla="*/ 0 w 667707"/>
                              <a:gd name="connsiteY0" fmla="*/ 0 h 9363456"/>
                              <a:gd name="connsiteX1" fmla="*/ 667707 w 667707"/>
                              <a:gd name="connsiteY1" fmla="*/ 0 h 9363456"/>
                              <a:gd name="connsiteX2" fmla="*/ 448643 w 667707"/>
                              <a:gd name="connsiteY2" fmla="*/ 5314677 h 9363456"/>
                              <a:gd name="connsiteX3" fmla="*/ 667707 w 667707"/>
                              <a:gd name="connsiteY3" fmla="*/ 9363456 h 9363456"/>
                              <a:gd name="connsiteX4" fmla="*/ 0 w 667707"/>
                              <a:gd name="connsiteY4" fmla="*/ 9363456 h 9363456"/>
                              <a:gd name="connsiteX5" fmla="*/ 0 w 667707"/>
                              <a:gd name="connsiteY5" fmla="*/ 0 h 936345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667707" h="9363456">
                                <a:moveTo>
                                  <a:pt x="0" y="0"/>
                                </a:moveTo>
                                <a:lnTo>
                                  <a:pt x="667707" y="0"/>
                                </a:lnTo>
                                <a:cubicBezTo>
                                  <a:pt x="667711" y="1323975"/>
                                  <a:pt x="448639" y="3990702"/>
                                  <a:pt x="448643" y="5314677"/>
                                </a:cubicBezTo>
                                <a:cubicBezTo>
                                  <a:pt x="448639" y="7111854"/>
                                  <a:pt x="667711" y="7566279"/>
                                  <a:pt x="667707" y="9363456"/>
                                </a:cubicBezTo>
                                <a:lnTo>
                                  <a:pt x="0" y="9363456"/>
                                </a:lnTo>
                                <a:lnTo>
                                  <a:pt x="0" y="0"/>
                                </a:lnTo>
                                <a:close/>
                              </a:path>
                            </a:pathLst>
                          </a:custGeom>
                          <a:solidFill>
                            <a:srgbClr val="19195D"/>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5" name="Cuadro de texto 185"/>
                        <wps:cNvSpPr txBox="1"/>
                        <wps:spPr>
                          <a:xfrm>
                            <a:off x="1217877" y="568872"/>
                            <a:ext cx="8912801" cy="2292684"/>
                          </a:xfrm>
                          <a:prstGeom prst="rect">
                            <a:avLst/>
                          </a:prstGeom>
                          <a:noFill/>
                          <a:ln w="6350">
                            <a:noFill/>
                          </a:ln>
                          <a:effectLst/>
                        </wps:spPr>
                        <wps:txbx>
                          <w:txbxContent>
                            <w:p w:rsidR="00AF5DD1" w:rsidRPr="00A041F3" w:rsidRDefault="00AF5DD1" w:rsidP="00802B39">
                              <w:pPr>
                                <w:spacing w:after="0" w:line="240" w:lineRule="auto"/>
                                <w:rPr>
                                  <w:rFonts w:ascii="Poppins Black" w:hAnsi="Poppins Black" w:cs="Poppins Black"/>
                                  <w:color w:val="DEEAF6"/>
                                  <w:sz w:val="36"/>
                                  <w:szCs w:val="36"/>
                                  <w:lang w:val="es-VE"/>
                                </w:rPr>
                              </w:pPr>
                              <w:r w:rsidRPr="00AF5DD1">
                                <w:rPr>
                                  <w:rFonts w:ascii="Poppins Black" w:hAnsi="Poppins Black" w:cs="Poppins Black"/>
                                  <w:color w:val="DEEAF6"/>
                                  <w:sz w:val="36"/>
                                  <w:szCs w:val="36"/>
                                </w:rPr>
                                <w:t>Impacto de la gestión institucional en el bienestar de los es</w:t>
                              </w:r>
                              <w:r w:rsidR="00A041F3">
                                <w:rPr>
                                  <w:rFonts w:ascii="Poppins Black" w:hAnsi="Poppins Black" w:cs="Poppins Black"/>
                                  <w:color w:val="DEEAF6"/>
                                  <w:sz w:val="36"/>
                                  <w:szCs w:val="36"/>
                                </w:rPr>
                                <w:t>tudiantes de educación superior:</w:t>
                              </w:r>
                              <w:r w:rsidRPr="00AF5DD1">
                                <w:rPr>
                                  <w:rFonts w:ascii="Poppins Black" w:hAnsi="Poppins Black" w:cs="Poppins Black"/>
                                  <w:color w:val="DEEAF6"/>
                                  <w:sz w:val="36"/>
                                  <w:szCs w:val="36"/>
                                </w:rPr>
                                <w:t xml:space="preserve"> </w:t>
                              </w:r>
                              <w:r w:rsidR="00A041F3">
                                <w:rPr>
                                  <w:rFonts w:ascii="Poppins Black" w:hAnsi="Poppins Black" w:cs="Poppins Black"/>
                                  <w:color w:val="DEEAF6"/>
                                  <w:sz w:val="36"/>
                                  <w:szCs w:val="36"/>
                                  <w:lang w:val="es-VE"/>
                                </w:rPr>
                                <w:t>a</w:t>
                              </w:r>
                              <w:r w:rsidRPr="00A041F3">
                                <w:rPr>
                                  <w:rFonts w:ascii="Poppins Black" w:hAnsi="Poppins Black" w:cs="Poppins Black"/>
                                  <w:color w:val="DEEAF6"/>
                                  <w:sz w:val="36"/>
                                  <w:szCs w:val="36"/>
                                  <w:lang w:val="es-VE"/>
                                </w:rPr>
                                <w:t>nálisis sistemático</w:t>
                              </w:r>
                            </w:p>
                            <w:p w:rsidR="00802B39" w:rsidRPr="002D2ADB" w:rsidRDefault="00AF5DD1" w:rsidP="00B2525B">
                              <w:pPr>
                                <w:spacing w:after="0" w:line="240" w:lineRule="auto"/>
                                <w:rPr>
                                  <w:rFonts w:ascii="Poppins Black" w:hAnsi="Poppins Black" w:cs="Poppins Black"/>
                                  <w:color w:val="DEEAF6"/>
                                  <w:sz w:val="44"/>
                                  <w:szCs w:val="44"/>
                                  <w:lang w:val="en-US"/>
                                </w:rPr>
                              </w:pPr>
                              <w:r w:rsidRPr="00AF5DD1">
                                <w:rPr>
                                  <w:rFonts w:ascii="Poppins Black" w:hAnsi="Poppins Black" w:cs="Poppins Black"/>
                                  <w:color w:val="DEEAF6"/>
                                  <w:sz w:val="28"/>
                                  <w:szCs w:val="28"/>
                                  <w:lang w:val="en-US"/>
                                </w:rPr>
                                <w:t>Impact of institutional management on the well-bei</w:t>
                              </w:r>
                              <w:r w:rsidR="00A041F3">
                                <w:rPr>
                                  <w:rFonts w:ascii="Poppins Black" w:hAnsi="Poppins Black" w:cs="Poppins Black"/>
                                  <w:color w:val="DEEAF6"/>
                                  <w:sz w:val="28"/>
                                  <w:szCs w:val="28"/>
                                  <w:lang w:val="en-US"/>
                                </w:rPr>
                                <w:t>ng of higher education students:</w:t>
                              </w:r>
                              <w:r w:rsidRPr="00AF5DD1">
                                <w:rPr>
                                  <w:rFonts w:ascii="Poppins Black" w:hAnsi="Poppins Black" w:cs="Poppins Black"/>
                                  <w:color w:val="DEEAF6"/>
                                  <w:sz w:val="28"/>
                                  <w:szCs w:val="28"/>
                                  <w:lang w:val="en-US"/>
                                </w:rPr>
                                <w:t xml:space="preserve"> Systematic analysis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6D506C93" id="Grupo 11" o:spid="_x0000_s1029" style="position:absolute;left:0;text-align:left;margin-left:31pt;margin-top:1pt;width:512.2pt;height:528pt;z-index:251656192;mso-wrap-distance-left:36pt;mso-wrap-distance-right:36pt;mso-position-horizontal-relative:page;mso-position-vertical-relative:page;mso-width-relative:margin" coordorigin="2275" coordsize="99031,93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">
                <v:shape id="Rectángulo 5" o:spid="_x0000_s1030" style="position:absolute;left:2275;width:6675;height:93634;visibility:visible;mso-wrap-style:square;v-text-anchor:middle" coordsize="667707,93634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" path="m,l667707,v4,1323975,-219068,3990702,-219064,5314677c448639,7111854,667711,7566279,667707,9363456l,9363456,,xe" fillcolor="#19195d" stroked="f" strokeweight="1pt">
                  <v:stroke joinstyle="miter"/>
                  <v:path arrowok="t" o:connecttype="custom" o:connectlocs="0,0;667512,0;448512,5314678;667512,9363457;0,9363457;0,0" o:connectangles="0,0,0,0,0,0"/>
                </v:shape>
                <v:shape id="Cuadro de texto 185" o:spid="_x0000_s1031" type="#_x0000_t202" style="position:absolute;left:12178;top:5688;width:89128;height:229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" filled="f" stroked="f" strokeweight=".5pt">
                  <v:textbox inset="0,0,0,0">
                    <w:txbxContent>
                      <w:p w:rsidR="00AF5DD1" w:rsidRPr="00A041F3" w:rsidRDefault="00AF5DD1" w:rsidP="00802B39">
                        <w:pPr>
                          <w:spacing w:after="0" w:line="240" w:lineRule="auto"/>
                          <w:rPr>
                            <w:rFonts w:ascii="Poppins Black" w:hAnsi="Poppins Black" w:cs="Poppins Black"/>
                            <w:color w:val="DEEAF6"/>
                            <w:sz w:val="36"/>
                            <w:szCs w:val="36"/>
                            <w:lang w:val="es-VE"/>
                          </w:rPr>
                        </w:pPr>
                        <w:r w:rsidRPr="00AF5DD1">
                          <w:rPr>
                            <w:rFonts w:ascii="Poppins Black" w:hAnsi="Poppins Black" w:cs="Poppins Black"/>
                            <w:color w:val="DEEAF6"/>
                            <w:sz w:val="36"/>
                            <w:szCs w:val="36"/>
                          </w:rPr>
                          <w:t>Impacto de la gestión institucional en el bienestar de los es</w:t>
                        </w:r>
                        <w:r w:rsidR="00A041F3">
                          <w:rPr>
                            <w:rFonts w:ascii="Poppins Black" w:hAnsi="Poppins Black" w:cs="Poppins Black"/>
                            <w:color w:val="DEEAF6"/>
                            <w:sz w:val="36"/>
                            <w:szCs w:val="36"/>
                          </w:rPr>
                          <w:t>tudiantes de educación superior:</w:t>
                        </w:r>
                        <w:r w:rsidRPr="00AF5DD1">
                          <w:rPr>
                            <w:rFonts w:ascii="Poppins Black" w:hAnsi="Poppins Black" w:cs="Poppins Black"/>
                            <w:color w:val="DEEAF6"/>
                            <w:sz w:val="36"/>
                            <w:szCs w:val="36"/>
                          </w:rPr>
                          <w:t xml:space="preserve"> </w:t>
                        </w:r>
                        <w:r w:rsidR="00A041F3">
                          <w:rPr>
                            <w:rFonts w:ascii="Poppins Black" w:hAnsi="Poppins Black" w:cs="Poppins Black"/>
                            <w:color w:val="DEEAF6"/>
                            <w:sz w:val="36"/>
                            <w:szCs w:val="36"/>
                            <w:lang w:val="es-VE"/>
                          </w:rPr>
                          <w:t>a</w:t>
                        </w:r>
                        <w:r w:rsidRPr="00A041F3">
                          <w:rPr>
                            <w:rFonts w:ascii="Poppins Black" w:hAnsi="Poppins Black" w:cs="Poppins Black"/>
                            <w:color w:val="DEEAF6"/>
                            <w:sz w:val="36"/>
                            <w:szCs w:val="36"/>
                            <w:lang w:val="es-VE"/>
                          </w:rPr>
                          <w:t>nálisis sistemático</w:t>
                        </w:r>
                      </w:p>
                      <w:p w:rsidR="00802B39" w:rsidRPr="002D2ADB" w:rsidRDefault="00AF5DD1" w:rsidP="00B2525B">
                        <w:pPr>
                          <w:spacing w:after="0" w:line="240" w:lineRule="auto"/>
                          <w:rPr>
                            <w:rFonts w:ascii="Poppins Black" w:hAnsi="Poppins Black" w:cs="Poppins Black"/>
                            <w:color w:val="DEEAF6"/>
                            <w:sz w:val="44"/>
                            <w:szCs w:val="44"/>
                            <w:lang w:val="en-US"/>
                          </w:rPr>
                        </w:pPr>
                        <w:r w:rsidRPr="00AF5DD1">
                          <w:rPr>
                            <w:rFonts w:ascii="Poppins Black" w:hAnsi="Poppins Black" w:cs="Poppins Black"/>
                            <w:color w:val="DEEAF6"/>
                            <w:sz w:val="28"/>
                            <w:szCs w:val="28"/>
                            <w:lang w:val="en-US"/>
                          </w:rPr>
                          <w:t>Impact of institutional management on the well-bei</w:t>
                        </w:r>
                        <w:r w:rsidR="00A041F3">
                          <w:rPr>
                            <w:rFonts w:ascii="Poppins Black" w:hAnsi="Poppins Black" w:cs="Poppins Black"/>
                            <w:color w:val="DEEAF6"/>
                            <w:sz w:val="28"/>
                            <w:szCs w:val="28"/>
                            <w:lang w:val="en-US"/>
                          </w:rPr>
                          <w:t>ng of higher education students:</w:t>
                        </w:r>
                        <w:r w:rsidRPr="00AF5DD1">
                          <w:rPr>
                            <w:rFonts w:ascii="Poppins Black" w:hAnsi="Poppins Black" w:cs="Poppins Black"/>
                            <w:color w:val="DEEAF6"/>
                            <w:sz w:val="28"/>
                            <w:szCs w:val="28"/>
                            <w:lang w:val="en-US"/>
                          </w:rPr>
                          <w:t xml:space="preserve"> Systematic analysis</w:t>
                        </w:r>
                      </w:p>
                    </w:txbxContent>
                  </v:textbox>
                </v:shape>
                <w10:wrap type="square" anchorx="page" anchory="page"/>
              </v:group>
            </w:pict>
          </mc:Fallback>
        </mc:AlternateContent>
      </w:r>
      <w:r w:rsidR="00A17E32">
        <w:rPr>
          <w:noProof/>
          <w:lang w:val="en-US"/>
        </w:rPr>
        <mc:AlternateContent>
          <mc:Choice Requires="wps">
            <w:drawing>
              <wp:anchor distT="0" distB="0" distL="114300" distR="114300" simplePos="0" relativeHeight="251655168" behindDoc="0" locked="0" layoutInCell="1" allowOverlap="1" wp14:anchorId="4162349F" wp14:editId="28889BEA">
                <wp:simplePos x="0" y="0"/>
                <wp:positionH relativeFrom="column">
                  <wp:posOffset>-326390</wp:posOffset>
                </wp:positionH>
                <wp:positionV relativeFrom="paragraph">
                  <wp:posOffset>5259070</wp:posOffset>
                </wp:positionV>
                <wp:extent cx="3327400" cy="355600"/>
                <wp:effectExtent l="0" t="0" r="6350" b="6350"/>
                <wp:wrapNone/>
                <wp:docPr id="668084301" name="Rectángulo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27400" cy="355600"/>
                        </a:xfrm>
                        <a:prstGeom prst="rect">
                          <a:avLst/>
                        </a:prstGeom>
                        <a:solidFill>
                          <a:srgbClr val="19195D"/>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4DA3E5" id="Rectángulo 7" o:spid="_x0000_s1026" style="position:absolute;margin-left:-25.7pt;margin-top:414.1pt;width:262pt;height:28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" fillcolor="#19195d" strokecolor="#172c51" strokeweight="1pt">
                <v:path arrowok="t"/>
              </v:rect>
            </w:pict>
          </mc:Fallback>
        </mc:AlternateContent>
      </w:r>
    </w:p>
    <w:p w:rsidR="00DE6601" w:rsidRPr="00E271E2" w:rsidRDefault="00DE6601" w:rsidP="00E271E2">
      <w:pPr>
        <w:spacing w:after="0" w:line="240" w:lineRule="auto"/>
        <w:jc w:val="both"/>
        <w:rPr>
          <w:rFonts w:ascii="Arial" w:hAnsi="Arial" w:cs="Arial"/>
          <w:b/>
          <w:bCs/>
        </w:rPr>
      </w:pPr>
      <w:r w:rsidRPr="00E271E2">
        <w:rPr>
          <w:rFonts w:ascii="Arial" w:hAnsi="Arial" w:cs="Arial"/>
          <w:b/>
          <w:bCs/>
        </w:rPr>
        <w:t>Resumen</w:t>
      </w:r>
    </w:p>
    <w:p w:rsidR="00AF5DD1" w:rsidRDefault="00E22E41" w:rsidP="00E271E2">
      <w:pPr>
        <w:spacing w:after="0" w:line="240" w:lineRule="auto"/>
        <w:jc w:val="both"/>
        <w:rPr>
          <w:rFonts w:ascii="Arial" w:hAnsi="Arial" w:cs="Arial"/>
          <w:sz w:val="20"/>
          <w:szCs w:val="20"/>
        </w:rPr>
      </w:pPr>
      <w:r w:rsidRPr="00E22E41">
        <w:rPr>
          <w:rFonts w:ascii="Arial" w:hAnsi="Arial" w:cs="Arial"/>
          <w:sz w:val="20"/>
          <w:szCs w:val="20"/>
        </w:rPr>
        <w:t>En un contexto global marcado por transformaciones constantes, las instituciones de educación superior enfrentan el desafío de implementar programas eficaces que respondan a las nuevas exigencias formativas. El presente estudio tuvo como objetivo analizar la gestión institucional y su incidencia en el bienestar de los estudiantes universitarios. Para ello, se adoptó un enfoque cualitativo, basado en una revisión sistemática de la literatura, siguiendo los lineamientos del modelo PRISMA. El proceso de revisión bibliográfica abarcó un total de 80 artículos científicos publicados entre 2020 y 2025, de los cuales 18 cumplieron con los criterios de inclusión establecidos. Los resultados evidencian que las estrategias de gestión educativa tienden a priorizar el bienestar estudiantil, reconociéndolo como un componente clave para el logro académico. Se concluye que una gestión institucional eficiente, articulada con los objetivos académicos y misionales, incide positivamente en los programas de bienestar, al facilitar el acceso equitativo a recursos y servicios, crear condiciones favorables para el aprendizaje, y potenciar tanto el rendimiento académico como el desarrollo integral del estudiante.</w:t>
      </w:r>
    </w:p>
    <w:p w:rsidR="00E22E41" w:rsidRPr="00E271E2" w:rsidRDefault="00E22E41" w:rsidP="00E271E2">
      <w:pPr>
        <w:spacing w:after="0" w:line="240" w:lineRule="auto"/>
        <w:jc w:val="both"/>
        <w:rPr>
          <w:rFonts w:ascii="Arial" w:hAnsi="Arial" w:cs="Arial"/>
          <w:sz w:val="20"/>
          <w:szCs w:val="20"/>
        </w:rPr>
      </w:pPr>
    </w:p>
    <w:p w:rsidR="00627E06" w:rsidRPr="00E271E2" w:rsidRDefault="00EF28BE" w:rsidP="00E271E2">
      <w:pPr>
        <w:spacing w:after="0" w:line="240" w:lineRule="auto"/>
        <w:jc w:val="both"/>
        <w:rPr>
          <w:rFonts w:ascii="Arial" w:hAnsi="Arial" w:cs="Arial"/>
          <w:sz w:val="20"/>
          <w:szCs w:val="20"/>
        </w:rPr>
      </w:pPr>
      <w:r w:rsidRPr="00E271E2">
        <w:rPr>
          <w:rFonts w:ascii="Arial" w:hAnsi="Arial" w:cs="Arial"/>
          <w:b/>
          <w:bCs/>
          <w:sz w:val="20"/>
          <w:szCs w:val="20"/>
        </w:rPr>
        <w:t>Palabras clave</w:t>
      </w:r>
      <w:r w:rsidR="00AF5DD1">
        <w:rPr>
          <w:rFonts w:ascii="Arial" w:hAnsi="Arial" w:cs="Arial"/>
          <w:sz w:val="20"/>
          <w:szCs w:val="20"/>
        </w:rPr>
        <w:t>: g</w:t>
      </w:r>
      <w:r w:rsidR="00AF5DD1" w:rsidRPr="00AF5DD1">
        <w:rPr>
          <w:rFonts w:ascii="Arial" w:hAnsi="Arial" w:cs="Arial"/>
          <w:sz w:val="20"/>
          <w:szCs w:val="20"/>
        </w:rPr>
        <w:t>estión educacional, bienestar del estudiante, estrategias educativas</w:t>
      </w:r>
      <w:r w:rsidR="00E271E2">
        <w:rPr>
          <w:rFonts w:ascii="Arial" w:hAnsi="Arial" w:cs="Arial"/>
          <w:sz w:val="20"/>
          <w:szCs w:val="20"/>
        </w:rPr>
        <w:t>.</w:t>
      </w:r>
    </w:p>
    <w:p w:rsidR="009447C3" w:rsidRPr="00E271E2" w:rsidRDefault="009447C3" w:rsidP="00E271E2">
      <w:pPr>
        <w:spacing w:after="0" w:line="240" w:lineRule="auto"/>
        <w:jc w:val="both"/>
        <w:rPr>
          <w:rFonts w:ascii="Arial" w:hAnsi="Arial" w:cs="Arial"/>
          <w:sz w:val="20"/>
          <w:szCs w:val="20"/>
        </w:rPr>
      </w:pPr>
    </w:p>
    <w:p w:rsidR="00EF28BE" w:rsidRPr="00E271E2" w:rsidRDefault="005340FA" w:rsidP="00E271E2">
      <w:pPr>
        <w:spacing w:after="0" w:line="240" w:lineRule="auto"/>
        <w:jc w:val="both"/>
        <w:rPr>
          <w:rFonts w:ascii="Arial" w:hAnsi="Arial" w:cs="Arial"/>
          <w:b/>
          <w:bCs/>
        </w:rPr>
      </w:pPr>
      <w:r w:rsidRPr="00E271E2">
        <w:rPr>
          <w:rFonts w:ascii="Arial" w:hAnsi="Arial" w:cs="Arial"/>
          <w:b/>
          <w:bCs/>
        </w:rPr>
        <w:lastRenderedPageBreak/>
        <w:t>Abstracta</w:t>
      </w:r>
    </w:p>
    <w:p w:rsidR="00E22E41" w:rsidRPr="00E22E41" w:rsidRDefault="00E22E41" w:rsidP="00E22E41">
      <w:pPr>
        <w:spacing w:after="0" w:line="240" w:lineRule="auto"/>
        <w:jc w:val="both"/>
        <w:rPr>
          <w:rFonts w:ascii="Arial" w:hAnsi="Arial" w:cs="Arial"/>
          <w:sz w:val="20"/>
          <w:szCs w:val="20"/>
          <w:lang w:val="en-US"/>
        </w:rPr>
      </w:pPr>
      <w:r w:rsidRPr="00E22E41">
        <w:rPr>
          <w:rFonts w:ascii="Arial" w:hAnsi="Arial" w:cs="Arial"/>
          <w:sz w:val="20"/>
          <w:szCs w:val="20"/>
          <w:lang w:val="en-US"/>
        </w:rPr>
        <w:t>In a global context marked by constant change, higher education institutions face the challenge of implementing effective programs that respond to new educational demands. The present study aimed to analyze institutional management and its impact on the well-being of university students. To this end, a qualitative approach was adopted, based on a systematic review of the literature, following the guidelines of the PRISMA model. The literature review process covered a total of 80 scientific articles published between 2020 and 2025, of which 18 met the established inclusion criteria. The results show that educational management strategies tend to prioritize student well-being, recognizing it as a key component for academic achievement. It is concluded that efficient institutional management, articulated with academic and mission objectives, has a positive impact on well-being programs by facilitating equitable access to resources and services, creating favorable conditions for learning, and enhancing both academic performance and the comprehensive development of students.</w:t>
      </w:r>
    </w:p>
    <w:p w:rsidR="00E22E41" w:rsidRPr="00E22E41" w:rsidRDefault="00E22E41" w:rsidP="00E22E41">
      <w:pPr>
        <w:spacing w:after="0" w:line="240" w:lineRule="auto"/>
        <w:jc w:val="both"/>
        <w:rPr>
          <w:rFonts w:ascii="Arial" w:hAnsi="Arial" w:cs="Arial"/>
          <w:sz w:val="20"/>
          <w:szCs w:val="20"/>
          <w:lang w:val="en-US"/>
        </w:rPr>
      </w:pPr>
    </w:p>
    <w:p w:rsidR="00EF28BE" w:rsidRPr="00E22E41" w:rsidRDefault="00EF28BE" w:rsidP="00E271E2">
      <w:pPr>
        <w:spacing w:after="0" w:line="240" w:lineRule="auto"/>
        <w:jc w:val="both"/>
        <w:rPr>
          <w:rFonts w:ascii="Arial" w:hAnsi="Arial" w:cs="Arial"/>
          <w:sz w:val="20"/>
          <w:szCs w:val="20"/>
          <w:lang w:val="en-US"/>
        </w:rPr>
      </w:pPr>
      <w:r w:rsidRPr="00E22E41">
        <w:rPr>
          <w:rFonts w:ascii="Arial" w:hAnsi="Arial" w:cs="Arial"/>
          <w:b/>
          <w:bCs/>
          <w:sz w:val="20"/>
          <w:szCs w:val="20"/>
          <w:lang w:val="en-US"/>
        </w:rPr>
        <w:t>Keywords</w:t>
      </w:r>
      <w:r w:rsidR="00E22E41" w:rsidRPr="00E22E41">
        <w:rPr>
          <w:rFonts w:ascii="Arial" w:hAnsi="Arial" w:cs="Arial"/>
          <w:sz w:val="20"/>
          <w:szCs w:val="20"/>
          <w:lang w:val="en-US"/>
        </w:rPr>
        <w:t>: educational management, student welfare, educational strategies</w:t>
      </w:r>
      <w:r w:rsidR="00E271E2" w:rsidRPr="00E22E41">
        <w:rPr>
          <w:rFonts w:ascii="Arial" w:hAnsi="Arial" w:cs="Arial"/>
          <w:sz w:val="20"/>
          <w:szCs w:val="20"/>
          <w:lang w:val="en-US"/>
        </w:rPr>
        <w:t>.</w:t>
      </w:r>
    </w:p>
    <w:p w:rsidR="00EF28BE" w:rsidRPr="00E22E41" w:rsidRDefault="00EF28BE" w:rsidP="00E271E2">
      <w:pPr>
        <w:spacing w:after="0" w:line="240" w:lineRule="auto"/>
        <w:jc w:val="both"/>
        <w:rPr>
          <w:rFonts w:ascii="Arial" w:hAnsi="Arial" w:cs="Arial"/>
          <w:sz w:val="20"/>
          <w:szCs w:val="20"/>
          <w:lang w:val="en-US"/>
        </w:rPr>
      </w:pPr>
    </w:p>
    <w:p w:rsidR="00EF28BE" w:rsidRPr="00E271E2" w:rsidRDefault="00EF28BE" w:rsidP="00E271E2">
      <w:pPr>
        <w:spacing w:after="0" w:line="240" w:lineRule="auto"/>
        <w:jc w:val="both"/>
        <w:rPr>
          <w:rFonts w:ascii="Arial" w:hAnsi="Arial" w:cs="Arial"/>
          <w:b/>
          <w:bCs/>
        </w:rPr>
      </w:pPr>
      <w:r w:rsidRPr="00E271E2">
        <w:rPr>
          <w:rFonts w:ascii="Arial" w:hAnsi="Arial" w:cs="Arial"/>
          <w:b/>
          <w:bCs/>
        </w:rPr>
        <w:t>Introducción</w:t>
      </w:r>
    </w:p>
    <w:p w:rsidR="00E22E41" w:rsidRPr="00E22E41" w:rsidRDefault="00E22E41" w:rsidP="00E22E41">
      <w:pPr>
        <w:spacing w:after="0" w:line="240" w:lineRule="auto"/>
        <w:ind w:firstLine="709"/>
        <w:jc w:val="both"/>
        <w:rPr>
          <w:rFonts w:ascii="Arial" w:hAnsi="Arial" w:cs="Arial"/>
          <w:sz w:val="20"/>
          <w:szCs w:val="20"/>
        </w:rPr>
      </w:pPr>
      <w:r w:rsidRPr="00E22E41">
        <w:rPr>
          <w:rFonts w:ascii="Arial" w:hAnsi="Arial" w:cs="Arial"/>
          <w:sz w:val="20"/>
          <w:szCs w:val="20"/>
        </w:rPr>
        <w:t>Las organizaciones definen objetivos y metas claras orientadas al logro de beneficios y resultados, los cuales varían según la naturaleza y el enfoque de cada institución. Estos deben implementarse a través de diversas estrategias y acciones específicas (Adiela et al., 2022). En este sentido, el trabajo en las organizaciones educativas abarca tanto aspectos académicos como administrativos. Muchos de los logros en gestión dependen de la capacidad humana para desarrollar habilidades en los estudiantes y posicionar a la institución en niveles competitivos. Problemas como ambientes inadecuados o dificultades internas con el personal constituyen obstáculos que impiden alcanzar las metas institucionales (Rashid et al., 2021).</w:t>
      </w:r>
    </w:p>
    <w:p w:rsidR="00E22E41" w:rsidRPr="00E22E41" w:rsidRDefault="00E22E41" w:rsidP="00E22E41">
      <w:pPr>
        <w:spacing w:after="0" w:line="240" w:lineRule="auto"/>
        <w:ind w:firstLine="709"/>
        <w:jc w:val="both"/>
        <w:rPr>
          <w:rFonts w:ascii="Arial" w:hAnsi="Arial" w:cs="Arial"/>
          <w:sz w:val="20"/>
          <w:szCs w:val="20"/>
        </w:rPr>
      </w:pPr>
      <w:r w:rsidRPr="00E22E41">
        <w:rPr>
          <w:rFonts w:ascii="Arial" w:hAnsi="Arial" w:cs="Arial"/>
          <w:sz w:val="20"/>
          <w:szCs w:val="20"/>
        </w:rPr>
        <w:t>La educación superior constituye un componente fundamental en la formación del capital humano a través del desarrollo de competencias especializadas que respondan a las demandas del mercado laboral. Sin embargo, la gestión institucional en muchas universidades aún no logra satisfacer adecuadamente las necesidades y expectativas de los estudiantes, lo que genera insatisfacción, desmotivación e incluso abandono de los estudios. Esta problemática se agrava cuando los modelos administrativos son ineficaces, la atención al estudiante es deficiente y los canales de comunicación son poco claros o ineficientes. La ausencia de una cultura centrada en el estudiante tiene un efecto adverso en su experiencia académica (Leoncio et al., 2022). Entre las principales razones para el abandono académico destacan los factores familiares y las limitaciones económicas (Miranda &amp; Alarcón, 2021).</w:t>
      </w:r>
    </w:p>
    <w:p w:rsidR="00E22E41" w:rsidRPr="00E22E41" w:rsidRDefault="00E22E41" w:rsidP="00E22E41">
      <w:pPr>
        <w:spacing w:after="0" w:line="240" w:lineRule="auto"/>
        <w:ind w:firstLine="709"/>
        <w:jc w:val="both"/>
        <w:rPr>
          <w:rFonts w:ascii="Arial" w:hAnsi="Arial" w:cs="Arial"/>
          <w:sz w:val="20"/>
          <w:szCs w:val="20"/>
        </w:rPr>
      </w:pPr>
      <w:r w:rsidRPr="00E22E41">
        <w:rPr>
          <w:rFonts w:ascii="Arial" w:hAnsi="Arial" w:cs="Arial"/>
          <w:sz w:val="20"/>
          <w:szCs w:val="20"/>
        </w:rPr>
        <w:t>Uno de los temas más relevantes es el papel de la gestión investigativa y gerencial en un entorno globalizado, ante los cambios y adaptaciones que deben asumir las instituciones de educación superior en función de las teorías y modelos educativos y administrativos contemporáneos (Vătămănescu et al., 2022). Por ejemplo, un análisis comparativo entre los sistemas educativos de España y República Dominicana evidenció diferencias significativas en los modelos de formación profesional aplicados en ambos países (Carrascal et al., 2022).</w:t>
      </w:r>
    </w:p>
    <w:p w:rsidR="00E22E41" w:rsidRPr="00E22E41" w:rsidRDefault="00E22E41" w:rsidP="00E22E41">
      <w:pPr>
        <w:spacing w:after="0" w:line="240" w:lineRule="auto"/>
        <w:ind w:firstLine="709"/>
        <w:jc w:val="both"/>
        <w:rPr>
          <w:rFonts w:ascii="Arial" w:hAnsi="Arial" w:cs="Arial"/>
          <w:sz w:val="20"/>
          <w:szCs w:val="20"/>
        </w:rPr>
      </w:pPr>
      <w:r w:rsidRPr="00E22E41">
        <w:rPr>
          <w:rFonts w:ascii="Arial" w:hAnsi="Arial" w:cs="Arial"/>
          <w:sz w:val="20"/>
          <w:szCs w:val="20"/>
        </w:rPr>
        <w:t>Por otro lado, un estudio realizado por una corporación española en 2023 reportó deficiencias en el desarrollo profesional docente (2.3%) y una baja motivación para mejorar sus prácticas (4.6%). Asimismo, se identificaron problemas en la colaboración organizacional (2.3%) y en la disponibilidad de recursos materiales adecuados (4.6%). En cuanto a la evaluación docente, solo el 5% de los educadores percibieron una interacción y apoyo significativo por parte de sus instituciones. Esto evidencia la necesidad de una gestión institucional con características claras, que articule los distintos sectores para generar valor público (CEPAL, 2023).</w:t>
      </w:r>
    </w:p>
    <w:p w:rsidR="00E22E41" w:rsidRPr="00E22E41" w:rsidRDefault="00E22E41" w:rsidP="00E22E41">
      <w:pPr>
        <w:spacing w:after="0" w:line="240" w:lineRule="auto"/>
        <w:ind w:firstLine="709"/>
        <w:jc w:val="both"/>
        <w:rPr>
          <w:rFonts w:ascii="Arial" w:hAnsi="Arial" w:cs="Arial"/>
          <w:sz w:val="20"/>
          <w:szCs w:val="20"/>
        </w:rPr>
      </w:pPr>
      <w:r w:rsidRPr="00E22E41">
        <w:rPr>
          <w:rFonts w:ascii="Arial" w:hAnsi="Arial" w:cs="Arial"/>
          <w:sz w:val="20"/>
          <w:szCs w:val="20"/>
        </w:rPr>
        <w:t>En términos generales, los sistemas educativos de América Latina carecen de programas estructurados de formación dirigidos específicamente a la preparación de personal para asumir funciones directivas. Los programas existentes suelen ser generalistas y no responden a las necesidades reales del contexto educativo. Además, los directivos muestran una capacidad limitada para tomar decisiones en torno a la gestión del talento humano (Ramírez et al., 2021).</w:t>
      </w:r>
    </w:p>
    <w:p w:rsidR="00E22E41" w:rsidRPr="00E22E41" w:rsidRDefault="00E22E41" w:rsidP="00E22E41">
      <w:pPr>
        <w:spacing w:after="0" w:line="240" w:lineRule="auto"/>
        <w:ind w:firstLine="709"/>
        <w:jc w:val="both"/>
        <w:rPr>
          <w:rFonts w:ascii="Arial" w:hAnsi="Arial" w:cs="Arial"/>
          <w:sz w:val="20"/>
          <w:szCs w:val="20"/>
        </w:rPr>
      </w:pPr>
      <w:r w:rsidRPr="00E22E41">
        <w:rPr>
          <w:rFonts w:ascii="Arial" w:hAnsi="Arial" w:cs="Arial"/>
          <w:sz w:val="20"/>
          <w:szCs w:val="20"/>
        </w:rPr>
        <w:t>Los procesos de acreditación se han vuelto cada vez más complejos debido a la incorporación de nuevos estándares e indicadores. Por ello, resulta fundamental fortalecer la gestión institucional para cumplir con los requerimientos de los sistemas de aseguramiento de la calidad en la educación superior (Otero, 2023). Una de las principales problemáticas radica en generar acciones concretas de mejora de los procesos administrativos, ya que la calidad del servicio influye directamente en la atracción de estudiantes y en su futura inserción en el mercado laboral (Arriagada-Poblete et al., 2023).</w:t>
      </w:r>
      <w:bookmarkStart w:id="0" w:name="_GoBack"/>
      <w:bookmarkEnd w:id="0"/>
    </w:p>
    <w:p w:rsidR="00E22E41" w:rsidRPr="00E22E41" w:rsidRDefault="00E22E41" w:rsidP="00E22E41">
      <w:pPr>
        <w:spacing w:after="0" w:line="240" w:lineRule="auto"/>
        <w:ind w:firstLine="709"/>
        <w:jc w:val="both"/>
        <w:rPr>
          <w:rFonts w:ascii="Arial" w:hAnsi="Arial" w:cs="Arial"/>
          <w:sz w:val="20"/>
          <w:szCs w:val="20"/>
        </w:rPr>
      </w:pPr>
      <w:r w:rsidRPr="00E22E41">
        <w:rPr>
          <w:rFonts w:ascii="Arial" w:hAnsi="Arial" w:cs="Arial"/>
          <w:sz w:val="20"/>
          <w:szCs w:val="20"/>
        </w:rPr>
        <w:t>En Ecuador, la educación superior se encuentra regulada por un marco normativo específico y supervisada por un organismo que vela por la calidad educativa; no obstante, aún es necesario evaluar el impacto de la gestión administrativa en la prestación efectiva de los servicios académicos (Bravo &amp; Alvites, 2020). En Colombia, el avance tecnológico y los cambios sociales y económicos plantean el reto de preparar a los estudiantes en competencias y valores que favorezcan el desarrollo social. El uso adecuado del conocimiento y las metodologías pedagógicas se vuelve clave para asegurar la pertinencia de los programas educativos (Pertuz et al., 2024).</w:t>
      </w:r>
    </w:p>
    <w:p w:rsidR="00E22E41" w:rsidRPr="00E22E41" w:rsidRDefault="00E22E41" w:rsidP="00E22E41">
      <w:pPr>
        <w:spacing w:after="0" w:line="240" w:lineRule="auto"/>
        <w:ind w:firstLine="709"/>
        <w:jc w:val="both"/>
        <w:rPr>
          <w:rFonts w:ascii="Arial" w:hAnsi="Arial" w:cs="Arial"/>
          <w:sz w:val="20"/>
          <w:szCs w:val="20"/>
        </w:rPr>
      </w:pPr>
      <w:r w:rsidRPr="00E22E41">
        <w:rPr>
          <w:rFonts w:ascii="Arial" w:hAnsi="Arial" w:cs="Arial"/>
          <w:sz w:val="20"/>
          <w:szCs w:val="20"/>
        </w:rPr>
        <w:t>Rivera (2021) sostiene que las universidades deben asumir un rol activo en la investigación y la proyección social, extendiendo el alcance de sus servicios y contribuyendo al bienestar colectivo, mediante una comunicación eficaz y una adecuada difusión de la información. Para ello, los modelos de evaluación deben orientarse a garantizar estándares de calidad tanto en instituciones públicas como privadas (Otero, 2023). En Venezuela, Durán (2022) encontró que los programas de bienestar estudiantil están presentes en universidades públicas, pero las limitaciones presupuestarias dificultan su implementación adecuada.</w:t>
      </w:r>
    </w:p>
    <w:p w:rsidR="00E22E41" w:rsidRPr="00E22E41" w:rsidRDefault="00E22E41" w:rsidP="00E22E41">
      <w:pPr>
        <w:spacing w:after="0" w:line="240" w:lineRule="auto"/>
        <w:ind w:firstLine="709"/>
        <w:jc w:val="both"/>
        <w:rPr>
          <w:rFonts w:ascii="Arial" w:hAnsi="Arial" w:cs="Arial"/>
          <w:sz w:val="20"/>
          <w:szCs w:val="20"/>
        </w:rPr>
      </w:pPr>
      <w:r w:rsidRPr="00E22E41">
        <w:rPr>
          <w:rFonts w:ascii="Arial" w:hAnsi="Arial" w:cs="Arial"/>
          <w:sz w:val="20"/>
          <w:szCs w:val="20"/>
        </w:rPr>
        <w:t>En el caso del Perú, los proyectos institucionales muchas veces no se relacionan con las necesidades reales de las escuelas, y persisten deficiencias en el seguimiento y control de las actividades planificadas, así como una escasez de materiales en instituciones públicas (Shuan &amp; Arizapana, 2024).</w:t>
      </w:r>
    </w:p>
    <w:p w:rsidR="00E22E41" w:rsidRPr="00E22E41" w:rsidRDefault="00E22E41" w:rsidP="00E22E41">
      <w:pPr>
        <w:spacing w:after="0" w:line="240" w:lineRule="auto"/>
        <w:ind w:firstLine="709"/>
        <w:jc w:val="both"/>
        <w:rPr>
          <w:rFonts w:ascii="Arial" w:hAnsi="Arial" w:cs="Arial"/>
          <w:sz w:val="20"/>
          <w:szCs w:val="20"/>
        </w:rPr>
      </w:pPr>
      <w:r w:rsidRPr="00E22E41">
        <w:rPr>
          <w:rFonts w:ascii="Arial" w:hAnsi="Arial" w:cs="Arial"/>
          <w:sz w:val="20"/>
          <w:szCs w:val="20"/>
        </w:rPr>
        <w:t>En este contexto, el presente estudio tiene como objetivo principal realizar un análisis exhaustivo de la gestión institucional y su impacto directo en el bienestar integral de los estudiantes de educación superior. La investigación busca comprender cómo las prácticas y decisiones administrativas inciden en dimensiones clave del desarrollo académico, emocional y social del estudiantado universitario.</w:t>
      </w:r>
    </w:p>
    <w:p w:rsidR="002B107F" w:rsidRPr="00E271E2" w:rsidRDefault="002B107F" w:rsidP="002B107F">
      <w:pPr>
        <w:spacing w:after="0" w:line="240" w:lineRule="auto"/>
        <w:ind w:firstLine="709"/>
        <w:jc w:val="both"/>
        <w:rPr>
          <w:rFonts w:ascii="Arial" w:hAnsi="Arial" w:cs="Arial"/>
          <w:sz w:val="20"/>
          <w:szCs w:val="20"/>
        </w:rPr>
      </w:pPr>
    </w:p>
    <w:p w:rsidR="00683E7D" w:rsidRPr="00E271E2" w:rsidRDefault="00683E7D" w:rsidP="00E271E2">
      <w:pPr>
        <w:spacing w:after="0" w:line="240" w:lineRule="auto"/>
        <w:jc w:val="both"/>
        <w:rPr>
          <w:rFonts w:ascii="Arial" w:hAnsi="Arial" w:cs="Arial"/>
          <w:b/>
          <w:bCs/>
        </w:rPr>
      </w:pPr>
      <w:r w:rsidRPr="00E271E2">
        <w:rPr>
          <w:rFonts w:ascii="Arial" w:hAnsi="Arial" w:cs="Arial"/>
          <w:b/>
          <w:bCs/>
        </w:rPr>
        <w:t>Metodología</w:t>
      </w:r>
    </w:p>
    <w:p w:rsidR="00A6138F" w:rsidRPr="00A6138F" w:rsidRDefault="00A6138F" w:rsidP="00A6138F">
      <w:pPr>
        <w:spacing w:after="0" w:line="240" w:lineRule="auto"/>
        <w:ind w:firstLine="708"/>
        <w:jc w:val="both"/>
        <w:rPr>
          <w:rFonts w:ascii="Arial" w:hAnsi="Arial" w:cs="Arial"/>
          <w:sz w:val="20"/>
          <w:szCs w:val="20"/>
        </w:rPr>
      </w:pPr>
      <w:r w:rsidRPr="00A6138F">
        <w:rPr>
          <w:rFonts w:ascii="Arial" w:hAnsi="Arial" w:cs="Arial"/>
          <w:sz w:val="20"/>
          <w:szCs w:val="20"/>
        </w:rPr>
        <w:t>Este estudio adoptó un enfoque cualitativo, basado en una revisión sistemática de la literatura, con el propósito de recopilar, analizar y sintetizar de manera rigurosa y estructurada la evidencia empírica relacionada con la gestión institucional y su incidencia en el bienestar de los estudiantes de educación superior.</w:t>
      </w:r>
      <w:r>
        <w:rPr>
          <w:rFonts w:ascii="Arial" w:hAnsi="Arial" w:cs="Arial"/>
          <w:sz w:val="20"/>
          <w:szCs w:val="20"/>
        </w:rPr>
        <w:t xml:space="preserve"> </w:t>
      </w:r>
      <w:r w:rsidRPr="00A6138F">
        <w:rPr>
          <w:rFonts w:ascii="Arial" w:hAnsi="Arial" w:cs="Arial"/>
          <w:sz w:val="20"/>
          <w:szCs w:val="20"/>
        </w:rPr>
        <w:t>El procedimiento metodológico se desarrolló siguiendo las directrices del modelo PRISMA, lo que permitió estructurar de forma transparente las etapas de búsqueda, selección, evaluación y síntesis de los estudios incluidos. Este modelo facilitó la trazabilidad de cada decisión metodológica adoptada durante el proceso investigativo.</w:t>
      </w:r>
    </w:p>
    <w:p w:rsidR="00A6138F" w:rsidRPr="00A6138F" w:rsidRDefault="00A6138F" w:rsidP="00A6138F">
      <w:pPr>
        <w:spacing w:after="0" w:line="240" w:lineRule="auto"/>
        <w:ind w:firstLine="708"/>
        <w:jc w:val="both"/>
        <w:rPr>
          <w:rFonts w:ascii="Arial" w:hAnsi="Arial" w:cs="Arial"/>
          <w:sz w:val="20"/>
          <w:szCs w:val="20"/>
        </w:rPr>
      </w:pPr>
      <w:r w:rsidRPr="00A6138F">
        <w:rPr>
          <w:rFonts w:ascii="Arial" w:hAnsi="Arial" w:cs="Arial"/>
          <w:sz w:val="20"/>
          <w:szCs w:val="20"/>
        </w:rPr>
        <w:t>La estrategia de búsqueda se aplicó en tres bases de datos académicas reconocidas por su relevancia en el ámbito de las ciencias sociales y la educación: Scopus, SciELO y Latindex. Se emplearon combinaciones de palabras clave relacionadas con los términos “gestión institucional”, “educación superior”, “bienestar estudiantil” y “calidad educativa”. Esta búsqueda inicial arrojó un total de 80 registros. Tras la eliminación de 30 artículos duplicados, se procedió a la lectura de los resúmenes de los 50 documentos restantes.</w:t>
      </w:r>
    </w:p>
    <w:p w:rsidR="00A6138F" w:rsidRPr="00A6138F" w:rsidRDefault="00A6138F" w:rsidP="00A6138F">
      <w:pPr>
        <w:spacing w:after="0" w:line="240" w:lineRule="auto"/>
        <w:ind w:firstLine="708"/>
        <w:jc w:val="both"/>
        <w:rPr>
          <w:rFonts w:ascii="Arial" w:hAnsi="Arial" w:cs="Arial"/>
          <w:sz w:val="20"/>
          <w:szCs w:val="20"/>
        </w:rPr>
      </w:pPr>
      <w:r w:rsidRPr="00A6138F">
        <w:rPr>
          <w:rFonts w:ascii="Arial" w:hAnsi="Arial" w:cs="Arial"/>
          <w:sz w:val="20"/>
          <w:szCs w:val="20"/>
        </w:rPr>
        <w:t>Durante la fase de cribado, se aplicaron los siguientes criterios de inclusión: pertinencia temática respecto a la gestión institucional en el contexto de la educación superior, claridad metodológica, publicación entre los años 2020 y 2025, y disponibilidad del texto completo. Por otro lado, los criterios de exclusión incluyeron: estudios con enfoques metodológicos poco definidos, escasa relevancia directa con el tema central, y artículos fuera del periodo temporal establecido. Como resultado, se seleccionaron 18 artículos que cumplían con todos los criterios establecidos.</w:t>
      </w:r>
    </w:p>
    <w:p w:rsidR="002B107F" w:rsidRDefault="00A6138F" w:rsidP="00A6138F">
      <w:pPr>
        <w:spacing w:after="0" w:line="240" w:lineRule="auto"/>
        <w:ind w:firstLine="708"/>
        <w:jc w:val="both"/>
        <w:rPr>
          <w:rFonts w:ascii="Arial" w:hAnsi="Arial" w:cs="Arial"/>
          <w:sz w:val="20"/>
          <w:szCs w:val="20"/>
        </w:rPr>
      </w:pPr>
      <w:r w:rsidRPr="00A6138F">
        <w:rPr>
          <w:rFonts w:ascii="Arial" w:hAnsi="Arial" w:cs="Arial"/>
          <w:sz w:val="20"/>
          <w:szCs w:val="20"/>
        </w:rPr>
        <w:t>La distribución de los estudios seleccionados según la base de datos fue la siguiente: Scopus (6 artículos), SciELO (10 artículos) y Latindex (2 artículos), lo que refleja un total de 18 investigaciones pertinentes para el análisis profundo, tras una segunda depuración centrada en la calidad metodológica y la relación directa con los objetivos del estudio.</w:t>
      </w:r>
      <w:r>
        <w:rPr>
          <w:rFonts w:ascii="Arial" w:hAnsi="Arial" w:cs="Arial"/>
          <w:sz w:val="20"/>
          <w:szCs w:val="20"/>
        </w:rPr>
        <w:t xml:space="preserve"> </w:t>
      </w:r>
      <w:r w:rsidRPr="00A6138F">
        <w:rPr>
          <w:rFonts w:ascii="Arial" w:hAnsi="Arial" w:cs="Arial"/>
          <w:sz w:val="20"/>
          <w:szCs w:val="20"/>
        </w:rPr>
        <w:t>El análisis de los documentos se llevó a cabo mediante una lectura crítica y una categorización temática, lo que permitió identificar patrones, enfoques conceptuales y hallazgos comunes relacionados con los efectos de la gestión institucional sobre el bienestar estudiantil. Esta metodología posibilitó la construcción de un marco teórico sólido y actualizado, aportando evidencia significativa y contextualizada para el desarrollo de las conclusiones del estudio.</w:t>
      </w:r>
    </w:p>
    <w:p w:rsidR="00A6138F" w:rsidRDefault="00A6138F" w:rsidP="002B107F">
      <w:pPr>
        <w:spacing w:after="0" w:line="240" w:lineRule="auto"/>
        <w:jc w:val="both"/>
        <w:rPr>
          <w:rFonts w:ascii="Arial" w:hAnsi="Arial" w:cs="Arial"/>
          <w:b/>
          <w:sz w:val="20"/>
          <w:szCs w:val="20"/>
        </w:rPr>
      </w:pPr>
    </w:p>
    <w:p w:rsidR="00A6138F" w:rsidRDefault="00A6138F" w:rsidP="002B107F">
      <w:pPr>
        <w:spacing w:after="0" w:line="240" w:lineRule="auto"/>
        <w:jc w:val="both"/>
        <w:rPr>
          <w:rFonts w:ascii="Arial" w:hAnsi="Arial" w:cs="Arial"/>
          <w:b/>
          <w:sz w:val="20"/>
          <w:szCs w:val="20"/>
        </w:rPr>
      </w:pPr>
    </w:p>
    <w:p w:rsidR="00A6138F" w:rsidRDefault="00A6138F" w:rsidP="002B107F">
      <w:pPr>
        <w:spacing w:after="0" w:line="240" w:lineRule="auto"/>
        <w:jc w:val="both"/>
        <w:rPr>
          <w:rFonts w:ascii="Arial" w:hAnsi="Arial" w:cs="Arial"/>
          <w:b/>
          <w:sz w:val="20"/>
          <w:szCs w:val="20"/>
        </w:rPr>
      </w:pPr>
    </w:p>
    <w:p w:rsidR="00A6138F" w:rsidRDefault="00A6138F" w:rsidP="002B107F">
      <w:pPr>
        <w:spacing w:after="0" w:line="240" w:lineRule="auto"/>
        <w:jc w:val="both"/>
        <w:rPr>
          <w:rFonts w:ascii="Arial" w:hAnsi="Arial" w:cs="Arial"/>
          <w:b/>
          <w:sz w:val="20"/>
          <w:szCs w:val="20"/>
        </w:rPr>
      </w:pPr>
    </w:p>
    <w:p w:rsidR="00A6138F" w:rsidRDefault="00A6138F" w:rsidP="002B107F">
      <w:pPr>
        <w:spacing w:after="0" w:line="240" w:lineRule="auto"/>
        <w:jc w:val="both"/>
        <w:rPr>
          <w:rFonts w:ascii="Arial" w:hAnsi="Arial" w:cs="Arial"/>
          <w:b/>
          <w:sz w:val="20"/>
          <w:szCs w:val="20"/>
        </w:rPr>
      </w:pPr>
    </w:p>
    <w:p w:rsidR="00A6138F" w:rsidRDefault="00A6138F" w:rsidP="002B107F">
      <w:pPr>
        <w:spacing w:after="0" w:line="240" w:lineRule="auto"/>
        <w:jc w:val="both"/>
        <w:rPr>
          <w:rFonts w:ascii="Arial" w:hAnsi="Arial" w:cs="Arial"/>
          <w:b/>
          <w:sz w:val="20"/>
          <w:szCs w:val="20"/>
        </w:rPr>
      </w:pPr>
    </w:p>
    <w:p w:rsidR="00A6138F" w:rsidRDefault="00A6138F" w:rsidP="002B107F">
      <w:pPr>
        <w:spacing w:after="0" w:line="240" w:lineRule="auto"/>
        <w:jc w:val="both"/>
        <w:rPr>
          <w:rFonts w:ascii="Arial" w:hAnsi="Arial" w:cs="Arial"/>
          <w:b/>
          <w:sz w:val="20"/>
          <w:szCs w:val="20"/>
        </w:rPr>
      </w:pPr>
    </w:p>
    <w:p w:rsidR="00A6138F" w:rsidRDefault="00A6138F" w:rsidP="002B107F">
      <w:pPr>
        <w:spacing w:after="0" w:line="240" w:lineRule="auto"/>
        <w:jc w:val="both"/>
        <w:rPr>
          <w:rFonts w:ascii="Arial" w:hAnsi="Arial" w:cs="Arial"/>
          <w:b/>
          <w:sz w:val="20"/>
          <w:szCs w:val="20"/>
        </w:rPr>
      </w:pPr>
    </w:p>
    <w:p w:rsidR="00A6138F" w:rsidRDefault="00A6138F" w:rsidP="002B107F">
      <w:pPr>
        <w:spacing w:after="0" w:line="240" w:lineRule="auto"/>
        <w:jc w:val="both"/>
        <w:rPr>
          <w:rFonts w:ascii="Arial" w:hAnsi="Arial" w:cs="Arial"/>
          <w:b/>
          <w:sz w:val="20"/>
          <w:szCs w:val="20"/>
        </w:rPr>
      </w:pPr>
    </w:p>
    <w:p w:rsidR="002B107F" w:rsidRPr="002B107F" w:rsidRDefault="002B107F" w:rsidP="002B107F">
      <w:pPr>
        <w:spacing w:after="0" w:line="240" w:lineRule="auto"/>
        <w:jc w:val="both"/>
        <w:rPr>
          <w:rFonts w:ascii="Arial" w:hAnsi="Arial" w:cs="Arial"/>
          <w:b/>
          <w:sz w:val="20"/>
          <w:szCs w:val="20"/>
        </w:rPr>
      </w:pPr>
      <w:r w:rsidRPr="002B107F">
        <w:rPr>
          <w:rFonts w:ascii="Arial" w:hAnsi="Arial" w:cs="Arial"/>
          <w:b/>
          <w:sz w:val="20"/>
          <w:szCs w:val="20"/>
        </w:rPr>
        <w:t xml:space="preserve">Figura 1. </w:t>
      </w:r>
    </w:p>
    <w:p w:rsidR="002B107F" w:rsidRDefault="002B107F" w:rsidP="002B107F">
      <w:pPr>
        <w:spacing w:after="0" w:line="240" w:lineRule="auto"/>
        <w:jc w:val="both"/>
        <w:rPr>
          <w:rFonts w:ascii="Arial" w:hAnsi="Arial" w:cs="Arial"/>
          <w:i/>
          <w:sz w:val="20"/>
          <w:szCs w:val="20"/>
        </w:rPr>
      </w:pPr>
      <w:r w:rsidRPr="002B107F">
        <w:rPr>
          <w:rFonts w:ascii="Arial" w:hAnsi="Arial" w:cs="Arial"/>
          <w:i/>
          <w:sz w:val="20"/>
          <w:szCs w:val="20"/>
        </w:rPr>
        <w:t>Representación gráfica del flujo PRISMA ilustrando el procedimiento de elección de publicaciones.</w:t>
      </w:r>
    </w:p>
    <w:p w:rsidR="002B107F" w:rsidRPr="002B107F" w:rsidRDefault="002B107F" w:rsidP="00F972FB">
      <w:pPr>
        <w:spacing w:after="0" w:line="240" w:lineRule="auto"/>
        <w:jc w:val="center"/>
        <w:rPr>
          <w:rFonts w:ascii="Arial" w:hAnsi="Arial" w:cs="Arial"/>
          <w:i/>
          <w:sz w:val="20"/>
          <w:szCs w:val="20"/>
        </w:rPr>
      </w:pPr>
      <w:r w:rsidRPr="00EC4679">
        <w:rPr>
          <w:rFonts w:ascii="Times New Roman" w:hAnsi="Times New Roman"/>
          <w:noProof/>
          <w:sz w:val="24"/>
          <w:szCs w:val="24"/>
          <w:lang w:val="en-US"/>
        </w:rPr>
        <w:drawing>
          <wp:inline distT="0" distB="0" distL="0" distR="0" wp14:anchorId="22DD2769" wp14:editId="193DA410">
            <wp:extent cx="4635280" cy="405765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agram (6).png"/>
                    <pic:cNvPicPr/>
                  </pic:nvPicPr>
                  <pic:blipFill>
                    <a:blip r:embed="rId16">
                      <a:extLst>
                        <a:ext uri="{28A0092B-C50C-407E-A947-70E740481C1C}">
                          <a14:useLocalDpi xmlns:a14="http://schemas.microsoft.com/office/drawing/2010/main" val="0"/>
                        </a:ext>
                      </a:extLst>
                    </a:blip>
                    <a:stretch>
                      <a:fillRect/>
                    </a:stretch>
                  </pic:blipFill>
                  <pic:spPr>
                    <a:xfrm>
                      <a:off x="0" y="0"/>
                      <a:ext cx="4640603" cy="4062310"/>
                    </a:xfrm>
                    <a:prstGeom prst="rect">
                      <a:avLst/>
                    </a:prstGeom>
                  </pic:spPr>
                </pic:pic>
              </a:graphicData>
            </a:graphic>
          </wp:inline>
        </w:drawing>
      </w:r>
    </w:p>
    <w:p w:rsidR="002B107F" w:rsidRPr="00E271E2" w:rsidRDefault="002B107F" w:rsidP="002B107F">
      <w:pPr>
        <w:spacing w:after="0" w:line="240" w:lineRule="auto"/>
        <w:ind w:firstLine="709"/>
        <w:jc w:val="both"/>
        <w:rPr>
          <w:rFonts w:ascii="Arial" w:hAnsi="Arial" w:cs="Arial"/>
          <w:sz w:val="20"/>
          <w:szCs w:val="20"/>
        </w:rPr>
      </w:pPr>
    </w:p>
    <w:p w:rsidR="00683E7D" w:rsidRPr="00E271E2" w:rsidRDefault="00683E7D" w:rsidP="00E271E2">
      <w:pPr>
        <w:spacing w:after="0" w:line="240" w:lineRule="auto"/>
        <w:jc w:val="both"/>
        <w:rPr>
          <w:rFonts w:ascii="Arial" w:hAnsi="Arial" w:cs="Arial"/>
          <w:b/>
          <w:bCs/>
        </w:rPr>
      </w:pPr>
      <w:r w:rsidRPr="00E271E2">
        <w:rPr>
          <w:rFonts w:ascii="Arial" w:hAnsi="Arial" w:cs="Arial"/>
          <w:b/>
          <w:bCs/>
        </w:rPr>
        <w:t xml:space="preserve">Resultados </w:t>
      </w:r>
    </w:p>
    <w:p w:rsidR="00A6138F" w:rsidRPr="00A6138F" w:rsidRDefault="00A6138F" w:rsidP="00A6138F">
      <w:pPr>
        <w:spacing w:after="0" w:line="240" w:lineRule="auto"/>
        <w:ind w:firstLine="708"/>
        <w:jc w:val="both"/>
        <w:rPr>
          <w:rFonts w:ascii="Arial" w:hAnsi="Arial" w:cs="Arial"/>
          <w:sz w:val="20"/>
          <w:szCs w:val="20"/>
        </w:rPr>
      </w:pPr>
      <w:r w:rsidRPr="00A6138F">
        <w:rPr>
          <w:rFonts w:ascii="Arial" w:hAnsi="Arial" w:cs="Arial"/>
          <w:sz w:val="20"/>
          <w:szCs w:val="20"/>
        </w:rPr>
        <w:t>El análisis de la literatura reciente permitió identificar una variedad de enfoques sobre la gestión institucional (GI) en el ámbito educativo, destacando su influencia tanto en la calidad académica como en el desarrollo integral de los estudiantes y la sostenibilidad institucional.</w:t>
      </w:r>
    </w:p>
    <w:p w:rsidR="00A6138F" w:rsidRPr="00A6138F" w:rsidRDefault="00A6138F" w:rsidP="00A6138F">
      <w:pPr>
        <w:spacing w:after="0" w:line="240" w:lineRule="auto"/>
        <w:ind w:firstLine="708"/>
        <w:jc w:val="both"/>
        <w:rPr>
          <w:rFonts w:ascii="Arial" w:hAnsi="Arial" w:cs="Arial"/>
          <w:sz w:val="20"/>
          <w:szCs w:val="20"/>
        </w:rPr>
      </w:pPr>
      <w:r w:rsidRPr="00A6138F">
        <w:rPr>
          <w:rFonts w:ascii="Arial" w:hAnsi="Arial" w:cs="Arial"/>
          <w:sz w:val="20"/>
          <w:szCs w:val="20"/>
        </w:rPr>
        <w:t>En primer lugar, varios estudios resaltan la necesidad de fortalecer la articulación entre las instituciones educativas y otros actores clave. Cabrera et al. (2024) proponen la creación de una guía estratégica para promover una colaboración efectiva entre la escuela y la familia, apoyada por políticas institucionales que garanticen una comunicación fluida y una participación activa. De manera complementaria, Moreno (2024) señala que una gestión institucional sólida incide directamente en el bienestar físico y mental del estudiantado, lo que exige un enfoque integral.</w:t>
      </w:r>
    </w:p>
    <w:p w:rsidR="00A6138F" w:rsidRPr="00A6138F" w:rsidRDefault="00A6138F" w:rsidP="00A6138F">
      <w:pPr>
        <w:spacing w:after="0" w:line="240" w:lineRule="auto"/>
        <w:ind w:firstLine="708"/>
        <w:jc w:val="both"/>
        <w:rPr>
          <w:rFonts w:ascii="Arial" w:hAnsi="Arial" w:cs="Arial"/>
          <w:sz w:val="20"/>
          <w:szCs w:val="20"/>
        </w:rPr>
      </w:pPr>
      <w:r w:rsidRPr="00A6138F">
        <w:rPr>
          <w:rFonts w:ascii="Arial" w:hAnsi="Arial" w:cs="Arial"/>
          <w:sz w:val="20"/>
          <w:szCs w:val="20"/>
        </w:rPr>
        <w:t>Por su parte, Kathirveloo (2024) y Martínez et al. (2024) coinciden en que la mejora de la gobernanza educativa y la autoevaluación continua constituyen pilares fundamentales para alcanzar una educación superior de calidad. Esta calidad se sostiene en el compromiso con la excelencia académica y la formación integral, adaptada a las exigencias de un entorno globalizado. En este mismo sentido, Rosales y Uquillas (2025) destacan que una administración académica centrada en el estudiante impacta directamente en la percepción de calidad y en la satisfacción estudiantil.</w:t>
      </w:r>
    </w:p>
    <w:p w:rsidR="00A6138F" w:rsidRPr="00A6138F" w:rsidRDefault="00A6138F" w:rsidP="00A6138F">
      <w:pPr>
        <w:spacing w:after="0" w:line="240" w:lineRule="auto"/>
        <w:ind w:firstLine="708"/>
        <w:jc w:val="both"/>
        <w:rPr>
          <w:rFonts w:ascii="Arial" w:hAnsi="Arial" w:cs="Arial"/>
          <w:sz w:val="20"/>
          <w:szCs w:val="20"/>
        </w:rPr>
      </w:pPr>
      <w:r w:rsidRPr="00A6138F">
        <w:rPr>
          <w:rFonts w:ascii="Arial" w:hAnsi="Arial" w:cs="Arial"/>
          <w:sz w:val="20"/>
          <w:szCs w:val="20"/>
        </w:rPr>
        <w:t>Los estudios de Mendoza et al. (2025) y Shuan y Arizapana (2024) refuerzan la importancia de la innovación educativa, considerándola no solo como un motor de mejora pedagógica, sino también como un instrumento estratégico para fomentar el desarrollo socioeconómico. Este enfoque implica una articulación efectiva entre gobiernos, instituciones educativas, sector privado y comunidad internacional.</w:t>
      </w:r>
    </w:p>
    <w:p w:rsidR="00A6138F" w:rsidRPr="00A6138F" w:rsidRDefault="00A6138F" w:rsidP="00A6138F">
      <w:pPr>
        <w:spacing w:after="0" w:line="240" w:lineRule="auto"/>
        <w:ind w:firstLine="708"/>
        <w:jc w:val="both"/>
        <w:rPr>
          <w:rFonts w:ascii="Arial" w:hAnsi="Arial" w:cs="Arial"/>
          <w:sz w:val="20"/>
          <w:szCs w:val="20"/>
        </w:rPr>
      </w:pPr>
      <w:r w:rsidRPr="00A6138F">
        <w:rPr>
          <w:rFonts w:ascii="Arial" w:hAnsi="Arial" w:cs="Arial"/>
          <w:sz w:val="20"/>
          <w:szCs w:val="20"/>
        </w:rPr>
        <w:t>Asimismo, se resalta el papel del liderazgo educativo. Barnes et al. (2021) afirman que los líderes deben dominar áreas clave como la gestión del desempeño, el desarrollo personal y la alineación entre los valores institucionales e individuales. En esta línea, Bárcenas et al. (2024) y Anchayhua Serna (2024) subrayan la importancia de la planificación estratégica y de la evaluación permanente como condiciones necesarias para garantizar una gestión institucional eficaz y adaptativa.</w:t>
      </w:r>
    </w:p>
    <w:p w:rsidR="00A6138F" w:rsidRPr="00A6138F" w:rsidRDefault="00A6138F" w:rsidP="00A6138F">
      <w:pPr>
        <w:spacing w:after="0" w:line="240" w:lineRule="auto"/>
        <w:ind w:firstLine="708"/>
        <w:jc w:val="both"/>
        <w:rPr>
          <w:rFonts w:ascii="Arial" w:hAnsi="Arial" w:cs="Arial"/>
          <w:sz w:val="20"/>
          <w:szCs w:val="20"/>
        </w:rPr>
      </w:pPr>
      <w:r w:rsidRPr="00A6138F">
        <w:rPr>
          <w:rFonts w:ascii="Arial" w:hAnsi="Arial" w:cs="Arial"/>
          <w:sz w:val="20"/>
          <w:szCs w:val="20"/>
        </w:rPr>
        <w:t>Desde una perspectiva operativa, Cabrera, Perachimba y Orlenda (2024) sostienen que la gestión institucional debe integrar dimensiones pedagógicas, administrativas y comunitarias, siendo la eficiencia administrativa un componente esencial para la mejora continua de la calidad educativa. Oseda et al. (2020) complementan esta visión al indicar que el cambio educativo requiere de metas claras, inclusión, pertinencia curricular y profesionalismo en la implementación de acciones.</w:t>
      </w:r>
    </w:p>
    <w:p w:rsidR="00A6138F" w:rsidRPr="00A6138F" w:rsidRDefault="00A6138F" w:rsidP="00A6138F">
      <w:pPr>
        <w:spacing w:after="0" w:line="240" w:lineRule="auto"/>
        <w:ind w:firstLine="708"/>
        <w:jc w:val="both"/>
        <w:rPr>
          <w:rFonts w:ascii="Arial" w:hAnsi="Arial" w:cs="Arial"/>
          <w:sz w:val="20"/>
          <w:szCs w:val="20"/>
        </w:rPr>
      </w:pPr>
      <w:r w:rsidRPr="00A6138F">
        <w:rPr>
          <w:rFonts w:ascii="Arial" w:hAnsi="Arial" w:cs="Arial"/>
          <w:sz w:val="20"/>
          <w:szCs w:val="20"/>
        </w:rPr>
        <w:t>Además, Pulido et al. (2023) plantean que la gestión institucional implica acciones concretas desarrolladas por los distintos actores académicos (directivos, docentes y estudiantes), orientadas al cumplimiento de la misión institucional. En esta línea, Sucre Pérez (2024) enfatiza que la administración universitaria debe identificar las diferencias en los métodos de enseñanza y alinear sus metas estratégicas con las necesidades del entorno.</w:t>
      </w:r>
    </w:p>
    <w:p w:rsidR="00A6138F" w:rsidRPr="00A6138F" w:rsidRDefault="00A6138F" w:rsidP="00A6138F">
      <w:pPr>
        <w:spacing w:after="0" w:line="240" w:lineRule="auto"/>
        <w:ind w:firstLine="708"/>
        <w:jc w:val="both"/>
        <w:rPr>
          <w:rFonts w:ascii="Arial" w:hAnsi="Arial" w:cs="Arial"/>
          <w:sz w:val="20"/>
          <w:szCs w:val="20"/>
        </w:rPr>
      </w:pPr>
      <w:r w:rsidRPr="00A6138F">
        <w:rPr>
          <w:rFonts w:ascii="Arial" w:hAnsi="Arial" w:cs="Arial"/>
          <w:sz w:val="20"/>
          <w:szCs w:val="20"/>
        </w:rPr>
        <w:t>Kariuki (2023) aborda el componente normativo, señalando que las reformas universitarias deben fundamentarse en marcos legales sólidos —como la Ley de Sociedades— que orienten la toma de decisiones en áreas críticas de la gestión. Causo et al. (2021) y Romero (2022) coinciden en que una gestión institucional efectiva se basa en la participación activa, la claridad en la comunicación del liderazgo y la promoción del trabajo colaborativo.</w:t>
      </w:r>
    </w:p>
    <w:p w:rsidR="00A6138F" w:rsidRDefault="00A6138F" w:rsidP="00A6138F">
      <w:pPr>
        <w:spacing w:after="0" w:line="240" w:lineRule="auto"/>
        <w:ind w:firstLine="708"/>
        <w:jc w:val="both"/>
        <w:rPr>
          <w:rFonts w:ascii="Arial" w:hAnsi="Arial" w:cs="Arial"/>
          <w:sz w:val="20"/>
          <w:szCs w:val="20"/>
        </w:rPr>
      </w:pPr>
      <w:r w:rsidRPr="00A6138F">
        <w:rPr>
          <w:rFonts w:ascii="Arial" w:hAnsi="Arial" w:cs="Arial"/>
          <w:sz w:val="20"/>
          <w:szCs w:val="20"/>
        </w:rPr>
        <w:t>Finalmente, Henríquez, Castro y Naveda (2022) afirman que la gestión institucional en la educación superior debe estar orientada por personal capacitado, en concordancia con planes decenales y políticas públicas. Su enfoque integral incluye las dimensiones administrativa, financiera y contable, garantizando un uso transparente y eficiente de los recursos institucionales.</w:t>
      </w:r>
    </w:p>
    <w:p w:rsidR="00A6138F" w:rsidRDefault="00A6138F" w:rsidP="00A6138F">
      <w:pPr>
        <w:spacing w:after="0" w:line="240" w:lineRule="auto"/>
        <w:jc w:val="both"/>
        <w:rPr>
          <w:rFonts w:ascii="Arial" w:hAnsi="Arial" w:cs="Arial"/>
          <w:sz w:val="20"/>
          <w:szCs w:val="20"/>
        </w:rPr>
      </w:pPr>
    </w:p>
    <w:p w:rsidR="002B107F" w:rsidRDefault="002B107F" w:rsidP="00A6138F">
      <w:pPr>
        <w:spacing w:after="0" w:line="240" w:lineRule="auto"/>
        <w:jc w:val="both"/>
        <w:rPr>
          <w:rFonts w:ascii="Arial" w:hAnsi="Arial" w:cs="Arial"/>
          <w:b/>
          <w:bCs/>
        </w:rPr>
      </w:pPr>
      <w:r w:rsidRPr="002B107F">
        <w:rPr>
          <w:rFonts w:ascii="Arial" w:hAnsi="Arial" w:cs="Arial"/>
          <w:b/>
          <w:bCs/>
        </w:rPr>
        <w:t>D</w:t>
      </w:r>
      <w:r w:rsidRPr="002B107F">
        <w:rPr>
          <w:rFonts w:ascii="Arial" w:hAnsi="Arial" w:cs="Arial"/>
          <w:b/>
          <w:bCs/>
        </w:rPr>
        <w:t>iscusión</w:t>
      </w:r>
    </w:p>
    <w:p w:rsidR="00A6138F" w:rsidRPr="00A6138F" w:rsidRDefault="00A6138F" w:rsidP="00A6138F">
      <w:pPr>
        <w:spacing w:after="0" w:line="240" w:lineRule="auto"/>
        <w:ind w:firstLine="708"/>
        <w:jc w:val="both"/>
        <w:rPr>
          <w:rFonts w:ascii="Arial" w:hAnsi="Arial" w:cs="Arial"/>
          <w:bCs/>
          <w:sz w:val="20"/>
        </w:rPr>
      </w:pPr>
      <w:r w:rsidRPr="00A6138F">
        <w:rPr>
          <w:rFonts w:ascii="Arial" w:hAnsi="Arial" w:cs="Arial"/>
          <w:bCs/>
          <w:sz w:val="20"/>
        </w:rPr>
        <w:t>Los resultados obtenidos en esta investigación concuerdan con la literatura especializada respecto al impacto positivo de la gestión institucional (GI) sobre el bienestar y el rendimiento académico del estudiantado en la educación superior. Como señalan Mangestuti et al. (2022), las estrategias educativas contemporáneas reconocen el bienestar estudiantil —en sus dimensiones física, emocional y social— como un componente central de la formación integral, y no como un elemento periférico. Esta visión holística refuerza la necesidad de implementar prácticas institucionales coherentes que prioricen la salud mental y emocional como condición necesaria para el logro académico.</w:t>
      </w:r>
    </w:p>
    <w:p w:rsidR="00A6138F" w:rsidRPr="00A6138F" w:rsidRDefault="00A6138F" w:rsidP="00A6138F">
      <w:pPr>
        <w:spacing w:after="0" w:line="240" w:lineRule="auto"/>
        <w:ind w:firstLine="708"/>
        <w:jc w:val="both"/>
        <w:rPr>
          <w:rFonts w:ascii="Arial" w:hAnsi="Arial" w:cs="Arial"/>
          <w:bCs/>
          <w:sz w:val="20"/>
        </w:rPr>
      </w:pPr>
      <w:r w:rsidRPr="00A6138F">
        <w:rPr>
          <w:rFonts w:ascii="Arial" w:hAnsi="Arial" w:cs="Arial"/>
          <w:bCs/>
          <w:sz w:val="20"/>
        </w:rPr>
        <w:t>En este marco, la retroalimentación formativa adquiere un rol protagónico en el proceso de enseñanza-aprendizaje. Abad et al. (2023) sostienen que su incorporación sistemática no solo mejora los resultados académicos, sino que también promueve el trabajo colaborativo y la construcción colectiva del conocimiento. Esta práctica favorece una cultura institucional orientada a la innovación pedagógica, en coherencia con los principios de mejora continua y adaptabilidad que caracterizan a los entornos universitarios dinámicos.</w:t>
      </w:r>
    </w:p>
    <w:p w:rsidR="00A6138F" w:rsidRPr="00A6138F" w:rsidRDefault="00A6138F" w:rsidP="00A6138F">
      <w:pPr>
        <w:spacing w:after="0" w:line="240" w:lineRule="auto"/>
        <w:ind w:firstLine="708"/>
        <w:jc w:val="both"/>
        <w:rPr>
          <w:rFonts w:ascii="Arial" w:hAnsi="Arial" w:cs="Arial"/>
          <w:bCs/>
          <w:sz w:val="20"/>
        </w:rPr>
      </w:pPr>
      <w:r w:rsidRPr="00A6138F">
        <w:rPr>
          <w:rFonts w:ascii="Arial" w:hAnsi="Arial" w:cs="Arial"/>
          <w:bCs/>
          <w:sz w:val="20"/>
        </w:rPr>
        <w:t>Asimismo, la GI se consolida como un instrumento clave para el cumplimiento de los objetivos organizacionales y educativos. Zavaleta (2021) argumenta que una gestión estratégica y estructurada garantiza condiciones adecuadas para las futuras generaciones, asegurando tanto la sostenibilidad institucional como la pertinencia de la formación ofrecida. No obstante, Ordóñez et al. (2019) advierten que aún persisten debilidades metodológicas en muchas prácticas de gestión, ya que se sustentan en enfoques empíricos carentes de respaldo teórico o de criterios sistematizados para la toma de decisiones.</w:t>
      </w:r>
    </w:p>
    <w:p w:rsidR="00A6138F" w:rsidRPr="00A6138F" w:rsidRDefault="00A6138F" w:rsidP="00A6138F">
      <w:pPr>
        <w:spacing w:after="0" w:line="240" w:lineRule="auto"/>
        <w:ind w:firstLine="708"/>
        <w:jc w:val="both"/>
        <w:rPr>
          <w:rFonts w:ascii="Arial" w:hAnsi="Arial" w:cs="Arial"/>
          <w:bCs/>
          <w:sz w:val="20"/>
        </w:rPr>
      </w:pPr>
      <w:r w:rsidRPr="00A6138F">
        <w:rPr>
          <w:rFonts w:ascii="Arial" w:hAnsi="Arial" w:cs="Arial"/>
          <w:bCs/>
          <w:sz w:val="20"/>
        </w:rPr>
        <w:t>Para superar estas limitaciones, la incorporación de modelos conceptuales de gestión, como el propuesto por Kevans (2020), ofrece marcos operativos que fortalecen la eficiencia administrativa y la capacidad adaptativa de las instituciones educativas. Estos modelos no solo orientan las decisiones dentro de redes institucionales complejas, sino que también contribuyen al posicionamiento competitivo de las universidades en contextos globalizados y altamente demandantes.</w:t>
      </w:r>
    </w:p>
    <w:p w:rsidR="00A6138F" w:rsidRPr="00A6138F" w:rsidRDefault="00A6138F" w:rsidP="00A6138F">
      <w:pPr>
        <w:spacing w:after="0" w:line="240" w:lineRule="auto"/>
        <w:ind w:firstLine="708"/>
        <w:jc w:val="both"/>
        <w:rPr>
          <w:rFonts w:ascii="Arial" w:hAnsi="Arial" w:cs="Arial"/>
          <w:bCs/>
          <w:sz w:val="20"/>
        </w:rPr>
      </w:pPr>
      <w:r w:rsidRPr="00A6138F">
        <w:rPr>
          <w:rFonts w:ascii="Arial" w:hAnsi="Arial" w:cs="Arial"/>
          <w:bCs/>
          <w:sz w:val="20"/>
        </w:rPr>
        <w:t>En esta misma línea, Bravo y Alvites (2020) destacan un cambio paradigmático en las instituciones de educación superior, que han reorientado sus procesos hacia una gestión centrada en la participación activa, la responsabilidad compartida y la adquisición de competencias pertinentes para el mercado laboral. Esta transformación institucional fomenta una cultura de aprendizaje continuo y un comportamiento organizacional ejemplar, ambos esenciales para el desarrollo profesional y ciudadano de los egresados.</w:t>
      </w:r>
    </w:p>
    <w:p w:rsidR="00A6138F" w:rsidRPr="00A6138F" w:rsidRDefault="00A6138F" w:rsidP="00A6138F">
      <w:pPr>
        <w:spacing w:after="0" w:line="240" w:lineRule="auto"/>
        <w:ind w:firstLine="708"/>
        <w:jc w:val="both"/>
        <w:rPr>
          <w:rFonts w:ascii="Arial" w:hAnsi="Arial" w:cs="Arial"/>
          <w:bCs/>
          <w:sz w:val="20"/>
        </w:rPr>
      </w:pPr>
      <w:r w:rsidRPr="00A6138F">
        <w:rPr>
          <w:rFonts w:ascii="Arial" w:hAnsi="Arial" w:cs="Arial"/>
          <w:bCs/>
          <w:sz w:val="20"/>
        </w:rPr>
        <w:t>De igual forma, el enfoque de Cubela et al. (2024) sobre la gestión de calidad universitaria subraya la importancia de integrar a toda la comunidad académica —directivos, docentes y estudiantes— en procesos de mejora continua. La propuesta enfatiza una visión estratégica y prospectiva, orientada a la excelencia académica e institucional mediante una gestión coherente de las funciones sustantivas de la universidad. En este sentido, la articulación entre la enseñanza y los principios de calidad institucional constituye una condición indispensable para alcanzar estándares educativos cada vez más exigentes.</w:t>
      </w:r>
    </w:p>
    <w:p w:rsidR="00A6138F" w:rsidRPr="00A6138F" w:rsidRDefault="00A6138F" w:rsidP="00A6138F">
      <w:pPr>
        <w:spacing w:after="0" w:line="240" w:lineRule="auto"/>
        <w:ind w:firstLine="708"/>
        <w:jc w:val="both"/>
        <w:rPr>
          <w:rFonts w:ascii="Arial" w:hAnsi="Arial" w:cs="Arial"/>
          <w:bCs/>
          <w:sz w:val="20"/>
        </w:rPr>
      </w:pPr>
      <w:r w:rsidRPr="00A6138F">
        <w:rPr>
          <w:rFonts w:ascii="Arial" w:hAnsi="Arial" w:cs="Arial"/>
          <w:bCs/>
          <w:sz w:val="20"/>
        </w:rPr>
        <w:t>En este contexto, resulta fundamental reconocer que la GI en la educación superior no puede desligarse de los procesos de aseguramiento de la calidad. Orozco et al. (2020) sostienen que la articulación entre la gestión interna —orientada a la mejora continua— y la gestión externa —relacionada con procesos de evaluación y acreditación— constituye un mecanismo complementario esencial para garantizar el cumplimiento de los estándares definidos por los organismos reguladores. Esta dualidad permite alinear la operatividad institucional con las exigencias estructurales y normativas, asegurando la implementación efectiva de las políticas educativas.</w:t>
      </w:r>
    </w:p>
    <w:p w:rsidR="00A6138F" w:rsidRPr="00A6138F" w:rsidRDefault="00A6138F" w:rsidP="00A6138F">
      <w:pPr>
        <w:spacing w:after="0" w:line="240" w:lineRule="auto"/>
        <w:ind w:firstLine="708"/>
        <w:jc w:val="both"/>
        <w:rPr>
          <w:rFonts w:ascii="Arial" w:hAnsi="Arial" w:cs="Arial"/>
          <w:bCs/>
          <w:sz w:val="20"/>
        </w:rPr>
      </w:pPr>
      <w:r w:rsidRPr="00A6138F">
        <w:rPr>
          <w:rFonts w:ascii="Arial" w:hAnsi="Arial" w:cs="Arial"/>
          <w:bCs/>
          <w:sz w:val="20"/>
        </w:rPr>
        <w:t>Desde esta perspectiva, Ruiz y Classerman (2021) afirman que la calidad educativa, entendida como eje central de la GI, se expresa en la integración colaborativa de los diversos actores universitarios. Esta participación activa, tanto en los ámbitos pedagógicos como académicos, impulsa una cultura institucional comprometida con la excelencia, que a su vez promueve la investigación interdisciplinaria como motor de innovación y sostenibilidad.</w:t>
      </w:r>
    </w:p>
    <w:p w:rsidR="00A6138F" w:rsidRPr="00A6138F" w:rsidRDefault="00A6138F" w:rsidP="00A6138F">
      <w:pPr>
        <w:spacing w:after="0" w:line="240" w:lineRule="auto"/>
        <w:ind w:firstLine="708"/>
        <w:jc w:val="both"/>
        <w:rPr>
          <w:rFonts w:ascii="Arial" w:hAnsi="Arial" w:cs="Arial"/>
          <w:bCs/>
          <w:sz w:val="20"/>
        </w:rPr>
      </w:pPr>
      <w:r w:rsidRPr="00A6138F">
        <w:rPr>
          <w:rFonts w:ascii="Arial" w:hAnsi="Arial" w:cs="Arial"/>
          <w:bCs/>
          <w:sz w:val="20"/>
        </w:rPr>
        <w:t>Cardona et al. (2020) refuerzan esta visión al señalar que las instituciones de educación superior se encuentran en un proceso sostenido de consolidación de sus compromisos con la calidad educativa. Esta evolución responde no solo a demandas sociales crecientes, sino también al imperativo de mantener la legitimidad, la pertinencia y el prestigio institucional en un entorno académico altamente competitivo y sujeto a constante evaluación. En este sentido, la institucionalización de la calidad deja de ser opcional y se convierte en una estrategia fundamental para asegurar la continuidad y evolución de las funciones sustantivas universitarias.</w:t>
      </w:r>
    </w:p>
    <w:p w:rsidR="00A6138F" w:rsidRPr="00A6138F" w:rsidRDefault="00A6138F" w:rsidP="00A6138F">
      <w:pPr>
        <w:spacing w:after="0" w:line="240" w:lineRule="auto"/>
        <w:ind w:firstLine="708"/>
        <w:jc w:val="both"/>
        <w:rPr>
          <w:rFonts w:ascii="Arial" w:hAnsi="Arial" w:cs="Arial"/>
          <w:bCs/>
          <w:sz w:val="20"/>
        </w:rPr>
      </w:pPr>
      <w:r w:rsidRPr="00A6138F">
        <w:rPr>
          <w:rFonts w:ascii="Arial" w:hAnsi="Arial" w:cs="Arial"/>
          <w:bCs/>
          <w:sz w:val="20"/>
        </w:rPr>
        <w:t>Finalmente, Portocarrero et al. (2021) proponen una renovación del modelo de GI, orientada hacia la conformación de un paradigma en el cual los responsables de la administración asuman un rol activo como gerentes públicos con competencias estratégicas. Esta transformación resulta clave para enfrentar los desafíos contemporáneos del sistema educativo, incluyendo la necesidad de promover entornos inclusivos. Esto implica no solo incorporar prácticas pedagógicas sensibles a la diversidad, sino también diseñar estructuras organizativas que fomenten la equidad y la participación plena de toda la comunidad estudiantil, consolidando así una educación superior auténticamente transformadora.</w:t>
      </w:r>
    </w:p>
    <w:p w:rsidR="002B107F" w:rsidRPr="00E271E2" w:rsidRDefault="002B107F" w:rsidP="002B107F">
      <w:pPr>
        <w:spacing w:after="0" w:line="240" w:lineRule="auto"/>
        <w:jc w:val="both"/>
        <w:rPr>
          <w:rFonts w:ascii="Arial" w:hAnsi="Arial" w:cs="Arial"/>
          <w:sz w:val="20"/>
          <w:szCs w:val="20"/>
        </w:rPr>
      </w:pPr>
    </w:p>
    <w:p w:rsidR="00683E7D" w:rsidRPr="00E271E2" w:rsidRDefault="00683E7D" w:rsidP="00E271E2">
      <w:pPr>
        <w:spacing w:after="0" w:line="240" w:lineRule="auto"/>
        <w:jc w:val="both"/>
        <w:rPr>
          <w:rFonts w:ascii="Arial" w:hAnsi="Arial" w:cs="Arial"/>
          <w:b/>
          <w:bCs/>
        </w:rPr>
      </w:pPr>
      <w:r w:rsidRPr="00E271E2">
        <w:rPr>
          <w:rFonts w:ascii="Arial" w:hAnsi="Arial" w:cs="Arial"/>
          <w:b/>
          <w:bCs/>
        </w:rPr>
        <w:t>Conclusiones</w:t>
      </w:r>
    </w:p>
    <w:p w:rsidR="00A6138F" w:rsidRPr="00A6138F" w:rsidRDefault="00A6138F" w:rsidP="00A6138F">
      <w:pPr>
        <w:spacing w:after="0" w:line="240" w:lineRule="auto"/>
        <w:ind w:firstLine="708"/>
        <w:jc w:val="both"/>
        <w:rPr>
          <w:rFonts w:ascii="Arial" w:hAnsi="Arial" w:cs="Arial"/>
          <w:sz w:val="20"/>
          <w:szCs w:val="20"/>
        </w:rPr>
      </w:pPr>
      <w:r w:rsidRPr="00A6138F">
        <w:rPr>
          <w:rFonts w:ascii="Arial" w:hAnsi="Arial" w:cs="Arial"/>
          <w:sz w:val="20"/>
          <w:szCs w:val="20"/>
        </w:rPr>
        <w:t>Una gestión institucional eficiente, alineada con los objetivos académicos y misionales, incide de manera directa en la calidad de los programas de bienestar en la educación superior. Esta articulación favorece el acceso equitativo a recursos y servicios que generan condiciones propicias para el aprendizaje, optimizan el rendimiento académico y promueven el desarrollo integral del estudiantado.</w:t>
      </w:r>
    </w:p>
    <w:p w:rsidR="00A6138F" w:rsidRPr="00A6138F" w:rsidRDefault="00A6138F" w:rsidP="00A6138F">
      <w:pPr>
        <w:spacing w:after="0" w:line="240" w:lineRule="auto"/>
        <w:ind w:firstLine="708"/>
        <w:jc w:val="both"/>
        <w:rPr>
          <w:rFonts w:ascii="Arial" w:hAnsi="Arial" w:cs="Arial"/>
          <w:sz w:val="20"/>
          <w:szCs w:val="20"/>
        </w:rPr>
      </w:pPr>
      <w:r w:rsidRPr="00A6138F">
        <w:rPr>
          <w:rFonts w:ascii="Arial" w:hAnsi="Arial" w:cs="Arial"/>
          <w:sz w:val="20"/>
          <w:szCs w:val="20"/>
        </w:rPr>
        <w:t>En este contexto, las universidades desempeñan un papel fundamental al organizar y coordinar eficazmente los recursos, procesos y servicios orientados a garantizar una formación académica de alta calidad. Su relevancia radica en la capacidad para generar entornos educativos que permitan a los estudiantes alcanzar sus metas personales y profesionales, al tiempo que se reducen barreras estructurales y se fomenta una trayectoria académica equitativa, exitosa y sostenible.</w:t>
      </w:r>
    </w:p>
    <w:p w:rsidR="00A6138F" w:rsidRPr="00A6138F" w:rsidRDefault="00A6138F" w:rsidP="00A6138F">
      <w:pPr>
        <w:spacing w:after="0" w:line="240" w:lineRule="auto"/>
        <w:ind w:firstLine="708"/>
        <w:jc w:val="both"/>
        <w:rPr>
          <w:rFonts w:ascii="Arial" w:hAnsi="Arial" w:cs="Arial"/>
          <w:sz w:val="20"/>
          <w:szCs w:val="20"/>
        </w:rPr>
      </w:pPr>
      <w:r w:rsidRPr="00A6138F">
        <w:rPr>
          <w:rFonts w:ascii="Arial" w:hAnsi="Arial" w:cs="Arial"/>
          <w:sz w:val="20"/>
          <w:szCs w:val="20"/>
        </w:rPr>
        <w:t>Asimismo, la gestión institucional cumple un rol estratégico en la promoción del bienestar estudiantil, al facilitar la implementación de políticas, programas y servicios que responden de manera integral a las necesidades académicas, emocionales y sociales del alumnado. Esta visión holística contribuye a consolidar entornos educativos más inclusivos y equitativos, lo que se traduce en mayores niveles de motivación, mejor desempeño académico y menores tasas de deserción.</w:t>
      </w:r>
    </w:p>
    <w:p w:rsidR="00E271E2" w:rsidRDefault="00A6138F" w:rsidP="00A6138F">
      <w:pPr>
        <w:spacing w:after="0" w:line="240" w:lineRule="auto"/>
        <w:ind w:firstLine="708"/>
        <w:jc w:val="both"/>
        <w:rPr>
          <w:rFonts w:ascii="Arial" w:hAnsi="Arial" w:cs="Arial"/>
          <w:sz w:val="20"/>
          <w:szCs w:val="20"/>
        </w:rPr>
      </w:pPr>
      <w:r w:rsidRPr="00A6138F">
        <w:rPr>
          <w:rFonts w:ascii="Arial" w:hAnsi="Arial" w:cs="Arial"/>
          <w:sz w:val="20"/>
          <w:szCs w:val="20"/>
        </w:rPr>
        <w:t>En consecuencia, el bienestar estudiantil debe constituirse como una prioridad dentro de la planificación estratégica y el diseño de las políticas institucionales. Solo mediante una gestión comprometida, sensible a la diversidad y orientada a la mejora continua, será posible avanzar hacia una educación superior más justa, pertinente y transformadora.</w:t>
      </w:r>
    </w:p>
    <w:p w:rsidR="00A6138F" w:rsidRDefault="00A6138F" w:rsidP="00E271E2">
      <w:pPr>
        <w:spacing w:after="0" w:line="240" w:lineRule="auto"/>
        <w:jc w:val="both"/>
        <w:rPr>
          <w:rFonts w:ascii="Arial" w:hAnsi="Arial" w:cs="Arial"/>
          <w:b/>
          <w:bCs/>
        </w:rPr>
      </w:pPr>
    </w:p>
    <w:p w:rsidR="00683E7D" w:rsidRPr="00E271E2" w:rsidRDefault="00683E7D" w:rsidP="00E271E2">
      <w:pPr>
        <w:spacing w:after="0" w:line="240" w:lineRule="auto"/>
        <w:jc w:val="both"/>
        <w:rPr>
          <w:rFonts w:ascii="Arial" w:hAnsi="Arial" w:cs="Arial"/>
          <w:b/>
          <w:bCs/>
        </w:rPr>
      </w:pPr>
      <w:r w:rsidRPr="00E271E2">
        <w:rPr>
          <w:rFonts w:ascii="Arial" w:hAnsi="Arial" w:cs="Arial"/>
          <w:b/>
          <w:bCs/>
        </w:rPr>
        <w:t>Referencias</w:t>
      </w:r>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rPr>
        <w:t xml:space="preserve">Anchayhua Serna, A. D. (2024). Gestión educativa institucional en el desempeño profesional en los docentes de una institución educativa con JEC, La Mar, Ayacucho en Perú: un estudio piloto. </w:t>
      </w:r>
      <w:r w:rsidRPr="002B107F">
        <w:rPr>
          <w:rFonts w:ascii="Arial" w:hAnsi="Arial" w:cs="Arial"/>
          <w:i/>
          <w:sz w:val="20"/>
          <w:szCs w:val="20"/>
        </w:rPr>
        <w:t>Revista de Climatología</w:t>
      </w:r>
      <w:r w:rsidRPr="002B107F">
        <w:rPr>
          <w:rFonts w:ascii="Arial" w:hAnsi="Arial" w:cs="Arial"/>
          <w:sz w:val="20"/>
          <w:szCs w:val="20"/>
        </w:rPr>
        <w:t xml:space="preserve">, 24, 100–107. </w:t>
      </w:r>
      <w:hyperlink r:id="rId17" w:history="1">
        <w:r w:rsidRPr="002B107F">
          <w:rPr>
            <w:rStyle w:val="Hyperlink"/>
            <w:rFonts w:ascii="Arial" w:hAnsi="Arial" w:cs="Arial"/>
            <w:sz w:val="20"/>
            <w:szCs w:val="20"/>
          </w:rPr>
          <w:t>https://doi.org/10.59427/rcli/2024/v24cs.100-107</w:t>
        </w:r>
      </w:hyperlink>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rPr>
        <w:t xml:space="preserve">Arriagada-Poblete, C., Gálvez-Gamboa, F, y Adasme-Jara, B. (2023). Definición conceptual de calidad y de excelencia en la educación superior en el contexto universitario chileno. </w:t>
      </w:r>
      <w:r w:rsidRPr="002B107F">
        <w:rPr>
          <w:rFonts w:ascii="Arial" w:hAnsi="Arial" w:cs="Arial"/>
          <w:iCs/>
          <w:sz w:val="20"/>
          <w:szCs w:val="20"/>
        </w:rPr>
        <w:t>Actualidades Investigativas en Educación</w:t>
      </w:r>
      <w:r w:rsidRPr="002B107F">
        <w:rPr>
          <w:rFonts w:ascii="Arial" w:hAnsi="Arial" w:cs="Arial"/>
          <w:sz w:val="20"/>
          <w:szCs w:val="20"/>
        </w:rPr>
        <w:t xml:space="preserve">, 23(1), 71-101. </w:t>
      </w:r>
      <w:hyperlink r:id="rId18" w:history="1">
        <w:r w:rsidRPr="002B107F">
          <w:rPr>
            <w:rStyle w:val="Hyperlink"/>
            <w:rFonts w:ascii="Arial" w:hAnsi="Arial" w:cs="Arial"/>
            <w:sz w:val="20"/>
            <w:szCs w:val="20"/>
          </w:rPr>
          <w:t>https://dx.doi.org/10.15517/aie.v23i1.51570</w:t>
        </w:r>
      </w:hyperlink>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rPr>
        <w:t>Abad, I., Pantigoso, N., Jara, G. y Colina, F. (2023). Retroalimentación y trabajo en equipo en estudiantes universitarios de una universidad nacional de Lima Metropolitana. </w:t>
      </w:r>
      <w:r w:rsidRPr="002B107F">
        <w:rPr>
          <w:rFonts w:ascii="Arial" w:hAnsi="Arial" w:cs="Arial"/>
          <w:iCs/>
          <w:sz w:val="20"/>
          <w:szCs w:val="20"/>
        </w:rPr>
        <w:t>Desde el Sur</w:t>
      </w:r>
      <w:r w:rsidRPr="002B107F">
        <w:rPr>
          <w:rFonts w:ascii="Arial" w:hAnsi="Arial" w:cs="Arial"/>
          <w:sz w:val="20"/>
          <w:szCs w:val="20"/>
        </w:rPr>
        <w:t>, </w:t>
      </w:r>
      <w:r w:rsidRPr="002B107F">
        <w:rPr>
          <w:rFonts w:ascii="Arial" w:hAnsi="Arial" w:cs="Arial"/>
          <w:i/>
          <w:iCs/>
          <w:sz w:val="20"/>
          <w:szCs w:val="20"/>
        </w:rPr>
        <w:t>15</w:t>
      </w:r>
      <w:r w:rsidRPr="002B107F">
        <w:rPr>
          <w:rFonts w:ascii="Arial" w:hAnsi="Arial" w:cs="Arial"/>
          <w:sz w:val="20"/>
          <w:szCs w:val="20"/>
        </w:rPr>
        <w:t xml:space="preserve">(3).  </w:t>
      </w:r>
      <w:hyperlink r:id="rId19" w:history="1">
        <w:r w:rsidRPr="002B107F">
          <w:rPr>
            <w:rStyle w:val="Hyperlink"/>
            <w:rFonts w:ascii="Arial" w:hAnsi="Arial" w:cs="Arial"/>
            <w:sz w:val="20"/>
            <w:szCs w:val="20"/>
          </w:rPr>
          <w:t>https://revistas.cientifica.edu.pe/index.php/desdeelsur/article/view/1461/1165</w:t>
        </w:r>
      </w:hyperlink>
      <w:r w:rsidRPr="002B107F">
        <w:rPr>
          <w:rFonts w:ascii="Arial" w:hAnsi="Arial" w:cs="Arial"/>
          <w:sz w:val="20"/>
          <w:szCs w:val="20"/>
        </w:rPr>
        <w:t>.</w:t>
      </w:r>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rPr>
        <w:t xml:space="preserve">Arjona, M., Lira, A. y Maldonado, E. (2022). Los sistemas de gestión de </w:t>
      </w:r>
      <w:r w:rsidR="00B64156" w:rsidRPr="002B107F">
        <w:rPr>
          <w:rFonts w:ascii="Arial" w:hAnsi="Arial" w:cs="Arial"/>
          <w:sz w:val="20"/>
          <w:szCs w:val="20"/>
        </w:rPr>
        <w:t>la calidad y la calidad educativa en instituciones públicas de educación superior de</w:t>
      </w:r>
      <w:r w:rsidRPr="002B107F">
        <w:rPr>
          <w:rFonts w:ascii="Arial" w:hAnsi="Arial" w:cs="Arial"/>
          <w:sz w:val="20"/>
          <w:szCs w:val="20"/>
        </w:rPr>
        <w:t xml:space="preserve"> México. </w:t>
      </w:r>
      <w:r w:rsidRPr="002B107F">
        <w:rPr>
          <w:rFonts w:ascii="Arial" w:hAnsi="Arial" w:cs="Arial"/>
          <w:i/>
          <w:sz w:val="20"/>
          <w:szCs w:val="20"/>
        </w:rPr>
        <w:t>Retos</w:t>
      </w:r>
      <w:r w:rsidRPr="002B107F">
        <w:rPr>
          <w:rFonts w:ascii="Arial" w:hAnsi="Arial" w:cs="Arial"/>
          <w:sz w:val="20"/>
          <w:szCs w:val="20"/>
        </w:rPr>
        <w:t xml:space="preserve">, 12(24), 268–283. </w:t>
      </w:r>
      <w:hyperlink r:id="rId20" w:history="1">
        <w:r w:rsidRPr="002B107F">
          <w:rPr>
            <w:rStyle w:val="Hyperlink"/>
            <w:rFonts w:ascii="Arial" w:hAnsi="Arial" w:cs="Arial"/>
            <w:sz w:val="20"/>
            <w:szCs w:val="20"/>
          </w:rPr>
          <w:t>https://doi.org/10.17163/ret.n24.2022.05</w:t>
        </w:r>
      </w:hyperlink>
    </w:p>
    <w:p w:rsidR="002B107F" w:rsidRPr="002B107F" w:rsidRDefault="002B107F" w:rsidP="002B107F">
      <w:pPr>
        <w:spacing w:after="0" w:line="240" w:lineRule="auto"/>
        <w:ind w:left="709" w:hanging="709"/>
        <w:jc w:val="both"/>
        <w:rPr>
          <w:rFonts w:ascii="Arial" w:hAnsi="Arial" w:cs="Arial"/>
          <w:sz w:val="20"/>
          <w:szCs w:val="20"/>
          <w:lang w:val="en-US"/>
        </w:rPr>
      </w:pPr>
      <w:r w:rsidRPr="002B107F">
        <w:rPr>
          <w:rFonts w:ascii="Arial" w:hAnsi="Arial" w:cs="Arial"/>
          <w:sz w:val="20"/>
          <w:szCs w:val="20"/>
        </w:rPr>
        <w:t xml:space="preserve">Adiela, J. L., Amah, E. y Friday, O. B. (2022). </w:t>
      </w:r>
      <w:r w:rsidRPr="002B107F">
        <w:rPr>
          <w:rFonts w:ascii="Arial" w:hAnsi="Arial" w:cs="Arial"/>
          <w:sz w:val="20"/>
          <w:szCs w:val="20"/>
          <w:lang w:val="en-US"/>
        </w:rPr>
        <w:t xml:space="preserve">Leadership skills and organizational productivity in Nigeria. </w:t>
      </w:r>
      <w:r w:rsidRPr="002B107F">
        <w:rPr>
          <w:rFonts w:ascii="Arial" w:hAnsi="Arial" w:cs="Arial"/>
          <w:i/>
          <w:sz w:val="20"/>
          <w:szCs w:val="20"/>
          <w:lang w:val="en-US"/>
        </w:rPr>
        <w:t>South Asian Research Journal of Business and Management</w:t>
      </w:r>
      <w:r w:rsidRPr="002B107F">
        <w:rPr>
          <w:rFonts w:ascii="Arial" w:hAnsi="Arial" w:cs="Arial"/>
          <w:sz w:val="20"/>
          <w:szCs w:val="20"/>
          <w:lang w:val="en-US"/>
        </w:rPr>
        <w:t xml:space="preserve">, 4(3), 90-98. </w:t>
      </w:r>
      <w:hyperlink r:id="rId21" w:history="1">
        <w:r w:rsidRPr="002B107F">
          <w:rPr>
            <w:rStyle w:val="Hyperlink"/>
            <w:rFonts w:ascii="Arial" w:hAnsi="Arial" w:cs="Arial"/>
            <w:sz w:val="20"/>
            <w:szCs w:val="20"/>
            <w:lang w:val="en-US"/>
          </w:rPr>
          <w:t>https://doi.org/10.36346/sarjbm.2022.v04i03.002</w:t>
        </w:r>
      </w:hyperlink>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rPr>
        <w:t xml:space="preserve">Bravo, M. y Alvites, V. (2020) Influencia de los procesos administrativos en la calidad productiva de las instituciones de educación superior y extensiones universitarias de Manabí. </w:t>
      </w:r>
      <w:r w:rsidRPr="002B107F">
        <w:rPr>
          <w:rFonts w:ascii="Arial" w:hAnsi="Arial" w:cs="Arial"/>
          <w:i/>
          <w:iCs/>
          <w:sz w:val="20"/>
          <w:szCs w:val="20"/>
        </w:rPr>
        <w:t xml:space="preserve">Revista </w:t>
      </w:r>
      <w:r w:rsidR="00B64156" w:rsidRPr="002B107F">
        <w:rPr>
          <w:rFonts w:ascii="Arial" w:hAnsi="Arial" w:cs="Arial"/>
          <w:i/>
          <w:iCs/>
          <w:sz w:val="20"/>
          <w:szCs w:val="20"/>
        </w:rPr>
        <w:t xml:space="preserve">científica mundo de </w:t>
      </w:r>
      <w:r w:rsidRPr="002B107F">
        <w:rPr>
          <w:rFonts w:ascii="Arial" w:hAnsi="Arial" w:cs="Arial"/>
          <w:i/>
          <w:iCs/>
          <w:sz w:val="20"/>
          <w:szCs w:val="20"/>
        </w:rPr>
        <w:t>la investigación y el conocimiento</w:t>
      </w:r>
      <w:r w:rsidRPr="002B107F">
        <w:rPr>
          <w:rFonts w:ascii="Arial" w:hAnsi="Arial" w:cs="Arial"/>
          <w:sz w:val="20"/>
          <w:szCs w:val="20"/>
        </w:rPr>
        <w:t xml:space="preserve">. 4(3), 251-266. </w:t>
      </w:r>
      <w:hyperlink r:id="rId22" w:history="1">
        <w:r w:rsidRPr="002B107F">
          <w:rPr>
            <w:rStyle w:val="Hyperlink"/>
            <w:rFonts w:ascii="Arial" w:hAnsi="Arial" w:cs="Arial"/>
            <w:sz w:val="20"/>
            <w:szCs w:val="20"/>
          </w:rPr>
          <w:t>http://recimundo.com/index.php/es/article/view/872</w:t>
        </w:r>
      </w:hyperlink>
    </w:p>
    <w:p w:rsidR="002B107F" w:rsidRPr="002B107F" w:rsidRDefault="002B107F" w:rsidP="002B107F">
      <w:pPr>
        <w:spacing w:after="0" w:line="240" w:lineRule="auto"/>
        <w:ind w:left="709" w:hanging="709"/>
        <w:jc w:val="both"/>
        <w:rPr>
          <w:rFonts w:ascii="Arial" w:hAnsi="Arial" w:cs="Arial"/>
          <w:sz w:val="20"/>
          <w:szCs w:val="20"/>
          <w:lang w:val="en-US"/>
        </w:rPr>
      </w:pPr>
      <w:r w:rsidRPr="002B107F">
        <w:rPr>
          <w:rFonts w:ascii="Arial" w:hAnsi="Arial" w:cs="Arial"/>
          <w:sz w:val="20"/>
          <w:szCs w:val="20"/>
          <w:lang w:val="en-US"/>
        </w:rPr>
        <w:t xml:space="preserve">Barnes, N., Du Plessis, M. y Frantz, J. (2021). Institutional culture and academic career progression: Perceptions and experiences of academic staff. </w:t>
      </w:r>
      <w:r w:rsidRPr="002B107F">
        <w:rPr>
          <w:rFonts w:ascii="Arial" w:hAnsi="Arial" w:cs="Arial"/>
          <w:i/>
          <w:sz w:val="20"/>
          <w:szCs w:val="20"/>
          <w:lang w:val="en-US"/>
        </w:rPr>
        <w:t>SA Journal of Industrial Psychology,</w:t>
      </w:r>
      <w:r w:rsidRPr="002B107F">
        <w:rPr>
          <w:rFonts w:ascii="Arial" w:hAnsi="Arial" w:cs="Arial"/>
          <w:sz w:val="20"/>
          <w:szCs w:val="20"/>
          <w:lang w:val="en-US"/>
        </w:rPr>
        <w:t xml:space="preserve"> 47(0), a1878. </w:t>
      </w:r>
      <w:hyperlink r:id="rId23" w:history="1">
        <w:r w:rsidRPr="002B107F">
          <w:rPr>
            <w:rStyle w:val="Hyperlink"/>
            <w:rFonts w:ascii="Arial" w:hAnsi="Arial" w:cs="Arial"/>
            <w:sz w:val="20"/>
            <w:szCs w:val="20"/>
            <w:lang w:val="en-US"/>
          </w:rPr>
          <w:t>https://doi.org/10.4102/sajip.v47i0.1878</w:t>
        </w:r>
      </w:hyperlink>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lang w:val="en-US"/>
        </w:rPr>
        <w:t xml:space="preserve">Bárcenas, M. Beltrán, E. Regino, F. Martínez, R. Flores, F. y Carrillo, A. (2023) Application of the Balanced Scorecard methodology in the management of a higher education institution. </w:t>
      </w:r>
      <w:r w:rsidRPr="002B107F">
        <w:rPr>
          <w:rFonts w:ascii="Arial" w:hAnsi="Arial" w:cs="Arial"/>
          <w:i/>
          <w:sz w:val="20"/>
          <w:szCs w:val="20"/>
        </w:rPr>
        <w:t>Revista Foro de Estudios sobre Guerrero</w:t>
      </w:r>
      <w:r w:rsidRPr="002B107F">
        <w:rPr>
          <w:rFonts w:ascii="Arial" w:hAnsi="Arial" w:cs="Arial"/>
          <w:sz w:val="20"/>
          <w:szCs w:val="20"/>
        </w:rPr>
        <w:t xml:space="preserve">, 10(1), 50-55. </w:t>
      </w:r>
      <w:hyperlink r:id="rId24" w:history="1">
        <w:r w:rsidRPr="002B107F">
          <w:rPr>
            <w:rStyle w:val="Hyperlink"/>
            <w:rFonts w:ascii="Arial" w:hAnsi="Arial" w:cs="Arial"/>
            <w:sz w:val="20"/>
            <w:szCs w:val="20"/>
          </w:rPr>
          <w:t>https://doi.org/10.62384/fesgro.v10i1.285</w:t>
        </w:r>
      </w:hyperlink>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rPr>
        <w:t xml:space="preserve">Bretaña, R. Chávez, D. Fernández, N. Hincapié, N. y Bonilla, M. (2022). Certificación de sistemas de gestión y acreditación de la calidad en la educación superior. </w:t>
      </w:r>
      <w:r w:rsidRPr="002B107F">
        <w:rPr>
          <w:rFonts w:ascii="Arial" w:hAnsi="Arial" w:cs="Arial"/>
          <w:i/>
          <w:sz w:val="20"/>
          <w:szCs w:val="20"/>
        </w:rPr>
        <w:t>Revista Iberoamericana de Educación</w:t>
      </w:r>
      <w:r w:rsidRPr="002B107F">
        <w:rPr>
          <w:rFonts w:ascii="Arial" w:hAnsi="Arial" w:cs="Arial"/>
          <w:sz w:val="20"/>
          <w:szCs w:val="20"/>
        </w:rPr>
        <w:t xml:space="preserve">, 88(1), Article 1. </w:t>
      </w:r>
      <w:hyperlink r:id="rId25" w:history="1">
        <w:r w:rsidRPr="002B107F">
          <w:rPr>
            <w:rStyle w:val="Hyperlink"/>
            <w:rFonts w:ascii="Arial" w:hAnsi="Arial" w:cs="Arial"/>
            <w:sz w:val="20"/>
            <w:szCs w:val="20"/>
          </w:rPr>
          <w:t>https://doi.org/10.35362/rie8814779</w:t>
        </w:r>
      </w:hyperlink>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rPr>
        <w:t xml:space="preserve">Cabrera Félix, C. y Bennasar-García, M. I. (2022). Gerencia Educativa: Dimensión Social, Transformaciones, Retos y Desafíos. </w:t>
      </w:r>
      <w:r w:rsidRPr="002B107F">
        <w:rPr>
          <w:rFonts w:ascii="Arial" w:hAnsi="Arial" w:cs="Arial"/>
          <w:i/>
          <w:sz w:val="20"/>
          <w:szCs w:val="20"/>
        </w:rPr>
        <w:t>Revista Publicando</w:t>
      </w:r>
      <w:r w:rsidRPr="002B107F">
        <w:rPr>
          <w:rFonts w:ascii="Arial" w:hAnsi="Arial" w:cs="Arial"/>
          <w:sz w:val="20"/>
          <w:szCs w:val="20"/>
        </w:rPr>
        <w:t xml:space="preserve">, 9(34), 17-30. </w:t>
      </w:r>
      <w:hyperlink r:id="rId26" w:history="1">
        <w:r w:rsidRPr="002B107F">
          <w:rPr>
            <w:rStyle w:val="Hyperlink"/>
            <w:rFonts w:ascii="Arial" w:hAnsi="Arial" w:cs="Arial"/>
            <w:sz w:val="20"/>
            <w:szCs w:val="20"/>
          </w:rPr>
          <w:t>https://doi.org/10.51528/rp.vol9.id2314</w:t>
        </w:r>
      </w:hyperlink>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rPr>
        <w:t>Cabrera, L. Perachimba, S. y Orlenda, J. (2024). Gestión institucional para promover el acompañamiento de representantes legales a estudiantes en sus procesos pedagógicos. </w:t>
      </w:r>
      <w:r w:rsidRPr="002B107F">
        <w:rPr>
          <w:rFonts w:ascii="Arial" w:hAnsi="Arial" w:cs="Arial"/>
          <w:i/>
          <w:iCs/>
          <w:sz w:val="20"/>
          <w:szCs w:val="20"/>
        </w:rPr>
        <w:t>MQRInvestigar</w:t>
      </w:r>
      <w:r w:rsidRPr="002B107F">
        <w:rPr>
          <w:rFonts w:ascii="Arial" w:hAnsi="Arial" w:cs="Arial"/>
          <w:sz w:val="20"/>
          <w:szCs w:val="20"/>
        </w:rPr>
        <w:t>, </w:t>
      </w:r>
      <w:r w:rsidRPr="002B107F">
        <w:rPr>
          <w:rFonts w:ascii="Arial" w:hAnsi="Arial" w:cs="Arial"/>
          <w:i/>
          <w:iCs/>
          <w:sz w:val="20"/>
          <w:szCs w:val="20"/>
        </w:rPr>
        <w:t>8</w:t>
      </w:r>
      <w:r w:rsidRPr="002B107F">
        <w:rPr>
          <w:rFonts w:ascii="Arial" w:hAnsi="Arial" w:cs="Arial"/>
          <w:sz w:val="20"/>
          <w:szCs w:val="20"/>
        </w:rPr>
        <w:t xml:space="preserve">(4), 938–960.  </w:t>
      </w:r>
      <w:hyperlink r:id="rId27" w:history="1">
        <w:r w:rsidRPr="002B107F">
          <w:rPr>
            <w:rStyle w:val="Hyperlink"/>
            <w:rFonts w:ascii="Arial" w:hAnsi="Arial" w:cs="Arial"/>
            <w:sz w:val="20"/>
            <w:szCs w:val="20"/>
          </w:rPr>
          <w:t>https://doi.org/10.56048/MQR20225.8.4.2024.938-960</w:t>
        </w:r>
      </w:hyperlink>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rPr>
        <w:t xml:space="preserve">Carrascal, M. Maneiro, R. Revesado, D. (2022) La importancia del enfoque pedagógico inclusivo en los programas de formación docente. </w:t>
      </w:r>
      <w:r w:rsidRPr="002B107F">
        <w:rPr>
          <w:rFonts w:ascii="Arial" w:hAnsi="Arial" w:cs="Arial"/>
          <w:i/>
          <w:sz w:val="20"/>
          <w:szCs w:val="20"/>
        </w:rPr>
        <w:t xml:space="preserve">Revista </w:t>
      </w:r>
      <w:r w:rsidR="00B64156" w:rsidRPr="002B107F">
        <w:rPr>
          <w:rFonts w:ascii="Arial" w:hAnsi="Arial" w:cs="Arial"/>
          <w:i/>
          <w:sz w:val="20"/>
          <w:szCs w:val="20"/>
        </w:rPr>
        <w:t>de lecturas educación física y deportes</w:t>
      </w:r>
      <w:r w:rsidRPr="002B107F">
        <w:rPr>
          <w:rFonts w:ascii="Arial" w:hAnsi="Arial" w:cs="Arial"/>
          <w:sz w:val="20"/>
          <w:szCs w:val="20"/>
        </w:rPr>
        <w:t xml:space="preserve">. 27(288), 160-175. </w:t>
      </w:r>
      <w:hyperlink r:id="rId28" w:history="1">
        <w:r w:rsidRPr="002B107F">
          <w:rPr>
            <w:rStyle w:val="Hyperlink"/>
            <w:rFonts w:ascii="Arial" w:hAnsi="Arial" w:cs="Arial"/>
            <w:sz w:val="20"/>
            <w:szCs w:val="20"/>
          </w:rPr>
          <w:t>https://doi.org/10.46642/efd.v27i288.3281</w:t>
        </w:r>
      </w:hyperlink>
      <w:r w:rsidRPr="002B107F">
        <w:rPr>
          <w:rFonts w:ascii="Arial" w:hAnsi="Arial" w:cs="Arial"/>
          <w:sz w:val="20"/>
          <w:szCs w:val="20"/>
        </w:rPr>
        <w:t xml:space="preserve"> </w:t>
      </w:r>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rPr>
        <w:t xml:space="preserve">Cardona, L., Pardo del Val, M., y Dasí A. (2020). El cambio organizativo en la educación superior en Colombia: Perspectivas y retos. </w:t>
      </w:r>
      <w:r w:rsidRPr="002B107F">
        <w:rPr>
          <w:rFonts w:ascii="Arial" w:hAnsi="Arial" w:cs="Arial"/>
          <w:i/>
          <w:sz w:val="20"/>
          <w:szCs w:val="20"/>
        </w:rPr>
        <w:t xml:space="preserve">Revista de </w:t>
      </w:r>
      <w:r w:rsidR="00B64156" w:rsidRPr="002B107F">
        <w:rPr>
          <w:rFonts w:ascii="Arial" w:hAnsi="Arial" w:cs="Arial"/>
          <w:i/>
          <w:sz w:val="20"/>
          <w:szCs w:val="20"/>
        </w:rPr>
        <w:t>docencia universitaria</w:t>
      </w:r>
      <w:r w:rsidRPr="002B107F">
        <w:rPr>
          <w:rFonts w:ascii="Arial" w:hAnsi="Arial" w:cs="Arial"/>
          <w:sz w:val="20"/>
          <w:szCs w:val="20"/>
        </w:rPr>
        <w:t xml:space="preserve">, 18(1), 249–273. </w:t>
      </w:r>
      <w:hyperlink r:id="rId29" w:history="1">
        <w:r w:rsidRPr="002B107F">
          <w:rPr>
            <w:rStyle w:val="Hyperlink"/>
            <w:rFonts w:ascii="Arial" w:hAnsi="Arial" w:cs="Arial"/>
            <w:sz w:val="20"/>
            <w:szCs w:val="20"/>
          </w:rPr>
          <w:t>https://doi.org/10.4995/redu.2020.12878</w:t>
        </w:r>
      </w:hyperlink>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rPr>
        <w:t xml:space="preserve">Causo, E. J. V., De la Cruz Licas, M., Osores, J. C. V., Rosillov, F. F., Selis, D. Q. y Osores, R. I. V. (2021). Gestión institucional y planificación estratégica en una institución educativa pública del distrito de Jaén, Cajamarca, Perú. </w:t>
      </w:r>
      <w:r w:rsidRPr="002B107F">
        <w:rPr>
          <w:rFonts w:ascii="Arial" w:hAnsi="Arial" w:cs="Arial"/>
          <w:i/>
          <w:sz w:val="20"/>
          <w:szCs w:val="20"/>
        </w:rPr>
        <w:t>Revista Científica Pakamuros</w:t>
      </w:r>
      <w:r w:rsidRPr="002B107F">
        <w:rPr>
          <w:rFonts w:ascii="Arial" w:hAnsi="Arial" w:cs="Arial"/>
          <w:sz w:val="20"/>
          <w:szCs w:val="20"/>
        </w:rPr>
        <w:t xml:space="preserve">, 9(1). </w:t>
      </w:r>
      <w:hyperlink r:id="rId30" w:history="1">
        <w:r w:rsidRPr="002B107F">
          <w:rPr>
            <w:rStyle w:val="Hyperlink"/>
            <w:rFonts w:ascii="Arial" w:hAnsi="Arial" w:cs="Arial"/>
            <w:sz w:val="20"/>
            <w:szCs w:val="20"/>
          </w:rPr>
          <w:t>https://doi.org/10.37787/m0t1z133</w:t>
        </w:r>
      </w:hyperlink>
      <w:r w:rsidRPr="002B107F">
        <w:rPr>
          <w:rFonts w:ascii="Arial" w:hAnsi="Arial" w:cs="Arial"/>
          <w:sz w:val="20"/>
          <w:szCs w:val="20"/>
        </w:rPr>
        <w:t xml:space="preserve"> </w:t>
      </w:r>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rPr>
        <w:t xml:space="preserve">Comisión Económica para América Latina y el Caribe -CEPAL (2023) </w:t>
      </w:r>
      <w:r w:rsidRPr="002B107F">
        <w:rPr>
          <w:rFonts w:ascii="Arial" w:hAnsi="Arial" w:cs="Arial"/>
          <w:i/>
          <w:sz w:val="20"/>
          <w:szCs w:val="20"/>
        </w:rPr>
        <w:t>Participación ciudadana en la gestión institucional</w:t>
      </w:r>
      <w:r w:rsidR="00A6138F">
        <w:rPr>
          <w:rFonts w:ascii="Arial" w:hAnsi="Arial" w:cs="Arial"/>
          <w:sz w:val="20"/>
          <w:szCs w:val="20"/>
        </w:rPr>
        <w:t xml:space="preserve">. </w:t>
      </w:r>
      <w:hyperlink r:id="rId31" w:history="1">
        <w:r w:rsidRPr="002B107F">
          <w:rPr>
            <w:rStyle w:val="Hyperlink"/>
            <w:rFonts w:ascii="Arial" w:hAnsi="Arial" w:cs="Arial"/>
            <w:sz w:val="20"/>
            <w:szCs w:val="20"/>
          </w:rPr>
          <w:t>https://comunidades.cepal.org/ilpes/es/grupos/discusion/participacionciudadana-en-la-gestion-institucional</w:t>
        </w:r>
      </w:hyperlink>
      <w:r w:rsidRPr="002B107F">
        <w:rPr>
          <w:rFonts w:ascii="Arial" w:hAnsi="Arial" w:cs="Arial"/>
          <w:sz w:val="20"/>
          <w:szCs w:val="20"/>
        </w:rPr>
        <w:t xml:space="preserve"> </w:t>
      </w:r>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rPr>
        <w:t xml:space="preserve">Cubela, J. Delgado, E. Lema, A. (2024) Gestión docente y educativa en la educación superior por la calidad de la formación. </w:t>
      </w:r>
      <w:r w:rsidRPr="002B107F">
        <w:rPr>
          <w:rFonts w:ascii="Arial" w:hAnsi="Arial" w:cs="Arial"/>
          <w:i/>
          <w:sz w:val="20"/>
          <w:szCs w:val="20"/>
        </w:rPr>
        <w:t>Revista de Ciencias Sociales y Humanas</w:t>
      </w:r>
      <w:r w:rsidRPr="002B107F">
        <w:rPr>
          <w:rFonts w:ascii="Arial" w:hAnsi="Arial" w:cs="Arial"/>
          <w:sz w:val="20"/>
          <w:szCs w:val="20"/>
        </w:rPr>
        <w:t xml:space="preserve">. 6(1), </w:t>
      </w:r>
      <w:hyperlink r:id="rId32" w:history="1">
        <w:r w:rsidRPr="002B107F">
          <w:rPr>
            <w:rStyle w:val="Hyperlink"/>
            <w:rFonts w:ascii="Arial" w:hAnsi="Arial" w:cs="Arial"/>
            <w:sz w:val="20"/>
            <w:szCs w:val="20"/>
          </w:rPr>
          <w:t>https://doi.org/10.47606/acven/ph0229</w:t>
        </w:r>
      </w:hyperlink>
      <w:r w:rsidRPr="002B107F">
        <w:rPr>
          <w:rFonts w:ascii="Arial" w:hAnsi="Arial" w:cs="Arial"/>
          <w:sz w:val="20"/>
          <w:szCs w:val="20"/>
        </w:rPr>
        <w:t> </w:t>
      </w:r>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rPr>
        <w:t xml:space="preserve">Corporación española (2023). Antecedentes, diagnóstico actual y perspectivas de la calidad de la Educación Superior en América Latina y el Caribe. </w:t>
      </w:r>
      <w:hyperlink r:id="rId33" w:history="1">
        <w:r w:rsidRPr="002B107F">
          <w:rPr>
            <w:rStyle w:val="Hyperlink"/>
            <w:rFonts w:ascii="Arial" w:hAnsi="Arial" w:cs="Arial"/>
            <w:sz w:val="20"/>
            <w:szCs w:val="20"/>
          </w:rPr>
          <w:t>https://acortar.link/4gly8H</w:t>
        </w:r>
      </w:hyperlink>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rPr>
        <w:t xml:space="preserve">Cruz, C.  (2021).  Gestión educativa y competencias profesionales directivas. </w:t>
      </w:r>
      <w:r w:rsidRPr="002B107F">
        <w:rPr>
          <w:rFonts w:ascii="Arial" w:hAnsi="Arial" w:cs="Arial"/>
          <w:i/>
          <w:sz w:val="20"/>
          <w:szCs w:val="20"/>
        </w:rPr>
        <w:t>Ciencia Latina Revista Científica Multidisciplinar</w:t>
      </w:r>
      <w:r w:rsidRPr="002B107F">
        <w:rPr>
          <w:rFonts w:ascii="Arial" w:hAnsi="Arial" w:cs="Arial"/>
          <w:sz w:val="20"/>
          <w:szCs w:val="20"/>
        </w:rPr>
        <w:t>, 5(4), 6008–6018.</w:t>
      </w:r>
      <w:r w:rsidRPr="002B107F">
        <w:rPr>
          <w:rFonts w:ascii="Arial" w:hAnsi="Arial" w:cs="Arial"/>
          <w:b/>
          <w:bCs/>
          <w:sz w:val="20"/>
          <w:szCs w:val="20"/>
        </w:rPr>
        <w:t> </w:t>
      </w:r>
      <w:hyperlink r:id="rId34" w:history="1">
        <w:r w:rsidRPr="002B107F">
          <w:rPr>
            <w:rStyle w:val="Hyperlink"/>
            <w:rFonts w:ascii="Arial" w:hAnsi="Arial" w:cs="Arial"/>
            <w:sz w:val="20"/>
            <w:szCs w:val="20"/>
          </w:rPr>
          <w:t>https://doi.org/10.37811/cl_rcm.v5i4.755</w:t>
        </w:r>
      </w:hyperlink>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rPr>
        <w:t xml:space="preserve">Colina, F. y Albites, J. (2020). Aprendizaje e innovación: retos en las organizaciones del siglo XXI. </w:t>
      </w:r>
      <w:r w:rsidRPr="002B107F">
        <w:rPr>
          <w:rFonts w:ascii="Arial" w:hAnsi="Arial" w:cs="Arial"/>
          <w:i/>
          <w:sz w:val="20"/>
          <w:szCs w:val="20"/>
        </w:rPr>
        <w:t>Desde el Sur</w:t>
      </w:r>
      <w:r w:rsidRPr="002B107F">
        <w:rPr>
          <w:rFonts w:ascii="Arial" w:hAnsi="Arial" w:cs="Arial"/>
          <w:sz w:val="20"/>
          <w:szCs w:val="20"/>
        </w:rPr>
        <w:t xml:space="preserve">, 12(1), 167-176.  </w:t>
      </w:r>
      <w:hyperlink r:id="rId35" w:history="1">
        <w:r w:rsidRPr="002B107F">
          <w:rPr>
            <w:rStyle w:val="Hyperlink"/>
            <w:rFonts w:ascii="Arial" w:hAnsi="Arial" w:cs="Arial"/>
            <w:sz w:val="20"/>
            <w:szCs w:val="20"/>
          </w:rPr>
          <w:t>https://revistas.cientifica.edu.pe/index.php/desdeelsur/article/view/597/639</w:t>
        </w:r>
      </w:hyperlink>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rPr>
        <w:t xml:space="preserve">Guerra, I. y Palomino, G. (2021). Modelo de gestión por resultados para mejorar la calidad de gasto en la Unidad de Gestión Educativa Local, San Martín. </w:t>
      </w:r>
      <w:r w:rsidRPr="002B107F">
        <w:rPr>
          <w:rFonts w:ascii="Arial" w:hAnsi="Arial" w:cs="Arial"/>
          <w:i/>
          <w:sz w:val="20"/>
          <w:szCs w:val="20"/>
        </w:rPr>
        <w:t>Ciencia Latina</w:t>
      </w:r>
      <w:r w:rsidRPr="002B107F">
        <w:rPr>
          <w:rFonts w:ascii="Arial" w:hAnsi="Arial" w:cs="Arial"/>
          <w:sz w:val="20"/>
          <w:szCs w:val="20"/>
        </w:rPr>
        <w:t xml:space="preserve">, 4(2), 1–21.  </w:t>
      </w:r>
      <w:hyperlink r:id="rId36" w:history="1">
        <w:r w:rsidRPr="002B107F">
          <w:rPr>
            <w:rStyle w:val="Hyperlink"/>
            <w:rFonts w:ascii="Arial" w:hAnsi="Arial" w:cs="Arial"/>
            <w:sz w:val="20"/>
            <w:szCs w:val="20"/>
          </w:rPr>
          <w:t>https://doi.org/https://doi.org/10.37811/cl_rcm.v4i2.112p</w:t>
        </w:r>
      </w:hyperlink>
      <w:r w:rsidRPr="002B107F">
        <w:rPr>
          <w:rFonts w:ascii="Arial" w:hAnsi="Arial" w:cs="Arial"/>
          <w:sz w:val="20"/>
          <w:szCs w:val="20"/>
        </w:rPr>
        <w:t xml:space="preserve"> </w:t>
      </w:r>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rPr>
        <w:t xml:space="preserve">Henríquez, A. Castro, M. y Naveda, A. (2022). Procesos de Gestión en Instituciones Experimentales de Educación Universitaria. </w:t>
      </w:r>
      <w:r w:rsidRPr="002B107F">
        <w:rPr>
          <w:rFonts w:ascii="Arial" w:hAnsi="Arial" w:cs="Arial"/>
          <w:i/>
          <w:sz w:val="20"/>
          <w:szCs w:val="20"/>
        </w:rPr>
        <w:t>Revista de Ciencias Sociales</w:t>
      </w:r>
      <w:r w:rsidRPr="002B107F">
        <w:rPr>
          <w:rFonts w:ascii="Arial" w:hAnsi="Arial" w:cs="Arial"/>
          <w:sz w:val="20"/>
          <w:szCs w:val="20"/>
        </w:rPr>
        <w:t xml:space="preserve">, 28(2), 364–380. </w:t>
      </w:r>
      <w:hyperlink r:id="rId37" w:history="1">
        <w:r w:rsidRPr="002B107F">
          <w:rPr>
            <w:rStyle w:val="Hyperlink"/>
            <w:rFonts w:ascii="Arial" w:hAnsi="Arial" w:cs="Arial"/>
            <w:sz w:val="20"/>
            <w:szCs w:val="20"/>
          </w:rPr>
          <w:t>https://doi.org/10.31876/rcs.v28i2.37944</w:t>
        </w:r>
      </w:hyperlink>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rPr>
        <w:t xml:space="preserve">Kariuki, P. (2023) </w:t>
      </w:r>
      <w:r w:rsidRPr="002B107F">
        <w:rPr>
          <w:rFonts w:ascii="Arial" w:hAnsi="Arial" w:cs="Arial"/>
          <w:i/>
          <w:sz w:val="20"/>
          <w:szCs w:val="20"/>
        </w:rPr>
        <w:t>Prácticas de gestión institucional, estrategias de sostenibilidad y desempeño de las universidades públicas autorizadas en Kenia</w:t>
      </w:r>
      <w:r w:rsidRPr="002B107F">
        <w:rPr>
          <w:rFonts w:ascii="Arial" w:hAnsi="Arial" w:cs="Arial"/>
          <w:sz w:val="20"/>
          <w:szCs w:val="20"/>
        </w:rPr>
        <w:t xml:space="preserve">. [Tesis doctoral. Universidad De Karatina] </w:t>
      </w:r>
      <w:hyperlink r:id="rId38" w:history="1">
        <w:r w:rsidRPr="002B107F">
          <w:rPr>
            <w:rStyle w:val="Hyperlink"/>
            <w:rFonts w:ascii="Arial" w:hAnsi="Arial" w:cs="Arial"/>
            <w:sz w:val="20"/>
            <w:szCs w:val="20"/>
          </w:rPr>
          <w:t>https://karuspace.karu.ac.ke/handle/20.500.12092/3004</w:t>
        </w:r>
      </w:hyperlink>
    </w:p>
    <w:p w:rsidR="002B107F" w:rsidRPr="002B107F" w:rsidRDefault="002B107F" w:rsidP="002B107F">
      <w:pPr>
        <w:spacing w:after="0" w:line="240" w:lineRule="auto"/>
        <w:ind w:left="709" w:hanging="709"/>
        <w:jc w:val="both"/>
        <w:rPr>
          <w:rFonts w:ascii="Arial" w:hAnsi="Arial" w:cs="Arial"/>
          <w:sz w:val="20"/>
          <w:szCs w:val="20"/>
          <w:lang w:val="en-US"/>
        </w:rPr>
      </w:pPr>
      <w:r w:rsidRPr="002B107F">
        <w:rPr>
          <w:rFonts w:ascii="Arial" w:hAnsi="Arial" w:cs="Arial"/>
          <w:sz w:val="20"/>
          <w:szCs w:val="20"/>
          <w:lang w:val="en-US"/>
        </w:rPr>
        <w:t xml:space="preserve">Kathirveloo, P. (2024). Assessing Institutional Readiness for Blended Learning Management and Implementation in Malaysian Higher Education. </w:t>
      </w:r>
      <w:r w:rsidRPr="002B107F">
        <w:rPr>
          <w:rFonts w:ascii="Arial" w:hAnsi="Arial" w:cs="Arial"/>
          <w:i/>
          <w:sz w:val="20"/>
          <w:szCs w:val="20"/>
          <w:lang w:val="en-US"/>
        </w:rPr>
        <w:t>Management Research Journal</w:t>
      </w:r>
      <w:r w:rsidRPr="002B107F">
        <w:rPr>
          <w:rFonts w:ascii="Arial" w:hAnsi="Arial" w:cs="Arial"/>
          <w:sz w:val="20"/>
          <w:szCs w:val="20"/>
          <w:lang w:val="en-US"/>
        </w:rPr>
        <w:t xml:space="preserve">, 13(2), 55–67. </w:t>
      </w:r>
      <w:hyperlink r:id="rId39" w:history="1">
        <w:r w:rsidRPr="002B107F">
          <w:rPr>
            <w:rStyle w:val="Hyperlink"/>
            <w:rFonts w:ascii="Arial" w:hAnsi="Arial" w:cs="Arial"/>
            <w:sz w:val="20"/>
            <w:szCs w:val="20"/>
            <w:lang w:val="en-US"/>
          </w:rPr>
          <w:t>https://doi.org/10.37134/mrj.vol13.2.5.2024</w:t>
        </w:r>
      </w:hyperlink>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lang w:val="en-US"/>
        </w:rPr>
        <w:t xml:space="preserve">Kevans, Ma.  </w:t>
      </w:r>
      <w:r w:rsidRPr="002B107F">
        <w:rPr>
          <w:rFonts w:ascii="Arial" w:hAnsi="Arial" w:cs="Arial"/>
          <w:sz w:val="20"/>
          <w:szCs w:val="20"/>
        </w:rPr>
        <w:t xml:space="preserve">(2020).  </w:t>
      </w:r>
      <w:r w:rsidR="005340FA" w:rsidRPr="002B107F">
        <w:rPr>
          <w:rFonts w:ascii="Arial" w:hAnsi="Arial" w:cs="Arial"/>
          <w:sz w:val="20"/>
          <w:szCs w:val="20"/>
        </w:rPr>
        <w:t>Gestión educativa y calidad de la educación superior tecnológica en</w:t>
      </w:r>
      <w:r w:rsidRPr="002B107F">
        <w:rPr>
          <w:rFonts w:ascii="Arial" w:hAnsi="Arial" w:cs="Arial"/>
          <w:sz w:val="20"/>
          <w:szCs w:val="20"/>
        </w:rPr>
        <w:t xml:space="preserve"> instituciones     estatales     de     Lima     metropolitana. </w:t>
      </w:r>
      <w:r w:rsidRPr="00A6138F">
        <w:rPr>
          <w:rFonts w:ascii="Arial" w:hAnsi="Arial" w:cs="Arial"/>
          <w:sz w:val="20"/>
          <w:szCs w:val="20"/>
        </w:rPr>
        <w:t>Educación</w:t>
      </w:r>
      <w:r w:rsidRPr="002B107F">
        <w:rPr>
          <w:rFonts w:ascii="Arial" w:hAnsi="Arial" w:cs="Arial"/>
          <w:i/>
          <w:sz w:val="20"/>
          <w:szCs w:val="20"/>
        </w:rPr>
        <w:t>,</w:t>
      </w:r>
      <w:r w:rsidRPr="002B107F">
        <w:rPr>
          <w:rFonts w:ascii="Arial" w:hAnsi="Arial" w:cs="Arial"/>
          <w:sz w:val="20"/>
          <w:szCs w:val="20"/>
        </w:rPr>
        <w:t xml:space="preserve"> 26(2), 147–162. </w:t>
      </w:r>
      <w:hyperlink r:id="rId40" w:history="1">
        <w:r w:rsidRPr="002B107F">
          <w:rPr>
            <w:rStyle w:val="Hyperlink"/>
            <w:rFonts w:ascii="Arial" w:hAnsi="Arial" w:cs="Arial"/>
            <w:sz w:val="20"/>
            <w:szCs w:val="20"/>
          </w:rPr>
          <w:t>https://doi.org/10.33539/educacion.2020.v26n2.2229GESTIÓN</w:t>
        </w:r>
      </w:hyperlink>
      <w:r w:rsidRPr="002B107F">
        <w:rPr>
          <w:rFonts w:ascii="Arial" w:hAnsi="Arial" w:cs="Arial"/>
          <w:sz w:val="20"/>
          <w:szCs w:val="20"/>
        </w:rPr>
        <w:t xml:space="preserve"> </w:t>
      </w:r>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rPr>
        <w:t xml:space="preserve">Leoncio, J., Muñoz, R., </w:t>
      </w:r>
      <w:r w:rsidR="005340FA" w:rsidRPr="002B107F">
        <w:rPr>
          <w:rFonts w:ascii="Arial" w:hAnsi="Arial" w:cs="Arial"/>
          <w:sz w:val="20"/>
          <w:szCs w:val="20"/>
        </w:rPr>
        <w:t>Ángel</w:t>
      </w:r>
      <w:r w:rsidRPr="002B107F">
        <w:rPr>
          <w:rFonts w:ascii="Arial" w:hAnsi="Arial" w:cs="Arial"/>
          <w:sz w:val="20"/>
          <w:szCs w:val="20"/>
        </w:rPr>
        <w:t xml:space="preserve">, I., Díaz, E., Isabel, Ú., &amp; Miranda, R. (2022). </w:t>
      </w:r>
      <w:r w:rsidR="005340FA" w:rsidRPr="002B107F">
        <w:rPr>
          <w:rFonts w:ascii="Arial" w:hAnsi="Arial" w:cs="Arial"/>
          <w:sz w:val="20"/>
          <w:szCs w:val="20"/>
        </w:rPr>
        <w:t>La</w:t>
      </w:r>
      <w:r w:rsidR="005340FA">
        <w:rPr>
          <w:rFonts w:ascii="Arial" w:hAnsi="Arial" w:cs="Arial"/>
          <w:sz w:val="20"/>
          <w:szCs w:val="20"/>
        </w:rPr>
        <w:t xml:space="preserve"> </w:t>
      </w:r>
      <w:r w:rsidR="005340FA" w:rsidRPr="002B107F">
        <w:rPr>
          <w:rFonts w:ascii="Arial" w:hAnsi="Arial" w:cs="Arial"/>
          <w:sz w:val="20"/>
          <w:szCs w:val="20"/>
        </w:rPr>
        <w:t xml:space="preserve">satisfacción </w:t>
      </w:r>
      <w:r w:rsidR="005340FA">
        <w:rPr>
          <w:rFonts w:ascii="Arial" w:hAnsi="Arial" w:cs="Arial"/>
          <w:sz w:val="20"/>
          <w:szCs w:val="20"/>
        </w:rPr>
        <w:t>estu</w:t>
      </w:r>
      <w:r w:rsidR="005340FA" w:rsidRPr="002B107F">
        <w:rPr>
          <w:rFonts w:ascii="Arial" w:hAnsi="Arial" w:cs="Arial"/>
          <w:sz w:val="20"/>
          <w:szCs w:val="20"/>
        </w:rPr>
        <w:t>diantil en la educación virtual: una revis</w:t>
      </w:r>
      <w:r w:rsidR="005340FA">
        <w:rPr>
          <w:rFonts w:ascii="Arial" w:hAnsi="Arial" w:cs="Arial"/>
          <w:sz w:val="20"/>
          <w:szCs w:val="20"/>
        </w:rPr>
        <w:t>ión sistemática internacional. C</w:t>
      </w:r>
      <w:r w:rsidR="005340FA" w:rsidRPr="002B107F">
        <w:rPr>
          <w:rFonts w:ascii="Arial" w:hAnsi="Arial" w:cs="Arial"/>
          <w:sz w:val="20"/>
          <w:szCs w:val="20"/>
        </w:rPr>
        <w:t>hakiñan</w:t>
      </w:r>
      <w:r w:rsidRPr="002B107F">
        <w:rPr>
          <w:rFonts w:ascii="Arial" w:hAnsi="Arial" w:cs="Arial"/>
          <w:sz w:val="20"/>
          <w:szCs w:val="20"/>
        </w:rPr>
        <w:t xml:space="preserve">, </w:t>
      </w:r>
      <w:r w:rsidRPr="002B107F">
        <w:rPr>
          <w:rFonts w:ascii="Arial" w:hAnsi="Arial" w:cs="Arial"/>
          <w:i/>
          <w:sz w:val="20"/>
          <w:szCs w:val="20"/>
        </w:rPr>
        <w:t xml:space="preserve">Revista </w:t>
      </w:r>
      <w:r w:rsidR="00B64156">
        <w:rPr>
          <w:rFonts w:ascii="Arial" w:hAnsi="Arial" w:cs="Arial"/>
          <w:i/>
          <w:sz w:val="20"/>
          <w:szCs w:val="20"/>
        </w:rPr>
        <w:t>d</w:t>
      </w:r>
      <w:r w:rsidRPr="002B107F">
        <w:rPr>
          <w:rFonts w:ascii="Arial" w:hAnsi="Arial" w:cs="Arial"/>
          <w:i/>
          <w:sz w:val="20"/>
          <w:szCs w:val="20"/>
        </w:rPr>
        <w:t xml:space="preserve">e Ciencias Sociales </w:t>
      </w:r>
      <w:r w:rsidR="00B64156">
        <w:rPr>
          <w:rFonts w:ascii="Arial" w:hAnsi="Arial" w:cs="Arial"/>
          <w:i/>
          <w:sz w:val="20"/>
          <w:szCs w:val="20"/>
        </w:rPr>
        <w:t xml:space="preserve">y </w:t>
      </w:r>
      <w:r w:rsidRPr="002B107F">
        <w:rPr>
          <w:rFonts w:ascii="Arial" w:hAnsi="Arial" w:cs="Arial"/>
          <w:i/>
          <w:sz w:val="20"/>
          <w:szCs w:val="20"/>
        </w:rPr>
        <w:t>Humanidades</w:t>
      </w:r>
      <w:r w:rsidRPr="002B107F">
        <w:rPr>
          <w:rFonts w:ascii="Arial" w:hAnsi="Arial" w:cs="Arial"/>
          <w:sz w:val="20"/>
          <w:szCs w:val="20"/>
        </w:rPr>
        <w:t xml:space="preserve">, 2(16), 1–17. </w:t>
      </w:r>
      <w:hyperlink r:id="rId41" w:history="1">
        <w:r w:rsidRPr="002B107F">
          <w:rPr>
            <w:rStyle w:val="Hyperlink"/>
            <w:rFonts w:ascii="Arial" w:hAnsi="Arial" w:cs="Arial"/>
            <w:sz w:val="20"/>
            <w:szCs w:val="20"/>
          </w:rPr>
          <w:t>https://doi.org/10.37135/chk.002.16.11</w:t>
        </w:r>
      </w:hyperlink>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rPr>
        <w:t xml:space="preserve">Moreno, A. (2024). Incidencia de la gestión institucional en el bienestar de los estudiantes de la Universidad Nacional de Loja (Ecuador). </w:t>
      </w:r>
      <w:r w:rsidRPr="005340FA">
        <w:rPr>
          <w:rFonts w:ascii="Arial" w:hAnsi="Arial" w:cs="Arial"/>
          <w:sz w:val="20"/>
          <w:szCs w:val="20"/>
        </w:rPr>
        <w:t>Desde el Sur,</w:t>
      </w:r>
      <w:r w:rsidRPr="002B107F">
        <w:rPr>
          <w:rFonts w:ascii="Arial" w:hAnsi="Arial" w:cs="Arial"/>
          <w:sz w:val="20"/>
          <w:szCs w:val="20"/>
        </w:rPr>
        <w:t xml:space="preserve"> 16(1), e0013. </w:t>
      </w:r>
      <w:hyperlink r:id="rId42" w:history="1">
        <w:r w:rsidRPr="002B107F">
          <w:rPr>
            <w:rStyle w:val="Hyperlink"/>
            <w:rFonts w:ascii="Arial" w:hAnsi="Arial" w:cs="Arial"/>
            <w:sz w:val="20"/>
            <w:szCs w:val="20"/>
          </w:rPr>
          <w:t>http://www.scielo.org.pe/pdf/des/v16n1/2415-0959-des-16-01-e0013.pdf</w:t>
        </w:r>
      </w:hyperlink>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rPr>
        <w:t xml:space="preserve">Muñoz, L. y Román, E. (2022). Estado de formación y desarrollo en gestión educativa de los directores escolares. Caso de estudio distrito de educación manta. </w:t>
      </w:r>
      <w:r w:rsidRPr="00B64156">
        <w:rPr>
          <w:rFonts w:ascii="Arial" w:hAnsi="Arial" w:cs="Arial"/>
          <w:sz w:val="20"/>
          <w:szCs w:val="20"/>
        </w:rPr>
        <w:t>ARETÉ</w:t>
      </w:r>
      <w:r w:rsidRPr="002B107F">
        <w:rPr>
          <w:rFonts w:ascii="Arial" w:hAnsi="Arial" w:cs="Arial"/>
          <w:sz w:val="20"/>
          <w:szCs w:val="20"/>
        </w:rPr>
        <w:t xml:space="preserve">, 8(15), 35–59. </w:t>
      </w:r>
      <w:hyperlink r:id="rId43" w:history="1">
        <w:r w:rsidRPr="002B107F">
          <w:rPr>
            <w:rStyle w:val="Hyperlink"/>
            <w:rFonts w:ascii="Arial" w:hAnsi="Arial" w:cs="Arial"/>
            <w:sz w:val="20"/>
            <w:szCs w:val="20"/>
          </w:rPr>
          <w:t>https://doi.org/10.55560/ARETE.2022.15.8.2</w:t>
        </w:r>
      </w:hyperlink>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rPr>
        <w:t xml:space="preserve">Ministerio de educación (2021). </w:t>
      </w:r>
      <w:r w:rsidRPr="00B64156">
        <w:rPr>
          <w:rFonts w:ascii="Arial" w:hAnsi="Arial" w:cs="Arial"/>
          <w:sz w:val="20"/>
          <w:szCs w:val="20"/>
        </w:rPr>
        <w:t>Boletín estadístico de instituciones de educación superior y CETPRO</w:t>
      </w:r>
      <w:r w:rsidRPr="002B107F">
        <w:rPr>
          <w:rFonts w:ascii="Arial" w:hAnsi="Arial" w:cs="Arial"/>
          <w:sz w:val="20"/>
          <w:szCs w:val="20"/>
        </w:rPr>
        <w:t xml:space="preserve">. </w:t>
      </w:r>
      <w:hyperlink r:id="rId44" w:history="1">
        <w:r w:rsidRPr="002B107F">
          <w:rPr>
            <w:rStyle w:val="Hyperlink"/>
            <w:rFonts w:ascii="Arial" w:hAnsi="Arial" w:cs="Arial"/>
            <w:sz w:val="20"/>
            <w:szCs w:val="20"/>
          </w:rPr>
          <w:t>https://acortar.link/uDV1YZ</w:t>
        </w:r>
      </w:hyperlink>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rPr>
        <w:t xml:space="preserve">Ninco, G. (2021). </w:t>
      </w:r>
      <w:r w:rsidRPr="00A6138F">
        <w:rPr>
          <w:rFonts w:ascii="Arial" w:hAnsi="Arial" w:cs="Arial"/>
          <w:sz w:val="20"/>
          <w:szCs w:val="20"/>
        </w:rPr>
        <w:t>Liderazgo pedagógico en el desarrollo de la gestión educativa en la Institución Educativa Luis Edgar Durán Ramírez de Paicol, Huila. Panamá: Un</w:t>
      </w:r>
      <w:r w:rsidRPr="002B107F">
        <w:rPr>
          <w:rFonts w:ascii="Arial" w:hAnsi="Arial" w:cs="Arial"/>
          <w:sz w:val="20"/>
          <w:szCs w:val="20"/>
        </w:rPr>
        <w:t xml:space="preserve">iversidad UMECIT, 2021. </w:t>
      </w:r>
      <w:hyperlink r:id="rId45" w:history="1">
        <w:r w:rsidRPr="002B107F">
          <w:rPr>
            <w:rStyle w:val="Hyperlink"/>
            <w:rFonts w:ascii="Arial" w:hAnsi="Arial" w:cs="Arial"/>
            <w:sz w:val="20"/>
            <w:szCs w:val="20"/>
          </w:rPr>
          <w:t>https://repositorio.umecit.edu.pa/handle/001/3835</w:t>
        </w:r>
      </w:hyperlink>
    </w:p>
    <w:p w:rsidR="002B107F" w:rsidRPr="002B107F" w:rsidRDefault="002B107F" w:rsidP="002B107F">
      <w:pPr>
        <w:spacing w:after="0" w:line="240" w:lineRule="auto"/>
        <w:ind w:left="709" w:hanging="709"/>
        <w:jc w:val="both"/>
        <w:rPr>
          <w:rFonts w:ascii="Arial" w:hAnsi="Arial" w:cs="Arial"/>
          <w:sz w:val="20"/>
          <w:szCs w:val="20"/>
          <w:lang w:val="en-US"/>
        </w:rPr>
      </w:pPr>
      <w:r w:rsidRPr="002B107F">
        <w:rPr>
          <w:rFonts w:ascii="Arial" w:hAnsi="Arial" w:cs="Arial"/>
          <w:sz w:val="20"/>
          <w:szCs w:val="20"/>
        </w:rPr>
        <w:t xml:space="preserve">Mangestuti, R., Mulyadi, M., Wahyuni, E., Aziz, R. y Qudsy, S. (2022). </w:t>
      </w:r>
      <w:r w:rsidRPr="002B107F">
        <w:rPr>
          <w:rFonts w:ascii="Arial" w:hAnsi="Arial" w:cs="Arial"/>
          <w:sz w:val="20"/>
          <w:szCs w:val="20"/>
          <w:lang w:val="en-US"/>
        </w:rPr>
        <w:t>The successful of student well-being development through child-friendly school programs. </w:t>
      </w:r>
      <w:r w:rsidRPr="002B107F">
        <w:rPr>
          <w:rFonts w:ascii="Arial" w:hAnsi="Arial" w:cs="Arial"/>
          <w:i/>
          <w:iCs/>
          <w:sz w:val="20"/>
          <w:szCs w:val="20"/>
          <w:lang w:val="en-US"/>
        </w:rPr>
        <w:t>International Journal of Elementary Education</w:t>
      </w:r>
      <w:r w:rsidRPr="002B107F">
        <w:rPr>
          <w:rFonts w:ascii="Arial" w:hAnsi="Arial" w:cs="Arial"/>
          <w:sz w:val="20"/>
          <w:szCs w:val="20"/>
          <w:lang w:val="en-US"/>
        </w:rPr>
        <w:t xml:space="preserve">, 6(2), 315-324. </w:t>
      </w:r>
      <w:hyperlink r:id="rId46" w:history="1">
        <w:r w:rsidRPr="002B107F">
          <w:rPr>
            <w:rStyle w:val="Hyperlink"/>
            <w:rFonts w:ascii="Arial" w:hAnsi="Arial" w:cs="Arial"/>
            <w:sz w:val="20"/>
            <w:szCs w:val="20"/>
            <w:lang w:val="en-US"/>
          </w:rPr>
          <w:t>https://doi.org/10.23887/ijee.v6i2.46019</w:t>
        </w:r>
      </w:hyperlink>
      <w:r w:rsidRPr="002B107F">
        <w:rPr>
          <w:rFonts w:ascii="Arial" w:hAnsi="Arial" w:cs="Arial"/>
          <w:sz w:val="20"/>
          <w:szCs w:val="20"/>
          <w:lang w:val="en-US"/>
        </w:rPr>
        <w:t xml:space="preserve"> </w:t>
      </w:r>
    </w:p>
    <w:p w:rsidR="002B107F" w:rsidRPr="002B107F" w:rsidRDefault="002B107F" w:rsidP="002B107F">
      <w:pPr>
        <w:spacing w:after="0" w:line="240" w:lineRule="auto"/>
        <w:ind w:left="709" w:hanging="709"/>
        <w:jc w:val="both"/>
        <w:rPr>
          <w:rFonts w:ascii="Arial" w:hAnsi="Arial" w:cs="Arial"/>
          <w:sz w:val="20"/>
          <w:szCs w:val="20"/>
          <w:lang w:val="en-US"/>
        </w:rPr>
      </w:pPr>
      <w:r w:rsidRPr="002B107F">
        <w:rPr>
          <w:rFonts w:ascii="Arial" w:hAnsi="Arial" w:cs="Arial"/>
          <w:sz w:val="20"/>
          <w:szCs w:val="20"/>
          <w:lang w:val="es-VE"/>
        </w:rPr>
        <w:t xml:space="preserve">Martínez, P., Enrique, Á., Escobar, S., Arturo, J. y Parra, B. (2024). </w:t>
      </w:r>
      <w:r w:rsidRPr="002B107F">
        <w:rPr>
          <w:rFonts w:ascii="Arial" w:hAnsi="Arial" w:cs="Arial"/>
          <w:sz w:val="20"/>
          <w:szCs w:val="20"/>
          <w:lang w:val="en-US"/>
        </w:rPr>
        <w:t xml:space="preserve">Administration in Livestock Organizations in Colombia. </w:t>
      </w:r>
      <w:hyperlink r:id="rId47" w:history="1">
        <w:r w:rsidRPr="002B107F">
          <w:rPr>
            <w:rStyle w:val="Hyperlink"/>
            <w:rFonts w:ascii="Arial" w:hAnsi="Arial" w:cs="Arial"/>
            <w:sz w:val="20"/>
            <w:szCs w:val="20"/>
            <w:lang w:val="en-US"/>
          </w:rPr>
          <w:t>file:///C:/Users/Usuario/Downloads/88.pdf</w:t>
        </w:r>
      </w:hyperlink>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rPr>
        <w:t xml:space="preserve">Moncada, J., Barrutia, L., Riz, C., Vargas, J. y Palomino, G. (2021). Calidad de servicio en las Unidades de Gestión Educativa Local. </w:t>
      </w:r>
      <w:r w:rsidRPr="002B107F">
        <w:rPr>
          <w:rFonts w:ascii="Arial" w:hAnsi="Arial" w:cs="Arial"/>
          <w:i/>
          <w:sz w:val="20"/>
          <w:szCs w:val="20"/>
        </w:rPr>
        <w:t>Ciencia Latina Revista Científica Multidisciplinar</w:t>
      </w:r>
      <w:r w:rsidRPr="002B107F">
        <w:rPr>
          <w:rFonts w:ascii="Arial" w:hAnsi="Arial" w:cs="Arial"/>
          <w:sz w:val="20"/>
          <w:szCs w:val="20"/>
        </w:rPr>
        <w:t xml:space="preserve">, 5(2), 1341–1358. </w:t>
      </w:r>
      <w:hyperlink r:id="rId48" w:history="1">
        <w:r w:rsidRPr="002B107F">
          <w:rPr>
            <w:rStyle w:val="Hyperlink"/>
            <w:rFonts w:ascii="Arial" w:hAnsi="Arial" w:cs="Arial"/>
            <w:sz w:val="20"/>
            <w:szCs w:val="20"/>
          </w:rPr>
          <w:t>https://doi.org/10.37811/cl_rcm.v5i2.333</w:t>
        </w:r>
      </w:hyperlink>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rPr>
        <w:t xml:space="preserve">Mendoza, A., Calderón, O.  Cedeño, A. Vélez, C. García, A. Cevallos, R. (2025) Desafíos y Oportunidades de la Innovación de las IES Manabitas. </w:t>
      </w:r>
      <w:r w:rsidRPr="002B107F">
        <w:rPr>
          <w:rFonts w:ascii="Arial" w:hAnsi="Arial" w:cs="Arial"/>
          <w:i/>
          <w:sz w:val="20"/>
          <w:szCs w:val="20"/>
        </w:rPr>
        <w:t>Revista Polo del conocimiento</w:t>
      </w:r>
      <w:r w:rsidRPr="002B107F">
        <w:rPr>
          <w:rFonts w:ascii="Arial" w:hAnsi="Arial" w:cs="Arial"/>
          <w:sz w:val="20"/>
          <w:szCs w:val="20"/>
        </w:rPr>
        <w:t xml:space="preserve">.10(2), 1168-1190. </w:t>
      </w:r>
      <w:hyperlink r:id="rId49" w:history="1">
        <w:r w:rsidRPr="002B107F">
          <w:rPr>
            <w:rStyle w:val="Hyperlink"/>
            <w:rFonts w:ascii="Arial" w:hAnsi="Arial" w:cs="Arial"/>
            <w:sz w:val="20"/>
            <w:szCs w:val="20"/>
          </w:rPr>
          <w:t>https://polodelconocimiento.com/ojs/index.php/es/article/view/8938/23374</w:t>
        </w:r>
      </w:hyperlink>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rPr>
        <w:t xml:space="preserve">Ñañez, M. V., Pariona, R. B., Quispe, J. C., y Díaz, H. (2021). </w:t>
      </w:r>
      <w:r w:rsidRPr="002B107F">
        <w:rPr>
          <w:rFonts w:ascii="Arial" w:hAnsi="Arial" w:cs="Arial"/>
          <w:sz w:val="20"/>
          <w:szCs w:val="20"/>
          <w:lang w:val="en-US"/>
        </w:rPr>
        <w:t xml:space="preserve">Directive management and pedagogical innovation model for public universities. </w:t>
      </w:r>
      <w:r w:rsidRPr="002B107F">
        <w:rPr>
          <w:rFonts w:ascii="Arial" w:hAnsi="Arial" w:cs="Arial"/>
          <w:sz w:val="20"/>
          <w:szCs w:val="20"/>
        </w:rPr>
        <w:t xml:space="preserve">3C Empresa. Investigación y pensamiento crítico. </w:t>
      </w:r>
      <w:r w:rsidRPr="002B107F">
        <w:rPr>
          <w:rFonts w:ascii="Arial" w:hAnsi="Arial" w:cs="Arial"/>
          <w:i/>
          <w:sz w:val="20"/>
          <w:szCs w:val="20"/>
        </w:rPr>
        <w:t>3C Empresa</w:t>
      </w:r>
      <w:r w:rsidRPr="002B107F">
        <w:rPr>
          <w:rFonts w:ascii="Arial" w:hAnsi="Arial" w:cs="Arial"/>
          <w:sz w:val="20"/>
          <w:szCs w:val="20"/>
        </w:rPr>
        <w:t xml:space="preserve">, 44(3), 33-45. </w:t>
      </w:r>
      <w:hyperlink r:id="rId50" w:history="1">
        <w:r w:rsidRPr="002B107F">
          <w:rPr>
            <w:rStyle w:val="Hyperlink"/>
            <w:rFonts w:ascii="Arial" w:hAnsi="Arial" w:cs="Arial"/>
            <w:sz w:val="20"/>
            <w:szCs w:val="20"/>
          </w:rPr>
          <w:t>https://doi.org/10.17993/3cemp.2021.specialissue1</w:t>
        </w:r>
      </w:hyperlink>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rPr>
        <w:t xml:space="preserve">Lule, M., Serrano, M. y Montenegro, N.  (2023).  La gestión educativa: factor clave en la calidad educacional. </w:t>
      </w:r>
      <w:r w:rsidRPr="002B107F">
        <w:rPr>
          <w:rFonts w:ascii="Arial" w:hAnsi="Arial" w:cs="Arial"/>
          <w:i/>
          <w:sz w:val="20"/>
          <w:szCs w:val="20"/>
        </w:rPr>
        <w:t>Revista Científica UISRAEL</w:t>
      </w:r>
      <w:r w:rsidRPr="002B107F">
        <w:rPr>
          <w:rFonts w:ascii="Arial" w:hAnsi="Arial" w:cs="Arial"/>
          <w:sz w:val="20"/>
          <w:szCs w:val="20"/>
        </w:rPr>
        <w:t xml:space="preserve">, 10(3), 57–71. </w:t>
      </w:r>
      <w:hyperlink r:id="rId51" w:history="1">
        <w:r w:rsidRPr="002B107F">
          <w:rPr>
            <w:rStyle w:val="Hyperlink"/>
            <w:rFonts w:ascii="Arial" w:hAnsi="Arial" w:cs="Arial"/>
            <w:sz w:val="20"/>
            <w:szCs w:val="20"/>
          </w:rPr>
          <w:t>https://doi.org/10.35290/rcui.v10n3.2023.893</w:t>
        </w:r>
      </w:hyperlink>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rPr>
        <w:t xml:space="preserve">Otero, S.  (2023), Análisis de los procesos de Acreditación de Institutos Técnicos y Tecnológicos en el Ecuador, </w:t>
      </w:r>
      <w:r w:rsidRPr="002B107F">
        <w:rPr>
          <w:rFonts w:ascii="Arial" w:hAnsi="Arial" w:cs="Arial"/>
          <w:i/>
          <w:sz w:val="20"/>
          <w:szCs w:val="20"/>
        </w:rPr>
        <w:t>Revista de Investigación en Ciencias Sociales</w:t>
      </w:r>
      <w:r w:rsidRPr="002B107F">
        <w:rPr>
          <w:rFonts w:ascii="Arial" w:hAnsi="Arial" w:cs="Arial"/>
          <w:sz w:val="20"/>
          <w:szCs w:val="20"/>
        </w:rPr>
        <w:t xml:space="preserve">, 8(3). 1-10. </w:t>
      </w:r>
      <w:hyperlink r:id="rId52" w:history="1">
        <w:r w:rsidRPr="002B107F">
          <w:rPr>
            <w:rStyle w:val="Hyperlink"/>
            <w:rFonts w:ascii="Arial" w:hAnsi="Arial" w:cs="Arial"/>
            <w:sz w:val="20"/>
            <w:szCs w:val="20"/>
          </w:rPr>
          <w:t>https://idicap.com/ojs/index.php/ogmios/article/view/199</w:t>
        </w:r>
      </w:hyperlink>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rPr>
        <w:t xml:space="preserve">Oseda, D. Mendivel, R. Duran, A. (2020) Potencial de innovación y gestión institucional en la Universidad Nacional de Cañete-Perú. </w:t>
      </w:r>
      <w:r w:rsidRPr="00B64156">
        <w:rPr>
          <w:rFonts w:ascii="Arial" w:hAnsi="Arial" w:cs="Arial"/>
          <w:sz w:val="20"/>
          <w:szCs w:val="20"/>
        </w:rPr>
        <w:t>Colección de Filosofía de la Educación</w:t>
      </w:r>
      <w:r w:rsidRPr="002B107F">
        <w:rPr>
          <w:rFonts w:ascii="Arial" w:hAnsi="Arial" w:cs="Arial"/>
          <w:sz w:val="20"/>
          <w:szCs w:val="20"/>
        </w:rPr>
        <w:t xml:space="preserve">. 28(1), 207-235.  </w:t>
      </w:r>
      <w:hyperlink r:id="rId53" w:history="1">
        <w:r w:rsidRPr="002B107F">
          <w:rPr>
            <w:rStyle w:val="Hyperlink"/>
            <w:rFonts w:ascii="Arial" w:hAnsi="Arial" w:cs="Arial"/>
            <w:sz w:val="20"/>
            <w:szCs w:val="20"/>
          </w:rPr>
          <w:t>https://doi.org/10.17163/soph.n28.2020.08</w:t>
        </w:r>
      </w:hyperlink>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rPr>
        <w:t xml:space="preserve">Orozco, E., Jaya, A., Ramos F., y Guerra, R. (2020). “Retos a La Gestión de La Calidad En las Instituciones de Educación Superior en Ecuador. (Spanish).” </w:t>
      </w:r>
      <w:r w:rsidR="00B64156">
        <w:rPr>
          <w:rFonts w:ascii="Arial" w:hAnsi="Arial" w:cs="Arial"/>
          <w:i/>
          <w:sz w:val="20"/>
          <w:szCs w:val="20"/>
        </w:rPr>
        <w:t>Revista Cubana de Educación Mé</w:t>
      </w:r>
      <w:r w:rsidRPr="002B107F">
        <w:rPr>
          <w:rFonts w:ascii="Arial" w:hAnsi="Arial" w:cs="Arial"/>
          <w:i/>
          <w:sz w:val="20"/>
          <w:szCs w:val="20"/>
        </w:rPr>
        <w:t>dica Superior</w:t>
      </w:r>
      <w:r w:rsidRPr="002B107F">
        <w:rPr>
          <w:rFonts w:ascii="Arial" w:hAnsi="Arial" w:cs="Arial"/>
          <w:sz w:val="20"/>
          <w:szCs w:val="20"/>
        </w:rPr>
        <w:t xml:space="preserve"> 34 (2): 1–14. </w:t>
      </w:r>
      <w:hyperlink r:id="rId54" w:history="1">
        <w:r w:rsidRPr="002B107F">
          <w:rPr>
            <w:rStyle w:val="Hyperlink"/>
            <w:rFonts w:ascii="Arial" w:hAnsi="Arial" w:cs="Arial"/>
            <w:sz w:val="20"/>
            <w:szCs w:val="20"/>
          </w:rPr>
          <w:t>http://www.ems.sld.cu/index.php/ems/article/view/2268/1083</w:t>
        </w:r>
      </w:hyperlink>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rPr>
        <w:t xml:space="preserve">Otero, S. (2021). Análisis de los procesos de acreditación de institutos técnicos y tecnológicos en el Ecuador. </w:t>
      </w:r>
      <w:r w:rsidRPr="002B107F">
        <w:rPr>
          <w:rFonts w:ascii="Arial" w:hAnsi="Arial" w:cs="Arial"/>
          <w:i/>
          <w:sz w:val="20"/>
          <w:szCs w:val="20"/>
        </w:rPr>
        <w:t>Ogmios,</w:t>
      </w:r>
      <w:r w:rsidRPr="002B107F">
        <w:rPr>
          <w:rFonts w:ascii="Arial" w:hAnsi="Arial" w:cs="Arial"/>
          <w:sz w:val="20"/>
          <w:szCs w:val="20"/>
        </w:rPr>
        <w:t xml:space="preserve"> 9(2), 45-60. </w:t>
      </w:r>
      <w:hyperlink r:id="rId55" w:history="1">
        <w:r w:rsidRPr="002B107F">
          <w:rPr>
            <w:rStyle w:val="Hyperlink"/>
            <w:rFonts w:ascii="Arial" w:hAnsi="Arial" w:cs="Arial"/>
            <w:sz w:val="20"/>
            <w:szCs w:val="20"/>
          </w:rPr>
          <w:t>https://idicap.com/ojs/index.php/ogmios/article/view/199</w:t>
        </w:r>
      </w:hyperlink>
    </w:p>
    <w:p w:rsidR="002B107F" w:rsidRPr="002B107F" w:rsidRDefault="002B107F" w:rsidP="002B107F">
      <w:pPr>
        <w:spacing w:after="0" w:line="240" w:lineRule="auto"/>
        <w:ind w:left="709" w:hanging="709"/>
        <w:jc w:val="both"/>
        <w:rPr>
          <w:rFonts w:ascii="Arial" w:hAnsi="Arial" w:cs="Arial"/>
          <w:sz w:val="20"/>
          <w:szCs w:val="20"/>
          <w:lang w:val="es-VE"/>
        </w:rPr>
      </w:pPr>
      <w:r w:rsidRPr="002B107F">
        <w:rPr>
          <w:rFonts w:ascii="Arial" w:hAnsi="Arial" w:cs="Arial"/>
          <w:sz w:val="20"/>
          <w:szCs w:val="20"/>
        </w:rPr>
        <w:t xml:space="preserve">Pulido, A., Pérez, V. y Bravo, M. (2023). Una aproximación a la gestión de los procesos universitarios: sus dimensiones. </w:t>
      </w:r>
      <w:r w:rsidRPr="002B107F">
        <w:rPr>
          <w:rFonts w:ascii="Arial" w:hAnsi="Arial" w:cs="Arial"/>
          <w:i/>
          <w:sz w:val="20"/>
          <w:szCs w:val="20"/>
          <w:lang w:val="es-VE"/>
        </w:rPr>
        <w:t>MENDIVE,</w:t>
      </w:r>
      <w:r w:rsidRPr="002B107F">
        <w:rPr>
          <w:rFonts w:ascii="Arial" w:hAnsi="Arial" w:cs="Arial"/>
          <w:sz w:val="20"/>
          <w:szCs w:val="20"/>
          <w:lang w:val="es-VE"/>
        </w:rPr>
        <w:t xml:space="preserve"> 21(1), e3012. </w:t>
      </w:r>
      <w:hyperlink r:id="rId56" w:history="1">
        <w:r w:rsidRPr="002B107F">
          <w:rPr>
            <w:rStyle w:val="Hyperlink"/>
            <w:rFonts w:ascii="Arial" w:hAnsi="Arial" w:cs="Arial"/>
            <w:sz w:val="20"/>
            <w:szCs w:val="20"/>
            <w:lang w:val="es-VE"/>
          </w:rPr>
          <w:t>https://mendive.upr.edu.cu/index.php/MendiveUPR/article/view/3012</w:t>
        </w:r>
      </w:hyperlink>
      <w:r w:rsidRPr="002B107F">
        <w:rPr>
          <w:rFonts w:ascii="Arial" w:hAnsi="Arial" w:cs="Arial"/>
          <w:sz w:val="20"/>
          <w:szCs w:val="20"/>
          <w:lang w:val="es-VE"/>
        </w:rPr>
        <w:t xml:space="preserve">  </w:t>
      </w:r>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rPr>
        <w:t xml:space="preserve">Portocarrero, L., Restrepo, J., Valencia, M. y Calderón, L. (2021).  Gestión educativa para la sostenibilidad académica en Colombia. </w:t>
      </w:r>
      <w:r w:rsidRPr="002B107F">
        <w:rPr>
          <w:rFonts w:ascii="Arial" w:hAnsi="Arial" w:cs="Arial"/>
          <w:i/>
          <w:sz w:val="20"/>
          <w:szCs w:val="20"/>
        </w:rPr>
        <w:t>Formación Universitaria</w:t>
      </w:r>
      <w:r w:rsidRPr="002B107F">
        <w:rPr>
          <w:rFonts w:ascii="Arial" w:hAnsi="Arial" w:cs="Arial"/>
          <w:sz w:val="20"/>
          <w:szCs w:val="20"/>
        </w:rPr>
        <w:t xml:space="preserve">, 14(5), 107–118. </w:t>
      </w:r>
      <w:hyperlink r:id="rId57" w:history="1">
        <w:r w:rsidRPr="002B107F">
          <w:rPr>
            <w:rStyle w:val="Hyperlink"/>
            <w:rFonts w:ascii="Arial" w:hAnsi="Arial" w:cs="Arial"/>
            <w:sz w:val="20"/>
            <w:szCs w:val="20"/>
          </w:rPr>
          <w:t>https://doi.org/10.4067/S0718-50062021000500107</w:t>
        </w:r>
      </w:hyperlink>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rPr>
        <w:t xml:space="preserve">Pertuz, A. Buelvas, J. Santamaría, A. Castellano, A. Arango, L. (2024). </w:t>
      </w:r>
      <w:r w:rsidR="00A6138F">
        <w:rPr>
          <w:rFonts w:ascii="Arial" w:hAnsi="Arial" w:cs="Arial"/>
          <w:sz w:val="20"/>
          <w:szCs w:val="20"/>
        </w:rPr>
        <w:t>G</w:t>
      </w:r>
      <w:r w:rsidR="00A6138F" w:rsidRPr="002B107F">
        <w:rPr>
          <w:rFonts w:ascii="Arial" w:hAnsi="Arial" w:cs="Arial"/>
          <w:sz w:val="20"/>
          <w:szCs w:val="20"/>
        </w:rPr>
        <w:t>estión organizac</w:t>
      </w:r>
      <w:r w:rsidR="00A6138F">
        <w:rPr>
          <w:rFonts w:ascii="Arial" w:hAnsi="Arial" w:cs="Arial"/>
          <w:sz w:val="20"/>
          <w:szCs w:val="20"/>
        </w:rPr>
        <w:t>ional y calidad institucional: u</w:t>
      </w:r>
      <w:r w:rsidR="00A6138F" w:rsidRPr="002B107F">
        <w:rPr>
          <w:rFonts w:ascii="Arial" w:hAnsi="Arial" w:cs="Arial"/>
          <w:sz w:val="20"/>
          <w:szCs w:val="20"/>
        </w:rPr>
        <w:t>n enfoque universitario para la formación integral en la universidad de sucre en los próximos diez años. </w:t>
      </w:r>
      <w:r w:rsidRPr="002B107F">
        <w:rPr>
          <w:rFonts w:ascii="Arial" w:hAnsi="Arial" w:cs="Arial"/>
          <w:i/>
          <w:iCs/>
          <w:sz w:val="20"/>
          <w:szCs w:val="20"/>
        </w:rPr>
        <w:t>Revista de Investigación en Comunicación de Crisis y Riesgos Internacionales</w:t>
      </w:r>
      <w:r w:rsidRPr="002B107F">
        <w:rPr>
          <w:rFonts w:ascii="Arial" w:hAnsi="Arial" w:cs="Arial"/>
          <w:sz w:val="20"/>
          <w:szCs w:val="20"/>
        </w:rPr>
        <w:t xml:space="preserve">, 90–106. </w:t>
      </w:r>
      <w:hyperlink r:id="rId58" w:history="1">
        <w:r w:rsidRPr="002B107F">
          <w:rPr>
            <w:rStyle w:val="Hyperlink"/>
            <w:rFonts w:ascii="Arial" w:hAnsi="Arial" w:cs="Arial"/>
            <w:sz w:val="20"/>
            <w:szCs w:val="20"/>
          </w:rPr>
          <w:t>https://doi.org/10.63278/jicrcr.vi.604</w:t>
        </w:r>
      </w:hyperlink>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rPr>
        <w:t xml:space="preserve">Quispe, A., Hinojosa, Y. Miranda, H. y Sedano, C. (2021). Serie de Redacción Científica: </w:t>
      </w:r>
      <w:r w:rsidR="00B64156" w:rsidRPr="002B107F">
        <w:rPr>
          <w:rFonts w:ascii="Arial" w:hAnsi="Arial" w:cs="Arial"/>
          <w:sz w:val="20"/>
          <w:szCs w:val="20"/>
        </w:rPr>
        <w:t>Revisiones Sistemáticas</w:t>
      </w:r>
      <w:r w:rsidRPr="002B107F">
        <w:rPr>
          <w:rFonts w:ascii="Arial" w:hAnsi="Arial" w:cs="Arial"/>
          <w:sz w:val="20"/>
          <w:szCs w:val="20"/>
        </w:rPr>
        <w:t xml:space="preserve">. </w:t>
      </w:r>
      <w:r w:rsidR="00B64156" w:rsidRPr="002B107F">
        <w:rPr>
          <w:rFonts w:ascii="Arial" w:hAnsi="Arial" w:cs="Arial"/>
          <w:i/>
          <w:sz w:val="20"/>
          <w:szCs w:val="20"/>
        </w:rPr>
        <w:t xml:space="preserve">Revista </w:t>
      </w:r>
      <w:r w:rsidR="00B64156">
        <w:rPr>
          <w:rFonts w:ascii="Arial" w:hAnsi="Arial" w:cs="Arial"/>
          <w:i/>
          <w:sz w:val="20"/>
          <w:szCs w:val="20"/>
        </w:rPr>
        <w:t>del c</w:t>
      </w:r>
      <w:r w:rsidR="00B64156" w:rsidRPr="002B107F">
        <w:rPr>
          <w:rFonts w:ascii="Arial" w:hAnsi="Arial" w:cs="Arial"/>
          <w:i/>
          <w:sz w:val="20"/>
          <w:szCs w:val="20"/>
        </w:rPr>
        <w:t>uerpo</w:t>
      </w:r>
      <w:r w:rsidR="00B64156">
        <w:rPr>
          <w:rFonts w:ascii="Arial" w:hAnsi="Arial" w:cs="Arial"/>
          <w:i/>
          <w:sz w:val="20"/>
          <w:szCs w:val="20"/>
        </w:rPr>
        <w:t xml:space="preserve"> médico</w:t>
      </w:r>
      <w:r w:rsidR="00B64156" w:rsidRPr="002B107F">
        <w:rPr>
          <w:rFonts w:ascii="Arial" w:hAnsi="Arial" w:cs="Arial"/>
          <w:i/>
          <w:sz w:val="20"/>
          <w:szCs w:val="20"/>
        </w:rPr>
        <w:t xml:space="preserve"> Hospital Nacional Almanzor</w:t>
      </w:r>
      <w:r w:rsidRPr="002B107F">
        <w:rPr>
          <w:rFonts w:ascii="Arial" w:hAnsi="Arial" w:cs="Arial"/>
          <w:i/>
          <w:sz w:val="20"/>
          <w:szCs w:val="20"/>
        </w:rPr>
        <w:t xml:space="preserve"> Aguinaga Asenjo,</w:t>
      </w:r>
      <w:r w:rsidRPr="002B107F">
        <w:rPr>
          <w:rFonts w:ascii="Arial" w:hAnsi="Arial" w:cs="Arial"/>
          <w:sz w:val="20"/>
          <w:szCs w:val="20"/>
        </w:rPr>
        <w:t xml:space="preserve"> 14(1), 94-99. </w:t>
      </w:r>
      <w:hyperlink r:id="rId59" w:history="1">
        <w:r w:rsidRPr="002B107F">
          <w:rPr>
            <w:rStyle w:val="Hyperlink"/>
            <w:rFonts w:ascii="Arial" w:hAnsi="Arial" w:cs="Arial"/>
            <w:sz w:val="20"/>
            <w:szCs w:val="20"/>
          </w:rPr>
          <w:t>http://dx.doi.org/10.35434/rcmhnaaa.2021.141.906</w:t>
        </w:r>
      </w:hyperlink>
      <w:r w:rsidRPr="002B107F">
        <w:rPr>
          <w:rFonts w:ascii="Arial" w:hAnsi="Arial" w:cs="Arial"/>
          <w:sz w:val="20"/>
          <w:szCs w:val="20"/>
        </w:rPr>
        <w:t xml:space="preserve"> </w:t>
      </w:r>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rPr>
        <w:t xml:space="preserve">Ramírez, D., Licea, I., y Martínez, R. (2021). Producción científica indizada en Scopus sobre Modelos de Gestión de Información en Educación a Distancia. </w:t>
      </w:r>
      <w:r w:rsidRPr="002B107F">
        <w:rPr>
          <w:rFonts w:ascii="Arial" w:hAnsi="Arial" w:cs="Arial"/>
          <w:i/>
          <w:sz w:val="20"/>
          <w:szCs w:val="20"/>
        </w:rPr>
        <w:t xml:space="preserve">Revista Alcance, </w:t>
      </w:r>
      <w:r w:rsidRPr="002B107F">
        <w:rPr>
          <w:rFonts w:ascii="Arial" w:hAnsi="Arial" w:cs="Arial"/>
          <w:sz w:val="20"/>
          <w:szCs w:val="20"/>
        </w:rPr>
        <w:t xml:space="preserve">10(27). </w:t>
      </w:r>
      <w:hyperlink r:id="rId60" w:history="1">
        <w:r w:rsidRPr="002B107F">
          <w:rPr>
            <w:rStyle w:val="Hyperlink"/>
            <w:rFonts w:ascii="Arial" w:hAnsi="Arial" w:cs="Arial"/>
            <w:sz w:val="20"/>
            <w:szCs w:val="20"/>
          </w:rPr>
          <w:t>http://scielo.sld.cu/scielo.php?script=sci_arttext&amp;pid=S241199702021000300107</w:t>
        </w:r>
      </w:hyperlink>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rPr>
        <w:t xml:space="preserve">Rivera, A. (2021). Bienestar universitario, encuentros con doctorados de RUDECOLOMBIA. Universidad Tecnológica de Pereira. Colombia. </w:t>
      </w:r>
      <w:hyperlink r:id="rId61" w:history="1">
        <w:r w:rsidR="00B64156" w:rsidRPr="00645359">
          <w:rPr>
            <w:rStyle w:val="Hyperlink"/>
            <w:rFonts w:ascii="Arial" w:hAnsi="Arial" w:cs="Arial"/>
            <w:sz w:val="20"/>
            <w:szCs w:val="20"/>
          </w:rPr>
          <w:t>https://hdl.handle.net/11059/13956</w:t>
        </w:r>
      </w:hyperlink>
      <w:r w:rsidR="00B64156">
        <w:rPr>
          <w:rFonts w:ascii="Arial" w:hAnsi="Arial" w:cs="Arial"/>
          <w:sz w:val="20"/>
          <w:szCs w:val="20"/>
        </w:rPr>
        <w:t xml:space="preserve"> </w:t>
      </w:r>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rPr>
        <w:t>´Rosales, M. y Uquillas, N. (2025) Gestión acadé</w:t>
      </w:r>
      <w:r w:rsidR="00A6138F">
        <w:rPr>
          <w:rFonts w:ascii="Arial" w:hAnsi="Arial" w:cs="Arial"/>
          <w:sz w:val="20"/>
          <w:szCs w:val="20"/>
        </w:rPr>
        <w:t>mica en la educación superior: u</w:t>
      </w:r>
      <w:r w:rsidRPr="002B107F">
        <w:rPr>
          <w:rFonts w:ascii="Arial" w:hAnsi="Arial" w:cs="Arial"/>
          <w:sz w:val="20"/>
          <w:szCs w:val="20"/>
        </w:rPr>
        <w:t xml:space="preserve">na aproximación a la calidad y satisfacción de los estudiantes. </w:t>
      </w:r>
      <w:r w:rsidRPr="002B107F">
        <w:rPr>
          <w:rFonts w:ascii="Arial" w:hAnsi="Arial" w:cs="Arial"/>
          <w:i/>
          <w:sz w:val="20"/>
          <w:szCs w:val="20"/>
        </w:rPr>
        <w:t xml:space="preserve">Revista de Educación y Cultura, </w:t>
      </w:r>
      <w:r w:rsidRPr="002B107F">
        <w:rPr>
          <w:rFonts w:ascii="Arial" w:hAnsi="Arial" w:cs="Arial"/>
          <w:sz w:val="20"/>
          <w:szCs w:val="20"/>
        </w:rPr>
        <w:t xml:space="preserve">6 (11), e250263. </w:t>
      </w:r>
      <w:hyperlink r:id="rId62" w:history="1">
        <w:r w:rsidRPr="002B107F">
          <w:rPr>
            <w:rStyle w:val="Hyperlink"/>
            <w:rFonts w:ascii="Arial" w:hAnsi="Arial" w:cs="Arial"/>
            <w:sz w:val="20"/>
            <w:szCs w:val="20"/>
          </w:rPr>
          <w:t>https://doi.org/10.46652/runas.v6i11.263</w:t>
        </w:r>
      </w:hyperlink>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rPr>
        <w:t xml:space="preserve">Rodríguez, L. (2022). Modelos de gestión universitaria: contexto latinoamericano y retos de la universidad Especializada de las Américas. </w:t>
      </w:r>
      <w:r w:rsidRPr="00A6138F">
        <w:rPr>
          <w:rFonts w:ascii="Arial" w:hAnsi="Arial" w:cs="Arial"/>
          <w:sz w:val="20"/>
          <w:szCs w:val="20"/>
        </w:rPr>
        <w:t>Investigación y Pensamiento Crítico</w:t>
      </w:r>
      <w:r w:rsidRPr="002B107F">
        <w:rPr>
          <w:rFonts w:ascii="Arial" w:hAnsi="Arial" w:cs="Arial"/>
          <w:sz w:val="20"/>
          <w:szCs w:val="20"/>
        </w:rPr>
        <w:t xml:space="preserve">, 10(3), 04-17. </w:t>
      </w:r>
      <w:hyperlink r:id="rId63" w:history="1">
        <w:r w:rsidRPr="002B107F">
          <w:rPr>
            <w:rStyle w:val="Hyperlink"/>
            <w:rFonts w:ascii="Arial" w:hAnsi="Arial" w:cs="Arial"/>
            <w:sz w:val="20"/>
            <w:szCs w:val="20"/>
          </w:rPr>
          <w:t>https://doi.org/10.37387/ipc. v10i3.322</w:t>
        </w:r>
      </w:hyperlink>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lang w:val="es-VE"/>
        </w:rPr>
        <w:t xml:space="preserve">Rashid, A. S., Tout, K. y Yakan, A. (2021). </w:t>
      </w:r>
      <w:r w:rsidRPr="002B107F">
        <w:rPr>
          <w:rFonts w:ascii="Arial" w:hAnsi="Arial" w:cs="Arial"/>
          <w:sz w:val="20"/>
          <w:szCs w:val="20"/>
          <w:lang w:val="en-US"/>
        </w:rPr>
        <w:t xml:space="preserve">The critical human behavior factors and them impact on knowledge management system–cycles. </w:t>
      </w:r>
      <w:r w:rsidRPr="002B107F">
        <w:rPr>
          <w:rFonts w:ascii="Arial" w:hAnsi="Arial" w:cs="Arial"/>
          <w:i/>
          <w:sz w:val="20"/>
          <w:szCs w:val="20"/>
          <w:lang w:val="en-US"/>
        </w:rPr>
        <w:t xml:space="preserve">Business </w:t>
      </w:r>
      <w:r w:rsidR="00A6138F">
        <w:rPr>
          <w:rFonts w:ascii="Arial" w:hAnsi="Arial" w:cs="Arial"/>
          <w:i/>
          <w:sz w:val="20"/>
          <w:szCs w:val="20"/>
          <w:lang w:val="en-US"/>
        </w:rPr>
        <w:t xml:space="preserve">Process Management </w:t>
      </w:r>
      <w:r w:rsidRPr="002B107F">
        <w:rPr>
          <w:rFonts w:ascii="Arial" w:hAnsi="Arial" w:cs="Arial"/>
          <w:i/>
          <w:sz w:val="20"/>
          <w:szCs w:val="20"/>
          <w:lang w:val="en-US"/>
        </w:rPr>
        <w:t>Journal</w:t>
      </w:r>
      <w:r w:rsidRPr="002B107F">
        <w:rPr>
          <w:rFonts w:ascii="Arial" w:hAnsi="Arial" w:cs="Arial"/>
          <w:sz w:val="20"/>
          <w:szCs w:val="20"/>
          <w:lang w:val="en-US"/>
        </w:rPr>
        <w:t xml:space="preserve">, 27(6), 1677-1702.  </w:t>
      </w:r>
      <w:hyperlink r:id="rId64" w:history="1">
        <w:r w:rsidRPr="002B107F">
          <w:rPr>
            <w:rStyle w:val="Hyperlink"/>
            <w:rFonts w:ascii="Arial" w:hAnsi="Arial" w:cs="Arial"/>
            <w:sz w:val="20"/>
            <w:szCs w:val="20"/>
          </w:rPr>
          <w:t>https://doi.org/10.1108/BPMJ-11-2020-0508</w:t>
        </w:r>
      </w:hyperlink>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rPr>
        <w:t xml:space="preserve">Romero, J. (2022). Scope and challenges of institutional management in the period 2020-2021 [Alcances y desafíos de la gestión institucional en el periodo 2020- 2021]. Horizontes </w:t>
      </w:r>
      <w:r w:rsidRPr="002B107F">
        <w:rPr>
          <w:rFonts w:ascii="Arial" w:hAnsi="Arial" w:cs="Arial"/>
          <w:i/>
          <w:sz w:val="20"/>
          <w:szCs w:val="20"/>
        </w:rPr>
        <w:t>Revista de Investigación en Ciencias de la Educación</w:t>
      </w:r>
      <w:r w:rsidRPr="002B107F">
        <w:rPr>
          <w:rFonts w:ascii="Arial" w:hAnsi="Arial" w:cs="Arial"/>
          <w:sz w:val="20"/>
          <w:szCs w:val="20"/>
        </w:rPr>
        <w:t xml:space="preserve">, 6(25), 1627-1636. </w:t>
      </w:r>
      <w:hyperlink r:id="rId65" w:history="1">
        <w:r w:rsidRPr="002B107F">
          <w:rPr>
            <w:rStyle w:val="Hyperlink"/>
            <w:rFonts w:ascii="Arial" w:hAnsi="Arial" w:cs="Arial"/>
            <w:sz w:val="20"/>
            <w:szCs w:val="20"/>
          </w:rPr>
          <w:t>http://www.scielo.org.bo/scielo.php?pid=S261679642022000401627&amp;script=sci_abstract&amp;tlng=en</w:t>
        </w:r>
      </w:hyperlink>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lang w:val="en-US"/>
        </w:rPr>
        <w:t xml:space="preserve">Ruiz, J., y Classerman, L. (2021). Characteristics of educational quality assurance: A systematic mapping 2016-2020. </w:t>
      </w:r>
      <w:r w:rsidRPr="002B107F">
        <w:rPr>
          <w:rFonts w:ascii="Arial" w:hAnsi="Arial" w:cs="Arial"/>
          <w:i/>
          <w:sz w:val="20"/>
          <w:szCs w:val="20"/>
        </w:rPr>
        <w:t>Revista Complutense de Education</w:t>
      </w:r>
      <w:r w:rsidRPr="002B107F">
        <w:rPr>
          <w:rFonts w:ascii="Arial" w:hAnsi="Arial" w:cs="Arial"/>
          <w:sz w:val="20"/>
          <w:szCs w:val="20"/>
        </w:rPr>
        <w:t xml:space="preserve">, 32 3, 337-348, </w:t>
      </w:r>
      <w:hyperlink r:id="rId66" w:history="1">
        <w:r w:rsidRPr="002B107F">
          <w:rPr>
            <w:rStyle w:val="Hyperlink"/>
            <w:rFonts w:ascii="Arial" w:hAnsi="Arial" w:cs="Arial"/>
            <w:sz w:val="20"/>
            <w:szCs w:val="20"/>
          </w:rPr>
          <w:t>https://doi.org/10.5209/rced.70182</w:t>
        </w:r>
      </w:hyperlink>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rPr>
        <w:t xml:space="preserve">Secretaría de Gestión Pública. (2021). Política Nacional de Modernización de la Gestión Pública al 2021.  </w:t>
      </w:r>
      <w:hyperlink r:id="rId67" w:history="1">
        <w:r w:rsidRPr="002B107F">
          <w:rPr>
            <w:rStyle w:val="Hyperlink"/>
            <w:rFonts w:ascii="Arial" w:hAnsi="Arial" w:cs="Arial"/>
            <w:sz w:val="20"/>
            <w:szCs w:val="20"/>
          </w:rPr>
          <w:t>http://www.pcm.gob.pe/wpcontent/uploads/2013/05/PNMGP.pdf</w:t>
        </w:r>
      </w:hyperlink>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rPr>
        <w:t>Shuan, A. y Arizapana, V.  (2024). Relación entre la gestión institucional y calidad educativa en docentes de instituciones educativas estatales de Lima. </w:t>
      </w:r>
      <w:r w:rsidRPr="002B107F">
        <w:rPr>
          <w:rFonts w:ascii="Arial" w:hAnsi="Arial" w:cs="Arial"/>
          <w:i/>
          <w:iCs/>
          <w:sz w:val="20"/>
          <w:szCs w:val="20"/>
        </w:rPr>
        <w:t>Arandu UTIC</w:t>
      </w:r>
      <w:r w:rsidRPr="002B107F">
        <w:rPr>
          <w:rFonts w:ascii="Arial" w:hAnsi="Arial" w:cs="Arial"/>
          <w:sz w:val="20"/>
          <w:szCs w:val="20"/>
        </w:rPr>
        <w:t>, </w:t>
      </w:r>
      <w:r w:rsidRPr="002B107F">
        <w:rPr>
          <w:rFonts w:ascii="Arial" w:hAnsi="Arial" w:cs="Arial"/>
          <w:i/>
          <w:iCs/>
          <w:sz w:val="20"/>
          <w:szCs w:val="20"/>
        </w:rPr>
        <w:t>11</w:t>
      </w:r>
      <w:r w:rsidRPr="002B107F">
        <w:rPr>
          <w:rFonts w:ascii="Arial" w:hAnsi="Arial" w:cs="Arial"/>
          <w:sz w:val="20"/>
          <w:szCs w:val="20"/>
        </w:rPr>
        <w:t xml:space="preserve">(2), 2669–2677. </w:t>
      </w:r>
      <w:hyperlink r:id="rId68" w:history="1">
        <w:r w:rsidRPr="002B107F">
          <w:rPr>
            <w:rStyle w:val="Hyperlink"/>
            <w:rFonts w:ascii="Arial" w:hAnsi="Arial" w:cs="Arial"/>
            <w:sz w:val="20"/>
            <w:szCs w:val="20"/>
          </w:rPr>
          <w:t>https://doi.org/10.69639/arandu.v11i2.458</w:t>
        </w:r>
      </w:hyperlink>
    </w:p>
    <w:p w:rsidR="002B107F" w:rsidRPr="002B107F" w:rsidRDefault="002B107F" w:rsidP="002B107F">
      <w:pPr>
        <w:spacing w:after="0" w:line="240" w:lineRule="auto"/>
        <w:ind w:left="709" w:hanging="709"/>
        <w:jc w:val="both"/>
        <w:rPr>
          <w:rFonts w:ascii="Arial" w:hAnsi="Arial" w:cs="Arial"/>
          <w:sz w:val="20"/>
          <w:szCs w:val="20"/>
          <w:lang w:val="en-US"/>
        </w:rPr>
      </w:pPr>
      <w:r w:rsidRPr="002B107F">
        <w:rPr>
          <w:rFonts w:ascii="Arial" w:hAnsi="Arial" w:cs="Arial"/>
          <w:sz w:val="20"/>
          <w:szCs w:val="20"/>
        </w:rPr>
        <w:t xml:space="preserve">Shahin, A. y Mirshad, T. (2021). </w:t>
      </w:r>
      <w:r w:rsidRPr="002B107F">
        <w:rPr>
          <w:rFonts w:ascii="Arial" w:hAnsi="Arial" w:cs="Arial"/>
          <w:sz w:val="20"/>
          <w:szCs w:val="20"/>
          <w:lang w:val="en-US"/>
        </w:rPr>
        <w:t xml:space="preserve">Student welfare services in higher educational institutions during global pandemic: issues and challenges. </w:t>
      </w:r>
      <w:r w:rsidRPr="002B107F">
        <w:rPr>
          <w:rFonts w:ascii="Arial" w:hAnsi="Arial" w:cs="Arial"/>
          <w:i/>
          <w:sz w:val="20"/>
          <w:szCs w:val="20"/>
          <w:lang w:val="en-US"/>
        </w:rPr>
        <w:t>Indian Journal of Applied Research</w:t>
      </w:r>
      <w:r w:rsidRPr="002B107F">
        <w:rPr>
          <w:rFonts w:ascii="Arial" w:hAnsi="Arial" w:cs="Arial"/>
          <w:sz w:val="20"/>
          <w:szCs w:val="20"/>
          <w:lang w:val="en-US"/>
        </w:rPr>
        <w:t xml:space="preserve">, 11(5), </w:t>
      </w:r>
      <w:hyperlink r:id="rId69" w:history="1">
        <w:r w:rsidRPr="002B107F">
          <w:rPr>
            <w:rStyle w:val="Hyperlink"/>
            <w:rFonts w:ascii="Arial" w:hAnsi="Arial" w:cs="Arial"/>
            <w:sz w:val="20"/>
            <w:szCs w:val="20"/>
            <w:lang w:val="en-US"/>
          </w:rPr>
          <w:t>https://doi.org/10.36106/ijar/5213320</w:t>
        </w:r>
      </w:hyperlink>
      <w:r w:rsidRPr="002B107F">
        <w:rPr>
          <w:rFonts w:ascii="Arial" w:hAnsi="Arial" w:cs="Arial"/>
          <w:sz w:val="20"/>
          <w:szCs w:val="20"/>
          <w:lang w:val="en-US"/>
        </w:rPr>
        <w:t xml:space="preserve">  </w:t>
      </w:r>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lang w:val="es-VE"/>
        </w:rPr>
        <w:t xml:space="preserve">Shishov, S., Lustina, T., Sergeeva, S., Klimakina, E., Suslov, A. y Solovyanenko, N. (2022). </w:t>
      </w:r>
      <w:r w:rsidRPr="002B107F">
        <w:rPr>
          <w:rFonts w:ascii="Arial" w:hAnsi="Arial" w:cs="Arial"/>
          <w:sz w:val="20"/>
          <w:szCs w:val="20"/>
          <w:lang w:val="en-US"/>
        </w:rPr>
        <w:t xml:space="preserve">Management of university research activities in the «openscience» concept. </w:t>
      </w:r>
      <w:r w:rsidRPr="002B107F">
        <w:rPr>
          <w:rFonts w:ascii="Arial" w:hAnsi="Arial" w:cs="Arial"/>
          <w:i/>
          <w:sz w:val="20"/>
          <w:szCs w:val="20"/>
          <w:lang w:val="en-US"/>
        </w:rPr>
        <w:t>Revista Conrado,</w:t>
      </w:r>
      <w:r w:rsidRPr="002B107F">
        <w:rPr>
          <w:rFonts w:ascii="Arial" w:hAnsi="Arial" w:cs="Arial"/>
          <w:sz w:val="20"/>
          <w:szCs w:val="20"/>
          <w:lang w:val="en-US"/>
        </w:rPr>
        <w:t xml:space="preserve"> 18(S1), 628-634. </w:t>
      </w:r>
      <w:hyperlink r:id="rId70" w:history="1">
        <w:r w:rsidRPr="002B107F">
          <w:rPr>
            <w:rStyle w:val="Hyperlink"/>
            <w:rFonts w:ascii="Arial" w:hAnsi="Arial" w:cs="Arial"/>
            <w:sz w:val="20"/>
            <w:szCs w:val="20"/>
          </w:rPr>
          <w:t>https://conrado.ucf.edu.cu/index.php/conrado/article/view/2380</w:t>
        </w:r>
      </w:hyperlink>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rPr>
        <w:t xml:space="preserve">Sucre Pérez, C. (2023). Gestión institucional universitaria por dirección por valores. </w:t>
      </w:r>
      <w:r w:rsidRPr="002B107F">
        <w:rPr>
          <w:rFonts w:ascii="Arial" w:hAnsi="Arial" w:cs="Arial"/>
          <w:i/>
          <w:sz w:val="20"/>
          <w:szCs w:val="20"/>
        </w:rPr>
        <w:t>Orbis Tertius UPAL</w:t>
      </w:r>
      <w:r w:rsidRPr="002B107F">
        <w:rPr>
          <w:rFonts w:ascii="Arial" w:hAnsi="Arial" w:cs="Arial"/>
          <w:sz w:val="20"/>
          <w:szCs w:val="20"/>
        </w:rPr>
        <w:t xml:space="preserve">, 7(14), Pág. 17-41. </w:t>
      </w:r>
      <w:hyperlink r:id="rId71" w:history="1">
        <w:r w:rsidRPr="002B107F">
          <w:rPr>
            <w:rStyle w:val="Hyperlink"/>
            <w:rFonts w:ascii="Arial" w:hAnsi="Arial" w:cs="Arial"/>
            <w:sz w:val="20"/>
            <w:szCs w:val="20"/>
          </w:rPr>
          <w:t>https://doi.org/10.59748/ot.v7i14.134</w:t>
        </w:r>
      </w:hyperlink>
      <w:r w:rsidRPr="002B107F">
        <w:rPr>
          <w:rFonts w:ascii="Arial" w:hAnsi="Arial" w:cs="Arial"/>
          <w:sz w:val="20"/>
          <w:szCs w:val="20"/>
        </w:rPr>
        <w:t xml:space="preserve">  </w:t>
      </w:r>
    </w:p>
    <w:p w:rsidR="002B107F" w:rsidRPr="002B107F" w:rsidRDefault="002B107F" w:rsidP="002B107F">
      <w:pPr>
        <w:spacing w:after="0" w:line="240" w:lineRule="auto"/>
        <w:ind w:left="709" w:hanging="709"/>
        <w:jc w:val="both"/>
        <w:rPr>
          <w:rFonts w:ascii="Arial" w:hAnsi="Arial" w:cs="Arial"/>
          <w:sz w:val="20"/>
          <w:szCs w:val="20"/>
          <w:lang w:val="en-US"/>
        </w:rPr>
      </w:pPr>
      <w:r w:rsidRPr="002B107F">
        <w:rPr>
          <w:rFonts w:ascii="Arial" w:hAnsi="Arial" w:cs="Arial"/>
          <w:sz w:val="20"/>
          <w:szCs w:val="20"/>
        </w:rPr>
        <w:t xml:space="preserve">Topor, R., Cârcu, M. y Vasilescu, C. (2021). </w:t>
      </w:r>
      <w:r w:rsidRPr="002B107F">
        <w:rPr>
          <w:rFonts w:ascii="Arial" w:hAnsi="Arial" w:cs="Arial"/>
          <w:sz w:val="20"/>
          <w:szCs w:val="20"/>
          <w:lang w:val="en-US"/>
        </w:rPr>
        <w:t xml:space="preserve">Quality management in higher education institutions. </w:t>
      </w:r>
      <w:r w:rsidRPr="002B107F">
        <w:rPr>
          <w:rFonts w:ascii="Arial" w:hAnsi="Arial" w:cs="Arial"/>
          <w:i/>
          <w:sz w:val="20"/>
          <w:szCs w:val="20"/>
          <w:lang w:val="en-US"/>
        </w:rPr>
        <w:t>Sustainability</w:t>
      </w:r>
      <w:r w:rsidRPr="002B107F">
        <w:rPr>
          <w:rFonts w:ascii="Arial" w:hAnsi="Arial" w:cs="Arial"/>
          <w:sz w:val="20"/>
          <w:szCs w:val="20"/>
          <w:lang w:val="en-US"/>
        </w:rPr>
        <w:t xml:space="preserve">, 13(9), 4782. </w:t>
      </w:r>
      <w:hyperlink r:id="rId72" w:history="1">
        <w:r w:rsidRPr="002B107F">
          <w:rPr>
            <w:rStyle w:val="Hyperlink"/>
            <w:rFonts w:ascii="Arial" w:hAnsi="Arial" w:cs="Arial"/>
            <w:sz w:val="20"/>
            <w:szCs w:val="20"/>
            <w:lang w:val="en-US"/>
          </w:rPr>
          <w:t>https://doi.org/10.3390/su13094954</w:t>
        </w:r>
      </w:hyperlink>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lang w:val="en-US"/>
        </w:rPr>
        <w:t xml:space="preserve">Tarazona, K. F. (2020). Relationship of transformational leadership with organizational growth. </w:t>
      </w:r>
      <w:r w:rsidRPr="002B107F">
        <w:rPr>
          <w:rFonts w:ascii="Arial" w:hAnsi="Arial" w:cs="Arial"/>
          <w:sz w:val="20"/>
          <w:szCs w:val="20"/>
        </w:rPr>
        <w:t xml:space="preserve">Universidad Militar Nueva Granada. </w:t>
      </w:r>
      <w:hyperlink r:id="rId73" w:history="1">
        <w:r w:rsidRPr="002B107F">
          <w:rPr>
            <w:rStyle w:val="Hyperlink"/>
            <w:rFonts w:ascii="Arial" w:hAnsi="Arial" w:cs="Arial"/>
            <w:sz w:val="20"/>
            <w:szCs w:val="20"/>
          </w:rPr>
          <w:t>http://hdl.handle.net/10654/37703</w:t>
        </w:r>
      </w:hyperlink>
    </w:p>
    <w:p w:rsidR="002B107F" w:rsidRPr="002B107F" w:rsidRDefault="002B107F" w:rsidP="002B107F">
      <w:pPr>
        <w:spacing w:after="0" w:line="240" w:lineRule="auto"/>
        <w:ind w:left="709" w:hanging="709"/>
        <w:jc w:val="both"/>
        <w:rPr>
          <w:rFonts w:ascii="Arial" w:hAnsi="Arial" w:cs="Arial"/>
          <w:sz w:val="20"/>
          <w:szCs w:val="20"/>
          <w:lang w:val="en-US"/>
        </w:rPr>
      </w:pPr>
      <w:r w:rsidRPr="002B107F">
        <w:rPr>
          <w:rFonts w:ascii="Arial" w:hAnsi="Arial" w:cs="Arial"/>
          <w:sz w:val="20"/>
          <w:szCs w:val="20"/>
        </w:rPr>
        <w:t xml:space="preserve">Vătămănescu, E. M., Bratianu, C., Dabija, D. C. y Popa, S. (2022). </w:t>
      </w:r>
      <w:r w:rsidRPr="002B107F">
        <w:rPr>
          <w:rFonts w:ascii="Arial" w:hAnsi="Arial" w:cs="Arial"/>
          <w:sz w:val="20"/>
          <w:szCs w:val="20"/>
          <w:lang w:val="en-US"/>
        </w:rPr>
        <w:t xml:space="preserve">Capitalizing online knowledge networks: from individual knowledge acquisition </w:t>
      </w:r>
      <w:r w:rsidR="00B64156" w:rsidRPr="002B107F">
        <w:rPr>
          <w:rFonts w:ascii="Arial" w:hAnsi="Arial" w:cs="Arial"/>
          <w:sz w:val="20"/>
          <w:szCs w:val="20"/>
          <w:lang w:val="en-US"/>
        </w:rPr>
        <w:t>towards organizational achievements</w:t>
      </w:r>
      <w:r w:rsidRPr="002B107F">
        <w:rPr>
          <w:rFonts w:ascii="Arial" w:hAnsi="Arial" w:cs="Arial"/>
          <w:sz w:val="20"/>
          <w:szCs w:val="20"/>
          <w:lang w:val="en-US"/>
        </w:rPr>
        <w:t xml:space="preserve">. </w:t>
      </w:r>
      <w:r w:rsidRPr="002B107F">
        <w:rPr>
          <w:rFonts w:ascii="Arial" w:hAnsi="Arial" w:cs="Arial"/>
          <w:i/>
          <w:sz w:val="20"/>
          <w:szCs w:val="20"/>
          <w:lang w:val="en-US"/>
        </w:rPr>
        <w:t>Journal of Knowledge Management</w:t>
      </w:r>
      <w:r w:rsidRPr="002B107F">
        <w:rPr>
          <w:rFonts w:ascii="Arial" w:hAnsi="Arial" w:cs="Arial"/>
          <w:sz w:val="20"/>
          <w:szCs w:val="20"/>
          <w:lang w:val="en-US"/>
        </w:rPr>
        <w:t xml:space="preserve">, 27(5), 1366-1389. </w:t>
      </w:r>
      <w:hyperlink r:id="rId74" w:history="1">
        <w:r w:rsidRPr="002B107F">
          <w:rPr>
            <w:rStyle w:val="Hyperlink"/>
            <w:rFonts w:ascii="Arial" w:hAnsi="Arial" w:cs="Arial"/>
            <w:sz w:val="20"/>
            <w:szCs w:val="20"/>
            <w:lang w:val="en-US"/>
          </w:rPr>
          <w:t>https://doi.org/10.1108/JKM-04-2022-0273</w:t>
        </w:r>
      </w:hyperlink>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lang w:val="en-US"/>
        </w:rPr>
        <w:t xml:space="preserve">Zambrano, G.; Álvarez, D. y Yoza, N. (2021). </w:t>
      </w:r>
      <w:r w:rsidRPr="002B107F">
        <w:rPr>
          <w:rFonts w:ascii="Arial" w:hAnsi="Arial" w:cs="Arial"/>
          <w:sz w:val="20"/>
          <w:szCs w:val="20"/>
        </w:rPr>
        <w:t xml:space="preserve">La importancia de la auditoría de gestión y los procesos administrativos y técnicos, realidades y perspectivas. </w:t>
      </w:r>
      <w:r w:rsidRPr="002B107F">
        <w:rPr>
          <w:rFonts w:ascii="Arial" w:hAnsi="Arial" w:cs="Arial"/>
          <w:i/>
          <w:sz w:val="20"/>
          <w:szCs w:val="20"/>
        </w:rPr>
        <w:t>Revista Científica Multidisciplinaria,</w:t>
      </w:r>
      <w:r w:rsidRPr="002B107F">
        <w:rPr>
          <w:rFonts w:ascii="Arial" w:hAnsi="Arial" w:cs="Arial"/>
          <w:sz w:val="20"/>
          <w:szCs w:val="20"/>
        </w:rPr>
        <w:t xml:space="preserve"> 5(3). </w:t>
      </w:r>
      <w:hyperlink r:id="rId75" w:history="1">
        <w:r w:rsidRPr="002B107F">
          <w:rPr>
            <w:rStyle w:val="Hyperlink"/>
            <w:rFonts w:ascii="Arial" w:hAnsi="Arial" w:cs="Arial"/>
            <w:sz w:val="20"/>
            <w:szCs w:val="20"/>
          </w:rPr>
          <w:t>https://revistas.unesum.edu.ec/index.php/unesumciencias/article/view/568</w:t>
        </w:r>
      </w:hyperlink>
    </w:p>
    <w:p w:rsidR="002B107F" w:rsidRPr="002B107F" w:rsidRDefault="002B107F" w:rsidP="002B107F">
      <w:pPr>
        <w:spacing w:after="0" w:line="240" w:lineRule="auto"/>
        <w:ind w:left="709" w:hanging="709"/>
        <w:jc w:val="both"/>
        <w:rPr>
          <w:rFonts w:ascii="Arial" w:hAnsi="Arial" w:cs="Arial"/>
          <w:sz w:val="20"/>
          <w:szCs w:val="20"/>
        </w:rPr>
      </w:pPr>
      <w:r w:rsidRPr="002B107F">
        <w:rPr>
          <w:rFonts w:ascii="Arial" w:hAnsi="Arial" w:cs="Arial"/>
          <w:sz w:val="20"/>
          <w:szCs w:val="20"/>
          <w:lang w:val="en-US"/>
        </w:rPr>
        <w:t xml:space="preserve">Zavaleta, E. (2021). Analysis of institutional management in the academic units of the National Police - Perú. </w:t>
      </w:r>
      <w:r w:rsidRPr="00B64156">
        <w:rPr>
          <w:rFonts w:ascii="Arial" w:hAnsi="Arial" w:cs="Arial"/>
          <w:sz w:val="20"/>
          <w:szCs w:val="20"/>
        </w:rPr>
        <w:t>Comunicación</w:t>
      </w:r>
      <w:r w:rsidRPr="002B107F">
        <w:rPr>
          <w:rFonts w:ascii="Arial" w:hAnsi="Arial" w:cs="Arial"/>
          <w:i/>
          <w:sz w:val="20"/>
          <w:szCs w:val="20"/>
        </w:rPr>
        <w:t>,</w:t>
      </w:r>
      <w:r w:rsidRPr="002B107F">
        <w:rPr>
          <w:rFonts w:ascii="Arial" w:hAnsi="Arial" w:cs="Arial"/>
          <w:sz w:val="20"/>
          <w:szCs w:val="20"/>
        </w:rPr>
        <w:t xml:space="preserve"> 12(1). </w:t>
      </w:r>
      <w:hyperlink r:id="rId76" w:history="1">
        <w:r w:rsidRPr="002B107F">
          <w:rPr>
            <w:rStyle w:val="Hyperlink"/>
            <w:rFonts w:ascii="Arial" w:hAnsi="Arial" w:cs="Arial"/>
            <w:sz w:val="20"/>
            <w:szCs w:val="20"/>
          </w:rPr>
          <w:t>https://doi.org/10.33595/2226-1478.12.1.489</w:t>
        </w:r>
      </w:hyperlink>
    </w:p>
    <w:p w:rsidR="002B107F" w:rsidRPr="002B107F" w:rsidRDefault="002B107F" w:rsidP="002B107F">
      <w:pPr>
        <w:spacing w:after="0" w:line="240" w:lineRule="auto"/>
        <w:ind w:firstLine="709"/>
        <w:jc w:val="both"/>
        <w:rPr>
          <w:rFonts w:ascii="Arial" w:hAnsi="Arial" w:cs="Arial"/>
          <w:sz w:val="20"/>
          <w:szCs w:val="20"/>
        </w:rPr>
      </w:pPr>
    </w:p>
    <w:p w:rsidR="002B107F" w:rsidRPr="002B107F" w:rsidRDefault="002B107F" w:rsidP="002B107F">
      <w:pPr>
        <w:spacing w:after="0" w:line="240" w:lineRule="auto"/>
        <w:ind w:firstLine="709"/>
        <w:jc w:val="both"/>
        <w:rPr>
          <w:rFonts w:ascii="Arial" w:hAnsi="Arial" w:cs="Arial"/>
          <w:sz w:val="20"/>
          <w:szCs w:val="20"/>
        </w:rPr>
      </w:pPr>
    </w:p>
    <w:p w:rsidR="002B107F" w:rsidRPr="002B107F" w:rsidRDefault="002B107F" w:rsidP="002B107F">
      <w:pPr>
        <w:spacing w:after="0" w:line="240" w:lineRule="auto"/>
        <w:ind w:firstLine="709"/>
        <w:jc w:val="both"/>
        <w:rPr>
          <w:rFonts w:ascii="Arial" w:hAnsi="Arial" w:cs="Arial"/>
          <w:sz w:val="20"/>
          <w:szCs w:val="20"/>
        </w:rPr>
      </w:pPr>
    </w:p>
    <w:p w:rsidR="00683E7D" w:rsidRPr="002B107F" w:rsidRDefault="00683E7D" w:rsidP="002B107F">
      <w:pPr>
        <w:spacing w:after="0" w:line="240" w:lineRule="auto"/>
        <w:ind w:left="709" w:hanging="709"/>
        <w:jc w:val="both"/>
        <w:rPr>
          <w:rFonts w:ascii="Arial" w:hAnsi="Arial" w:cs="Arial"/>
          <w:sz w:val="20"/>
          <w:szCs w:val="20"/>
        </w:rPr>
      </w:pPr>
    </w:p>
    <w:sectPr w:rsidR="00683E7D" w:rsidRPr="002B107F" w:rsidSect="00627E06">
      <w:footerReference w:type="default" r:id="rId77"/>
      <w:footerReference w:type="first" r:id="rId78"/>
      <w:pgSz w:w="12240" w:h="15840"/>
      <w:pgMar w:top="1418" w:right="1134" w:bottom="1418" w:left="1134"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523E8" w:rsidRDefault="00D523E8" w:rsidP="00683E7D">
      <w:pPr>
        <w:spacing w:after="0" w:line="240" w:lineRule="auto"/>
      </w:pPr>
      <w:r>
        <w:separator/>
      </w:r>
    </w:p>
  </w:endnote>
  <w:endnote w:type="continuationSeparator" w:id="0">
    <w:p w:rsidR="00D523E8" w:rsidRDefault="00D523E8" w:rsidP="00683E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rompt">
    <w:panose1 w:val="00000500000000000000"/>
    <w:charset w:val="DE"/>
    <w:family w:val="auto"/>
    <w:pitch w:val="variable"/>
    <w:sig w:usb0="21000007" w:usb1="00000001" w:usb2="00000000" w:usb3="00000000" w:csb0="00010193" w:csb1="00000000"/>
  </w:font>
  <w:font w:name="Poppins Black">
    <w:panose1 w:val="00000A00000000000000"/>
    <w:charset w:val="00"/>
    <w:family w:val="auto"/>
    <w:pitch w:val="variable"/>
    <w:sig w:usb0="00008007" w:usb1="00000000" w:usb2="00000000" w:usb3="00000000" w:csb0="00000093"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7E06" w:rsidRPr="00627E06" w:rsidRDefault="00B64156" w:rsidP="00627E06">
    <w:pPr>
      <w:spacing w:after="0" w:line="240" w:lineRule="auto"/>
      <w:rPr>
        <w:rFonts w:ascii="Prompt" w:hAnsi="Prompt" w:cs="Prompt"/>
        <w:color w:val="1C4894"/>
        <w:sz w:val="16"/>
        <w:szCs w:val="16"/>
      </w:rPr>
    </w:pPr>
    <w:r>
      <w:rPr>
        <w:rFonts w:ascii="Prompt" w:hAnsi="Prompt" w:cs="Prompt"/>
        <w:color w:val="1C4894"/>
        <w:sz w:val="16"/>
        <w:szCs w:val="16"/>
      </w:rPr>
      <w:t>Balta, G. &amp; Sagastegui, P.</w:t>
    </w:r>
    <w:r w:rsidR="00627E06" w:rsidRPr="00627E06">
      <w:rPr>
        <w:rFonts w:ascii="Prompt" w:hAnsi="Prompt" w:cs="Prompt"/>
        <w:color w:val="1C4894"/>
        <w:sz w:val="16"/>
        <w:szCs w:val="16"/>
      </w:rPr>
      <w:t xml:space="preserve"> (202</w:t>
    </w:r>
    <w:r w:rsidR="001E6965">
      <w:rPr>
        <w:rFonts w:ascii="Prompt" w:hAnsi="Prompt" w:cs="Prompt"/>
        <w:color w:val="1C4894"/>
        <w:sz w:val="16"/>
        <w:szCs w:val="16"/>
      </w:rPr>
      <w:t>6</w:t>
    </w:r>
    <w:r>
      <w:rPr>
        <w:rFonts w:ascii="Prompt" w:hAnsi="Prompt" w:cs="Prompt"/>
        <w:color w:val="1C4894"/>
        <w:sz w:val="16"/>
        <w:szCs w:val="16"/>
      </w:rPr>
      <w:t xml:space="preserve">). </w:t>
    </w:r>
    <w:r w:rsidRPr="00B64156">
      <w:rPr>
        <w:rFonts w:ascii="Prompt" w:hAnsi="Prompt" w:cs="Prompt"/>
        <w:color w:val="1C4894"/>
        <w:sz w:val="16"/>
        <w:szCs w:val="16"/>
      </w:rPr>
      <w:t>Impacto de la gestión institucional en el bienestar de los es</w:t>
    </w:r>
    <w:r w:rsidR="00454BBB">
      <w:rPr>
        <w:rFonts w:ascii="Prompt" w:hAnsi="Prompt" w:cs="Prompt"/>
        <w:color w:val="1C4894"/>
        <w:sz w:val="16"/>
        <w:szCs w:val="16"/>
      </w:rPr>
      <w:t>tudiantes de educación superior: a</w:t>
    </w:r>
    <w:r w:rsidRPr="00B64156">
      <w:rPr>
        <w:rFonts w:ascii="Prompt" w:hAnsi="Prompt" w:cs="Prompt"/>
        <w:color w:val="1C4894"/>
        <w:sz w:val="16"/>
        <w:szCs w:val="16"/>
      </w:rPr>
      <w:t>nálisis sistemático</w:t>
    </w:r>
    <w:r w:rsidR="00627E06">
      <w:rPr>
        <w:rFonts w:ascii="Prompt" w:hAnsi="Prompt" w:cs="Prompt"/>
        <w:color w:val="1C4894"/>
        <w:sz w:val="16"/>
        <w:szCs w:val="16"/>
      </w:rPr>
      <w:t xml:space="preserve">. </w:t>
    </w:r>
    <w:r w:rsidR="00627E06" w:rsidRPr="00627E06">
      <w:rPr>
        <w:rFonts w:ascii="Prompt" w:hAnsi="Prompt" w:cs="Prompt"/>
        <w:i/>
        <w:iCs/>
        <w:color w:val="1C4894"/>
        <w:sz w:val="16"/>
        <w:szCs w:val="16"/>
      </w:rPr>
      <w:t xml:space="preserve">Revista InveCom, </w:t>
    </w:r>
    <w:r w:rsidR="00F3007A">
      <w:rPr>
        <w:rFonts w:ascii="Prompt" w:hAnsi="Prompt" w:cs="Prompt"/>
        <w:i/>
        <w:iCs/>
        <w:color w:val="1C4894"/>
        <w:sz w:val="16"/>
        <w:szCs w:val="16"/>
      </w:rPr>
      <w:t xml:space="preserve">6 </w:t>
    </w:r>
    <w:r w:rsidR="00627E06" w:rsidRPr="00627E06">
      <w:rPr>
        <w:rFonts w:ascii="Prompt" w:hAnsi="Prompt" w:cs="Prompt"/>
        <w:color w:val="1C4894"/>
        <w:sz w:val="16"/>
        <w:szCs w:val="16"/>
      </w:rPr>
      <w:t>(</w:t>
    </w:r>
    <w:r w:rsidR="00F3007A">
      <w:rPr>
        <w:rFonts w:ascii="Prompt" w:hAnsi="Prompt" w:cs="Prompt"/>
        <w:color w:val="1C4894"/>
        <w:sz w:val="16"/>
        <w:szCs w:val="16"/>
      </w:rPr>
      <w:t>1</w:t>
    </w:r>
    <w:r w:rsidR="00627E06" w:rsidRPr="00627E06">
      <w:rPr>
        <w:rFonts w:ascii="Prompt" w:hAnsi="Prompt" w:cs="Prompt"/>
        <w:color w:val="1C4894"/>
        <w:sz w:val="16"/>
        <w:szCs w:val="16"/>
      </w:rPr>
      <w:t xml:space="preserve">). </w:t>
    </w:r>
    <w:r w:rsidR="007352BA">
      <w:rPr>
        <w:rFonts w:ascii="Prompt" w:hAnsi="Prompt" w:cs="Prompt"/>
        <w:color w:val="1C4894"/>
        <w:sz w:val="16"/>
        <w:szCs w:val="16"/>
      </w:rPr>
      <w:t>1</w:t>
    </w:r>
    <w:r w:rsidR="007352BA" w:rsidRPr="00B64156">
      <w:rPr>
        <w:rFonts w:ascii="Prompt" w:hAnsi="Prompt" w:cs="Prompt"/>
        <w:color w:val="1C4894"/>
        <w:sz w:val="16"/>
        <w:szCs w:val="16"/>
      </w:rPr>
      <w:t>-</w:t>
    </w:r>
    <w:r w:rsidRPr="00B64156">
      <w:rPr>
        <w:rFonts w:ascii="Prompt" w:hAnsi="Prompt" w:cs="Prompt"/>
        <w:color w:val="1C4894"/>
        <w:sz w:val="16"/>
        <w:szCs w:val="16"/>
      </w:rPr>
      <w:t>9</w:t>
    </w:r>
    <w:r w:rsidR="00F3007A" w:rsidRPr="00B64156">
      <w:rPr>
        <w:rFonts w:ascii="Prompt" w:hAnsi="Prompt" w:cs="Prompt"/>
        <w:color w:val="1C4894"/>
        <w:sz w:val="16"/>
        <w:szCs w:val="16"/>
      </w:rPr>
      <w:t>.</w:t>
    </w:r>
  </w:p>
  <w:p w:rsidR="00683E7D" w:rsidRPr="002D2ADB" w:rsidRDefault="00A17E32" w:rsidP="00683E7D">
    <w:pPr>
      <w:pStyle w:val="Footer"/>
      <w:jc w:val="right"/>
      <w:rPr>
        <w:rFonts w:ascii="Poppins Black" w:hAnsi="Poppins Black" w:cs="Poppins Black"/>
        <w:color w:val="FFFFFF"/>
        <w:sz w:val="40"/>
        <w:szCs w:val="40"/>
      </w:rPr>
    </w:pPr>
    <w:r>
      <w:rPr>
        <w:noProof/>
        <w:lang w:val="en-US"/>
      </w:rPr>
      <mc:AlternateContent>
        <mc:Choice Requires="wps">
          <w:drawing>
            <wp:anchor distT="4294967295" distB="4294967295" distL="114300" distR="114300" simplePos="0" relativeHeight="251658240" behindDoc="0" locked="0" layoutInCell="1" allowOverlap="1" wp14:anchorId="28046B58" wp14:editId="1CF8996C">
              <wp:simplePos x="0" y="0"/>
              <wp:positionH relativeFrom="column">
                <wp:posOffset>10160</wp:posOffset>
              </wp:positionH>
              <wp:positionV relativeFrom="paragraph">
                <wp:posOffset>146684</wp:posOffset>
              </wp:positionV>
              <wp:extent cx="5975350" cy="0"/>
              <wp:effectExtent l="0" t="0" r="0" b="0"/>
              <wp:wrapNone/>
              <wp:docPr id="945310710" name="Conector recto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75350" cy="0"/>
                      </a:xfrm>
                      <a:prstGeom prst="line">
                        <a:avLst/>
                      </a:prstGeom>
                      <a:noFill/>
                      <a:ln w="19050" cap="flat" cmpd="sng" algn="ctr">
                        <a:solidFill>
                          <a:srgbClr val="19195D"/>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4295DE52" id="Conector recto 3"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8pt,11.55pt" to="471.3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" strokecolor="#19195d" strokeweight="1.5pt">
              <v:stroke joinstyle="miter"/>
              <o:lock v:ext="edit" shapetype="f"/>
            </v:line>
          </w:pict>
        </mc:Fallback>
      </mc:AlternateContent>
    </w:r>
    <w:r>
      <w:rPr>
        <w:noProof/>
        <w:lang w:val="en-US"/>
      </w:rPr>
      <mc:AlternateContent>
        <mc:Choice Requires="wps">
          <w:drawing>
            <wp:anchor distT="0" distB="0" distL="114300" distR="114300" simplePos="0" relativeHeight="251657216" behindDoc="1" locked="0" layoutInCell="1" allowOverlap="1" wp14:anchorId="4C96D853" wp14:editId="4325A11F">
              <wp:simplePos x="0" y="0"/>
              <wp:positionH relativeFrom="column">
                <wp:posOffset>6081395</wp:posOffset>
              </wp:positionH>
              <wp:positionV relativeFrom="paragraph">
                <wp:posOffset>5080</wp:posOffset>
              </wp:positionV>
              <wp:extent cx="327025" cy="271145"/>
              <wp:effectExtent l="0" t="0" r="0" b="0"/>
              <wp:wrapNone/>
              <wp:docPr id="342000707" name="Rectángulo: esquinas redondeadas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7025" cy="271145"/>
                      </a:xfrm>
                      <a:prstGeom prst="roundRect">
                        <a:avLst/>
                      </a:prstGeom>
                      <a:solidFill>
                        <a:srgbClr val="0D1A46"/>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A217156" id="Rectángulo: esquinas redondeadas 1" o:spid="_x0000_s1026" style="position:absolute;margin-left:478.85pt;margin-top:.4pt;width:25.75pt;height:21.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" fillcolor="#0d1a46" strokecolor="#172c51" strokeweight="1pt">
              <v:stroke joinstyle="miter"/>
              <v:path arrowok="t"/>
            </v:roundrect>
          </w:pict>
        </mc:Fallback>
      </mc:AlternateContent>
    </w:r>
    <w:r w:rsidR="00683E7D" w:rsidRPr="002D2ADB">
      <w:rPr>
        <w:rFonts w:ascii="Prompt" w:hAnsi="Prompt" w:cs="Prompt"/>
        <w:color w:val="FFFFFF"/>
        <w:sz w:val="28"/>
        <w:szCs w:val="28"/>
      </w:rPr>
      <w:fldChar w:fldCharType="begin"/>
    </w:r>
    <w:r w:rsidR="00683E7D" w:rsidRPr="002D2ADB">
      <w:rPr>
        <w:rFonts w:ascii="Prompt" w:hAnsi="Prompt" w:cs="Prompt"/>
        <w:color w:val="FFFFFF"/>
        <w:sz w:val="28"/>
        <w:szCs w:val="28"/>
      </w:rPr>
      <w:instrText>PAGE   \* MERGEFORMAT</w:instrText>
    </w:r>
    <w:r w:rsidR="00683E7D" w:rsidRPr="002D2ADB">
      <w:rPr>
        <w:rFonts w:ascii="Prompt" w:hAnsi="Prompt" w:cs="Prompt"/>
        <w:color w:val="FFFFFF"/>
        <w:sz w:val="28"/>
        <w:szCs w:val="28"/>
      </w:rPr>
      <w:fldChar w:fldCharType="separate"/>
    </w:r>
    <w:r w:rsidR="00454BBB" w:rsidRPr="00454BBB">
      <w:rPr>
        <w:rFonts w:ascii="Prompt" w:hAnsi="Prompt" w:cs="Prompt"/>
        <w:noProof/>
        <w:color w:val="FFFFFF"/>
        <w:sz w:val="28"/>
        <w:szCs w:val="28"/>
        <w:lang w:val="es-ES"/>
      </w:rPr>
      <w:t>9</w:t>
    </w:r>
    <w:r w:rsidR="00683E7D" w:rsidRPr="002D2ADB">
      <w:rPr>
        <w:rFonts w:ascii="Prompt" w:hAnsi="Prompt" w:cs="Prompt"/>
        <w:color w:val="FFFFFF"/>
        <w:sz w:val="28"/>
        <w:szCs w:val="2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85212" w:rsidRDefault="00A85212">
    <w:pPr>
      <w:pStyle w:val="Footer"/>
      <w:jc w:val="right"/>
    </w:pPr>
  </w:p>
  <w:p w:rsidR="00683E7D" w:rsidRDefault="00683E7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523E8" w:rsidRDefault="00D523E8" w:rsidP="00683E7D">
      <w:pPr>
        <w:spacing w:after="0" w:line="240" w:lineRule="auto"/>
      </w:pPr>
      <w:r>
        <w:separator/>
      </w:r>
    </w:p>
  </w:footnote>
  <w:footnote w:type="continuationSeparator" w:id="0">
    <w:p w:rsidR="00D523E8" w:rsidRDefault="00D523E8" w:rsidP="00683E7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proofState w:spelling="clean" w:grammar="clean"/>
  <w:attachedTemplate r:id="rId1"/>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5DD1"/>
    <w:rsid w:val="000529D8"/>
    <w:rsid w:val="00053251"/>
    <w:rsid w:val="000624DD"/>
    <w:rsid w:val="00070288"/>
    <w:rsid w:val="00083D90"/>
    <w:rsid w:val="00111DD2"/>
    <w:rsid w:val="001443AC"/>
    <w:rsid w:val="001844A0"/>
    <w:rsid w:val="001E6965"/>
    <w:rsid w:val="00255017"/>
    <w:rsid w:val="00280FF4"/>
    <w:rsid w:val="002B107F"/>
    <w:rsid w:val="002D2ADB"/>
    <w:rsid w:val="002E4A19"/>
    <w:rsid w:val="003356D1"/>
    <w:rsid w:val="00382D16"/>
    <w:rsid w:val="003B162A"/>
    <w:rsid w:val="00412544"/>
    <w:rsid w:val="00454BBB"/>
    <w:rsid w:val="00461AE1"/>
    <w:rsid w:val="00464628"/>
    <w:rsid w:val="00481665"/>
    <w:rsid w:val="00491C48"/>
    <w:rsid w:val="004D4964"/>
    <w:rsid w:val="004F029A"/>
    <w:rsid w:val="005340FA"/>
    <w:rsid w:val="005E7AC1"/>
    <w:rsid w:val="00615726"/>
    <w:rsid w:val="00620B13"/>
    <w:rsid w:val="00627E06"/>
    <w:rsid w:val="00642908"/>
    <w:rsid w:val="00660156"/>
    <w:rsid w:val="00681B14"/>
    <w:rsid w:val="00683E7D"/>
    <w:rsid w:val="0069668E"/>
    <w:rsid w:val="007150CB"/>
    <w:rsid w:val="007352BA"/>
    <w:rsid w:val="007A199B"/>
    <w:rsid w:val="007B5C74"/>
    <w:rsid w:val="00802B39"/>
    <w:rsid w:val="0085611B"/>
    <w:rsid w:val="00860E7D"/>
    <w:rsid w:val="00876224"/>
    <w:rsid w:val="009024DB"/>
    <w:rsid w:val="0092094D"/>
    <w:rsid w:val="00921D72"/>
    <w:rsid w:val="009447C3"/>
    <w:rsid w:val="0098556A"/>
    <w:rsid w:val="009B1897"/>
    <w:rsid w:val="009C1C68"/>
    <w:rsid w:val="009D505C"/>
    <w:rsid w:val="00A041F3"/>
    <w:rsid w:val="00A17E32"/>
    <w:rsid w:val="00A3466C"/>
    <w:rsid w:val="00A43C2D"/>
    <w:rsid w:val="00A6138F"/>
    <w:rsid w:val="00A8117F"/>
    <w:rsid w:val="00A85212"/>
    <w:rsid w:val="00AE25E2"/>
    <w:rsid w:val="00AF5DD1"/>
    <w:rsid w:val="00B01F07"/>
    <w:rsid w:val="00B1415C"/>
    <w:rsid w:val="00B2525B"/>
    <w:rsid w:val="00B50DF0"/>
    <w:rsid w:val="00B51632"/>
    <w:rsid w:val="00B56396"/>
    <w:rsid w:val="00B64156"/>
    <w:rsid w:val="00BD65DF"/>
    <w:rsid w:val="00BF337B"/>
    <w:rsid w:val="00BF421D"/>
    <w:rsid w:val="00C65BA7"/>
    <w:rsid w:val="00CB40DD"/>
    <w:rsid w:val="00CC2434"/>
    <w:rsid w:val="00CE3323"/>
    <w:rsid w:val="00CF1F1C"/>
    <w:rsid w:val="00D43043"/>
    <w:rsid w:val="00D47DF0"/>
    <w:rsid w:val="00D523E8"/>
    <w:rsid w:val="00DE6601"/>
    <w:rsid w:val="00E14C58"/>
    <w:rsid w:val="00E22E41"/>
    <w:rsid w:val="00E271E2"/>
    <w:rsid w:val="00E3578B"/>
    <w:rsid w:val="00E80AAF"/>
    <w:rsid w:val="00EC32AF"/>
    <w:rsid w:val="00EF28BE"/>
    <w:rsid w:val="00F04A38"/>
    <w:rsid w:val="00F3007A"/>
    <w:rsid w:val="00F763D7"/>
    <w:rsid w:val="00F972FB"/>
    <w:rsid w:val="00FA1EAD"/>
    <w:rsid w:val="00FF08B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E182AE"/>
  <w15:chartTrackingRefBased/>
  <w15:docId w15:val="{57494CBF-8FED-4DF9-B3E8-8C26F046E7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CO" w:eastAsia="es-C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529D8"/>
    <w:pPr>
      <w:spacing w:after="160" w:line="259" w:lineRule="auto"/>
    </w:pPr>
    <w:rPr>
      <w:kern w:val="2"/>
      <w:sz w:val="22"/>
      <w:szCs w:val="22"/>
      <w:lang w:eastAsia="en-US"/>
    </w:rPr>
  </w:style>
  <w:style w:type="paragraph" w:styleId="Heading1">
    <w:name w:val="heading 1"/>
    <w:basedOn w:val="Normal"/>
    <w:next w:val="Normal"/>
    <w:link w:val="Heading1Char"/>
    <w:uiPriority w:val="9"/>
    <w:qFormat/>
    <w:rsid w:val="00461AE1"/>
    <w:pPr>
      <w:keepNext/>
      <w:keepLines/>
      <w:spacing w:before="240" w:after="0"/>
      <w:outlineLvl w:val="0"/>
    </w:pPr>
    <w:rPr>
      <w:rFonts w:ascii="Calibri Light" w:eastAsia="Times New Roman" w:hAnsi="Calibri Light"/>
      <w:color w:val="2F5496"/>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E4A19"/>
    <w:rPr>
      <w:rFonts w:eastAsia="Times New Roman"/>
      <w:sz w:val="22"/>
      <w:szCs w:val="22"/>
    </w:rPr>
  </w:style>
  <w:style w:type="character" w:customStyle="1" w:styleId="NoSpacingChar">
    <w:name w:val="No Spacing Char"/>
    <w:link w:val="NoSpacing"/>
    <w:uiPriority w:val="1"/>
    <w:rsid w:val="002E4A19"/>
    <w:rPr>
      <w:rFonts w:eastAsia="Times New Roman"/>
      <w:kern w:val="0"/>
      <w:lang w:eastAsia="es-CO"/>
    </w:rPr>
  </w:style>
  <w:style w:type="character" w:customStyle="1" w:styleId="Heading1Char">
    <w:name w:val="Heading 1 Char"/>
    <w:link w:val="Heading1"/>
    <w:uiPriority w:val="9"/>
    <w:rsid w:val="00461AE1"/>
    <w:rPr>
      <w:rFonts w:ascii="Calibri Light" w:eastAsia="Times New Roman" w:hAnsi="Calibri Light" w:cs="Times New Roman"/>
      <w:color w:val="2F5496"/>
      <w:sz w:val="32"/>
      <w:szCs w:val="32"/>
    </w:rPr>
  </w:style>
  <w:style w:type="paragraph" w:styleId="TOCHeading">
    <w:name w:val="TOC Heading"/>
    <w:basedOn w:val="Heading1"/>
    <w:next w:val="Normal"/>
    <w:uiPriority w:val="39"/>
    <w:unhideWhenUsed/>
    <w:qFormat/>
    <w:rsid w:val="00461AE1"/>
    <w:pPr>
      <w:outlineLvl w:val="9"/>
    </w:pPr>
    <w:rPr>
      <w:kern w:val="0"/>
      <w:lang w:eastAsia="es-CO"/>
    </w:rPr>
  </w:style>
  <w:style w:type="character" w:styleId="Hyperlink">
    <w:name w:val="Hyperlink"/>
    <w:uiPriority w:val="99"/>
    <w:unhideWhenUsed/>
    <w:rsid w:val="00620B13"/>
    <w:rPr>
      <w:color w:val="0563C1"/>
      <w:u w:val="single"/>
    </w:rPr>
  </w:style>
  <w:style w:type="character" w:customStyle="1" w:styleId="UnresolvedMention">
    <w:name w:val="Unresolved Mention"/>
    <w:uiPriority w:val="99"/>
    <w:semiHidden/>
    <w:unhideWhenUsed/>
    <w:rsid w:val="00620B13"/>
    <w:rPr>
      <w:color w:val="605E5C"/>
      <w:shd w:val="clear" w:color="auto" w:fill="E1DFDD"/>
    </w:rPr>
  </w:style>
  <w:style w:type="paragraph" w:styleId="Header">
    <w:name w:val="header"/>
    <w:basedOn w:val="Normal"/>
    <w:link w:val="HeaderChar"/>
    <w:uiPriority w:val="99"/>
    <w:unhideWhenUsed/>
    <w:rsid w:val="00683E7D"/>
    <w:pPr>
      <w:tabs>
        <w:tab w:val="center" w:pos="4419"/>
        <w:tab w:val="right" w:pos="8838"/>
      </w:tabs>
      <w:spacing w:after="0" w:line="240" w:lineRule="auto"/>
    </w:pPr>
  </w:style>
  <w:style w:type="character" w:customStyle="1" w:styleId="HeaderChar">
    <w:name w:val="Header Char"/>
    <w:basedOn w:val="DefaultParagraphFont"/>
    <w:link w:val="Header"/>
    <w:uiPriority w:val="99"/>
    <w:rsid w:val="00683E7D"/>
  </w:style>
  <w:style w:type="paragraph" w:styleId="Footer">
    <w:name w:val="footer"/>
    <w:basedOn w:val="Normal"/>
    <w:link w:val="FooterChar"/>
    <w:uiPriority w:val="99"/>
    <w:unhideWhenUsed/>
    <w:rsid w:val="00683E7D"/>
    <w:pPr>
      <w:tabs>
        <w:tab w:val="center" w:pos="4419"/>
        <w:tab w:val="right" w:pos="8838"/>
      </w:tabs>
      <w:spacing w:after="0" w:line="240" w:lineRule="auto"/>
    </w:pPr>
  </w:style>
  <w:style w:type="character" w:customStyle="1" w:styleId="FooterChar">
    <w:name w:val="Footer Char"/>
    <w:basedOn w:val="DefaultParagraphFont"/>
    <w:link w:val="Footer"/>
    <w:uiPriority w:val="99"/>
    <w:rsid w:val="00683E7D"/>
  </w:style>
  <w:style w:type="character" w:styleId="FollowedHyperlink">
    <w:name w:val="FollowedHyperlink"/>
    <w:uiPriority w:val="99"/>
    <w:semiHidden/>
    <w:unhideWhenUsed/>
    <w:rsid w:val="00382D16"/>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9055325">
      <w:bodyDiv w:val="1"/>
      <w:marLeft w:val="0"/>
      <w:marRight w:val="0"/>
      <w:marTop w:val="0"/>
      <w:marBottom w:val="0"/>
      <w:divBdr>
        <w:top w:val="none" w:sz="0" w:space="0" w:color="auto"/>
        <w:left w:val="none" w:sz="0" w:space="0" w:color="auto"/>
        <w:bottom w:val="none" w:sz="0" w:space="0" w:color="auto"/>
        <w:right w:val="none" w:sz="0" w:space="0" w:color="auto"/>
      </w:divBdr>
      <w:divsChild>
        <w:div w:id="102699304">
          <w:marLeft w:val="0"/>
          <w:marRight w:val="0"/>
          <w:marTop w:val="0"/>
          <w:marBottom w:val="0"/>
          <w:divBdr>
            <w:top w:val="none" w:sz="0" w:space="0" w:color="auto"/>
            <w:left w:val="none" w:sz="0" w:space="0" w:color="auto"/>
            <w:bottom w:val="none" w:sz="0" w:space="0" w:color="auto"/>
            <w:right w:val="none" w:sz="0" w:space="0" w:color="auto"/>
          </w:divBdr>
        </w:div>
      </w:divsChild>
    </w:div>
    <w:div w:id="450592205">
      <w:bodyDiv w:val="1"/>
      <w:marLeft w:val="0"/>
      <w:marRight w:val="0"/>
      <w:marTop w:val="0"/>
      <w:marBottom w:val="0"/>
      <w:divBdr>
        <w:top w:val="none" w:sz="0" w:space="0" w:color="auto"/>
        <w:left w:val="none" w:sz="0" w:space="0" w:color="auto"/>
        <w:bottom w:val="none" w:sz="0" w:space="0" w:color="auto"/>
        <w:right w:val="none" w:sz="0" w:space="0" w:color="auto"/>
      </w:divBdr>
      <w:divsChild>
        <w:div w:id="2119829785">
          <w:marLeft w:val="0"/>
          <w:marRight w:val="0"/>
          <w:marTop w:val="0"/>
          <w:marBottom w:val="0"/>
          <w:divBdr>
            <w:top w:val="none" w:sz="0" w:space="0" w:color="auto"/>
            <w:left w:val="none" w:sz="0" w:space="0" w:color="auto"/>
            <w:bottom w:val="none" w:sz="0" w:space="0" w:color="auto"/>
            <w:right w:val="none" w:sz="0" w:space="0" w:color="auto"/>
          </w:divBdr>
        </w:div>
      </w:divsChild>
    </w:div>
    <w:div w:id="1507131580">
      <w:bodyDiv w:val="1"/>
      <w:marLeft w:val="0"/>
      <w:marRight w:val="0"/>
      <w:marTop w:val="0"/>
      <w:marBottom w:val="0"/>
      <w:divBdr>
        <w:top w:val="none" w:sz="0" w:space="0" w:color="auto"/>
        <w:left w:val="none" w:sz="0" w:space="0" w:color="auto"/>
        <w:bottom w:val="none" w:sz="0" w:space="0" w:color="auto"/>
        <w:right w:val="none" w:sz="0" w:space="0" w:color="auto"/>
      </w:divBdr>
      <w:divsChild>
        <w:div w:id="1282375619">
          <w:marLeft w:val="0"/>
          <w:marRight w:val="0"/>
          <w:marTop w:val="0"/>
          <w:marBottom w:val="0"/>
          <w:divBdr>
            <w:top w:val="none" w:sz="0" w:space="0" w:color="auto"/>
            <w:left w:val="none" w:sz="0" w:space="0" w:color="auto"/>
            <w:bottom w:val="none" w:sz="0" w:space="0" w:color="auto"/>
            <w:right w:val="none" w:sz="0" w:space="0" w:color="auto"/>
          </w:divBdr>
        </w:div>
      </w:divsChild>
    </w:div>
    <w:div w:id="1635597430">
      <w:bodyDiv w:val="1"/>
      <w:marLeft w:val="0"/>
      <w:marRight w:val="0"/>
      <w:marTop w:val="0"/>
      <w:marBottom w:val="0"/>
      <w:divBdr>
        <w:top w:val="none" w:sz="0" w:space="0" w:color="auto"/>
        <w:left w:val="none" w:sz="0" w:space="0" w:color="auto"/>
        <w:bottom w:val="none" w:sz="0" w:space="0" w:color="auto"/>
        <w:right w:val="none" w:sz="0" w:space="0" w:color="auto"/>
      </w:divBdr>
      <w:divsChild>
        <w:div w:id="12976130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doi.org/10.51528/rp.vol9.id2314" TargetMode="External"/><Relationship Id="rId21" Type="http://schemas.openxmlformats.org/officeDocument/2006/relationships/hyperlink" Target="https://doi.org/10.36346/sarjbm.2022.v04i03.002" TargetMode="External"/><Relationship Id="rId42" Type="http://schemas.openxmlformats.org/officeDocument/2006/relationships/hyperlink" Target="http://www.scielo.org.pe/pdf/des/v16n1/2415-0959-des-16-01-e0013.pdf" TargetMode="External"/><Relationship Id="rId47" Type="http://schemas.openxmlformats.org/officeDocument/2006/relationships/hyperlink" Target="file:///C:/Users/Usuario/Downloads/88.pdf" TargetMode="External"/><Relationship Id="rId63" Type="http://schemas.openxmlformats.org/officeDocument/2006/relationships/hyperlink" Target="https://doi.org/10.37387/ipc.%20v10i3.322" TargetMode="External"/><Relationship Id="rId68" Type="http://schemas.openxmlformats.org/officeDocument/2006/relationships/hyperlink" Target="https://doi.org/10.69639/arandu.v11i2.458" TargetMode="External"/><Relationship Id="rId16" Type="http://schemas.openxmlformats.org/officeDocument/2006/relationships/image" Target="media/image2.png"/><Relationship Id="rId11" Type="http://schemas.openxmlformats.org/officeDocument/2006/relationships/hyperlink" Target="https://orcid.org/0000-0002-1413-0653" TargetMode="External"/><Relationship Id="rId24" Type="http://schemas.openxmlformats.org/officeDocument/2006/relationships/hyperlink" Target="https://doi.org/10.62384/fesgro.v10i1.285" TargetMode="External"/><Relationship Id="rId32" Type="http://schemas.openxmlformats.org/officeDocument/2006/relationships/hyperlink" Target="https://doi.org/10.47606/acven/ph0229" TargetMode="External"/><Relationship Id="rId37" Type="http://schemas.openxmlformats.org/officeDocument/2006/relationships/hyperlink" Target="https://doi.org/10.31876/rcs.v28i2.37944" TargetMode="External"/><Relationship Id="rId40" Type="http://schemas.openxmlformats.org/officeDocument/2006/relationships/hyperlink" Target="https://doi.org/10.33539/educacion.2020.v26n2.2229GESTI&#211;N" TargetMode="External"/><Relationship Id="rId45" Type="http://schemas.openxmlformats.org/officeDocument/2006/relationships/hyperlink" Target="https://repositorio.umecit.edu.pa/handle/001/3835" TargetMode="External"/><Relationship Id="rId53" Type="http://schemas.openxmlformats.org/officeDocument/2006/relationships/hyperlink" Target="https://doi.org/10.17163/soph.n28.2020.08" TargetMode="External"/><Relationship Id="rId58" Type="http://schemas.openxmlformats.org/officeDocument/2006/relationships/hyperlink" Target="https://doi.org/10.63278/jicrcr.vi.604" TargetMode="External"/><Relationship Id="rId66" Type="http://schemas.openxmlformats.org/officeDocument/2006/relationships/hyperlink" Target="https://doi.org/10.5209/rced.70182" TargetMode="External"/><Relationship Id="rId74" Type="http://schemas.openxmlformats.org/officeDocument/2006/relationships/hyperlink" Target="https://doi.org/10.1108/JKM-04-2022-0273" TargetMode="External"/><Relationship Id="rId79" Type="http://schemas.openxmlformats.org/officeDocument/2006/relationships/fontTable" Target="fontTable.xml"/><Relationship Id="rId5" Type="http://schemas.openxmlformats.org/officeDocument/2006/relationships/footnotes" Target="footnotes.xml"/><Relationship Id="rId61" Type="http://schemas.openxmlformats.org/officeDocument/2006/relationships/hyperlink" Target="https://hdl.handle.net/11059/13956" TargetMode="External"/><Relationship Id="rId19" Type="http://schemas.openxmlformats.org/officeDocument/2006/relationships/hyperlink" Target="https://revistas.cientifica.edu.pe/index.php/desdeelsur/article/view/1461/1165" TargetMode="External"/><Relationship Id="rId14" Type="http://schemas.openxmlformats.org/officeDocument/2006/relationships/hyperlink" Target="mailto:piero.sagastegui@edu.uah.es" TargetMode="External"/><Relationship Id="rId22" Type="http://schemas.openxmlformats.org/officeDocument/2006/relationships/hyperlink" Target="http://recimundo.com/index.php/es/article/view/872" TargetMode="External"/><Relationship Id="rId27" Type="http://schemas.openxmlformats.org/officeDocument/2006/relationships/hyperlink" Target="https://doi.org/10.56048/MQR20225.8.4.2024.938-960" TargetMode="External"/><Relationship Id="rId30" Type="http://schemas.openxmlformats.org/officeDocument/2006/relationships/hyperlink" Target="https://doi.org/10.37787/m0t1z133" TargetMode="External"/><Relationship Id="rId35" Type="http://schemas.openxmlformats.org/officeDocument/2006/relationships/hyperlink" Target="https://revistas.cientifica.edu.pe/index.php/desdeelsur/article/view/597/639" TargetMode="External"/><Relationship Id="rId43" Type="http://schemas.openxmlformats.org/officeDocument/2006/relationships/hyperlink" Target="https://doi.org/10.55560/ARETE.2022.15.8.2" TargetMode="External"/><Relationship Id="rId48" Type="http://schemas.openxmlformats.org/officeDocument/2006/relationships/hyperlink" Target="https://doi.org/10.37811/cl_rcm.v5i2.333" TargetMode="External"/><Relationship Id="rId56" Type="http://schemas.openxmlformats.org/officeDocument/2006/relationships/hyperlink" Target="https://mendive.upr.edu.cu/index.php/MendiveUPR/article/view/3012" TargetMode="External"/><Relationship Id="rId64" Type="http://schemas.openxmlformats.org/officeDocument/2006/relationships/hyperlink" Target="https://doi.org/10.1108/BPMJ-11-2020-0508" TargetMode="External"/><Relationship Id="rId69" Type="http://schemas.openxmlformats.org/officeDocument/2006/relationships/hyperlink" Target="https://doi.org/10.36106/ijar/5213320" TargetMode="External"/><Relationship Id="rId77" Type="http://schemas.openxmlformats.org/officeDocument/2006/relationships/footer" Target="footer1.xml"/><Relationship Id="rId8" Type="http://schemas.openxmlformats.org/officeDocument/2006/relationships/hyperlink" Target="mailto:dbalta@ucvvirtual.edu.pe" TargetMode="External"/><Relationship Id="rId51" Type="http://schemas.openxmlformats.org/officeDocument/2006/relationships/hyperlink" Target="https://doi.org/10.35290/rcui.v10n3.2023.893" TargetMode="External"/><Relationship Id="rId72" Type="http://schemas.openxmlformats.org/officeDocument/2006/relationships/hyperlink" Target="https://doi.org/10.3390/su13094954" TargetMode="External"/><Relationship Id="rId80"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mailto:dbalta@ucvvirtual.edu.pe" TargetMode="External"/><Relationship Id="rId17" Type="http://schemas.openxmlformats.org/officeDocument/2006/relationships/hyperlink" Target="https://doi.org/10.59427/rcli/2024/v24cs.100-107" TargetMode="External"/><Relationship Id="rId25" Type="http://schemas.openxmlformats.org/officeDocument/2006/relationships/hyperlink" Target="https://doi.org/10.35362/rie8814779" TargetMode="External"/><Relationship Id="rId33" Type="http://schemas.openxmlformats.org/officeDocument/2006/relationships/hyperlink" Target="https://acortar.link/4gly8H" TargetMode="External"/><Relationship Id="rId38" Type="http://schemas.openxmlformats.org/officeDocument/2006/relationships/hyperlink" Target="https://karuspace.karu.ac.ke/handle/20.500.12092/3004" TargetMode="External"/><Relationship Id="rId46" Type="http://schemas.openxmlformats.org/officeDocument/2006/relationships/hyperlink" Target="https://doi.org/10.23887/ijee.v6i2.46019" TargetMode="External"/><Relationship Id="rId59" Type="http://schemas.openxmlformats.org/officeDocument/2006/relationships/hyperlink" Target="http://dx.doi.org/10.35434/rcmhnaaa.2021.141.906" TargetMode="External"/><Relationship Id="rId67" Type="http://schemas.openxmlformats.org/officeDocument/2006/relationships/hyperlink" Target="http://www.pcm.gob.pe/wpcontent/uploads/2013/05/PNMGP.pdf" TargetMode="External"/><Relationship Id="rId20" Type="http://schemas.openxmlformats.org/officeDocument/2006/relationships/hyperlink" Target="https://doi.org/10.17163/ret.n24.2022.05" TargetMode="External"/><Relationship Id="rId41" Type="http://schemas.openxmlformats.org/officeDocument/2006/relationships/hyperlink" Target="https://doi.org/10.37135/chk.002.16.11" TargetMode="External"/><Relationship Id="rId54" Type="http://schemas.openxmlformats.org/officeDocument/2006/relationships/hyperlink" Target="http://www.ems.sld.cu/index.php/ems/article/view/2268/1083" TargetMode="External"/><Relationship Id="rId62" Type="http://schemas.openxmlformats.org/officeDocument/2006/relationships/hyperlink" Target="https://doi.org/10.46652/runas.v6i11.263" TargetMode="External"/><Relationship Id="rId70" Type="http://schemas.openxmlformats.org/officeDocument/2006/relationships/hyperlink" Target="https://conrado.ucf.edu.cu/index.php/conrado/article/view/2380" TargetMode="External"/><Relationship Id="rId75" Type="http://schemas.openxmlformats.org/officeDocument/2006/relationships/hyperlink" Target="https://revistas.unesum.edu.ec/index.php/unesumciencias/article/view/568" TargetMode="Externa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image" Target="media/image1.png"/><Relationship Id="rId23" Type="http://schemas.openxmlformats.org/officeDocument/2006/relationships/hyperlink" Target="https://doi.org/10.4102/sajip.v47i0.1878" TargetMode="External"/><Relationship Id="rId28" Type="http://schemas.openxmlformats.org/officeDocument/2006/relationships/hyperlink" Target="https://doi.org/10.46642/efd.v27i288.3281" TargetMode="External"/><Relationship Id="rId36" Type="http://schemas.openxmlformats.org/officeDocument/2006/relationships/hyperlink" Target="https://doi.org/https://doi.org/10.37811/cl_rcm.v4i2.112p" TargetMode="External"/><Relationship Id="rId49" Type="http://schemas.openxmlformats.org/officeDocument/2006/relationships/hyperlink" Target="https://polodelconocimiento.com/ojs/index.php/es/article/view/8938/23374" TargetMode="External"/><Relationship Id="rId57" Type="http://schemas.openxmlformats.org/officeDocument/2006/relationships/hyperlink" Target="https://doi.org/10.4067/S0718-50062021000500107" TargetMode="External"/><Relationship Id="rId10" Type="http://schemas.openxmlformats.org/officeDocument/2006/relationships/hyperlink" Target="mailto:piero.sagastegui@edu.uah.es" TargetMode="External"/><Relationship Id="rId31" Type="http://schemas.openxmlformats.org/officeDocument/2006/relationships/hyperlink" Target="https://comunidades.cepal.org/ilpes/es/grupos/discusion/participacionciudadana-en-la-gestion-institucional" TargetMode="External"/><Relationship Id="rId44" Type="http://schemas.openxmlformats.org/officeDocument/2006/relationships/hyperlink" Target="https://acortar.link/uDV1YZ" TargetMode="External"/><Relationship Id="rId52" Type="http://schemas.openxmlformats.org/officeDocument/2006/relationships/hyperlink" Target="https://idicap.com/ojs/index.php/ogmios/article/view/199" TargetMode="External"/><Relationship Id="rId60" Type="http://schemas.openxmlformats.org/officeDocument/2006/relationships/hyperlink" Target="http://scielo.sld.cu/scielo.php?script=sci_arttext&amp;pid=S241199702021000300107" TargetMode="External"/><Relationship Id="rId65" Type="http://schemas.openxmlformats.org/officeDocument/2006/relationships/hyperlink" Target="http://www.scielo.org.bo/scielo.php?pid=S261679642022000401627&amp;script=sci_abstract&amp;tlng=en" TargetMode="External"/><Relationship Id="rId73" Type="http://schemas.openxmlformats.org/officeDocument/2006/relationships/hyperlink" Target="http://hdl.handle.net/10654/37703" TargetMode="External"/><Relationship Id="rId78"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s://orcid.org/0009-0007-0709-0415" TargetMode="External"/><Relationship Id="rId13" Type="http://schemas.openxmlformats.org/officeDocument/2006/relationships/hyperlink" Target="https://orcid.org/0009-0007-0709-0415" TargetMode="External"/><Relationship Id="rId18" Type="http://schemas.openxmlformats.org/officeDocument/2006/relationships/hyperlink" Target="https://dx.doi.org/10.15517/aie.v23i1.51570" TargetMode="External"/><Relationship Id="rId39" Type="http://schemas.openxmlformats.org/officeDocument/2006/relationships/hyperlink" Target="https://doi.org/10.37134/mrj.vol13.2.5.2024" TargetMode="External"/><Relationship Id="rId34" Type="http://schemas.openxmlformats.org/officeDocument/2006/relationships/hyperlink" Target="https://doi.org/10.37811/cl_rcm.v5i4.755" TargetMode="External"/><Relationship Id="rId50" Type="http://schemas.openxmlformats.org/officeDocument/2006/relationships/hyperlink" Target="https://doi.org/10.17993/3cemp.2021.specialissue1" TargetMode="External"/><Relationship Id="rId55" Type="http://schemas.openxmlformats.org/officeDocument/2006/relationships/hyperlink" Target="https://idicap.com/ojs/index.php/ogmios/article/view/199" TargetMode="External"/><Relationship Id="rId76" Type="http://schemas.openxmlformats.org/officeDocument/2006/relationships/hyperlink" Target="https://doi.org/10.33595/2226-1478.12.1.489" TargetMode="External"/><Relationship Id="rId7" Type="http://schemas.openxmlformats.org/officeDocument/2006/relationships/hyperlink" Target="https://orcid.org/0000-0002-1413-0653" TargetMode="External"/><Relationship Id="rId71" Type="http://schemas.openxmlformats.org/officeDocument/2006/relationships/hyperlink" Target="https://doi.org/10.59748/ot.v7i14.134" TargetMode="External"/><Relationship Id="rId2" Type="http://schemas.openxmlformats.org/officeDocument/2006/relationships/styles" Target="styles.xml"/><Relationship Id="rId29" Type="http://schemas.openxmlformats.org/officeDocument/2006/relationships/hyperlink" Target="https://doi.org/10.4995/redu.2020.12878"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nna\Desktop\TRABAJOS%20CON%20OTR@S\ART&#205;CULOS%20INVECOM\varios\PLANTILLA%20R.INVECOM%20VOL%206%20NUM%201.dot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6CB78B-56E3-4377-917D-471C3C1AA8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PLANTILLA R.INVECOM VOL 6 NUM 1</Template>
  <TotalTime>532</TotalTime>
  <Pages>9</Pages>
  <Words>6062</Words>
  <Characters>34554</Characters>
  <Application>Microsoft Office Word</Application>
  <DocSecurity>0</DocSecurity>
  <Lines>287</Lines>
  <Paragraphs>81</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40535</CharactersWithSpaces>
  <SharedDoc>false</SharedDoc>
  <HLinks>
    <vt:vector size="72" baseType="variant">
      <vt:variant>
        <vt:i4>1376294</vt:i4>
      </vt:variant>
      <vt:variant>
        <vt:i4>33</vt:i4>
      </vt:variant>
      <vt:variant>
        <vt:i4>0</vt:i4>
      </vt:variant>
      <vt:variant>
        <vt:i4>5</vt:i4>
      </vt:variant>
      <vt:variant>
        <vt:lpwstr>mailto:corredelautorejemplo@ejemplo.com</vt:lpwstr>
      </vt:variant>
      <vt:variant>
        <vt:lpwstr/>
      </vt:variant>
      <vt:variant>
        <vt:i4>6291510</vt:i4>
      </vt:variant>
      <vt:variant>
        <vt:i4>30</vt:i4>
      </vt:variant>
      <vt:variant>
        <vt:i4>0</vt:i4>
      </vt:variant>
      <vt:variant>
        <vt:i4>5</vt:i4>
      </vt:variant>
      <vt:variant>
        <vt:lpwstr>https://orcid.ejemplo/1231251204123123</vt:lpwstr>
      </vt:variant>
      <vt:variant>
        <vt:lpwstr/>
      </vt:variant>
      <vt:variant>
        <vt:i4>1376294</vt:i4>
      </vt:variant>
      <vt:variant>
        <vt:i4>27</vt:i4>
      </vt:variant>
      <vt:variant>
        <vt:i4>0</vt:i4>
      </vt:variant>
      <vt:variant>
        <vt:i4>5</vt:i4>
      </vt:variant>
      <vt:variant>
        <vt:lpwstr>mailto:corredelautorejemplo@ejemplo.com</vt:lpwstr>
      </vt:variant>
      <vt:variant>
        <vt:lpwstr/>
      </vt:variant>
      <vt:variant>
        <vt:i4>6291510</vt:i4>
      </vt:variant>
      <vt:variant>
        <vt:i4>24</vt:i4>
      </vt:variant>
      <vt:variant>
        <vt:i4>0</vt:i4>
      </vt:variant>
      <vt:variant>
        <vt:i4>5</vt:i4>
      </vt:variant>
      <vt:variant>
        <vt:lpwstr>https://orcid.ejemplo/1231251204123123</vt:lpwstr>
      </vt:variant>
      <vt:variant>
        <vt:lpwstr/>
      </vt:variant>
      <vt:variant>
        <vt:i4>1376294</vt:i4>
      </vt:variant>
      <vt:variant>
        <vt:i4>21</vt:i4>
      </vt:variant>
      <vt:variant>
        <vt:i4>0</vt:i4>
      </vt:variant>
      <vt:variant>
        <vt:i4>5</vt:i4>
      </vt:variant>
      <vt:variant>
        <vt:lpwstr>mailto:corredelautorejemplo@ejemplo.com</vt:lpwstr>
      </vt:variant>
      <vt:variant>
        <vt:lpwstr/>
      </vt:variant>
      <vt:variant>
        <vt:i4>6291510</vt:i4>
      </vt:variant>
      <vt:variant>
        <vt:i4>18</vt:i4>
      </vt:variant>
      <vt:variant>
        <vt:i4>0</vt:i4>
      </vt:variant>
      <vt:variant>
        <vt:i4>5</vt:i4>
      </vt:variant>
      <vt:variant>
        <vt:lpwstr>https://orcid.ejemplo/1231251204123123</vt:lpwstr>
      </vt:variant>
      <vt:variant>
        <vt:lpwstr/>
      </vt:variant>
      <vt:variant>
        <vt:i4>1376294</vt:i4>
      </vt:variant>
      <vt:variant>
        <vt:i4>15</vt:i4>
      </vt:variant>
      <vt:variant>
        <vt:i4>0</vt:i4>
      </vt:variant>
      <vt:variant>
        <vt:i4>5</vt:i4>
      </vt:variant>
      <vt:variant>
        <vt:lpwstr>mailto:corredelautorejemplo@ejemplo.com</vt:lpwstr>
      </vt:variant>
      <vt:variant>
        <vt:lpwstr/>
      </vt:variant>
      <vt:variant>
        <vt:i4>6291510</vt:i4>
      </vt:variant>
      <vt:variant>
        <vt:i4>12</vt:i4>
      </vt:variant>
      <vt:variant>
        <vt:i4>0</vt:i4>
      </vt:variant>
      <vt:variant>
        <vt:i4>5</vt:i4>
      </vt:variant>
      <vt:variant>
        <vt:lpwstr>https://orcid.ejemplo/1231251204123123</vt:lpwstr>
      </vt:variant>
      <vt:variant>
        <vt:lpwstr/>
      </vt:variant>
      <vt:variant>
        <vt:i4>1376294</vt:i4>
      </vt:variant>
      <vt:variant>
        <vt:i4>9</vt:i4>
      </vt:variant>
      <vt:variant>
        <vt:i4>0</vt:i4>
      </vt:variant>
      <vt:variant>
        <vt:i4>5</vt:i4>
      </vt:variant>
      <vt:variant>
        <vt:lpwstr>mailto:corredelautorejemplo@ejemplo.com</vt:lpwstr>
      </vt:variant>
      <vt:variant>
        <vt:lpwstr/>
      </vt:variant>
      <vt:variant>
        <vt:i4>6291510</vt:i4>
      </vt:variant>
      <vt:variant>
        <vt:i4>6</vt:i4>
      </vt:variant>
      <vt:variant>
        <vt:i4>0</vt:i4>
      </vt:variant>
      <vt:variant>
        <vt:i4>5</vt:i4>
      </vt:variant>
      <vt:variant>
        <vt:lpwstr>https://orcid.ejemplo/1231251204123123</vt:lpwstr>
      </vt:variant>
      <vt:variant>
        <vt:lpwstr/>
      </vt:variant>
      <vt:variant>
        <vt:i4>1376294</vt:i4>
      </vt:variant>
      <vt:variant>
        <vt:i4>3</vt:i4>
      </vt:variant>
      <vt:variant>
        <vt:i4>0</vt:i4>
      </vt:variant>
      <vt:variant>
        <vt:i4>5</vt:i4>
      </vt:variant>
      <vt:variant>
        <vt:lpwstr>mailto:corredelautorejemplo@ejemplo.com</vt:lpwstr>
      </vt:variant>
      <vt:variant>
        <vt:lpwstr/>
      </vt:variant>
      <vt:variant>
        <vt:i4>6291510</vt:i4>
      </vt:variant>
      <vt:variant>
        <vt:i4>0</vt:i4>
      </vt:variant>
      <vt:variant>
        <vt:i4>0</vt:i4>
      </vt:variant>
      <vt:variant>
        <vt:i4>5</vt:i4>
      </vt:variant>
      <vt:variant>
        <vt:lpwstr>https://orcid.ejemplo/1231251204123123</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cp:revision>
  <dcterms:created xsi:type="dcterms:W3CDTF">2025-06-10T02:28:00Z</dcterms:created>
  <dcterms:modified xsi:type="dcterms:W3CDTF">2025-06-11T05:32:00Z</dcterms:modified>
</cp:coreProperties>
</file>