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AA9AB" w14:textId="77777777" w:rsidR="00224FCF" w:rsidRPr="00224FCF" w:rsidRDefault="00224FCF" w:rsidP="00224FCF">
      <w:pPr>
        <w:spacing w:line="360" w:lineRule="auto"/>
        <w:jc w:val="center"/>
        <w:rPr>
          <w:rFonts w:ascii="Times New Roman" w:hAnsi="Times New Roman" w:cs="Times New Roman"/>
          <w:b/>
          <w:noProof/>
        </w:rPr>
      </w:pPr>
      <w:r w:rsidRPr="00224FCF">
        <w:rPr>
          <w:rFonts w:ascii="Times New Roman" w:hAnsi="Times New Roman" w:cs="Times New Roman"/>
          <w:b/>
        </w:rPr>
        <w:t>Supplementary Material</w:t>
      </w:r>
      <w:r w:rsidRPr="00224FCF">
        <w:rPr>
          <w:rFonts w:ascii="Times New Roman" w:hAnsi="Times New Roman" w:cs="Times New Roman"/>
          <w:b/>
          <w:noProof/>
        </w:rPr>
        <w:t xml:space="preserve"> </w:t>
      </w:r>
      <w:r>
        <w:rPr>
          <w:rFonts w:ascii="Times New Roman" w:hAnsi="Times New Roman" w:cs="Times New Roman"/>
          <w:b/>
          <w:noProof/>
        </w:rPr>
        <w:t>for</w:t>
      </w:r>
    </w:p>
    <w:p w14:paraId="13CBAB90" w14:textId="77777777" w:rsidR="00224FCF" w:rsidRPr="00224FCF" w:rsidRDefault="00224FCF" w:rsidP="00224FC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FCF">
        <w:rPr>
          <w:rFonts w:ascii="Times New Roman" w:hAnsi="Times New Roman" w:cs="Times New Roman"/>
          <w:b/>
          <w:color w:val="000000" w:themeColor="text1"/>
          <w:sz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Experimental Constraints on the Role of Carbonatitic Melts in Nb/Ta Fractionation at Subduction Zones</w:t>
      </w:r>
    </w:p>
    <w:p w14:paraId="07816DC3" w14:textId="77777777" w:rsidR="00224FCF" w:rsidRPr="00184A7A" w:rsidRDefault="00224FCF" w:rsidP="00224FCF">
      <w:pPr>
        <w:spacing w:line="360" w:lineRule="auto"/>
        <w:jc w:val="center"/>
        <w:rPr>
          <w:rFonts w:ascii="Times New Roman" w:eastAsia="宋体" w:hAnsi="Times New Roman" w:cs="Times New Roman"/>
          <w:b/>
          <w:sz w:val="20"/>
          <w:szCs w:val="24"/>
        </w:rPr>
      </w:pPr>
      <w:r w:rsidRPr="00184A7A">
        <w:rPr>
          <w:rFonts w:ascii="Times New Roman" w:eastAsia="宋体" w:hAnsi="Times New Roman" w:cs="Times New Roman"/>
          <w:b/>
          <w:sz w:val="20"/>
          <w:szCs w:val="24"/>
        </w:rPr>
        <w:t>Wei Chen</w:t>
      </w:r>
      <w:r w:rsidRPr="00184A7A">
        <w:rPr>
          <w:rFonts w:ascii="Times New Roman" w:eastAsia="宋体" w:hAnsi="Times New Roman" w:cs="Times New Roman"/>
          <w:b/>
          <w:sz w:val="20"/>
          <w:szCs w:val="24"/>
          <w:vertAlign w:val="superscript"/>
        </w:rPr>
        <w:t>1</w:t>
      </w:r>
      <w:r w:rsidRPr="00184A7A">
        <w:rPr>
          <w:rFonts w:ascii="Times New Roman" w:eastAsia="宋体" w:hAnsi="Times New Roman" w:cs="Times New Roman"/>
          <w:b/>
          <w:sz w:val="20"/>
          <w:szCs w:val="24"/>
        </w:rPr>
        <w:t>, Massimo Tiepolo</w:t>
      </w:r>
      <w:r w:rsidRPr="00184A7A">
        <w:rPr>
          <w:rFonts w:ascii="Times New Roman" w:eastAsia="宋体" w:hAnsi="Times New Roman" w:cs="Times New Roman"/>
          <w:b/>
          <w:sz w:val="20"/>
          <w:szCs w:val="24"/>
          <w:vertAlign w:val="superscript"/>
        </w:rPr>
        <w:t>2</w:t>
      </w:r>
      <w:r w:rsidRPr="00184A7A">
        <w:rPr>
          <w:rFonts w:ascii="Times New Roman" w:eastAsia="宋体" w:hAnsi="Times New Roman" w:cs="Times New Roman"/>
          <w:b/>
          <w:sz w:val="20"/>
          <w:szCs w:val="24"/>
        </w:rPr>
        <w:t>, Guoliang Zhang</w:t>
      </w:r>
      <w:proofErr w:type="gramStart"/>
      <w:r w:rsidRPr="00184A7A">
        <w:rPr>
          <w:rFonts w:ascii="Times New Roman" w:eastAsia="宋体" w:hAnsi="Times New Roman" w:cs="Times New Roman"/>
          <w:b/>
          <w:sz w:val="20"/>
          <w:szCs w:val="24"/>
          <w:vertAlign w:val="superscript"/>
        </w:rPr>
        <w:t>1,</w:t>
      </w:r>
      <w:r w:rsidRPr="00184A7A">
        <w:rPr>
          <w:rFonts w:ascii="Times New Roman" w:eastAsia="宋体" w:hAnsi="Times New Roman" w:cs="Times New Roman"/>
          <w:b/>
          <w:sz w:val="20"/>
          <w:szCs w:val="24"/>
        </w:rPr>
        <w:t>*</w:t>
      </w:r>
      <w:proofErr w:type="gramEnd"/>
    </w:p>
    <w:p w14:paraId="0B5C7908" w14:textId="77777777" w:rsidR="00224FCF" w:rsidRDefault="00224FCF" w:rsidP="00224FCF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0"/>
          <w:szCs w:val="24"/>
        </w:rPr>
        <w:t xml:space="preserve">School of Marine Sciences, Sun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Yat-sen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University, Zhuhai, China.</w:t>
      </w:r>
    </w:p>
    <w:p w14:paraId="759BDB4E" w14:textId="77777777" w:rsidR="00224FCF" w:rsidRDefault="00224FCF" w:rsidP="00224FCF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sz w:val="20"/>
          <w:szCs w:val="24"/>
        </w:rPr>
        <w:t xml:space="preserve">Dipartimento di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Scienze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della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Terra “A.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Desio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”,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Università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degli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4"/>
        </w:rPr>
        <w:t>Studi</w:t>
      </w:r>
      <w:proofErr w:type="spellEnd"/>
      <w:r>
        <w:rPr>
          <w:rFonts w:ascii="Times New Roman" w:eastAsia="宋体" w:hAnsi="Times New Roman" w:cs="Times New Roman"/>
          <w:sz w:val="20"/>
          <w:szCs w:val="24"/>
        </w:rPr>
        <w:t xml:space="preserve"> di Milano, Milano, Italy</w:t>
      </w:r>
    </w:p>
    <w:p w14:paraId="77393066" w14:textId="77777777" w:rsidR="00224FCF" w:rsidRDefault="00224FCF" w:rsidP="00224FCF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</w:rPr>
        <w:t>Corresponding author:</w:t>
      </w:r>
      <w:r>
        <w:t xml:space="preserve"> </w:t>
      </w:r>
      <w:r>
        <w:rPr>
          <w:rFonts w:ascii="Times New Roman" w:eastAsia="宋体" w:hAnsi="Times New Roman" w:cs="Times New Roman"/>
          <w:sz w:val="20"/>
          <w:szCs w:val="24"/>
        </w:rPr>
        <w:t>zhanggliang5@mail.sysu.edu.cn</w:t>
      </w:r>
    </w:p>
    <w:p w14:paraId="6802BD00" w14:textId="6AFC4F1B" w:rsidR="00641A70" w:rsidRDefault="00224FCF" w:rsidP="00224FCF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Content of this file</w:t>
      </w:r>
    </w:p>
    <w:p w14:paraId="032ACC58" w14:textId="77777777" w:rsidR="005E0A0B" w:rsidRDefault="00AC0518" w:rsidP="00224FCF">
      <w:pPr>
        <w:spacing w:line="360" w:lineRule="auto"/>
        <w:rPr>
          <w:rFonts w:ascii="Times New Roman" w:hAnsi="Times New Roman" w:cs="Times New Roman"/>
          <w:bCs/>
        </w:rPr>
      </w:pPr>
      <w:r w:rsidRPr="00AC0518">
        <w:rPr>
          <w:rFonts w:ascii="Times New Roman" w:hAnsi="Times New Roman" w:cs="Times New Roman"/>
          <w:bCs/>
        </w:rPr>
        <w:t xml:space="preserve">Figure S1. </w:t>
      </w:r>
      <w:proofErr w:type="spellStart"/>
      <w:r w:rsidR="005E0A0B" w:rsidRPr="005E0A0B">
        <w:rPr>
          <w:rFonts w:ascii="Times New Roman" w:hAnsi="Times New Roman" w:cs="Times New Roman"/>
          <w:bCs/>
        </w:rPr>
        <w:t>Comparsion</w:t>
      </w:r>
      <w:proofErr w:type="spellEnd"/>
      <w:r w:rsidR="005E0A0B" w:rsidRPr="005E0A0B">
        <w:rPr>
          <w:rFonts w:ascii="Times New Roman" w:hAnsi="Times New Roman" w:cs="Times New Roman"/>
          <w:bCs/>
        </w:rPr>
        <w:t xml:space="preserve"> of Raman spectra between representative synthesized TiO</w:t>
      </w:r>
      <w:r w:rsidR="005E0A0B" w:rsidRPr="005E0A0B">
        <w:rPr>
          <w:rFonts w:ascii="Times New Roman" w:hAnsi="Times New Roman" w:cs="Times New Roman"/>
          <w:bCs/>
          <w:vertAlign w:val="subscript"/>
        </w:rPr>
        <w:t>2</w:t>
      </w:r>
      <w:r w:rsidR="005E0A0B" w:rsidRPr="005E0A0B">
        <w:rPr>
          <w:rFonts w:ascii="Times New Roman" w:hAnsi="Times New Roman" w:cs="Times New Roman"/>
          <w:bCs/>
        </w:rPr>
        <w:t xml:space="preserve"> phases and rutile standard.</w:t>
      </w:r>
    </w:p>
    <w:p w14:paraId="4C19A442" w14:textId="15EEBF3A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</w:rPr>
        <w:t>Figure S</w:t>
      </w:r>
      <w:r w:rsidR="00AC0518">
        <w:rPr>
          <w:rFonts w:ascii="Times New Roman" w:eastAsia="宋体" w:hAnsi="Times New Roman" w:cs="Times New Roman"/>
          <w:sz w:val="20"/>
          <w:szCs w:val="24"/>
        </w:rPr>
        <w:t>2</w:t>
      </w:r>
      <w:r>
        <w:rPr>
          <w:rFonts w:ascii="Times New Roman" w:eastAsia="宋体" w:hAnsi="Times New Roman" w:cs="Times New Roman"/>
          <w:sz w:val="20"/>
          <w:szCs w:val="24"/>
        </w:rPr>
        <w:t>.</w:t>
      </w:r>
      <w:r w:rsidRPr="00224FCF">
        <w:t xml:space="preserve"> </w:t>
      </w:r>
      <w:r w:rsidRPr="00224FCF">
        <w:rPr>
          <w:rFonts w:ascii="Times New Roman" w:eastAsia="宋体" w:hAnsi="Times New Roman" w:cs="Times New Roman"/>
          <w:sz w:val="20"/>
          <w:szCs w:val="24"/>
        </w:rPr>
        <w:t>Frequency distribution of TiO</w:t>
      </w:r>
      <w:r w:rsidRPr="00313500">
        <w:rPr>
          <w:rFonts w:ascii="Times New Roman" w:eastAsia="宋体" w:hAnsi="Times New Roman" w:cs="Times New Roman"/>
          <w:sz w:val="20"/>
          <w:szCs w:val="24"/>
          <w:vertAlign w:val="subscript"/>
        </w:rPr>
        <w:t>2</w:t>
      </w:r>
      <w:r w:rsidRPr="00224FCF">
        <w:rPr>
          <w:rFonts w:ascii="Times New Roman" w:eastAsia="宋体" w:hAnsi="Times New Roman" w:cs="Times New Roman"/>
          <w:sz w:val="20"/>
          <w:szCs w:val="24"/>
        </w:rPr>
        <w:t xml:space="preserve"> for global MORB and ocean sediment.</w:t>
      </w:r>
    </w:p>
    <w:p w14:paraId="0EBF4A1A" w14:textId="1333055C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</w:rPr>
        <w:t>Figure S</w:t>
      </w:r>
      <w:r w:rsidR="00AC0518">
        <w:rPr>
          <w:rFonts w:ascii="Times New Roman" w:eastAsia="宋体" w:hAnsi="Times New Roman" w:cs="Times New Roman"/>
          <w:sz w:val="20"/>
          <w:szCs w:val="24"/>
        </w:rPr>
        <w:t>3</w:t>
      </w:r>
      <w:r>
        <w:rPr>
          <w:rFonts w:ascii="Times New Roman" w:eastAsia="宋体" w:hAnsi="Times New Roman" w:cs="Times New Roman"/>
          <w:sz w:val="20"/>
          <w:szCs w:val="24"/>
        </w:rPr>
        <w:t xml:space="preserve">. Nb </w:t>
      </w:r>
      <w:r>
        <w:rPr>
          <w:rFonts w:ascii="Times New Roman" w:eastAsia="宋体" w:hAnsi="Times New Roman" w:cs="Times New Roman" w:hint="eastAsia"/>
          <w:sz w:val="20"/>
          <w:szCs w:val="24"/>
        </w:rPr>
        <w:t>and</w:t>
      </w:r>
      <w:r>
        <w:rPr>
          <w:rFonts w:ascii="Times New Roman" w:eastAsia="宋体" w:hAnsi="Times New Roman" w:cs="Times New Roman"/>
          <w:sz w:val="20"/>
          <w:szCs w:val="24"/>
        </w:rPr>
        <w:t xml:space="preserve"> T</w:t>
      </w:r>
      <w:r>
        <w:rPr>
          <w:rFonts w:ascii="Times New Roman" w:eastAsia="宋体" w:hAnsi="Times New Roman" w:cs="Times New Roman" w:hint="eastAsia"/>
          <w:sz w:val="20"/>
          <w:szCs w:val="24"/>
        </w:rPr>
        <w:t>a</w:t>
      </w:r>
      <w:r>
        <w:rPr>
          <w:rFonts w:ascii="Times New Roman" w:eastAsia="宋体" w:hAnsi="Times New Roman" w:cs="Times New Roman"/>
          <w:sz w:val="20"/>
          <w:szCs w:val="24"/>
        </w:rPr>
        <w:t xml:space="preserve"> partition coefficients between rutile-bearing eclogite and saline aqueous fluid and their ratios.</w:t>
      </w:r>
    </w:p>
    <w:p w14:paraId="5B8A7DEB" w14:textId="77777777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</w:rPr>
        <w:t xml:space="preserve">Table S1. </w:t>
      </w:r>
      <w:r w:rsidRPr="00224FCF">
        <w:rPr>
          <w:rFonts w:ascii="Times New Roman" w:eastAsia="宋体" w:hAnsi="Times New Roman" w:cs="Times New Roman"/>
          <w:sz w:val="20"/>
          <w:szCs w:val="24"/>
        </w:rPr>
        <w:t>Composition of starting material</w:t>
      </w:r>
    </w:p>
    <w:p w14:paraId="6B0D7C3B" w14:textId="77777777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 w:rsidRPr="00224FCF">
        <w:rPr>
          <w:rFonts w:ascii="Times New Roman" w:eastAsia="宋体" w:hAnsi="Times New Roman" w:cs="Times New Roman"/>
          <w:sz w:val="20"/>
          <w:szCs w:val="24"/>
        </w:rPr>
        <w:t>Table S2. Major and minor element compositions of experimental phases</w:t>
      </w:r>
    </w:p>
    <w:p w14:paraId="7F63D7CB" w14:textId="77777777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 w:rsidRPr="00224FCF">
        <w:rPr>
          <w:rFonts w:ascii="Times New Roman" w:eastAsia="宋体" w:hAnsi="Times New Roman" w:cs="Times New Roman"/>
          <w:sz w:val="20"/>
          <w:szCs w:val="24"/>
        </w:rPr>
        <w:t xml:space="preserve">Table S3. Nb and Ta partition coefficients between rutile and perovskite and carbonatitic melt </w:t>
      </w:r>
    </w:p>
    <w:p w14:paraId="345A8A65" w14:textId="77777777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 w:rsidRPr="00224FCF">
        <w:rPr>
          <w:rFonts w:ascii="Times New Roman" w:eastAsia="宋体" w:hAnsi="Times New Roman" w:cs="Times New Roman"/>
          <w:sz w:val="20"/>
          <w:szCs w:val="24"/>
        </w:rPr>
        <w:t>Table S4. Calculated Nb and Ta concentration in carbonatitic melt and residual eclogite for carbonated basalts using newly obtained partition coefficients of Nb and Ta</w:t>
      </w:r>
    </w:p>
    <w:p w14:paraId="107C2414" w14:textId="77777777" w:rsidR="00224FCF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 w:rsidRPr="00224FCF">
        <w:rPr>
          <w:rFonts w:ascii="Times New Roman" w:eastAsia="宋体" w:hAnsi="Times New Roman" w:cs="Times New Roman"/>
          <w:sz w:val="20"/>
          <w:szCs w:val="24"/>
        </w:rPr>
        <w:t>Table S5. Calculated Nb and Ta concentration in carbonatitic melt and residual eclogite for carbonated sediments using newly obtained partition coefficients of Nb and Ta</w:t>
      </w:r>
    </w:p>
    <w:p w14:paraId="0580CF83" w14:textId="55298BB9" w:rsidR="0088714E" w:rsidRDefault="00224FCF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 w:rsidRPr="00224FCF">
        <w:rPr>
          <w:rFonts w:ascii="Times New Roman" w:eastAsia="宋体" w:hAnsi="Times New Roman" w:cs="Times New Roman"/>
          <w:sz w:val="20"/>
          <w:szCs w:val="24"/>
        </w:rPr>
        <w:t>Table S6.</w:t>
      </w:r>
      <w:r w:rsidR="0088714E" w:rsidRPr="0088714E">
        <w:t xml:space="preserve"> </w:t>
      </w:r>
      <w:r w:rsidR="0088714E" w:rsidRPr="0088714E">
        <w:rPr>
          <w:rFonts w:ascii="Times New Roman" w:eastAsia="宋体" w:hAnsi="Times New Roman" w:cs="Times New Roman"/>
          <w:sz w:val="20"/>
          <w:szCs w:val="24"/>
        </w:rPr>
        <w:t>The calculated Nb and Ta characteristics of carbonatites that have mantle sources metasomatized by slab</w:t>
      </w:r>
      <w:r w:rsidR="008F25A3">
        <w:rPr>
          <w:rFonts w:ascii="Times New Roman" w:eastAsia="宋体" w:hAnsi="Times New Roman" w:cs="Times New Roman"/>
          <w:sz w:val="20"/>
          <w:szCs w:val="24"/>
        </w:rPr>
        <w:t>-derived</w:t>
      </w:r>
      <w:r w:rsidR="0088714E" w:rsidRPr="0088714E">
        <w:rPr>
          <w:rFonts w:ascii="Times New Roman" w:eastAsia="宋体" w:hAnsi="Times New Roman" w:cs="Times New Roman"/>
          <w:sz w:val="20"/>
          <w:szCs w:val="24"/>
        </w:rPr>
        <w:t xml:space="preserve"> carbonatitic melts</w:t>
      </w:r>
    </w:p>
    <w:p w14:paraId="39A58991" w14:textId="58D01E34" w:rsidR="00820388" w:rsidRDefault="00820388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  <w:r>
        <w:rPr>
          <w:rFonts w:ascii="Times New Roman" w:eastAsia="宋体" w:hAnsi="Times New Roman" w:cs="Times New Roman"/>
          <w:sz w:val="20"/>
          <w:szCs w:val="24"/>
        </w:rPr>
        <w:t xml:space="preserve">Notes: all supplementary Tables have been uploaded as a separate file. </w:t>
      </w:r>
    </w:p>
    <w:p w14:paraId="4042F001" w14:textId="43099F43" w:rsidR="002761F2" w:rsidRPr="00636AB5" w:rsidRDefault="00636AB5" w:rsidP="00636AB5">
      <w:pPr>
        <w:spacing w:line="360" w:lineRule="auto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B886C40" wp14:editId="4F49F278">
            <wp:simplePos x="0" y="0"/>
            <wp:positionH relativeFrom="margin">
              <wp:posOffset>1536065</wp:posOffset>
            </wp:positionH>
            <wp:positionV relativeFrom="paragraph">
              <wp:posOffset>0</wp:posOffset>
            </wp:positionV>
            <wp:extent cx="2154555" cy="287210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8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OLE_LINK2"/>
      <w:r w:rsidR="002761F2" w:rsidRPr="00E61AE0">
        <w:rPr>
          <w:rFonts w:ascii="Times New Roman" w:hAnsi="Times New Roman" w:cs="Times New Roman"/>
          <w:b/>
        </w:rPr>
        <w:t>F</w:t>
      </w:r>
      <w:r w:rsidR="002761F2" w:rsidRPr="00E61AE0">
        <w:rPr>
          <w:rFonts w:ascii="Times New Roman" w:hAnsi="Times New Roman" w:cs="Times New Roman" w:hint="eastAsia"/>
          <w:b/>
        </w:rPr>
        <w:t>igure</w:t>
      </w:r>
      <w:r w:rsidR="002761F2" w:rsidRPr="00E61AE0">
        <w:rPr>
          <w:rFonts w:ascii="Times New Roman" w:hAnsi="Times New Roman" w:cs="Times New Roman"/>
          <w:b/>
        </w:rPr>
        <w:t xml:space="preserve"> S</w:t>
      </w:r>
      <w:r w:rsidR="002761F2">
        <w:rPr>
          <w:rFonts w:ascii="Times New Roman" w:hAnsi="Times New Roman" w:cs="Times New Roman"/>
          <w:b/>
        </w:rPr>
        <w:t>1</w:t>
      </w:r>
      <w:r w:rsidR="002761F2" w:rsidRPr="00E61AE0">
        <w:rPr>
          <w:rFonts w:ascii="Times New Roman" w:hAnsi="Times New Roman" w:cs="Times New Roman"/>
          <w:b/>
        </w:rPr>
        <w:t>.</w:t>
      </w:r>
      <w:r w:rsidRPr="00CE095A">
        <w:rPr>
          <w:rFonts w:ascii="Times New Roman" w:hAnsi="Times New Roman" w:cs="Times New Roman"/>
          <w:b/>
        </w:rPr>
        <w:t xml:space="preserve"> </w:t>
      </w:r>
      <w:bookmarkStart w:id="1" w:name="OLE_LINK30"/>
      <w:proofErr w:type="spellStart"/>
      <w:r w:rsidR="00CE095A" w:rsidRPr="00CE095A">
        <w:rPr>
          <w:rFonts w:ascii="Times New Roman" w:hAnsi="Times New Roman" w:cs="Times New Roman"/>
          <w:b/>
        </w:rPr>
        <w:t>Comparsion</w:t>
      </w:r>
      <w:proofErr w:type="spellEnd"/>
      <w:r w:rsidR="00CE095A" w:rsidRPr="00CE095A">
        <w:rPr>
          <w:rFonts w:ascii="Times New Roman" w:hAnsi="Times New Roman" w:cs="Times New Roman"/>
          <w:b/>
        </w:rPr>
        <w:t xml:space="preserve"> of </w:t>
      </w:r>
      <w:r w:rsidRPr="00636AB5">
        <w:rPr>
          <w:rFonts w:ascii="Times New Roman" w:hAnsi="Times New Roman" w:cs="Times New Roman"/>
          <w:b/>
        </w:rPr>
        <w:t xml:space="preserve">Raman spectra </w:t>
      </w:r>
      <w:r w:rsidR="00CE095A">
        <w:rPr>
          <w:rFonts w:ascii="Times New Roman" w:hAnsi="Times New Roman" w:cs="Times New Roman"/>
          <w:b/>
        </w:rPr>
        <w:t>between r</w:t>
      </w:r>
      <w:r w:rsidR="00CE095A" w:rsidRPr="00636AB5">
        <w:rPr>
          <w:rFonts w:ascii="Times New Roman" w:hAnsi="Times New Roman" w:cs="Times New Roman"/>
          <w:b/>
        </w:rPr>
        <w:t>epresentative synthesized</w:t>
      </w:r>
      <w:r w:rsidR="00CE095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>i</w:t>
      </w:r>
      <w:r>
        <w:rPr>
          <w:rFonts w:ascii="Times New Roman" w:hAnsi="Times New Roman" w:cs="Times New Roman"/>
          <w:b/>
        </w:rPr>
        <w:t>O</w:t>
      </w:r>
      <w:r w:rsidRPr="00636AB5">
        <w:rPr>
          <w:rFonts w:ascii="Times New Roman" w:hAnsi="Times New Roman" w:cs="Times New Roman"/>
          <w:b/>
          <w:vertAlign w:val="subscript"/>
        </w:rPr>
        <w:t>2</w:t>
      </w:r>
      <w:r w:rsidR="00C21CE6">
        <w:rPr>
          <w:rFonts w:ascii="Times New Roman" w:hAnsi="Times New Roman" w:cs="Times New Roman"/>
          <w:b/>
          <w:vertAlign w:val="subscript"/>
        </w:rPr>
        <w:t xml:space="preserve"> </w:t>
      </w:r>
      <w:r>
        <w:rPr>
          <w:rFonts w:ascii="Times New Roman" w:hAnsi="Times New Roman" w:cs="Times New Roman" w:hint="eastAsia"/>
          <w:b/>
        </w:rPr>
        <w:t>pha</w:t>
      </w:r>
      <w:r>
        <w:rPr>
          <w:rFonts w:ascii="Times New Roman" w:hAnsi="Times New Roman" w:cs="Times New Roman"/>
          <w:b/>
        </w:rPr>
        <w:t>se</w:t>
      </w:r>
      <w:r w:rsidR="00C21CE6">
        <w:rPr>
          <w:rFonts w:ascii="Times New Roman" w:hAnsi="Times New Roman" w:cs="Times New Roman" w:hint="eastAsia"/>
          <w:b/>
        </w:rPr>
        <w:t>s</w:t>
      </w:r>
      <w:bookmarkStart w:id="2" w:name="OLE_LINK3"/>
      <w:r>
        <w:rPr>
          <w:rFonts w:ascii="Times New Roman" w:hAnsi="Times New Roman" w:cs="Times New Roman"/>
          <w:b/>
        </w:rPr>
        <w:t xml:space="preserve"> </w:t>
      </w:r>
      <w:r w:rsidR="00CE095A">
        <w:rPr>
          <w:rFonts w:ascii="Times New Roman" w:hAnsi="Times New Roman" w:cs="Times New Roman"/>
          <w:b/>
        </w:rPr>
        <w:t>and rutile standard</w:t>
      </w:r>
      <w:bookmarkEnd w:id="2"/>
      <w:r w:rsidRPr="00636AB5">
        <w:rPr>
          <w:rFonts w:ascii="Times New Roman" w:hAnsi="Times New Roman" w:cs="Times New Roman"/>
          <w:b/>
        </w:rPr>
        <w:t>.</w:t>
      </w:r>
      <w:bookmarkEnd w:id="1"/>
      <w:r w:rsidRPr="00636AB5">
        <w:t xml:space="preserve"> </w:t>
      </w:r>
      <w:bookmarkEnd w:id="0"/>
      <w:r w:rsidRPr="00636AB5">
        <w:rPr>
          <w:rFonts w:ascii="Times New Roman" w:hAnsi="Times New Roman" w:cs="Times New Roman"/>
          <w:bCs/>
        </w:rPr>
        <w:t xml:space="preserve">The Raman spectrum of </w:t>
      </w:r>
      <w:r w:rsidR="003D709E">
        <w:rPr>
          <w:rFonts w:ascii="Times New Roman" w:hAnsi="Times New Roman" w:cs="Times New Roman"/>
          <w:bCs/>
        </w:rPr>
        <w:t xml:space="preserve">rutile standard </w:t>
      </w:r>
      <w:r w:rsidRPr="00636AB5">
        <w:rPr>
          <w:rFonts w:ascii="Times New Roman" w:hAnsi="Times New Roman" w:cs="Times New Roman"/>
          <w:bCs/>
        </w:rPr>
        <w:t>is selected from the RRUFF database</w:t>
      </w:r>
      <w:r w:rsidR="003D709E">
        <w:rPr>
          <w:rFonts w:ascii="Times New Roman" w:hAnsi="Times New Roman" w:cs="Times New Roman"/>
          <w:bCs/>
        </w:rPr>
        <w:t xml:space="preserve"> (</w:t>
      </w:r>
      <w:hyperlink r:id="rId7" w:history="1">
        <w:r w:rsidR="003D709E" w:rsidRPr="000259E5">
          <w:rPr>
            <w:rStyle w:val="a9"/>
            <w:rFonts w:ascii="Times New Roman" w:hAnsi="Times New Roman" w:cs="Times New Roman"/>
            <w:bCs/>
          </w:rPr>
          <w:t>https://rruff.info/</w:t>
        </w:r>
      </w:hyperlink>
      <w:r w:rsidR="003D709E">
        <w:rPr>
          <w:rFonts w:ascii="Times New Roman" w:hAnsi="Times New Roman" w:cs="Times New Roman"/>
          <w:bCs/>
        </w:rPr>
        <w:t xml:space="preserve">) with sample of </w:t>
      </w:r>
      <w:r w:rsidR="003D709E" w:rsidRPr="003D709E">
        <w:rPr>
          <w:rFonts w:ascii="Times New Roman" w:hAnsi="Times New Roman" w:cs="Times New Roman"/>
          <w:bCs/>
        </w:rPr>
        <w:t>R050417</w:t>
      </w:r>
      <w:r w:rsidR="003D709E">
        <w:rPr>
          <w:rFonts w:ascii="Times New Roman" w:hAnsi="Times New Roman" w:cs="Times New Roman"/>
          <w:bCs/>
        </w:rPr>
        <w:t>.</w:t>
      </w:r>
      <w:r w:rsidR="00E126D4">
        <w:rPr>
          <w:rFonts w:ascii="Times New Roman" w:hAnsi="Times New Roman" w:cs="Times New Roman"/>
          <w:bCs/>
        </w:rPr>
        <w:t xml:space="preserve"> </w:t>
      </w:r>
      <w:r w:rsidR="00E126D4" w:rsidRPr="00E126D4">
        <w:rPr>
          <w:rFonts w:ascii="Times New Roman" w:hAnsi="Times New Roman" w:cs="Times New Roman"/>
          <w:bCs/>
        </w:rPr>
        <w:t xml:space="preserve">Raman spectra of all </w:t>
      </w:r>
      <w:r w:rsidR="009E15A6" w:rsidRPr="009E15A6">
        <w:rPr>
          <w:rFonts w:ascii="Times New Roman" w:hAnsi="Times New Roman" w:cs="Times New Roman"/>
          <w:bCs/>
        </w:rPr>
        <w:t xml:space="preserve">synthesized </w:t>
      </w:r>
      <w:bookmarkStart w:id="3" w:name="OLE_LINK1"/>
      <w:r w:rsidR="009E15A6" w:rsidRPr="009E15A6">
        <w:rPr>
          <w:rFonts w:ascii="Times New Roman" w:hAnsi="Times New Roman" w:cs="Times New Roman"/>
          <w:bCs/>
        </w:rPr>
        <w:t>T</w:t>
      </w:r>
      <w:r w:rsidR="009E15A6" w:rsidRPr="009E15A6">
        <w:rPr>
          <w:rFonts w:ascii="Times New Roman" w:hAnsi="Times New Roman" w:cs="Times New Roman" w:hint="eastAsia"/>
          <w:bCs/>
        </w:rPr>
        <w:t>i</w:t>
      </w:r>
      <w:r w:rsidR="009E15A6" w:rsidRPr="009E15A6">
        <w:rPr>
          <w:rFonts w:ascii="Times New Roman" w:hAnsi="Times New Roman" w:cs="Times New Roman"/>
          <w:bCs/>
        </w:rPr>
        <w:t>O</w:t>
      </w:r>
      <w:r w:rsidR="009E15A6" w:rsidRPr="009E15A6">
        <w:rPr>
          <w:rFonts w:ascii="Times New Roman" w:hAnsi="Times New Roman" w:cs="Times New Roman"/>
          <w:bCs/>
          <w:vertAlign w:val="subscript"/>
        </w:rPr>
        <w:t>2</w:t>
      </w:r>
      <w:r w:rsidR="00AE6154">
        <w:rPr>
          <w:rFonts w:ascii="Times New Roman" w:hAnsi="Times New Roman" w:cs="Times New Roman"/>
          <w:bCs/>
        </w:rPr>
        <w:t xml:space="preserve"> </w:t>
      </w:r>
      <w:r w:rsidR="009E15A6" w:rsidRPr="009E15A6">
        <w:rPr>
          <w:rFonts w:ascii="Times New Roman" w:hAnsi="Times New Roman" w:cs="Times New Roman" w:hint="eastAsia"/>
          <w:bCs/>
        </w:rPr>
        <w:t>pha</w:t>
      </w:r>
      <w:r w:rsidR="009E15A6" w:rsidRPr="009E15A6">
        <w:rPr>
          <w:rFonts w:ascii="Times New Roman" w:hAnsi="Times New Roman" w:cs="Times New Roman"/>
          <w:bCs/>
        </w:rPr>
        <w:t>se</w:t>
      </w:r>
      <w:r w:rsidR="009E15A6">
        <w:rPr>
          <w:rFonts w:ascii="Times New Roman" w:hAnsi="Times New Roman" w:cs="Times New Roman"/>
          <w:bCs/>
        </w:rPr>
        <w:t>s</w:t>
      </w:r>
      <w:bookmarkEnd w:id="3"/>
      <w:r w:rsidR="009E15A6">
        <w:rPr>
          <w:rFonts w:ascii="Times New Roman" w:hAnsi="Times New Roman" w:cs="Times New Roman"/>
          <w:bCs/>
        </w:rPr>
        <w:t xml:space="preserve"> </w:t>
      </w:r>
      <w:r w:rsidR="00E126D4" w:rsidRPr="00E126D4">
        <w:rPr>
          <w:rFonts w:ascii="Times New Roman" w:hAnsi="Times New Roman" w:cs="Times New Roman"/>
          <w:bCs/>
        </w:rPr>
        <w:t xml:space="preserve">as well as a standard </w:t>
      </w:r>
      <w:r w:rsidR="009E15A6">
        <w:rPr>
          <w:rFonts w:ascii="Times New Roman" w:hAnsi="Times New Roman" w:cs="Times New Roman"/>
          <w:bCs/>
        </w:rPr>
        <w:t xml:space="preserve">rutile </w:t>
      </w:r>
      <w:r w:rsidR="00E126D4" w:rsidRPr="00E126D4">
        <w:rPr>
          <w:rFonts w:ascii="Times New Roman" w:hAnsi="Times New Roman" w:cs="Times New Roman"/>
          <w:bCs/>
        </w:rPr>
        <w:t xml:space="preserve">sample, all of which coincide in the peak positions. It suggests that all the </w:t>
      </w:r>
      <w:r w:rsidR="009E15A6" w:rsidRPr="009E15A6">
        <w:rPr>
          <w:rFonts w:ascii="Times New Roman" w:hAnsi="Times New Roman" w:cs="Times New Roman"/>
          <w:bCs/>
        </w:rPr>
        <w:t>T</w:t>
      </w:r>
      <w:r w:rsidR="009E15A6" w:rsidRPr="009E15A6">
        <w:rPr>
          <w:rFonts w:ascii="Times New Roman" w:hAnsi="Times New Roman" w:cs="Times New Roman" w:hint="eastAsia"/>
          <w:bCs/>
        </w:rPr>
        <w:t>i</w:t>
      </w:r>
      <w:r w:rsidR="009E15A6" w:rsidRPr="009E15A6">
        <w:rPr>
          <w:rFonts w:ascii="Times New Roman" w:hAnsi="Times New Roman" w:cs="Times New Roman"/>
          <w:bCs/>
        </w:rPr>
        <w:t>O</w:t>
      </w:r>
      <w:r w:rsidR="009E15A6" w:rsidRPr="009E15A6">
        <w:rPr>
          <w:rFonts w:ascii="Times New Roman" w:hAnsi="Times New Roman" w:cs="Times New Roman"/>
          <w:bCs/>
          <w:vertAlign w:val="subscript"/>
        </w:rPr>
        <w:t>2</w:t>
      </w:r>
      <w:r w:rsidR="00C21CE6">
        <w:rPr>
          <w:rFonts w:ascii="Times New Roman" w:hAnsi="Times New Roman" w:cs="Times New Roman"/>
          <w:bCs/>
          <w:vertAlign w:val="subscript"/>
        </w:rPr>
        <w:t xml:space="preserve"> </w:t>
      </w:r>
      <w:r w:rsidR="009E15A6" w:rsidRPr="009E15A6">
        <w:rPr>
          <w:rFonts w:ascii="Times New Roman" w:hAnsi="Times New Roman" w:cs="Times New Roman" w:hint="eastAsia"/>
          <w:bCs/>
        </w:rPr>
        <w:t>pha</w:t>
      </w:r>
      <w:r w:rsidR="009E15A6" w:rsidRPr="009E15A6">
        <w:rPr>
          <w:rFonts w:ascii="Times New Roman" w:hAnsi="Times New Roman" w:cs="Times New Roman"/>
          <w:bCs/>
        </w:rPr>
        <w:t>se</w:t>
      </w:r>
      <w:r w:rsidR="009E15A6">
        <w:rPr>
          <w:rFonts w:ascii="Times New Roman" w:hAnsi="Times New Roman" w:cs="Times New Roman"/>
          <w:bCs/>
        </w:rPr>
        <w:t>s</w:t>
      </w:r>
      <w:r w:rsidR="00E126D4" w:rsidRPr="00E126D4">
        <w:rPr>
          <w:rFonts w:ascii="Times New Roman" w:hAnsi="Times New Roman" w:cs="Times New Roman"/>
          <w:bCs/>
        </w:rPr>
        <w:t xml:space="preserve"> synthesized </w:t>
      </w:r>
      <w:r w:rsidR="00D35A21">
        <w:rPr>
          <w:rFonts w:ascii="Times New Roman" w:hAnsi="Times New Roman" w:cs="Times New Roman"/>
          <w:bCs/>
        </w:rPr>
        <w:t>under</w:t>
      </w:r>
      <w:r w:rsidR="00E126D4" w:rsidRPr="00E126D4">
        <w:rPr>
          <w:rFonts w:ascii="Times New Roman" w:hAnsi="Times New Roman" w:cs="Times New Roman"/>
          <w:bCs/>
        </w:rPr>
        <w:t xml:space="preserve"> </w:t>
      </w:r>
      <w:r w:rsidR="00D35A21">
        <w:rPr>
          <w:rFonts w:ascii="Times New Roman" w:hAnsi="Times New Roman" w:cs="Times New Roman" w:hint="eastAsia"/>
          <w:bCs/>
        </w:rPr>
        <w:t>the</w:t>
      </w:r>
      <w:r w:rsidR="00D35A21">
        <w:rPr>
          <w:rFonts w:ascii="Times New Roman" w:hAnsi="Times New Roman" w:cs="Times New Roman"/>
          <w:bCs/>
        </w:rPr>
        <w:t xml:space="preserve"> investigated</w:t>
      </w:r>
      <w:r w:rsidR="00E126D4" w:rsidRPr="00E126D4">
        <w:rPr>
          <w:rFonts w:ascii="Times New Roman" w:hAnsi="Times New Roman" w:cs="Times New Roman"/>
          <w:bCs/>
        </w:rPr>
        <w:t xml:space="preserve"> </w:t>
      </w:r>
      <w:r w:rsidR="009E15A6">
        <w:rPr>
          <w:rFonts w:ascii="Times New Roman" w:hAnsi="Times New Roman" w:cs="Times New Roman"/>
          <w:bCs/>
        </w:rPr>
        <w:t>pressure-</w:t>
      </w:r>
      <w:r w:rsidR="00E126D4" w:rsidRPr="00E126D4">
        <w:rPr>
          <w:rFonts w:ascii="Times New Roman" w:hAnsi="Times New Roman" w:cs="Times New Roman"/>
          <w:bCs/>
        </w:rPr>
        <w:t xml:space="preserve">temperatures </w:t>
      </w:r>
      <w:r w:rsidR="00CE095A">
        <w:rPr>
          <w:rFonts w:ascii="Times New Roman" w:hAnsi="Times New Roman" w:cs="Times New Roman"/>
          <w:bCs/>
        </w:rPr>
        <w:t xml:space="preserve">conditions </w:t>
      </w:r>
      <w:r w:rsidR="00E126D4" w:rsidRPr="00E126D4">
        <w:rPr>
          <w:rFonts w:ascii="Times New Roman" w:hAnsi="Times New Roman" w:cs="Times New Roman"/>
          <w:bCs/>
        </w:rPr>
        <w:t xml:space="preserve">are </w:t>
      </w:r>
      <w:r w:rsidR="009E15A6">
        <w:rPr>
          <w:rFonts w:ascii="Times New Roman" w:hAnsi="Times New Roman" w:cs="Times New Roman"/>
          <w:bCs/>
        </w:rPr>
        <w:t>rutile.</w:t>
      </w:r>
    </w:p>
    <w:p w14:paraId="5478A8CE" w14:textId="3A14A450" w:rsidR="002761F2" w:rsidRPr="003D709E" w:rsidRDefault="002761F2" w:rsidP="00224FCF">
      <w:pPr>
        <w:spacing w:line="360" w:lineRule="auto"/>
        <w:rPr>
          <w:rFonts w:ascii="Times New Roman" w:hAnsi="Times New Roman" w:cs="Times New Roman"/>
          <w:b/>
        </w:rPr>
      </w:pPr>
    </w:p>
    <w:p w14:paraId="45703509" w14:textId="2B6F2587" w:rsidR="009112F0" w:rsidRPr="00D35A21" w:rsidRDefault="009112F0" w:rsidP="00224FCF">
      <w:pPr>
        <w:spacing w:line="360" w:lineRule="auto"/>
        <w:rPr>
          <w:rFonts w:ascii="Times New Roman" w:eastAsia="宋体" w:hAnsi="Times New Roman" w:cs="Times New Roman"/>
          <w:sz w:val="20"/>
          <w:szCs w:val="24"/>
        </w:rPr>
      </w:pPr>
    </w:p>
    <w:p w14:paraId="7CAF6FFC" w14:textId="77777777" w:rsidR="00224FCF" w:rsidRPr="00224FCF" w:rsidRDefault="00224FCF" w:rsidP="00CB2E2C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224FCF">
        <w:rPr>
          <w:b/>
          <w:noProof/>
        </w:rPr>
        <w:drawing>
          <wp:inline distT="0" distB="0" distL="0" distR="0" wp14:anchorId="0C28FB09" wp14:editId="2C2DEF9C">
            <wp:extent cx="4612511" cy="1773701"/>
            <wp:effectExtent l="0" t="0" r="0" b="0"/>
            <wp:docPr id="2" name="图片 2" descr="D:\桌面\进行课题\carbonate melt Nb Ta\文章撰写\作图\MORB AND Sediment TiO2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桌面\进行课题\carbonate melt Nb Ta\文章撰写\作图\MORB AND Sediment TiO2\图片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353" cy="177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80EF4" w14:textId="6DB1F848" w:rsidR="004461C1" w:rsidRDefault="004461C1" w:rsidP="004461C1">
      <w:pPr>
        <w:spacing w:line="360" w:lineRule="auto"/>
        <w:rPr>
          <w:rFonts w:ascii="Times New Roman" w:hAnsi="Times New Roman" w:cs="Times New Roman"/>
        </w:rPr>
      </w:pPr>
      <w:r w:rsidRPr="00E61AE0">
        <w:rPr>
          <w:rFonts w:ascii="Times New Roman" w:hAnsi="Times New Roman" w:cs="Times New Roman"/>
          <w:b/>
        </w:rPr>
        <w:t>F</w:t>
      </w:r>
      <w:r w:rsidRPr="00E61AE0">
        <w:rPr>
          <w:rFonts w:ascii="Times New Roman" w:hAnsi="Times New Roman" w:cs="Times New Roman" w:hint="eastAsia"/>
          <w:b/>
        </w:rPr>
        <w:t>igure</w:t>
      </w:r>
      <w:r w:rsidRPr="00E61AE0">
        <w:rPr>
          <w:rFonts w:ascii="Times New Roman" w:hAnsi="Times New Roman" w:cs="Times New Roman"/>
          <w:b/>
        </w:rPr>
        <w:t xml:space="preserve"> S</w:t>
      </w:r>
      <w:r w:rsidR="002761F2">
        <w:rPr>
          <w:rFonts w:ascii="Times New Roman" w:hAnsi="Times New Roman" w:cs="Times New Roman"/>
          <w:b/>
        </w:rPr>
        <w:t>2</w:t>
      </w:r>
      <w:r w:rsidRPr="00E61AE0">
        <w:rPr>
          <w:rFonts w:ascii="Times New Roman" w:hAnsi="Times New Roman" w:cs="Times New Roman"/>
          <w:b/>
        </w:rPr>
        <w:t>. Frequency distribution of TiO</w:t>
      </w:r>
      <w:r w:rsidRPr="00E61AE0">
        <w:rPr>
          <w:rFonts w:ascii="Times New Roman" w:hAnsi="Times New Roman" w:cs="Times New Roman"/>
          <w:b/>
          <w:vertAlign w:val="subscript"/>
        </w:rPr>
        <w:t xml:space="preserve">2 </w:t>
      </w:r>
      <w:r w:rsidRPr="00E61AE0">
        <w:rPr>
          <w:rFonts w:ascii="Times New Roman" w:hAnsi="Times New Roman" w:cs="Times New Roman" w:hint="eastAsia"/>
          <w:b/>
        </w:rPr>
        <w:t>for</w:t>
      </w:r>
      <w:r w:rsidRPr="00E61AE0">
        <w:rPr>
          <w:rFonts w:ascii="Times New Roman" w:hAnsi="Times New Roman" w:cs="Times New Roman"/>
          <w:b/>
        </w:rPr>
        <w:t xml:space="preserve"> global MORB and </w:t>
      </w:r>
      <w:r>
        <w:rPr>
          <w:rFonts w:ascii="Times New Roman" w:hAnsi="Times New Roman" w:cs="Times New Roman"/>
          <w:b/>
        </w:rPr>
        <w:t>ocean sediment</w:t>
      </w:r>
      <w:r w:rsidRPr="00E61AE0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Data sources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MORB: Jenner et al. (2012); Gale et al. (2013); </w:t>
      </w:r>
      <w:r w:rsidRPr="002C144C">
        <w:rPr>
          <w:rFonts w:ascii="Times New Roman" w:hAnsi="Times New Roman" w:cs="Times New Roman"/>
        </w:rPr>
        <w:t>Shimizu et al.</w:t>
      </w:r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 xml:space="preserve">); </w:t>
      </w:r>
      <w:proofErr w:type="spellStart"/>
      <w:r w:rsidRPr="002C144C">
        <w:rPr>
          <w:rFonts w:ascii="Times New Roman" w:hAnsi="Times New Roman" w:cs="Times New Roman"/>
        </w:rPr>
        <w:t>Kamenetsky</w:t>
      </w:r>
      <w:proofErr w:type="spellEnd"/>
      <w:r w:rsidRPr="002C14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</w:t>
      </w:r>
      <w:r w:rsidRPr="002C144C">
        <w:rPr>
          <w:rFonts w:ascii="Times New Roman" w:hAnsi="Times New Roman" w:cs="Times New Roman"/>
        </w:rPr>
        <w:t xml:space="preserve"> </w:t>
      </w:r>
      <w:proofErr w:type="spellStart"/>
      <w:r w:rsidRPr="002C144C">
        <w:rPr>
          <w:rFonts w:ascii="Times New Roman" w:hAnsi="Times New Roman" w:cs="Times New Roman"/>
        </w:rPr>
        <w:t>Eggins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2012</w:t>
      </w:r>
      <w:r>
        <w:rPr>
          <w:rFonts w:ascii="Times New Roman" w:hAnsi="Times New Roman" w:cs="Times New Roman"/>
        </w:rPr>
        <w:t xml:space="preserve">); </w:t>
      </w:r>
      <w:r w:rsidRPr="002C144C">
        <w:rPr>
          <w:rFonts w:ascii="Times New Roman" w:hAnsi="Times New Roman" w:cs="Times New Roman"/>
        </w:rPr>
        <w:t xml:space="preserve">Arevalo </w:t>
      </w:r>
      <w:r>
        <w:rPr>
          <w:rFonts w:ascii="Times New Roman" w:hAnsi="Times New Roman" w:cs="Times New Roman"/>
        </w:rPr>
        <w:t>and</w:t>
      </w:r>
      <w:r w:rsidRPr="002C144C">
        <w:rPr>
          <w:rFonts w:ascii="Times New Roman" w:hAnsi="Times New Roman" w:cs="Times New Roman"/>
        </w:rPr>
        <w:t xml:space="preserve"> McDonough</w:t>
      </w:r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2010</w:t>
      </w:r>
      <w:r>
        <w:rPr>
          <w:rFonts w:ascii="Times New Roman" w:hAnsi="Times New Roman" w:cs="Times New Roman"/>
        </w:rPr>
        <w:t xml:space="preserve">); </w:t>
      </w:r>
      <w:r w:rsidRPr="002C144C">
        <w:rPr>
          <w:rFonts w:ascii="Times New Roman" w:hAnsi="Times New Roman" w:cs="Times New Roman"/>
        </w:rPr>
        <w:t>Patten et al.</w:t>
      </w:r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2013</w:t>
      </w:r>
      <w:r>
        <w:rPr>
          <w:rFonts w:ascii="Times New Roman" w:hAnsi="Times New Roman" w:cs="Times New Roman"/>
        </w:rPr>
        <w:t xml:space="preserve">); </w:t>
      </w:r>
      <w:proofErr w:type="spellStart"/>
      <w:r w:rsidRPr="002C144C">
        <w:rPr>
          <w:rFonts w:ascii="Times New Roman" w:hAnsi="Times New Roman" w:cs="Times New Roman"/>
        </w:rPr>
        <w:t>Labidi</w:t>
      </w:r>
      <w:proofErr w:type="spellEnd"/>
      <w:r w:rsidRPr="002C144C">
        <w:rPr>
          <w:rFonts w:ascii="Times New Roman" w:hAnsi="Times New Roman" w:cs="Times New Roman"/>
        </w:rPr>
        <w:t xml:space="preserve"> et al.</w:t>
      </w:r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 xml:space="preserve">); </w:t>
      </w:r>
      <w:r w:rsidRPr="002C144C">
        <w:rPr>
          <w:rFonts w:ascii="Times New Roman" w:hAnsi="Times New Roman" w:cs="Times New Roman"/>
        </w:rPr>
        <w:t xml:space="preserve">Eason </w:t>
      </w:r>
      <w:r>
        <w:rPr>
          <w:rFonts w:ascii="Times New Roman" w:hAnsi="Times New Roman" w:cs="Times New Roman"/>
        </w:rPr>
        <w:t xml:space="preserve">and </w:t>
      </w:r>
      <w:r w:rsidRPr="002C144C">
        <w:rPr>
          <w:rFonts w:ascii="Times New Roman" w:hAnsi="Times New Roman" w:cs="Times New Roman"/>
        </w:rPr>
        <w:t>Sinton</w:t>
      </w:r>
      <w:r>
        <w:rPr>
          <w:rFonts w:ascii="Times New Roman" w:hAnsi="Times New Roman" w:cs="Times New Roman"/>
        </w:rPr>
        <w:t xml:space="preserve"> (</w:t>
      </w:r>
      <w:r w:rsidRPr="002C144C">
        <w:rPr>
          <w:rFonts w:ascii="Times New Roman" w:hAnsi="Times New Roman" w:cs="Times New Roman"/>
        </w:rPr>
        <w:t>2006</w:t>
      </w:r>
      <w:r>
        <w:rPr>
          <w:rFonts w:ascii="Times New Roman" w:hAnsi="Times New Roman" w:cs="Times New Roman"/>
        </w:rPr>
        <w:t>); Nielsen et al. (</w:t>
      </w:r>
      <w:r w:rsidRPr="002C144C"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 xml:space="preserve">); </w:t>
      </w:r>
      <w:r w:rsidR="00B46A90" w:rsidRPr="002C144C">
        <w:rPr>
          <w:rFonts w:ascii="Times New Roman" w:hAnsi="Times New Roman" w:cs="Times New Roman"/>
        </w:rPr>
        <w:t>Yang et al.</w:t>
      </w:r>
      <w:r w:rsidR="00B46A90">
        <w:rPr>
          <w:rFonts w:ascii="Times New Roman" w:hAnsi="Times New Roman" w:cs="Times New Roman"/>
        </w:rPr>
        <w:t xml:space="preserve"> (</w:t>
      </w:r>
      <w:r w:rsidR="00B46A90" w:rsidRPr="002C144C">
        <w:rPr>
          <w:rFonts w:ascii="Times New Roman" w:hAnsi="Times New Roman" w:cs="Times New Roman"/>
        </w:rPr>
        <w:t>2014</w:t>
      </w:r>
      <w:r w:rsidR="00B46A90">
        <w:rPr>
          <w:rFonts w:ascii="Times New Roman" w:hAnsi="Times New Roman" w:cs="Times New Roman"/>
        </w:rPr>
        <w:t xml:space="preserve">, </w:t>
      </w:r>
      <w:r w:rsidR="00B46A90" w:rsidRPr="002C144C">
        <w:rPr>
          <w:rFonts w:ascii="Times New Roman" w:hAnsi="Times New Roman" w:cs="Times New Roman"/>
        </w:rPr>
        <w:t>201</w:t>
      </w:r>
      <w:r w:rsidR="00B46A90">
        <w:rPr>
          <w:rFonts w:ascii="Times New Roman" w:hAnsi="Times New Roman" w:cs="Times New Roman"/>
        </w:rPr>
        <w:t>7);</w:t>
      </w:r>
      <w:r w:rsidR="00FF20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Yang et al. (2020). Data sources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ocean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ediment: Plank and </w:t>
      </w:r>
      <w:r w:rsidRPr="004E5C0D">
        <w:rPr>
          <w:rFonts w:ascii="Times New Roman" w:hAnsi="Times New Roman" w:cs="Times New Roman"/>
        </w:rPr>
        <w:t>Langmuir</w:t>
      </w:r>
      <w:r>
        <w:rPr>
          <w:rFonts w:ascii="Times New Roman" w:hAnsi="Times New Roman" w:cs="Times New Roman"/>
        </w:rPr>
        <w:t xml:space="preserve"> (1998). </w:t>
      </w:r>
    </w:p>
    <w:p w14:paraId="25B03DF0" w14:textId="77777777" w:rsidR="00C72DA8" w:rsidRDefault="00C72DA8" w:rsidP="004461C1">
      <w:pPr>
        <w:spacing w:line="360" w:lineRule="auto"/>
        <w:rPr>
          <w:rFonts w:ascii="Times New Roman" w:hAnsi="Times New Roman" w:cs="Times New Roman"/>
        </w:rPr>
      </w:pPr>
    </w:p>
    <w:p w14:paraId="260204F1" w14:textId="77777777" w:rsidR="00641A70" w:rsidRDefault="007D1C8E" w:rsidP="00CB2E2C">
      <w:pPr>
        <w:spacing w:line="360" w:lineRule="auto"/>
        <w:jc w:val="center"/>
        <w:rPr>
          <w:rFonts w:ascii="Times New Roman" w:hAnsi="Times New Roman" w:cs="Times New Roman"/>
        </w:rPr>
      </w:pPr>
      <w:r w:rsidRPr="007D1C8E">
        <w:rPr>
          <w:rFonts w:ascii="Times New Roman" w:hAnsi="Times New Roman" w:cs="Times New Roman"/>
          <w:noProof/>
        </w:rPr>
        <w:drawing>
          <wp:inline distT="0" distB="0" distL="0" distR="0" wp14:anchorId="1ADAB9C8" wp14:editId="4A17ACBA">
            <wp:extent cx="4543063" cy="2496861"/>
            <wp:effectExtent l="0" t="0" r="0" b="0"/>
            <wp:docPr id="5" name="图片 5" descr="D:\桌面\进行课题\carbonate melt Nb Ta\文章撰写\作图\DNb-Ta fluid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桌面\进行课题\carbonate melt Nb Ta\文章撰写\作图\DNb-Ta fluid\图片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152" cy="250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46206" w14:textId="6150AFEA" w:rsidR="00DE6622" w:rsidRDefault="00DE6622" w:rsidP="003B1188">
      <w:pPr>
        <w:spacing w:line="360" w:lineRule="auto"/>
        <w:rPr>
          <w:rFonts w:ascii="Times New Roman" w:hAnsi="Times New Roman" w:cs="Times New Roman"/>
        </w:rPr>
      </w:pPr>
      <w:r w:rsidRPr="00E61AE0">
        <w:rPr>
          <w:rFonts w:ascii="Times New Roman" w:hAnsi="Times New Roman" w:cs="Times New Roman"/>
          <w:b/>
        </w:rPr>
        <w:t>F</w:t>
      </w:r>
      <w:r w:rsidRPr="00E61AE0">
        <w:rPr>
          <w:rFonts w:ascii="Times New Roman" w:hAnsi="Times New Roman" w:cs="Times New Roman" w:hint="eastAsia"/>
          <w:b/>
        </w:rPr>
        <w:t>igure</w:t>
      </w:r>
      <w:r w:rsidRPr="00E61AE0">
        <w:rPr>
          <w:rFonts w:ascii="Times New Roman" w:hAnsi="Times New Roman" w:cs="Times New Roman"/>
          <w:b/>
        </w:rPr>
        <w:t xml:space="preserve"> S</w:t>
      </w:r>
      <w:r w:rsidR="002761F2">
        <w:rPr>
          <w:rFonts w:ascii="Times New Roman" w:hAnsi="Times New Roman" w:cs="Times New Roman"/>
          <w:b/>
        </w:rPr>
        <w:t>3</w:t>
      </w:r>
      <w:r w:rsidRPr="00E61AE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DE6622">
        <w:rPr>
          <w:rFonts w:ascii="Times New Roman" w:hAnsi="Times New Roman" w:cs="Times New Roman"/>
          <w:b/>
        </w:rPr>
        <w:t xml:space="preserve">Box-and-whisker plots of </w:t>
      </w:r>
      <w:r>
        <w:rPr>
          <w:rFonts w:ascii="Times New Roman" w:hAnsi="Times New Roman" w:cs="Times New Roman"/>
          <w:b/>
        </w:rPr>
        <w:t>rutile-bearing eclogite</w:t>
      </w:r>
      <w:r w:rsidRPr="00DE6622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saline fluids </w:t>
      </w:r>
      <w:r w:rsidR="00B04D73">
        <w:rPr>
          <w:rFonts w:ascii="Times New Roman" w:hAnsi="Times New Roman" w:cs="Times New Roman"/>
          <w:b/>
        </w:rPr>
        <w:t xml:space="preserve">(a) </w:t>
      </w:r>
      <w:r w:rsidRPr="00DE6622">
        <w:rPr>
          <w:rFonts w:ascii="Times New Roman" w:hAnsi="Times New Roman" w:cs="Times New Roman"/>
          <w:b/>
        </w:rPr>
        <w:t>Nb</w:t>
      </w:r>
      <w:r w:rsidR="007D1C8E">
        <w:rPr>
          <w:rFonts w:ascii="Times New Roman" w:hAnsi="Times New Roman" w:cs="Times New Roman"/>
          <w:b/>
        </w:rPr>
        <w:t xml:space="preserve"> </w:t>
      </w:r>
      <w:r w:rsidRPr="00DE6622">
        <w:rPr>
          <w:rFonts w:ascii="Times New Roman" w:hAnsi="Times New Roman" w:cs="Times New Roman"/>
          <w:b/>
        </w:rPr>
        <w:t xml:space="preserve">and </w:t>
      </w:r>
      <w:r w:rsidR="00B04D73">
        <w:rPr>
          <w:rFonts w:ascii="Times New Roman" w:hAnsi="Times New Roman" w:cs="Times New Roman"/>
          <w:b/>
        </w:rPr>
        <w:t>(b)</w:t>
      </w:r>
      <w:r w:rsidR="00B04D73" w:rsidRPr="00DE6622">
        <w:rPr>
          <w:rFonts w:ascii="Times New Roman" w:hAnsi="Times New Roman" w:cs="Times New Roman"/>
          <w:b/>
        </w:rPr>
        <w:t xml:space="preserve"> </w:t>
      </w:r>
      <w:r w:rsidRPr="00DE6622">
        <w:rPr>
          <w:rFonts w:ascii="Times New Roman" w:hAnsi="Times New Roman" w:cs="Times New Roman"/>
          <w:b/>
        </w:rPr>
        <w:t>Ta</w:t>
      </w:r>
      <w:r w:rsidR="007D1C8E">
        <w:rPr>
          <w:rFonts w:ascii="Times New Roman" w:hAnsi="Times New Roman" w:cs="Times New Roman"/>
          <w:b/>
        </w:rPr>
        <w:t xml:space="preserve"> </w:t>
      </w:r>
      <w:r w:rsidRPr="00DE6622">
        <w:rPr>
          <w:rFonts w:ascii="Times New Roman" w:hAnsi="Times New Roman" w:cs="Times New Roman"/>
          <w:b/>
        </w:rPr>
        <w:t>partition coefficients (</w:t>
      </w:r>
      <w:proofErr w:type="spellStart"/>
      <w:r w:rsidRPr="00DE6622">
        <w:rPr>
          <w:rFonts w:ascii="Times New Roman" w:hAnsi="Times New Roman" w:cs="Times New Roman"/>
          <w:b/>
        </w:rPr>
        <w:t>D</w:t>
      </w:r>
      <w:r w:rsidRPr="00DE6622">
        <w:rPr>
          <w:rFonts w:ascii="Times New Roman" w:hAnsi="Times New Roman" w:cs="Times New Roman"/>
          <w:b/>
          <w:vertAlign w:val="subscript"/>
        </w:rPr>
        <w:t>Nb</w:t>
      </w:r>
      <w:proofErr w:type="spellEnd"/>
      <w:r w:rsidRPr="00DE6622">
        <w:rPr>
          <w:rFonts w:ascii="Times New Roman" w:hAnsi="Times New Roman" w:cs="Times New Roman"/>
          <w:b/>
        </w:rPr>
        <w:t xml:space="preserve"> and </w:t>
      </w:r>
      <w:proofErr w:type="spellStart"/>
      <w:r w:rsidRPr="00DE6622">
        <w:rPr>
          <w:rFonts w:ascii="Times New Roman" w:hAnsi="Times New Roman" w:cs="Times New Roman"/>
          <w:b/>
        </w:rPr>
        <w:t>D</w:t>
      </w:r>
      <w:r w:rsidRPr="00DE6622">
        <w:rPr>
          <w:rFonts w:ascii="Times New Roman" w:hAnsi="Times New Roman" w:cs="Times New Roman"/>
          <w:b/>
          <w:vertAlign w:val="subscript"/>
        </w:rPr>
        <w:t>Ta</w:t>
      </w:r>
      <w:proofErr w:type="spellEnd"/>
      <w:r w:rsidRPr="00DE6622">
        <w:rPr>
          <w:rFonts w:ascii="Times New Roman" w:hAnsi="Times New Roman" w:cs="Times New Roman"/>
          <w:b/>
        </w:rPr>
        <w:t xml:space="preserve">), and </w:t>
      </w:r>
      <w:r>
        <w:rPr>
          <w:rFonts w:ascii="Times New Roman" w:hAnsi="Times New Roman" w:cs="Times New Roman"/>
          <w:b/>
        </w:rPr>
        <w:t xml:space="preserve">the associated </w:t>
      </w:r>
      <w:r w:rsidR="00B04D73">
        <w:rPr>
          <w:rFonts w:ascii="Times New Roman" w:hAnsi="Times New Roman" w:cs="Times New Roman"/>
          <w:b/>
        </w:rPr>
        <w:t xml:space="preserve">(c) </w:t>
      </w:r>
      <w:r>
        <w:rPr>
          <w:rFonts w:ascii="Times New Roman" w:hAnsi="Times New Roman" w:cs="Times New Roman"/>
          <w:b/>
        </w:rPr>
        <w:t>partition coefficient ratios (</w:t>
      </w:r>
      <w:proofErr w:type="spellStart"/>
      <w:r w:rsidRPr="00DE6622">
        <w:rPr>
          <w:rFonts w:ascii="Times New Roman" w:hAnsi="Times New Roman" w:cs="Times New Roman"/>
          <w:b/>
        </w:rPr>
        <w:t>D</w:t>
      </w:r>
      <w:r w:rsidRPr="00DE6622">
        <w:rPr>
          <w:rFonts w:ascii="Times New Roman" w:hAnsi="Times New Roman" w:cs="Times New Roman"/>
          <w:b/>
          <w:vertAlign w:val="subscript"/>
        </w:rPr>
        <w:t>Nb</w:t>
      </w:r>
      <w:proofErr w:type="spellEnd"/>
      <w:r>
        <w:rPr>
          <w:rFonts w:ascii="Times New Roman" w:hAnsi="Times New Roman" w:cs="Times New Roman"/>
          <w:b/>
          <w:vertAlign w:val="subscript"/>
        </w:rPr>
        <w:t>/</w:t>
      </w:r>
      <w:proofErr w:type="spellStart"/>
      <w:r w:rsidRPr="00DE6622">
        <w:rPr>
          <w:rFonts w:ascii="Times New Roman" w:hAnsi="Times New Roman" w:cs="Times New Roman"/>
          <w:b/>
        </w:rPr>
        <w:t>D</w:t>
      </w:r>
      <w:r w:rsidRPr="00DE6622">
        <w:rPr>
          <w:rFonts w:ascii="Times New Roman" w:hAnsi="Times New Roman" w:cs="Times New Roman"/>
          <w:b/>
          <w:vertAlign w:val="subscript"/>
        </w:rPr>
        <w:t>Ta</w:t>
      </w:r>
      <w:proofErr w:type="spellEnd"/>
      <w:r>
        <w:rPr>
          <w:rFonts w:ascii="Times New Roman" w:hAnsi="Times New Roman" w:cs="Times New Roman"/>
          <w:b/>
        </w:rPr>
        <w:t>).</w:t>
      </w:r>
      <w:r w:rsidR="006B36ED" w:rsidRPr="006B36ED">
        <w:rPr>
          <w:rFonts w:ascii="Times New Roman" w:hAnsi="Times New Roman" w:cs="Times New Roman"/>
        </w:rPr>
        <w:t xml:space="preserve"> </w:t>
      </w:r>
      <w:r w:rsidR="006B36ED">
        <w:rPr>
          <w:rFonts w:ascii="Times New Roman" w:hAnsi="Times New Roman" w:cs="Times New Roman"/>
        </w:rPr>
        <w:t>Data sources</w:t>
      </w:r>
      <w:r w:rsidR="006B36ED">
        <w:rPr>
          <w:rFonts w:ascii="Times New Roman" w:hAnsi="Times New Roman" w:cs="Times New Roman" w:hint="eastAsia"/>
        </w:rPr>
        <w:t>:</w:t>
      </w:r>
      <w:r w:rsidR="006B36ED">
        <w:rPr>
          <w:rFonts w:ascii="Times New Roman" w:hAnsi="Times New Roman" w:cs="Times New Roman"/>
        </w:rPr>
        <w:t xml:space="preserve"> </w:t>
      </w:r>
      <w:proofErr w:type="spellStart"/>
      <w:r w:rsidR="006B36ED" w:rsidRPr="006B36ED">
        <w:rPr>
          <w:rFonts w:ascii="Times New Roman" w:hAnsi="Times New Roman" w:cs="Times New Roman"/>
        </w:rPr>
        <w:t>Rustioni</w:t>
      </w:r>
      <w:proofErr w:type="spellEnd"/>
      <w:r w:rsidR="006B36ED">
        <w:rPr>
          <w:rFonts w:ascii="Times New Roman" w:hAnsi="Times New Roman" w:cs="Times New Roman"/>
        </w:rPr>
        <w:t xml:space="preserve"> et al. (2019). </w:t>
      </w:r>
    </w:p>
    <w:p w14:paraId="0FB15D2B" w14:textId="77777777" w:rsidR="00A7636C" w:rsidRDefault="00A7636C" w:rsidP="003B1188">
      <w:pPr>
        <w:spacing w:line="360" w:lineRule="auto"/>
        <w:rPr>
          <w:rFonts w:ascii="Times New Roman" w:hAnsi="Times New Roman" w:cs="Times New Roman"/>
        </w:rPr>
      </w:pPr>
    </w:p>
    <w:p w14:paraId="224FFE0F" w14:textId="77777777" w:rsidR="00820388" w:rsidRDefault="00820388" w:rsidP="003B1188">
      <w:pPr>
        <w:spacing w:line="360" w:lineRule="auto"/>
        <w:rPr>
          <w:rFonts w:ascii="Times New Roman" w:hAnsi="Times New Roman" w:cs="Times New Roman"/>
          <w:b/>
        </w:rPr>
      </w:pPr>
      <w:r w:rsidRPr="00820388">
        <w:rPr>
          <w:rFonts w:ascii="Times New Roman" w:hAnsi="Times New Roman" w:cs="Times New Roman"/>
          <w:b/>
        </w:rPr>
        <w:t>Reference:</w:t>
      </w:r>
    </w:p>
    <w:p w14:paraId="71D24B34" w14:textId="4E79E6DD" w:rsidR="00E725E9" w:rsidRDefault="001862B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fldChar w:fldCharType="begin"/>
      </w:r>
      <w:r w:rsidRPr="00A7636C">
        <w:rPr>
          <w:rFonts w:ascii="Times New Roman" w:hAnsi="Times New Roman" w:cs="Times New Roman"/>
        </w:rPr>
        <w:instrText xml:space="preserve"> ADDIN EN.REFLIST </w:instrText>
      </w:r>
      <w:r w:rsidRPr="00A7636C">
        <w:rPr>
          <w:rFonts w:ascii="Times New Roman" w:hAnsi="Times New Roman" w:cs="Times New Roman"/>
        </w:rPr>
        <w:fldChar w:fldCharType="separate"/>
      </w:r>
      <w:r w:rsidR="00E725E9" w:rsidRPr="00A7636C">
        <w:rPr>
          <w:rFonts w:ascii="Times New Roman" w:hAnsi="Times New Roman" w:cs="Times New Roman"/>
        </w:rPr>
        <w:t>Arevalo, R., McDonough, W.F., 2010. Chemical variations and regional diversity observed in MORB. Chemical Geology 271, 70-85.</w:t>
      </w:r>
    </w:p>
    <w:p w14:paraId="322ECB87" w14:textId="29D8AE5A" w:rsidR="000E4DC2" w:rsidRPr="00A7636C" w:rsidRDefault="000E4DC2" w:rsidP="00E725E9">
      <w:pPr>
        <w:pStyle w:val="EndNoteBibliography"/>
        <w:rPr>
          <w:rFonts w:ascii="Times New Roman" w:hAnsi="Times New Roman" w:cs="Times New Roman"/>
        </w:rPr>
      </w:pPr>
      <w:r w:rsidRPr="000E4DC2">
        <w:rPr>
          <w:rFonts w:ascii="Times New Roman" w:hAnsi="Times New Roman" w:cs="Times New Roman"/>
        </w:rPr>
        <w:t>Chen, W., Keshav, S., Peng, W., Zhang, G., 2023. Coupled cycling of carbon and water in the form of hydrous carbonatitic liquids in the subarc region. Journal of Geophysical Research: Solid Earth n/a, e2023JB026681.</w:t>
      </w:r>
    </w:p>
    <w:p w14:paraId="2B9C0E37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Eason, D., Sinton, J., 2006. Origin of high-Al N-MORB by fractional crystallization in the upper mantle beneath the Galápagos Spreading Center. Earth and Planetary Science Letters 252, 423-436.</w:t>
      </w:r>
    </w:p>
    <w:p w14:paraId="1CDA256E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Gale, A., Dalton, C.A., Langmuir, C.H., Su, Y., Schilling, J.-G., 2013. The mean composition of ocean ridge basalts. Geochemistry, Geophysics, Geosystems 14, 489-518.</w:t>
      </w:r>
    </w:p>
    <w:p w14:paraId="77DAB171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Jenner, F.E., O'Neill, H.S.C., 2012. Analysis of 60 elements in 616 ocean floor basaltic glasses. Geochemistry, Geophysics, Geosystems 13.</w:t>
      </w:r>
    </w:p>
    <w:p w14:paraId="1BD63D01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Kamenetsky, V.S., Eggins, S.M., 2012. Systematics of metals, metalloids, and volatiles in MORB melts: Effects of partial melting, crystal fractionation and degassing (a case study of Macquarie Island glasses). Chemical Geology 302-303, 76-86.</w:t>
      </w:r>
    </w:p>
    <w:p w14:paraId="04EF1A12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Labidi, J., Cartigny, P., Hamelin, C., Moreira, M., Dosso, L., 2014. Sulfur isotope budget (32S, 33S, 34S and 36S) in Pacific–Antarctic ridge basalts: A record of mantle source heterogeneity and hydrothermal sulfide assimilation. Geochimica et Cosmochimica Acta 133, 47-67.</w:t>
      </w:r>
    </w:p>
    <w:p w14:paraId="63C7DBAF" w14:textId="73515BE6" w:rsidR="00E725E9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Nielsen, S.G., Shimizu, N., Lee, C.-T.A., Behn, M.D., 2014. Chalcophile behavior of thallium during MORB melting and implications for the sulfur content of the mantle. Geochemistry, Geophysics, Geosystems 15, 4905-4919.</w:t>
      </w:r>
    </w:p>
    <w:p w14:paraId="0543BCCB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Patten, C., Barnes, S.-J., Mathez, E.A., Jenner, F.E., 2013. Partition coefficients of chalcophile elements between sulfide and silicate melts and the early crystallization history of sulfide liquid: LA-ICP-MS analysis of MORB sulfide droplets. Chemical Geology 358, 170-188.</w:t>
      </w:r>
    </w:p>
    <w:p w14:paraId="12AE60A9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Plank, T., Langmuir, C.H., 1998. The chemical composition of subducting sediment and its consequences for the crust and mantle. Chemical Geology 145, 325-394.</w:t>
      </w:r>
    </w:p>
    <w:p w14:paraId="46BEED9D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Shimizu, K., Saal, A.E., Myers, C.E., Nagle, A.N., Hauri, E.H., Forsyth, D.W., Kamenetsky, V.S., Niu, Y., 2016. Two-component mantle melting-mixing model for the generation of mid-ocean ridge basalts: Implications for the volatile content of the Pacific upper mantle. Geochimica et Cosmochimica Acta 176, 44-80.</w:t>
      </w:r>
    </w:p>
    <w:p w14:paraId="25AE7F0C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Yang, A.Y., Zhao, T.P., Zhou, M.F., Deng, X.G., 2017. Isotopically enriched N-MORB: A new geochemical signature of off-axis plume-ridge interaction—A case study at 50°28′E, Southwest Indian Ridge. Journal of Geophysical Research: Solid Earth 122, 191-213.</w:t>
      </w:r>
    </w:p>
    <w:p w14:paraId="324CAF20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Yang, A.Y., Zhou, M.-F., Zhao, T.-P., Deng, X.-G., Qi, L., Xu, J.-F., 2014. Chalcophile elemental compositions of MORBs from the ultraslow-spreading Southwest Indian Ridge and controls of lithospheric structure on S-saturated differentiation. Chemical Geology 382, 1-13.</w:t>
      </w:r>
    </w:p>
    <w:p w14:paraId="42E72834" w14:textId="77777777" w:rsidR="00E725E9" w:rsidRPr="00A7636C" w:rsidRDefault="00E725E9" w:rsidP="00E725E9">
      <w:pPr>
        <w:pStyle w:val="EndNoteBibliography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t>Yang, S., Humayun, M., Salters, V.J.M., Elemental constraints on the amount of recycled crust in the generation of mid-oceanic ridge basalts (MORBs). Science Advances 6, eaba2923.</w:t>
      </w:r>
    </w:p>
    <w:p w14:paraId="38FE3AF7" w14:textId="25F13EB7" w:rsidR="00DE6622" w:rsidRPr="002C144C" w:rsidRDefault="001862B9" w:rsidP="003B1188">
      <w:pPr>
        <w:spacing w:line="360" w:lineRule="auto"/>
        <w:rPr>
          <w:rFonts w:ascii="Times New Roman" w:hAnsi="Times New Roman" w:cs="Times New Roman"/>
        </w:rPr>
      </w:pPr>
      <w:r w:rsidRPr="00A7636C">
        <w:rPr>
          <w:rFonts w:ascii="Times New Roman" w:hAnsi="Times New Roman" w:cs="Times New Roman"/>
        </w:rPr>
        <w:fldChar w:fldCharType="end"/>
      </w:r>
    </w:p>
    <w:sectPr w:rsidR="00DE6622" w:rsidRPr="002C144C" w:rsidSect="0031350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B8CD7" w14:textId="77777777" w:rsidR="0054053A" w:rsidRDefault="0054053A" w:rsidP="002C144C">
      <w:r>
        <w:separator/>
      </w:r>
    </w:p>
  </w:endnote>
  <w:endnote w:type="continuationSeparator" w:id="0">
    <w:p w14:paraId="52BB5C39" w14:textId="77777777" w:rsidR="0054053A" w:rsidRDefault="0054053A" w:rsidP="002C1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A59C9" w14:textId="77777777" w:rsidR="0054053A" w:rsidRDefault="0054053A" w:rsidP="002C144C">
      <w:r>
        <w:separator/>
      </w:r>
    </w:p>
  </w:footnote>
  <w:footnote w:type="continuationSeparator" w:id="0">
    <w:p w14:paraId="342BCDEB" w14:textId="77777777" w:rsidR="0054053A" w:rsidRDefault="0054053A" w:rsidP="002C14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arth Planet Sci Lette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2exrw2msxvwmer5duv9eenewpfpe25rf5e&quot;&gt;My EndNote Library&lt;record-ids&gt;&lt;item&gt;3&lt;/item&gt;&lt;item&gt;543&lt;/item&gt;&lt;item&gt;544&lt;/item&gt;&lt;item&gt;545&lt;/item&gt;&lt;item&gt;546&lt;/item&gt;&lt;item&gt;547&lt;/item&gt;&lt;item&gt;548&lt;/item&gt;&lt;item&gt;549&lt;/item&gt;&lt;item&gt;550&lt;/item&gt;&lt;item&gt;551&lt;/item&gt;&lt;item&gt;552&lt;/item&gt;&lt;item&gt;553&lt;/item&gt;&lt;item&gt;554&lt;/item&gt;&lt;/record-ids&gt;&lt;/item&gt;&lt;/Libraries&gt;"/>
  </w:docVars>
  <w:rsids>
    <w:rsidRoot w:val="00B560B0"/>
    <w:rsid w:val="00060573"/>
    <w:rsid w:val="000741A2"/>
    <w:rsid w:val="00081D1A"/>
    <w:rsid w:val="000872CF"/>
    <w:rsid w:val="000E4DC2"/>
    <w:rsid w:val="00153B78"/>
    <w:rsid w:val="001862B9"/>
    <w:rsid w:val="001A1A0B"/>
    <w:rsid w:val="001C65D0"/>
    <w:rsid w:val="0021407B"/>
    <w:rsid w:val="00224D10"/>
    <w:rsid w:val="00224FCF"/>
    <w:rsid w:val="0022551C"/>
    <w:rsid w:val="002465CE"/>
    <w:rsid w:val="002761F2"/>
    <w:rsid w:val="00280B29"/>
    <w:rsid w:val="002879D1"/>
    <w:rsid w:val="002C144C"/>
    <w:rsid w:val="00313500"/>
    <w:rsid w:val="00352BDD"/>
    <w:rsid w:val="00366E34"/>
    <w:rsid w:val="003B1188"/>
    <w:rsid w:val="003D709E"/>
    <w:rsid w:val="003F2CC4"/>
    <w:rsid w:val="00434899"/>
    <w:rsid w:val="004461C1"/>
    <w:rsid w:val="004A5B1E"/>
    <w:rsid w:val="004E5C0D"/>
    <w:rsid w:val="00521727"/>
    <w:rsid w:val="005355CF"/>
    <w:rsid w:val="0054053A"/>
    <w:rsid w:val="005E0A0B"/>
    <w:rsid w:val="00636AB5"/>
    <w:rsid w:val="00641A70"/>
    <w:rsid w:val="006B36ED"/>
    <w:rsid w:val="006B7857"/>
    <w:rsid w:val="00731A17"/>
    <w:rsid w:val="007D1C8E"/>
    <w:rsid w:val="007F0484"/>
    <w:rsid w:val="00800186"/>
    <w:rsid w:val="008041DE"/>
    <w:rsid w:val="00820388"/>
    <w:rsid w:val="00856153"/>
    <w:rsid w:val="0088714E"/>
    <w:rsid w:val="008E3893"/>
    <w:rsid w:val="008F25A3"/>
    <w:rsid w:val="009112F0"/>
    <w:rsid w:val="009D7D50"/>
    <w:rsid w:val="009E15A6"/>
    <w:rsid w:val="00A7636C"/>
    <w:rsid w:val="00AC0518"/>
    <w:rsid w:val="00AC782A"/>
    <w:rsid w:val="00AD7664"/>
    <w:rsid w:val="00AE6154"/>
    <w:rsid w:val="00AF5455"/>
    <w:rsid w:val="00B003C7"/>
    <w:rsid w:val="00B04D73"/>
    <w:rsid w:val="00B46A90"/>
    <w:rsid w:val="00B560B0"/>
    <w:rsid w:val="00B61817"/>
    <w:rsid w:val="00B716F1"/>
    <w:rsid w:val="00B94473"/>
    <w:rsid w:val="00BD1160"/>
    <w:rsid w:val="00C21CE6"/>
    <w:rsid w:val="00C3275E"/>
    <w:rsid w:val="00C72DA8"/>
    <w:rsid w:val="00CA342E"/>
    <w:rsid w:val="00CB2E2C"/>
    <w:rsid w:val="00CE095A"/>
    <w:rsid w:val="00CF096D"/>
    <w:rsid w:val="00D35A21"/>
    <w:rsid w:val="00DB7399"/>
    <w:rsid w:val="00DD2333"/>
    <w:rsid w:val="00DD5579"/>
    <w:rsid w:val="00DE605B"/>
    <w:rsid w:val="00DE6622"/>
    <w:rsid w:val="00E126D4"/>
    <w:rsid w:val="00E4372F"/>
    <w:rsid w:val="00E61AE0"/>
    <w:rsid w:val="00E725E9"/>
    <w:rsid w:val="00EB1DAD"/>
    <w:rsid w:val="00F26B2E"/>
    <w:rsid w:val="00F5424A"/>
    <w:rsid w:val="00FF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481CB"/>
  <w15:chartTrackingRefBased/>
  <w15:docId w15:val="{3FF2B29B-2E4A-4ED1-99E5-12DB9635D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4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44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C1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1862B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862B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862B9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862B9"/>
    <w:rPr>
      <w:rFonts w:ascii="Calibri" w:hAnsi="Calibri" w:cs="Calibri"/>
      <w:noProof/>
      <w:sz w:val="20"/>
    </w:rPr>
  </w:style>
  <w:style w:type="character" w:styleId="a8">
    <w:name w:val="line number"/>
    <w:basedOn w:val="a0"/>
    <w:uiPriority w:val="99"/>
    <w:semiHidden/>
    <w:unhideWhenUsed/>
    <w:rsid w:val="00313500"/>
  </w:style>
  <w:style w:type="character" w:styleId="a9">
    <w:name w:val="Hyperlink"/>
    <w:basedOn w:val="a0"/>
    <w:uiPriority w:val="99"/>
    <w:unhideWhenUsed/>
    <w:rsid w:val="003D709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D70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9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rruff.inf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4</Pages>
  <Words>853</Words>
  <Characters>4863</Characters>
  <Application>Microsoft Office Word</Application>
  <DocSecurity>0</DocSecurity>
  <Lines>40</Lines>
  <Paragraphs>11</Paragraphs>
  <ScaleCrop>false</ScaleCrop>
  <Company>Home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Wei</cp:lastModifiedBy>
  <cp:revision>61</cp:revision>
  <dcterms:created xsi:type="dcterms:W3CDTF">2024-11-18T02:21:00Z</dcterms:created>
  <dcterms:modified xsi:type="dcterms:W3CDTF">2025-06-01T00:57:00Z</dcterms:modified>
</cp:coreProperties>
</file>