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396F" w14:textId="3CC96E08" w:rsidR="007D3E71" w:rsidRPr="007D3E71" w:rsidRDefault="007D3E71" w:rsidP="007D3E71">
      <w:pPr>
        <w:pStyle w:val="Title"/>
        <w:rPr>
          <w:rFonts w:ascii="Garamond" w:hAnsi="Garamond"/>
          <w:b/>
          <w:color w:val="000000" w:themeColor="text1"/>
          <w:sz w:val="32"/>
          <w:szCs w:val="32"/>
        </w:rPr>
      </w:pPr>
      <w:r w:rsidRPr="007D3E71">
        <w:rPr>
          <w:rFonts w:ascii="Garamond" w:hAnsi="Garamond"/>
          <w:b/>
          <w:color w:val="000000" w:themeColor="text1"/>
          <w:sz w:val="32"/>
          <w:szCs w:val="32"/>
        </w:rPr>
        <w:t xml:space="preserve">Cross-border climate risks of Canada’s fruit and vegetable supply </w:t>
      </w:r>
    </w:p>
    <w:p w14:paraId="4560D24E" w14:textId="77777777" w:rsidR="007D3E71" w:rsidRPr="007D3E71" w:rsidRDefault="007D3E71" w:rsidP="007D3E71"/>
    <w:p w14:paraId="5B7C4D7C" w14:textId="77777777" w:rsidR="007D3E71" w:rsidRPr="007D3E71" w:rsidRDefault="007D3E71" w:rsidP="007D3E71">
      <w:pPr>
        <w:pStyle w:val="Authors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</w:rPr>
        <w:t>Kushank Bajaj</w:t>
      </w: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1,2</w:t>
      </w:r>
      <w:r w:rsidRPr="007D3E71">
        <w:rPr>
          <w:rFonts w:ascii="Garamond" w:hAnsi="Garamond"/>
          <w:color w:val="000000" w:themeColor="text1"/>
          <w:sz w:val="22"/>
          <w:szCs w:val="22"/>
        </w:rPr>
        <w:t>, Navin Ramankutty</w:t>
      </w: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1,2</w:t>
      </w:r>
      <w:r w:rsidRPr="007D3E71">
        <w:rPr>
          <w:rFonts w:ascii="Garamond" w:hAnsi="Garamond"/>
          <w:color w:val="000000" w:themeColor="text1"/>
          <w:sz w:val="22"/>
          <w:szCs w:val="22"/>
        </w:rPr>
        <w:t>, Zia Mehrabi</w:t>
      </w: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3</w:t>
      </w:r>
      <w:r w:rsidRPr="007D3E71">
        <w:rPr>
          <w:rFonts w:ascii="Garamond" w:hAnsi="Garamond"/>
          <w:color w:val="000000" w:themeColor="text1"/>
          <w:sz w:val="22"/>
          <w:szCs w:val="22"/>
        </w:rPr>
        <w:t>, Patrick Meyfroidt</w:t>
      </w: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4</w:t>
      </w:r>
      <w:r w:rsidRPr="007D3E71">
        <w:rPr>
          <w:rFonts w:ascii="Garamond" w:hAnsi="Garamond"/>
          <w:color w:val="000000" w:themeColor="text1"/>
          <w:sz w:val="22"/>
          <w:szCs w:val="22"/>
        </w:rPr>
        <w:t>, Hadi Dowlatabadi</w:t>
      </w: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1</w:t>
      </w:r>
    </w:p>
    <w:p w14:paraId="4AB5791E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1</w:t>
      </w:r>
      <w:r w:rsidRPr="007D3E71">
        <w:rPr>
          <w:rFonts w:ascii="Garamond" w:hAnsi="Garamond"/>
          <w:color w:val="000000" w:themeColor="text1"/>
          <w:sz w:val="22"/>
          <w:szCs w:val="22"/>
        </w:rPr>
        <w:t>Institute for Resources, Environment and Sustainability, University of British Columbia</w:t>
      </w:r>
    </w:p>
    <w:p w14:paraId="2EF46365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2</w:t>
      </w:r>
      <w:r w:rsidRPr="007D3E71">
        <w:rPr>
          <w:rFonts w:ascii="Garamond" w:hAnsi="Garamond"/>
          <w:color w:val="000000" w:themeColor="text1"/>
          <w:sz w:val="22"/>
          <w:szCs w:val="22"/>
        </w:rPr>
        <w:t>School of Public Policy and Global Affairs, University of British Columbia</w:t>
      </w:r>
    </w:p>
    <w:p w14:paraId="7095D7F4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3</w:t>
      </w:r>
      <w:r w:rsidRPr="007D3E71">
        <w:rPr>
          <w:rFonts w:ascii="Garamond" w:hAnsi="Garamond"/>
          <w:color w:val="000000" w:themeColor="text1"/>
          <w:sz w:val="22"/>
          <w:szCs w:val="22"/>
        </w:rPr>
        <w:t>Department of Environmental Studies, University of Colorado Boulder</w:t>
      </w:r>
    </w:p>
    <w:p w14:paraId="3F8AA9AC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  <w:vertAlign w:val="superscript"/>
        </w:rPr>
        <w:t>4</w:t>
      </w:r>
      <w:r w:rsidRPr="007D3E71">
        <w:rPr>
          <w:rFonts w:ascii="Garamond" w:hAnsi="Garamond"/>
          <w:color w:val="000000" w:themeColor="text1"/>
          <w:sz w:val="22"/>
          <w:szCs w:val="22"/>
        </w:rPr>
        <w:t xml:space="preserve">Earth and Life Institute, Université </w:t>
      </w:r>
      <w:proofErr w:type="spellStart"/>
      <w:r w:rsidRPr="007D3E71">
        <w:rPr>
          <w:rFonts w:ascii="Garamond" w:hAnsi="Garamond"/>
          <w:color w:val="000000" w:themeColor="text1"/>
          <w:sz w:val="22"/>
          <w:szCs w:val="22"/>
        </w:rPr>
        <w:t>catholique</w:t>
      </w:r>
      <w:proofErr w:type="spellEnd"/>
      <w:r w:rsidRPr="007D3E71">
        <w:rPr>
          <w:rFonts w:ascii="Garamond" w:hAnsi="Garamond"/>
          <w:color w:val="000000" w:themeColor="text1"/>
          <w:sz w:val="22"/>
          <w:szCs w:val="22"/>
        </w:rPr>
        <w:t xml:space="preserve"> de Louvain (</w:t>
      </w:r>
      <w:proofErr w:type="spellStart"/>
      <w:r w:rsidRPr="007D3E71">
        <w:rPr>
          <w:rFonts w:ascii="Garamond" w:hAnsi="Garamond"/>
          <w:color w:val="000000" w:themeColor="text1"/>
          <w:sz w:val="22"/>
          <w:szCs w:val="22"/>
        </w:rPr>
        <w:t>UCLouvain</w:t>
      </w:r>
      <w:proofErr w:type="spellEnd"/>
      <w:r w:rsidRPr="007D3E71">
        <w:rPr>
          <w:rFonts w:ascii="Garamond" w:hAnsi="Garamond"/>
          <w:color w:val="000000" w:themeColor="text1"/>
          <w:sz w:val="22"/>
          <w:szCs w:val="22"/>
        </w:rPr>
        <w:t>)</w:t>
      </w:r>
    </w:p>
    <w:p w14:paraId="459BF2E4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</w:p>
    <w:p w14:paraId="0AC1F2A4" w14:textId="77777777" w:rsidR="007D3E71" w:rsidRPr="007D3E71" w:rsidRDefault="007D3E71" w:rsidP="007D3E71">
      <w:pPr>
        <w:pStyle w:val="Affiliation"/>
        <w:rPr>
          <w:rFonts w:ascii="Garamond" w:hAnsi="Garamond"/>
          <w:color w:val="000000" w:themeColor="text1"/>
          <w:sz w:val="22"/>
          <w:szCs w:val="22"/>
        </w:rPr>
      </w:pPr>
      <w:r w:rsidRPr="007D3E71">
        <w:rPr>
          <w:rFonts w:ascii="Garamond" w:hAnsi="Garamond"/>
          <w:color w:val="000000" w:themeColor="text1"/>
          <w:sz w:val="22"/>
          <w:szCs w:val="22"/>
        </w:rPr>
        <w:t>Corresponding author: Kushank Bajaj (</w:t>
      </w:r>
      <w:hyperlink r:id="rId5" w:history="1">
        <w:r w:rsidRPr="007D3E71">
          <w:rPr>
            <w:rStyle w:val="Hyperlink"/>
            <w:rFonts w:ascii="Garamond" w:eastAsiaTheme="majorEastAsia" w:hAnsi="Garamond"/>
            <w:color w:val="000000" w:themeColor="text1"/>
            <w:sz w:val="22"/>
            <w:szCs w:val="22"/>
          </w:rPr>
          <w:t>bjajakushank@gmail.com)</w:t>
        </w:r>
      </w:hyperlink>
      <w:r w:rsidRPr="007D3E71">
        <w:rPr>
          <w:rFonts w:ascii="Garamond" w:hAnsi="Garamond"/>
          <w:color w:val="000000" w:themeColor="text1"/>
          <w:sz w:val="22"/>
          <w:szCs w:val="22"/>
        </w:rPr>
        <w:t xml:space="preserve"> </w:t>
      </w:r>
    </w:p>
    <w:p w14:paraId="1F54E82D" w14:textId="5F6CBBF1" w:rsidR="005F2FFE" w:rsidRDefault="005F2FFE" w:rsidP="00EC3483">
      <w:pPr>
        <w:pStyle w:val="Heading2"/>
        <w:spacing w:line="360" w:lineRule="auto"/>
        <w:rPr>
          <w:rFonts w:ascii="Garamond" w:hAnsi="Garamond"/>
          <w:b/>
          <w:bCs/>
          <w:color w:val="4472C4" w:themeColor="accent1"/>
          <w:sz w:val="24"/>
          <w:szCs w:val="24"/>
        </w:rPr>
      </w:pPr>
    </w:p>
    <w:p w14:paraId="057D4285" w14:textId="505671B4" w:rsidR="00EC3483" w:rsidRPr="001C7871" w:rsidRDefault="00EC3483" w:rsidP="00EC3483">
      <w:pPr>
        <w:pStyle w:val="Heading2"/>
        <w:spacing w:line="360" w:lineRule="auto"/>
        <w:rPr>
          <w:rFonts w:ascii="Garamond" w:hAnsi="Garamond"/>
          <w:b/>
          <w:bCs/>
          <w:color w:val="4472C4" w:themeColor="accent1"/>
          <w:sz w:val="24"/>
          <w:szCs w:val="24"/>
        </w:rPr>
      </w:pPr>
      <w:r w:rsidRPr="001C7871">
        <w:rPr>
          <w:rFonts w:ascii="Garamond" w:hAnsi="Garamond"/>
          <w:b/>
          <w:bCs/>
          <w:color w:val="4472C4" w:themeColor="accent1"/>
          <w:sz w:val="24"/>
          <w:szCs w:val="24"/>
        </w:rPr>
        <w:t>Data Records</w:t>
      </w:r>
    </w:p>
    <w:p w14:paraId="316DA8E8" w14:textId="77777777" w:rsidR="00EC3483" w:rsidRPr="001C7871" w:rsidRDefault="00EC3483" w:rsidP="00EC3483">
      <w:pPr>
        <w:spacing w:line="360" w:lineRule="auto"/>
        <w:ind w:firstLine="720"/>
        <w:rPr>
          <w:rFonts w:ascii="Garamond" w:hAnsi="Garamond"/>
        </w:rPr>
      </w:pPr>
      <w:r w:rsidRPr="001C7871">
        <w:rPr>
          <w:rFonts w:ascii="Garamond" w:hAnsi="Garamond"/>
        </w:rPr>
        <w:t>The food flow data is structured with multiple fields to ensure comprehensive coverage of the supply chain, from origin to destination. Each record is designed to provide a snapshot of the food flow for a specific fruit or vegetable in a particular year. The following breakdown offers a detailed insight into the structure of the food flow data, aiding users in understanding and analyzing the dataset efficiently.</w:t>
      </w:r>
    </w:p>
    <w:p w14:paraId="56F5A149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1C7871">
        <w:rPr>
          <w:rFonts w:ascii="Garamond" w:hAnsi="Garamond"/>
          <w:b/>
          <w:bCs/>
        </w:rPr>
        <w:t>Year</w:t>
      </w:r>
      <w:r w:rsidRPr="001C7871">
        <w:rPr>
          <w:rFonts w:ascii="Garamond" w:hAnsi="Garamond"/>
        </w:rPr>
        <w:t>: This denotes the specific year of the data record, encompassing a 13-year span from 2010 to 2022.</w:t>
      </w:r>
    </w:p>
    <w:p w14:paraId="28395D47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1C7871">
        <w:rPr>
          <w:rFonts w:ascii="Garamond" w:hAnsi="Garamond"/>
          <w:b/>
          <w:bCs/>
        </w:rPr>
        <w:t>Category</w:t>
      </w:r>
      <w:r w:rsidRPr="001C7871">
        <w:rPr>
          <w:rFonts w:ascii="Garamond" w:hAnsi="Garamond"/>
        </w:rPr>
        <w:t>: Every fruit or vegetable is classified into two broad groups, 'Fruits' or 'Vegetables', based on their typical culinary use rather than biological classification.</w:t>
      </w:r>
    </w:p>
    <w:p w14:paraId="3BBC304E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proofErr w:type="spellStart"/>
      <w:r w:rsidRPr="001C7871">
        <w:rPr>
          <w:rFonts w:ascii="Garamond" w:hAnsi="Garamond"/>
          <w:b/>
          <w:bCs/>
        </w:rPr>
        <w:t>FnV_Name</w:t>
      </w:r>
      <w:proofErr w:type="spellEnd"/>
      <w:r w:rsidRPr="001C7871">
        <w:rPr>
          <w:rFonts w:ascii="Garamond" w:hAnsi="Garamond"/>
          <w:b/>
          <w:bCs/>
        </w:rPr>
        <w:t>:</w:t>
      </w:r>
      <w:r w:rsidRPr="001C7871">
        <w:rPr>
          <w:rFonts w:ascii="Garamond" w:hAnsi="Garamond"/>
        </w:rPr>
        <w:t xml:space="preserve"> The specific name of the fruit or vegetable. Our dataset includes 18 fruits and 16 vegetables. A comprehensive list with associated derived commodities is available in Supplementary Table 1.</w:t>
      </w:r>
    </w:p>
    <w:p w14:paraId="3D95ED10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proofErr w:type="spellStart"/>
      <w:r w:rsidRPr="001C7871">
        <w:rPr>
          <w:rFonts w:ascii="Garamond" w:hAnsi="Garamond"/>
          <w:b/>
          <w:bCs/>
        </w:rPr>
        <w:t>FnV_ID</w:t>
      </w:r>
      <w:proofErr w:type="spellEnd"/>
      <w:r w:rsidRPr="001C7871">
        <w:rPr>
          <w:rFonts w:ascii="Garamond" w:hAnsi="Garamond"/>
        </w:rPr>
        <w:t>: Each fruit or vegetable is given a unique identification code derived from the FAO’s standard coding system.</w:t>
      </w:r>
    </w:p>
    <w:p w14:paraId="3BB458A7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1C7871">
        <w:rPr>
          <w:rFonts w:ascii="Garamond" w:hAnsi="Garamond"/>
          <w:b/>
          <w:bCs/>
        </w:rPr>
        <w:t>Source</w:t>
      </w:r>
      <w:r w:rsidRPr="001C7871">
        <w:rPr>
          <w:rFonts w:ascii="Garamond" w:hAnsi="Garamond"/>
        </w:rPr>
        <w:t xml:space="preserve">: These are </w:t>
      </w:r>
      <w:r w:rsidRPr="001C7871">
        <w:rPr>
          <w:rFonts w:ascii="Garamond" w:hAnsi="Garamond"/>
          <w:lang w:val="en-US"/>
        </w:rPr>
        <w:t>regions in which the fruits and vegetables are grown, extracted or processed</w:t>
      </w:r>
      <w:r w:rsidRPr="001C7871">
        <w:rPr>
          <w:rFonts w:ascii="Garamond" w:hAnsi="Garamond"/>
        </w:rPr>
        <w:t>. Source region naming nomenclature has two components divided by “</w:t>
      </w:r>
      <w:proofErr w:type="gramStart"/>
      <w:r w:rsidRPr="001C7871">
        <w:rPr>
          <w:rFonts w:ascii="Garamond" w:hAnsi="Garamond"/>
        </w:rPr>
        <w:t>-“</w:t>
      </w:r>
      <w:proofErr w:type="gramEnd"/>
      <w:r w:rsidRPr="001C7871">
        <w:rPr>
          <w:rFonts w:ascii="Garamond" w:hAnsi="Garamond"/>
        </w:rPr>
        <w:t xml:space="preserve">. The first component represents the sourcing country and is represented by ISO Alpha 2 country codes, except for Canada. Canada is represented by ISO Alpha 3 country code, i.e. “CAN”. The second component represents the state or province in case of US and Canada, respectively. These are represented by two letter </w:t>
      </w:r>
      <w:r w:rsidRPr="001C7871">
        <w:rPr>
          <w:rFonts w:ascii="Garamond" w:hAnsi="Garamond"/>
        </w:rPr>
        <w:lastRenderedPageBreak/>
        <w:t>classification system for admin level 1. For example, California in our dataset is represented as “US-CA”, whereas British Columbia is represented as “CAN-BC”.</w:t>
      </w:r>
    </w:p>
    <w:p w14:paraId="10B9D058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1C7871">
        <w:rPr>
          <w:rFonts w:ascii="Garamond" w:hAnsi="Garamond"/>
          <w:b/>
          <w:bCs/>
        </w:rPr>
        <w:t>Destination</w:t>
      </w:r>
      <w:r w:rsidRPr="001C7871">
        <w:rPr>
          <w:rFonts w:ascii="Garamond" w:hAnsi="Garamond"/>
        </w:rPr>
        <w:t xml:space="preserve">: specifies the Canadian provinces receiving the food. It employs a naming convention </w:t>
      </w:r>
      <w:proofErr w:type="gramStart"/>
      <w:r w:rsidRPr="001C7871">
        <w:rPr>
          <w:rFonts w:ascii="Garamond" w:hAnsi="Garamond"/>
        </w:rPr>
        <w:t>similar to</w:t>
      </w:r>
      <w:proofErr w:type="gramEnd"/>
      <w:r w:rsidRPr="001C7871">
        <w:rPr>
          <w:rFonts w:ascii="Garamond" w:hAnsi="Garamond"/>
        </w:rPr>
        <w:t xml:space="preserve"> the Source field but only includes Canadian provinces. </w:t>
      </w:r>
    </w:p>
    <w:p w14:paraId="437A72FF" w14:textId="77777777" w:rsidR="00EC3483" w:rsidRPr="001C7871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1C7871">
        <w:rPr>
          <w:rFonts w:ascii="Garamond" w:hAnsi="Garamond"/>
          <w:b/>
          <w:bCs/>
        </w:rPr>
        <w:t>Flow</w:t>
      </w:r>
      <w:r w:rsidRPr="001C7871">
        <w:rPr>
          <w:rFonts w:ascii="Garamond" w:hAnsi="Garamond"/>
        </w:rPr>
        <w:t xml:space="preserve">: the estimated flow quantities into Canadian provinces from source regions in tonnes. Any estimated flows under one tonne were not included. </w:t>
      </w:r>
    </w:p>
    <w:p w14:paraId="5EBCEA7A" w14:textId="41CD2AEB" w:rsidR="0013640E" w:rsidRPr="00EC3483" w:rsidRDefault="00EC3483" w:rsidP="00EC3483">
      <w:pPr>
        <w:pStyle w:val="ListParagraph"/>
        <w:numPr>
          <w:ilvl w:val="1"/>
          <w:numId w:val="1"/>
        </w:numPr>
        <w:spacing w:line="360" w:lineRule="auto"/>
        <w:rPr>
          <w:rFonts w:ascii="Garamond" w:hAnsi="Garamond"/>
        </w:rPr>
      </w:pPr>
      <w:r w:rsidRPr="00EC3483">
        <w:rPr>
          <w:rFonts w:ascii="Garamond" w:hAnsi="Garamond"/>
          <w:b/>
          <w:bCs/>
        </w:rPr>
        <w:t>Supply share:</w:t>
      </w:r>
      <w:r w:rsidRPr="00EC3483">
        <w:rPr>
          <w:rFonts w:ascii="Garamond" w:hAnsi="Garamond"/>
        </w:rPr>
        <w:t xml:space="preserve"> Demonstrates the flow's contribution to a province's total consumption. For example, a figure of 0.4 denotes that the </w:t>
      </w:r>
      <w:proofErr w:type="gramStart"/>
      <w:r w:rsidRPr="00EC3483">
        <w:rPr>
          <w:rFonts w:ascii="Garamond" w:hAnsi="Garamond"/>
        </w:rPr>
        <w:t>particular flow</w:t>
      </w:r>
      <w:proofErr w:type="gramEnd"/>
      <w:r w:rsidRPr="00EC3483">
        <w:rPr>
          <w:rFonts w:ascii="Garamond" w:hAnsi="Garamond"/>
        </w:rPr>
        <w:t xml:space="preserve"> represents 40% of the entire consumption for that province. In other words, supply share also considers the food produced domestically within the province.</w:t>
      </w:r>
    </w:p>
    <w:sectPr w:rsidR="0013640E" w:rsidRPr="00EC3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244B6"/>
    <w:multiLevelType w:val="hybridMultilevel"/>
    <w:tmpl w:val="B6404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67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83"/>
    <w:rsid w:val="0013640E"/>
    <w:rsid w:val="004E1DEF"/>
    <w:rsid w:val="00536347"/>
    <w:rsid w:val="005F2FFE"/>
    <w:rsid w:val="006F161B"/>
    <w:rsid w:val="007D3E71"/>
    <w:rsid w:val="00865FB8"/>
    <w:rsid w:val="00965D14"/>
    <w:rsid w:val="00E258DD"/>
    <w:rsid w:val="00E33FF0"/>
    <w:rsid w:val="00E97CED"/>
    <w:rsid w:val="00EC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B3028"/>
  <w15:chartTrackingRefBased/>
  <w15:docId w15:val="{2AC0AE9A-B237-2845-AFEC-0D630EBF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483"/>
  </w:style>
  <w:style w:type="paragraph" w:styleId="Heading1">
    <w:name w:val="heading 1"/>
    <w:basedOn w:val="Normal"/>
    <w:next w:val="Normal"/>
    <w:link w:val="Heading1Char"/>
    <w:uiPriority w:val="9"/>
    <w:qFormat/>
    <w:rsid w:val="00EC3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4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4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4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4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4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4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48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C34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483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483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483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48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483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48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483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C34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8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4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48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C34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483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C3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4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483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C34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3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E71"/>
    <w:rPr>
      <w:color w:val="605E5C"/>
      <w:shd w:val="clear" w:color="auto" w:fill="E1DFDD"/>
    </w:rPr>
  </w:style>
  <w:style w:type="paragraph" w:customStyle="1" w:styleId="Authors">
    <w:name w:val="Authors"/>
    <w:basedOn w:val="Normal"/>
    <w:rsid w:val="007D3E71"/>
    <w:pPr>
      <w:spacing w:before="120" w:after="360"/>
    </w:pPr>
    <w:rPr>
      <w:rFonts w:ascii="Times New Roman" w:eastAsia="Times New Roman" w:hAnsi="Times New Roman" w:cs="Times New Roman"/>
      <w:b/>
      <w:kern w:val="0"/>
      <w:lang w:val="en-US"/>
      <w14:ligatures w14:val="none"/>
    </w:rPr>
  </w:style>
  <w:style w:type="paragraph" w:customStyle="1" w:styleId="Affiliation">
    <w:name w:val="Affiliation"/>
    <w:basedOn w:val="Normal"/>
    <w:qFormat/>
    <w:rsid w:val="007D3E71"/>
    <w:pPr>
      <w:spacing w:before="120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jajakushank@gmail.com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2025-01-21T16:44:00Z</dcterms:created>
  <dcterms:modified xsi:type="dcterms:W3CDTF">2025-01-21T17:22:00Z</dcterms:modified>
</cp:coreProperties>
</file>