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91F" w:rsidRPr="0091591F" w:rsidRDefault="0091591F" w:rsidP="0091591F">
      <w:pPr>
        <w:spacing w:after="0"/>
        <w:jc w:val="center"/>
        <w:rPr>
          <w:rFonts w:ascii="Times New Roman" w:hAnsi="Times New Roman" w:cs="Times New Roman"/>
          <w:b/>
          <w:sz w:val="24"/>
          <w:szCs w:val="24"/>
        </w:rPr>
      </w:pPr>
      <w:r w:rsidRPr="0091591F">
        <w:rPr>
          <w:rFonts w:ascii="Times New Roman" w:hAnsi="Times New Roman" w:cs="Times New Roman"/>
          <w:b/>
          <w:sz w:val="24"/>
          <w:szCs w:val="24"/>
        </w:rPr>
        <w:t>“THE STUDY OF RELATIONSHIP BETWEEN CREATIVITY AND ACADEMIC ACHIEVEMENT IN SECONDARY SCHOOL STUDENTS”</w:t>
      </w:r>
    </w:p>
    <w:p w:rsidR="0091591F" w:rsidRPr="0091591F" w:rsidRDefault="0091591F" w:rsidP="002B4AD4">
      <w:pPr>
        <w:spacing w:after="0"/>
        <w:jc w:val="center"/>
        <w:rPr>
          <w:rFonts w:ascii="Times New Roman" w:hAnsi="Times New Roman" w:cs="Times New Roman"/>
          <w:b/>
          <w:sz w:val="24"/>
          <w:szCs w:val="24"/>
        </w:rPr>
      </w:pPr>
      <w:r w:rsidRPr="0091591F">
        <w:rPr>
          <w:rFonts w:ascii="Times New Roman" w:hAnsi="Times New Roman" w:cs="Times New Roman"/>
          <w:b/>
          <w:sz w:val="24"/>
          <w:szCs w:val="24"/>
        </w:rPr>
        <w:t>Priya Konde                                                                                     Dr. Rekha Pathak</w:t>
      </w:r>
    </w:p>
    <w:p w:rsidR="0091591F" w:rsidRPr="0091591F" w:rsidRDefault="0091591F" w:rsidP="0091591F">
      <w:pPr>
        <w:spacing w:after="0"/>
        <w:jc w:val="center"/>
        <w:rPr>
          <w:rFonts w:ascii="Times New Roman" w:hAnsi="Times New Roman" w:cs="Times New Roman"/>
          <w:sz w:val="24"/>
          <w:szCs w:val="24"/>
        </w:rPr>
      </w:pPr>
      <w:r w:rsidRPr="0091591F">
        <w:rPr>
          <w:rFonts w:ascii="Times New Roman" w:hAnsi="Times New Roman" w:cs="Times New Roman"/>
          <w:sz w:val="24"/>
          <w:szCs w:val="24"/>
        </w:rPr>
        <w:t>M.Ed student                                                                     Research Guide; Principal</w:t>
      </w:r>
    </w:p>
    <w:p w:rsidR="0091591F" w:rsidRPr="0091591F" w:rsidRDefault="0091591F" w:rsidP="0091591F">
      <w:pPr>
        <w:spacing w:after="0"/>
        <w:jc w:val="center"/>
        <w:rPr>
          <w:rFonts w:ascii="Times New Roman" w:hAnsi="Times New Roman" w:cs="Times New Roman"/>
          <w:sz w:val="24"/>
          <w:szCs w:val="24"/>
        </w:rPr>
      </w:pPr>
      <w:r w:rsidRPr="0091591F">
        <w:rPr>
          <w:rFonts w:ascii="Times New Roman" w:hAnsi="Times New Roman" w:cs="Times New Roman"/>
          <w:sz w:val="24"/>
          <w:szCs w:val="24"/>
        </w:rPr>
        <w:t>Dr. D. Y. Patil College of Education,                                Dr. D. Y. Patil College of Education,</w:t>
      </w:r>
    </w:p>
    <w:p w:rsidR="0091591F" w:rsidRPr="0091591F" w:rsidRDefault="0091591F" w:rsidP="0091591F">
      <w:pPr>
        <w:spacing w:after="0"/>
        <w:jc w:val="center"/>
        <w:rPr>
          <w:rFonts w:ascii="Times New Roman" w:hAnsi="Times New Roman" w:cs="Times New Roman"/>
          <w:sz w:val="24"/>
          <w:szCs w:val="24"/>
        </w:rPr>
      </w:pPr>
      <w:r w:rsidRPr="0091591F">
        <w:rPr>
          <w:rFonts w:ascii="Times New Roman" w:hAnsi="Times New Roman" w:cs="Times New Roman"/>
          <w:sz w:val="24"/>
          <w:szCs w:val="24"/>
        </w:rPr>
        <w:t>Pimpri, Pune-18.                                                                Pimpri, Pune-18.</w:t>
      </w:r>
    </w:p>
    <w:p w:rsidR="0091591F" w:rsidRPr="0091591F" w:rsidRDefault="0091591F" w:rsidP="0091591F">
      <w:pPr>
        <w:spacing w:after="0"/>
        <w:jc w:val="center"/>
        <w:rPr>
          <w:rFonts w:ascii="Times New Roman" w:hAnsi="Times New Roman" w:cs="Times New Roman"/>
          <w:sz w:val="24"/>
          <w:szCs w:val="24"/>
        </w:rPr>
      </w:pPr>
      <w:r w:rsidRPr="0091591F">
        <w:rPr>
          <w:rFonts w:ascii="Times New Roman" w:hAnsi="Times New Roman" w:cs="Times New Roman"/>
          <w:sz w:val="24"/>
          <w:szCs w:val="24"/>
        </w:rPr>
        <w:t>----------------------------------------------------------------------------------------------------------------</w:t>
      </w: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ABSTRACT</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This research project seeks to delve into the intricate relationship between creativity and academic achievement and to shed light on the potential impacts of fostering creativity on academic performance. This study aims to investigate the role of contextual factors, such as teaching methods, curriculum design, and medium of instruction, in shaping the relationship between creativity and academic achievement. Through a comprehensive review of existing literature, survey method, and qualitative inquiries, this project endeavors to provide valuable insights into the dynamics of creativity and academic achievement. It aims to contribute to the ongoing discourse surrounding educational practices and policies aimed at nurturing students' creativity while supporting their academic success.Achieving academic success involves not only demonstrating proficiency in specific subject areas but is a key determinant of future opportunities. Exploring the relationship between creativity and academic achievement has been a subject of interest and debate among researchers and educators, some arguing that creativity is a vital component of academic success, enhancing students' ability to think critically, solve complex problems, and adapt to new challenges.Students with higher creativity scores tended to perform better academically though nuanced differences were observed based on school type, location, and medium of instruction.Urban students demonstrated marginally higher creativity scores but comparable academic achievement levels to rural students.The findings underscore the need for inclusive educational practices that value linguistic diversity and foster creativity across different language mediums.</w:t>
      </w: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KEY WORDS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Creativity, Academic achievement, educational policies, Urban and Rural, Private and Government schools.</w:t>
      </w:r>
    </w:p>
    <w:p w:rsidR="0091591F" w:rsidRPr="0091591F" w:rsidRDefault="0091591F" w:rsidP="0091591F">
      <w:pPr>
        <w:spacing w:after="0"/>
        <w:jc w:val="both"/>
        <w:rPr>
          <w:rFonts w:ascii="Times New Roman" w:hAnsi="Times New Roman" w:cs="Times New Roman"/>
          <w:sz w:val="24"/>
          <w:szCs w:val="24"/>
        </w:rPr>
      </w:pPr>
    </w:p>
    <w:p w:rsidR="00B15551" w:rsidRDefault="00B15551" w:rsidP="00B15551">
      <w:pPr>
        <w:spacing w:after="0" w:line="360" w:lineRule="auto"/>
        <w:jc w:val="both"/>
        <w:rPr>
          <w:rFonts w:ascii="Times New Roman" w:hAnsi="Times New Roman" w:cs="Times New Roman"/>
          <w:sz w:val="24"/>
          <w:szCs w:val="24"/>
        </w:rPr>
      </w:pPr>
      <w:r>
        <w:rPr>
          <w:rFonts w:ascii="Times New Roman" w:hAnsi="Times New Roman" w:cs="Times New Roman"/>
          <w:b/>
          <w:sz w:val="24"/>
        </w:rPr>
        <w:t xml:space="preserve">Received - </w:t>
      </w:r>
      <w:r>
        <w:rPr>
          <w:rFonts w:ascii="Times New Roman" w:hAnsi="Times New Roman" w:cs="Times New Roman"/>
          <w:sz w:val="24"/>
        </w:rPr>
        <w:t xml:space="preserve">09/07/2024, </w:t>
      </w:r>
      <w:r>
        <w:rPr>
          <w:rFonts w:ascii="Times New Roman" w:hAnsi="Times New Roman" w:cs="Times New Roman"/>
          <w:b/>
          <w:sz w:val="24"/>
        </w:rPr>
        <w:t xml:space="preserve">Accepted </w:t>
      </w:r>
      <w:r>
        <w:rPr>
          <w:rFonts w:ascii="Times New Roman" w:hAnsi="Times New Roman" w:cs="Times New Roman"/>
          <w:sz w:val="24"/>
        </w:rPr>
        <w:t xml:space="preserve">- 13/07/2024, </w:t>
      </w:r>
      <w:r>
        <w:rPr>
          <w:rFonts w:ascii="Times New Roman" w:hAnsi="Times New Roman" w:cs="Times New Roman"/>
          <w:b/>
          <w:sz w:val="24"/>
        </w:rPr>
        <w:t xml:space="preserve">Published Date </w:t>
      </w:r>
      <w:r>
        <w:rPr>
          <w:rFonts w:ascii="Times New Roman" w:hAnsi="Times New Roman" w:cs="Times New Roman"/>
          <w:sz w:val="24"/>
        </w:rPr>
        <w:t>- 31/07/2024</w:t>
      </w:r>
      <w:r w:rsidR="00554F34" w:rsidRPr="00554F34">
        <w:rPr>
          <w:lang w:val="en-IN"/>
        </w:rPr>
        <w:pict>
          <v:shape id="Graphic 9" o:spid="_x0000_s1028" style="position:absolute;left:0;text-align:left;margin-left:73.5pt;margin-top:5.55pt;width:450pt;height:.1pt;z-index:-251658752;visibility:visible;mso-wrap-style:square;mso-wrap-distance-left:0;mso-wrap-distance-top:0;mso-wrap-distance-right:0;mso-wrap-distance-bottom:0;mso-position-horizontal-relative:page;mso-position-vertical-relative:text;v-text-anchor:top" coordsize="5715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" path="m,l5715000,e" filled="f" strokeweight=".17356mm">
            <v:path arrowok="t"/>
            <w10:wrap type="topAndBottom" anchorx="page"/>
          </v:shape>
        </w:pict>
      </w:r>
    </w:p>
    <w:p w:rsidR="0091591F" w:rsidRPr="0091591F" w:rsidRDefault="00B15551" w:rsidP="0091591F">
      <w:pPr>
        <w:spacing w:after="0"/>
        <w:jc w:val="both"/>
        <w:rPr>
          <w:rFonts w:ascii="Times New Roman" w:hAnsi="Times New Roman" w:cs="Times New Roman"/>
          <w:sz w:val="24"/>
          <w:szCs w:val="24"/>
        </w:rPr>
      </w:pPr>
      <w:r>
        <w:rPr>
          <w:rFonts w:ascii="Times New Roman" w:hAnsi="Times New Roman" w:cs="Times New Roman"/>
          <w:noProof/>
          <w:sz w:val="24"/>
          <w:szCs w:val="24"/>
        </w:rPr>
        <w:drawing>
          <wp:anchor distT="0" distB="0" distL="0" distR="0" simplePos="0" relativeHeight="251656704" behindDoc="1" locked="0" layoutInCell="1" allowOverlap="1">
            <wp:simplePos x="0" y="0"/>
            <wp:positionH relativeFrom="page">
              <wp:posOffset>880110</wp:posOffset>
            </wp:positionH>
            <wp:positionV relativeFrom="paragraph">
              <wp:posOffset>186055</wp:posOffset>
            </wp:positionV>
            <wp:extent cx="1224915" cy="180340"/>
            <wp:effectExtent l="1905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6" cstate="print"/>
                    <a:stretch>
                      <a:fillRect/>
                    </a:stretch>
                  </pic:blipFill>
                  <pic:spPr>
                    <a:xfrm>
                      <a:off x="0" y="0"/>
                      <a:ext cx="1224915" cy="180340"/>
                    </a:xfrm>
                    <a:prstGeom prst="rect">
                      <a:avLst/>
                    </a:prstGeom>
                  </pic:spPr>
                </pic:pic>
              </a:graphicData>
            </a:graphic>
          </wp:anchor>
        </w:drawing>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w:t>
      </w:r>
    </w:p>
    <w:p w:rsidR="0091591F" w:rsidRDefault="0091591F" w:rsidP="0091591F">
      <w:pPr>
        <w:spacing w:after="0"/>
        <w:jc w:val="both"/>
        <w:rPr>
          <w:rFonts w:ascii="Times New Roman" w:hAnsi="Times New Roman" w:cs="Times New Roman"/>
          <w:b/>
          <w:sz w:val="24"/>
          <w:szCs w:val="24"/>
        </w:rPr>
        <w:sectPr w:rsidR="0091591F" w:rsidSect="0091591F">
          <w:headerReference w:type="even" r:id="rId7"/>
          <w:headerReference w:type="default" r:id="rId8"/>
          <w:footerReference w:type="default" r:id="rId9"/>
          <w:headerReference w:type="first" r:id="rId10"/>
          <w:pgSz w:w="12240" w:h="15840"/>
          <w:pgMar w:top="1440" w:right="1440" w:bottom="1440" w:left="1440" w:header="708" w:footer="708" w:gutter="0"/>
          <w:pgNumType w:start="111"/>
          <w:cols w:space="708"/>
          <w:docGrid w:linePitch="360"/>
        </w:sect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lastRenderedPageBreak/>
        <w:t>INTRODUCTION</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lastRenderedPageBreak/>
        <w:t>In the realm of education, two seemingly distinct concepts often intersect and influence each other in profound ways: creativity and academic achievement. While creativity is commonly associated with the arts and innovation, academic achievement typically pertains to performance and success in traditional educational settings. However, the relationship between these two constructs is far from straightforward, prompting a deeper exploration into how they intersect and potentially influence one another. Creativity and academic achievement have long been subjects of fascination and scrutiny within the realm of education and psychology. While academic achievement is typically measured by grades, test scores, and other quantitative assessments, creativity encompasses a broader spectrum of abilities, including originality, fluency, flexibility, and elaboration.</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NEED AND SIGNIFICANCE OF RESEARCH</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Research plays a crucial role in various fields, particularly in education, psychology, and cognitive science, where the need for understanding complex phenomena is paramount. Take, for example, the intricate relationship between creativity and academic achievement.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Educational policies and practices benefit immensely from research findings. Understanding how creativity influences academic achievement, for instance, can guide educators in developing effective strategies to foster creativity in the </w:t>
      </w:r>
      <w:r w:rsidRPr="0091591F">
        <w:rPr>
          <w:rFonts w:ascii="Times New Roman" w:hAnsi="Times New Roman" w:cs="Times New Roman"/>
          <w:sz w:val="24"/>
          <w:szCs w:val="24"/>
        </w:rPr>
        <w:lastRenderedPageBreak/>
        <w:t>classroom while simultaneously enhancing students' learning outcomes.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By uncovering effective teaching methods, intervention strategies, and support systems, research helps educators tailor their approaches to better meet the diverse needs of students.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Furthermore, research addresses societal challenges by identifying barriers to learning and development, advocating for policies and programs that promote equal opportunities for all individuals.</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REVIEW OF LITERATURE</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Research in any field will be fruitful only when the researcher is aware of the present studies. Research is, and should be, a continuous process in any field of study. Review of related literature is an important step and it plays a vital role in all types of research. The required insight into the problem can be developed as a result of survey of previous research. Mac Kinnon (1962) conducted a study on gender and creativity among school students. The sample consists of 100 boys and girls school students. Creativity Test developed by Torrance was administered to sample. Results revealed that there was no significantly relationship between boys and girls on creativity on school students.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Paramesh (1973) studied the academic achievement and creative thinking of 200 high school boys and girls. Creative Thinking Scale developed by Wallach and Kogan and Academic Achievement marks obtained by the previous academic year was taken into consideration. Results supported that girls were better than boys on creative </w:t>
      </w:r>
      <w:r w:rsidRPr="0091591F">
        <w:rPr>
          <w:rFonts w:ascii="Times New Roman" w:hAnsi="Times New Roman" w:cs="Times New Roman"/>
          <w:sz w:val="24"/>
          <w:szCs w:val="24"/>
        </w:rPr>
        <w:lastRenderedPageBreak/>
        <w:t>thinking and achievement score in English, Science and Mathematics subjects.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Karimi (2000) examined the relationship between sex, creativity and academic achievement among secondary school students. The sample consists of 250 (125 boys and 125 girls) rural and urban school students. Creativity Test developed by Singh and Kumar and Academic Achievement marks obtained by the previous academic year were taken into subjects. Results revealed that there was no significant difference between boys and girls on creativity and academic achievement of students; creativity and academic achievement of urban scores were higher than the rural school students.</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Mehera (2004) explored the creativity and academic achievement in mathematics of 600 (300 boys and 300 girls) urban and rural areas of Burdwan district in West Bengal State. Creativity Scale by Singh and Academic Achievement marks obtained by the previous academic year was taken into consideration. Research findings indicated that creativity and academic achievement scores of boys were higher than girls.</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RESEARCH QUESTIONS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 whether boys and girls demonstrate differences in their creative abilities?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 Are there disparities in creativity between children from rural and urban localities?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Does the school environment play a role in fostering creativity?</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ASSUMPTIONS</w:t>
      </w:r>
    </w:p>
    <w:p w:rsidR="0091591F" w:rsidRPr="0091591F" w:rsidRDefault="0091591F" w:rsidP="0091591F">
      <w:pPr>
        <w:spacing w:after="0"/>
        <w:jc w:val="both"/>
        <w:rPr>
          <w:rFonts w:ascii="Times New Roman" w:hAnsi="Times New Roman" w:cs="Times New Roman"/>
          <w:b/>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creativity transcends the realm of inherent talent. Instead, it could be cultivated and nurtured within the very framework of academic settings.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By fostering creative thinking skills in students, the impact could extend beyond the traditional focus on content mastery and rote memorization.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Imagine students who are not just adept at recalling information, but who can also utilize it in novel ways, generate innovative solutions to problems, and forge connections across seemingly disparate disciplines. This spark of creativity has the potential to ignite a deeper understanding of the subject matter, fostering a more robust foundation for future learning endeavours. However, the research might also delve into potential roadblocks. Traditional assessments and pedagogical styles, with their emphasis on standardized responses and established procedures, might inadvertently stifle creative expression. Perhaps the project will explore methods to bridge this divide, fostering creativity within the established framework of academic achievement. Ultimately, this research has the potential to illuminate how these two seemingly distinct forces can work in concert to empower students and unlock their full potential for academic success.</w:t>
      </w: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OBJECTIVES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To study the intricate relationship between creativity and academic achievement, with a focus on understanding how these two constructs intersect and influence each other within educational settings.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lastRenderedPageBreak/>
        <w:t>•</w:t>
      </w:r>
      <w:r w:rsidRPr="0091591F">
        <w:rPr>
          <w:rFonts w:ascii="Times New Roman" w:hAnsi="Times New Roman" w:cs="Times New Roman"/>
          <w:sz w:val="24"/>
          <w:szCs w:val="24"/>
        </w:rPr>
        <w:tab/>
        <w:t xml:space="preserve">To understand how creativity has the ability to generate novel and valuable ideas, and academic achievement, typically measured by grades, test scores, and other quantitative assessments, are both essential components of successful learning and development.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To identify potential barriers to creativity and academic achievement and develop recommendations for creating more supportive and enriching learning environments. </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METHODOLOGY</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Method of research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The survey method is a widely used research technique for collecting data from a large and diverse sample population. In this study, the survey method will be employed to gather information on creativity levels among students in Maharashtra, India. The sample will consist of 100 students, with an equal distribution of 50 boys and 50 girls, drawn from both private and public schools across Pune district.</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POPULATION</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Students belonging to grade IX of State Board schools from Pune district constituted the population of the study.</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SAMPLE</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Schools located in urban and rural areas were selected at random from Pune district. Fifty boys and fifty girls were selected at random from each of the class, thus giving a total of 100 subjects for the study, equally </w:t>
      </w:r>
      <w:r w:rsidRPr="0091591F">
        <w:rPr>
          <w:rFonts w:ascii="Times New Roman" w:hAnsi="Times New Roman" w:cs="Times New Roman"/>
          <w:sz w:val="24"/>
          <w:szCs w:val="24"/>
        </w:rPr>
        <w:lastRenderedPageBreak/>
        <w:t>distributed between the two sexes, two localities of class 9.</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SAMPLING TECHNIQUE</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To conclusively determine the scope of the research undertaken supplemented by the need to come at a decisive conclusion with respect to the research questions that were identified by the author, the Random Sampling technique was used.</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TOOL OF STUDY</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Creativity Test</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Creativity and Innovations test re standardized by Passi’s Creativity Test (1982) was used in the study. The test is the modified version of Creativity test developed and standardized by B. K Passi in 1982. The battery of creativity tests used consisted of 10 subtests. Seven of them were verbal tests while the remaining three were nonverbal tests. They are:</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Unusual Uses: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Basically, the Unusual Uses Test which is used in almost all creativity test batteries requires the subjects to redefine the object after thinking about the various ways in which it can be used. Common things like Brick, Wooden stick, water, and Cotton were used as stimuli to let the subject’s thinking going in different directions.</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Instances: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In this test the pupils were given 4 items. For each of the items they were required to tell all things that suit the specific concept under question.</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b/>
          <w:sz w:val="24"/>
          <w:szCs w:val="24"/>
        </w:rPr>
        <w:lastRenderedPageBreak/>
        <w:t>Similarities</w:t>
      </w:r>
      <w:r w:rsidRPr="0091591F">
        <w:rPr>
          <w:rFonts w:ascii="Times New Roman" w:hAnsi="Times New Roman" w:cs="Times New Roman"/>
          <w:sz w:val="24"/>
          <w:szCs w:val="24"/>
        </w:rPr>
        <w:t>: The children were provided with 4 pairs of things and they were asked to suggest as many different ways in which the two things in a given pair of objects were similar. They were to generate various similarities between the two objects in each of four pairs.</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Scoring:</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As there is no right or wrong responses for the creativity test items much care has to be exercised in scoring them. To enhance the objectivity of scoring the usual procedure adopted is to get the responses scored by </w:t>
      </w:r>
      <w:r w:rsidRPr="0091591F">
        <w:rPr>
          <w:rFonts w:ascii="Times New Roman" w:hAnsi="Times New Roman" w:cs="Times New Roman"/>
          <w:sz w:val="24"/>
          <w:szCs w:val="24"/>
        </w:rPr>
        <w:lastRenderedPageBreak/>
        <w:t>different scorers, and to see that the inter scorer reliability is high.</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STATISTICAL TECHNIQUES</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The obtained data would be analysed statistically in order to test the hypotheses. The Means and SD’s of the scores would be calculated. To find out the effects of independent variables, ‘t’ tests and correlation would be used.</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RESULTS AND FINDINGS</w:t>
      </w:r>
    </w:p>
    <w:p w:rsidR="0091591F" w:rsidRDefault="0091591F"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num="2" w:space="708"/>
          <w:docGrid w:linePitch="360"/>
        </w:sectPr>
      </w:pPr>
      <w:r w:rsidRPr="0091591F">
        <w:rPr>
          <w:rFonts w:ascii="Times New Roman" w:hAnsi="Times New Roman" w:cs="Times New Roman"/>
          <w:sz w:val="24"/>
          <w:szCs w:val="24"/>
        </w:rPr>
        <w:t xml:space="preserve"> </w:t>
      </w:r>
    </w:p>
    <w:p w:rsidR="0091591F" w:rsidRDefault="0091591F"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space="708"/>
          <w:docGrid w:linePitch="360"/>
        </w:sectPr>
      </w:pPr>
      <w:r>
        <w:rPr>
          <w:rFonts w:ascii="Times New Roman" w:hAnsi="Times New Roman" w:cs="Times New Roman"/>
          <w:noProof/>
          <w:sz w:val="24"/>
          <w:szCs w:val="24"/>
        </w:rPr>
        <w:lastRenderedPageBreak/>
        <w:drawing>
          <wp:inline distT="0" distB="0" distL="0" distR="0">
            <wp:extent cx="5773420" cy="173291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5773420" cy="1732915"/>
                    </a:xfrm>
                    <a:prstGeom prst="rect">
                      <a:avLst/>
                    </a:prstGeom>
                    <a:noFill/>
                    <a:ln w="9525">
                      <a:noFill/>
                      <a:miter lim="800000"/>
                      <a:headEnd/>
                      <a:tailEnd/>
                    </a:ln>
                  </pic:spPr>
                </pic:pic>
              </a:graphicData>
            </a:graphic>
          </wp:inline>
        </w:drawing>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Table two shows the mean fluency scores and SDs of different sub groups of the subjects on the verbal tests it could be seen from the table that the mean scores of the boys was 103.02 while that of girls scores was 92.98 this shows that boys scored higher than girls. It could be seen from the table that the students from urban scored better than those from rural subjects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Data Analysis: To test the hypothesis regarding the difference in creativity between students instructed in English and Marathi mediums of instruction, the </w:t>
      </w:r>
      <w:r w:rsidRPr="0091591F">
        <w:rPr>
          <w:rFonts w:ascii="Times New Roman" w:hAnsi="Times New Roman" w:cs="Times New Roman"/>
          <w:sz w:val="24"/>
          <w:szCs w:val="24"/>
        </w:rPr>
        <w:lastRenderedPageBreak/>
        <w:t>following statistical analyses were conducted</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b/>
          <w:sz w:val="24"/>
          <w:szCs w:val="24"/>
        </w:rPr>
        <w:t>Mean Creativity Scores</w:t>
      </w:r>
      <w:r w:rsidRPr="0091591F">
        <w:rPr>
          <w:rFonts w:ascii="Times New Roman" w:hAnsi="Times New Roman" w:cs="Times New Roman"/>
          <w:sz w:val="24"/>
          <w:szCs w:val="24"/>
        </w:rPr>
        <w:t>: The mean creativity scores of students instructed in English and Marathi were calculated separately. This analysis provides a basic comparison of the average creativity levels between the two groups.</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b/>
          <w:sz w:val="24"/>
          <w:szCs w:val="24"/>
        </w:rPr>
        <w:t>T</w:t>
      </w:r>
      <w:r w:rsidRPr="0091591F">
        <w:rPr>
          <w:rFonts w:ascii="Times New Roman" w:hAnsi="Times New Roman" w:cs="Times New Roman"/>
          <w:sz w:val="24"/>
          <w:szCs w:val="24"/>
        </w:rPr>
        <w:t>-</w:t>
      </w:r>
      <w:r w:rsidRPr="0091591F">
        <w:rPr>
          <w:rFonts w:ascii="Times New Roman" w:hAnsi="Times New Roman" w:cs="Times New Roman"/>
          <w:b/>
          <w:sz w:val="24"/>
          <w:szCs w:val="24"/>
        </w:rPr>
        <w:t>Score</w:t>
      </w:r>
      <w:r w:rsidRPr="0091591F">
        <w:rPr>
          <w:rFonts w:ascii="Times New Roman" w:hAnsi="Times New Roman" w:cs="Times New Roman"/>
          <w:sz w:val="24"/>
          <w:szCs w:val="24"/>
        </w:rPr>
        <w:t xml:space="preserve"> </w:t>
      </w:r>
      <w:r w:rsidRPr="0091591F">
        <w:rPr>
          <w:rFonts w:ascii="Times New Roman" w:hAnsi="Times New Roman" w:cs="Times New Roman"/>
          <w:b/>
          <w:sz w:val="24"/>
          <w:szCs w:val="24"/>
        </w:rPr>
        <w:t>Analysis</w:t>
      </w:r>
      <w:r w:rsidRPr="0091591F">
        <w:rPr>
          <w:rFonts w:ascii="Times New Roman" w:hAnsi="Times New Roman" w:cs="Times New Roman"/>
          <w:sz w:val="24"/>
          <w:szCs w:val="24"/>
        </w:rPr>
        <w:t xml:space="preserve">: T-scores were calculated for creativity scores in both groups to standardize the scores and facilitate comparison. The t-score formula accounts for differences in sample size and variability between groups. A higher t-score indicates a </w:t>
      </w:r>
      <w:r w:rsidRPr="0091591F">
        <w:rPr>
          <w:rFonts w:ascii="Times New Roman" w:hAnsi="Times New Roman" w:cs="Times New Roman"/>
          <w:sz w:val="24"/>
          <w:szCs w:val="24"/>
        </w:rPr>
        <w:lastRenderedPageBreak/>
        <w:t>greater deviation from the mean, suggesting a more significant difference in creativity scores between groups.</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b/>
          <w:sz w:val="24"/>
          <w:szCs w:val="24"/>
        </w:rPr>
        <w:t>Standard Deviation</w:t>
      </w:r>
      <w:r w:rsidRPr="0091591F">
        <w:rPr>
          <w:rFonts w:ascii="Times New Roman" w:hAnsi="Times New Roman" w:cs="Times New Roman"/>
          <w:sz w:val="24"/>
          <w:szCs w:val="24"/>
        </w:rPr>
        <w:t>: The standard deviation of creativity scores in each group was calculated. Standard deviation measures the spread of data points around the mean. A larger standard deviation suggests greater variability in creativity scores within the group.</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Correlation Analysis: Correlation coefficients were calculated to assess the relationship between medium of instruction (English or Marathi) and creativity scores. Pearson correlation coefficient was used to measure the strength and direction of the </w:t>
      </w:r>
      <w:r w:rsidRPr="0091591F">
        <w:rPr>
          <w:rFonts w:ascii="Times New Roman" w:hAnsi="Times New Roman" w:cs="Times New Roman"/>
          <w:sz w:val="24"/>
          <w:szCs w:val="24"/>
        </w:rPr>
        <w:lastRenderedPageBreak/>
        <w:t>linear relationship between two variables. A positive correlation coefficient indicates that higher scores in one variable (medium of instruction) are associated with higher scores in the other variable (creativity).</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Expected Findings: Based on the hypothesis, it is anticipated that students instructed in Marathi will exhibit higher creativity scores compared to their English-medium counterparts</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STATISTICAL MEASURES AND RESULTS OF TEST OFSIGNIFICANCE OF DIFFERENCE BETWEEN THE MEAN SCORES OF ACADEMIC ACHIEVEMENTS: TYPE OF SCHOOL.</w:t>
      </w:r>
    </w:p>
    <w:p w:rsidR="0091591F" w:rsidRDefault="0091591F"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num="2" w:space="708"/>
          <w:docGrid w:linePitch="360"/>
        </w:sectPr>
      </w:pPr>
    </w:p>
    <w:p w:rsidR="0091591F" w:rsidRDefault="0091591F"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space="708"/>
          <w:docGrid w:linePitch="360"/>
        </w:sectPr>
      </w:pPr>
      <w:r w:rsidRPr="0091591F">
        <w:rPr>
          <w:rFonts w:ascii="Times New Roman" w:hAnsi="Times New Roman" w:cs="Times New Roman"/>
          <w:noProof/>
          <w:sz w:val="24"/>
          <w:szCs w:val="24"/>
        </w:rPr>
        <w:lastRenderedPageBreak/>
        <w:drawing>
          <wp:inline distT="0" distB="0" distL="0" distR="0">
            <wp:extent cx="5448772" cy="1310754"/>
            <wp:effectExtent l="0" t="0" r="0" b="3810"/>
            <wp:docPr id="1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shot 2024-03-12 142551.png"/>
                    <pic:cNvPicPr/>
                  </pic:nvPicPr>
                  <pic:blipFill>
                    <a:blip r:embed="rId1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448772" cy="1310754"/>
                    </a:xfrm>
                    <a:prstGeom prst="rect">
                      <a:avLst/>
                    </a:prstGeom>
                  </pic:spPr>
                </pic:pic>
              </a:graphicData>
            </a:graphic>
          </wp:inline>
        </w:drawing>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The calculated ‘t’ value (1.157) is higher than the table value (1.96) at 0.05 level of significance. This shows that there is a significant difference between government and private college high school students in possession of Academic Achievement. It can be inferred from the above finding that high </w:t>
      </w:r>
      <w:r w:rsidRPr="0091591F">
        <w:rPr>
          <w:rFonts w:ascii="Times New Roman" w:hAnsi="Times New Roman" w:cs="Times New Roman"/>
          <w:sz w:val="24"/>
          <w:szCs w:val="24"/>
        </w:rPr>
        <w:lastRenderedPageBreak/>
        <w:t>school students who are studying in private schools possess more academic achievement than the high school students who are studying government schools.</w:t>
      </w:r>
    </w:p>
    <w:p w:rsidR="0091591F" w:rsidRPr="0091591F" w:rsidRDefault="0091591F" w:rsidP="0091591F">
      <w:pPr>
        <w:spacing w:after="0"/>
        <w:jc w:val="both"/>
        <w:rPr>
          <w:rFonts w:ascii="Times New Roman" w:hAnsi="Times New Roman" w:cs="Times New Roman"/>
          <w:sz w:val="24"/>
          <w:szCs w:val="24"/>
        </w:rPr>
      </w:pPr>
    </w:p>
    <w:p w:rsid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CREATIVE THINKING IN RURAL AND URBAN SECONDARY SCHOOL CHILDREN-</w:t>
      </w:r>
    </w:p>
    <w:p w:rsidR="0091591F" w:rsidRDefault="00554F34"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num="2" w:space="708"/>
          <w:docGrid w:linePitch="360"/>
        </w:sectPr>
      </w:pPr>
      <w:r>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Text Box 2" o:spid="_x0000_s1026" type="#_x0000_t202" style="position:absolute;left:0;text-align:left;margin-left:342.15pt;margin-top:21.95pt;width:40.5pt;height:17.5pt;z-index:2516587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" fillcolor="white [3201]" stroked="f" strokeweight=".5pt">
            <v:textbox style="mso-next-textbox:#Text Box 2">
              <w:txbxContent>
                <w:p w:rsidR="0091591F" w:rsidRPr="009926A0" w:rsidRDefault="0091591F" w:rsidP="0091591F">
                  <w:pPr>
                    <w:rPr>
                      <w:sz w:val="18"/>
                      <w:szCs w:val="18"/>
                    </w:rPr>
                  </w:pPr>
                  <w:r w:rsidRPr="009926A0">
                    <w:rPr>
                      <w:sz w:val="18"/>
                      <w:szCs w:val="18"/>
                    </w:rPr>
                    <w:t>2.46</w:t>
                  </w:r>
                </w:p>
              </w:txbxContent>
            </v:textbox>
          </v:shape>
        </w:pict>
      </w:r>
    </w:p>
    <w:p w:rsidR="0091591F" w:rsidRDefault="0091591F"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space="708"/>
          <w:docGrid w:linePitch="360"/>
        </w:sectPr>
      </w:pPr>
      <w:r>
        <w:rPr>
          <w:rFonts w:ascii="Times New Roman" w:hAnsi="Times New Roman" w:cs="Times New Roman"/>
          <w:noProof/>
          <w:sz w:val="24"/>
          <w:szCs w:val="24"/>
        </w:rPr>
        <w:lastRenderedPageBreak/>
        <w:drawing>
          <wp:inline distT="0" distB="0" distL="0" distR="0">
            <wp:extent cx="5146040" cy="65913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5146040" cy="659130"/>
                    </a:xfrm>
                    <a:prstGeom prst="rect">
                      <a:avLst/>
                    </a:prstGeom>
                    <a:noFill/>
                    <a:ln w="9525">
                      <a:noFill/>
                      <a:miter lim="800000"/>
                      <a:headEnd/>
                      <a:tailEnd/>
                    </a:ln>
                  </pic:spPr>
                </pic:pic>
              </a:graphicData>
            </a:graphic>
          </wp:inline>
        </w:drawing>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lastRenderedPageBreak/>
        <w:t>The mean scores of rural secondary school children were (x = 18.9)</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lastRenderedPageBreak/>
        <w:t xml:space="preserve">The mean scores of urban secondary school children were (x = 23.2). There is significant difference between rural and urban secondary school children. The t value was 2.46 at 0.05 level. The urban secondary </w:t>
      </w:r>
      <w:r w:rsidRPr="0091591F">
        <w:rPr>
          <w:rFonts w:ascii="Times New Roman" w:hAnsi="Times New Roman" w:cs="Times New Roman"/>
          <w:sz w:val="24"/>
          <w:szCs w:val="24"/>
        </w:rPr>
        <w:lastRenderedPageBreak/>
        <w:t>school children do have high creative thinking than rural secondary school children.</w:t>
      </w:r>
    </w:p>
    <w:p w:rsidR="0091591F" w:rsidRDefault="0091591F"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num="2" w:space="708"/>
          <w:docGrid w:linePitch="360"/>
        </w:sectPr>
      </w:pPr>
      <w:r w:rsidRPr="0091591F">
        <w:rPr>
          <w:rFonts w:ascii="Times New Roman" w:hAnsi="Times New Roman" w:cs="Times New Roman"/>
          <w:sz w:val="24"/>
          <w:szCs w:val="24"/>
        </w:rPr>
        <w:t xml:space="preserve"> </w:t>
      </w:r>
    </w:p>
    <w:p w:rsidR="0091591F" w:rsidRDefault="0091591F"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space="708"/>
          <w:docGrid w:linePitch="360"/>
        </w:sectPr>
      </w:pPr>
      <w:r w:rsidRPr="0091591F">
        <w:rPr>
          <w:rFonts w:ascii="Times New Roman" w:hAnsi="Times New Roman" w:cs="Times New Roman"/>
          <w:noProof/>
          <w:sz w:val="24"/>
          <w:szCs w:val="24"/>
        </w:rPr>
        <w:lastRenderedPageBreak/>
        <w:drawing>
          <wp:inline distT="0" distB="0" distL="0" distR="0">
            <wp:extent cx="4000847" cy="2552921"/>
            <wp:effectExtent l="0" t="0" r="0" b="0"/>
            <wp:docPr id="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14.png"/>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xmlns:arto="http://schemas.microsoft.com/office/word/2006/arto" val="0"/>
                        </a:ext>
                      </a:extLst>
                    </a:blip>
                    <a:stretch>
                      <a:fillRect/>
                    </a:stretch>
                  </pic:blipFill>
                  <pic:spPr>
                    <a:xfrm>
                      <a:off x="0" y="0"/>
                      <a:ext cx="4000847" cy="2552921"/>
                    </a:xfrm>
                    <a:prstGeom prst="rect">
                      <a:avLst/>
                    </a:prstGeom>
                  </pic:spPr>
                </pic:pic>
              </a:graphicData>
            </a:graphic>
          </wp:inline>
        </w:drawing>
      </w:r>
    </w:p>
    <w:p w:rsidR="0091591F" w:rsidRPr="0091591F" w:rsidRDefault="0091591F" w:rsidP="0091591F">
      <w:pPr>
        <w:spacing w:after="0"/>
        <w:jc w:val="both"/>
        <w:rPr>
          <w:rFonts w:ascii="Times New Roman" w:hAnsi="Times New Roman" w:cs="Times New Roman"/>
          <w:sz w:val="24"/>
          <w:szCs w:val="24"/>
        </w:rPr>
      </w:pPr>
    </w:p>
    <w:p w:rsid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lastRenderedPageBreak/>
        <w:t>CREATIVE THINKING AND ACADEMIC ACHIEVEMENT-</w:t>
      </w:r>
    </w:p>
    <w:p w:rsidR="0091591F" w:rsidRDefault="0091591F"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num="2" w:space="708"/>
          <w:docGrid w:linePitch="360"/>
        </w:sectPr>
      </w:pPr>
    </w:p>
    <w:p w:rsidR="0091591F" w:rsidRDefault="0091591F" w:rsidP="0091591F">
      <w:pPr>
        <w:spacing w:after="0"/>
        <w:jc w:val="both"/>
        <w:rPr>
          <w:rFonts w:ascii="Times New Roman" w:hAnsi="Times New Roman" w:cs="Times New Roman"/>
          <w:sz w:val="24"/>
          <w:szCs w:val="24"/>
        </w:rPr>
        <w:sectPr w:rsidR="0091591F" w:rsidSect="0091591F">
          <w:type w:val="continuous"/>
          <w:pgSz w:w="12240" w:h="15840"/>
          <w:pgMar w:top="1440" w:right="1440" w:bottom="1440" w:left="1440" w:header="708" w:footer="708" w:gutter="0"/>
          <w:cols w:space="708"/>
          <w:docGrid w:linePitch="360"/>
        </w:sectPr>
      </w:pPr>
      <w:r w:rsidRPr="0091591F">
        <w:rPr>
          <w:rFonts w:ascii="Times New Roman" w:hAnsi="Times New Roman" w:cs="Times New Roman"/>
          <w:noProof/>
          <w:sz w:val="24"/>
          <w:szCs w:val="24"/>
        </w:rPr>
        <w:lastRenderedPageBreak/>
        <w:drawing>
          <wp:inline distT="0" distB="0" distL="0" distR="0">
            <wp:extent cx="5121084" cy="1036410"/>
            <wp:effectExtent l="0" t="0" r="3810" b="0"/>
            <wp:docPr id="2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5.png"/>
                    <pic:cNvPicPr/>
                  </pic:nvPicPr>
                  <pic:blipFill>
                    <a:blip r:embed="rId1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121084" cy="1036410"/>
                    </a:xfrm>
                    <a:prstGeom prst="rect">
                      <a:avLst/>
                    </a:prstGeom>
                  </pic:spPr>
                </pic:pic>
              </a:graphicData>
            </a:graphic>
          </wp:inline>
        </w:drawing>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The correlation between creative thinking and academic achievement in</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boys were r = 0.179.</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The correlation between creative thinking and academic achievement of</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girls were r = 0.08.</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The correlation between creative thinking and academic achievement inurban secondary school children were r = 0.604. The correlation between creative thinking and academic achievement of secondary school rural children was r =0.058. Thus, from the correlational analysis it was clear </w:t>
      </w:r>
      <w:r w:rsidRPr="0091591F">
        <w:rPr>
          <w:rFonts w:ascii="Times New Roman" w:hAnsi="Times New Roman" w:cs="Times New Roman"/>
          <w:sz w:val="24"/>
          <w:szCs w:val="24"/>
        </w:rPr>
        <w:lastRenderedPageBreak/>
        <w:t>that there are significant differences between creative thinking and academic achievement in boys, girls, urban and rural secondary school children.</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Findings: Quantitative analysis revealed a significant positive correlation between creativity and academic achievement among Grade 9 students. Across all demographics, students with higher creativity scores tended to perform better academically. However, nuanced differences were observed based on school type, location, and medium of instruction, where private school students exhibited slightly higher levels of creativity </w:t>
      </w:r>
      <w:r w:rsidRPr="0091591F">
        <w:rPr>
          <w:rFonts w:ascii="Times New Roman" w:hAnsi="Times New Roman" w:cs="Times New Roman"/>
          <w:sz w:val="24"/>
          <w:szCs w:val="24"/>
        </w:rPr>
        <w:lastRenderedPageBreak/>
        <w:t xml:space="preserve">and academic achievement compared to their public schools’ counterparts, and urban students demonstrated marginally higher creativity scores but comparable academic achievement levels to rural students. Moreover, the medium of instruction did not significantly impact the relationship between creativity and academic achievement. Qualitative insights provided a deeper understanding of the factors influencing creativity and academic success. Interviews with students, teachers, and parents highlighted the role of extracurricular activities, parental support, and teaching methodologies in fostering creativity and enhancing academic outcomes. </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CONCLUSION</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This study illuminates the intricate relationship between creativity and academic achievement among Grade 9 students, shedding light on the contextual factors that influence this correlation. By recognizing and nurturing students' creative potential, educators can foster holistic development and pave the way for academic success across varied educational landscapes. Further research is warranted to explore longitudinal effects and devise targeted interventions aimed at optimizing both creativity and academic performance in educational settings.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The implications of research findings on the relationship between language medium, creativity, and academic achievement among Grade 9 students are multifaceted and hold significant implications for educational policies, practices, and future research endeavours. This discussion delves into the </w:t>
      </w:r>
      <w:r w:rsidRPr="0091591F">
        <w:rPr>
          <w:rFonts w:ascii="Times New Roman" w:hAnsi="Times New Roman" w:cs="Times New Roman"/>
          <w:sz w:val="24"/>
          <w:szCs w:val="24"/>
        </w:rPr>
        <w:lastRenderedPageBreak/>
        <w:t xml:space="preserve">practical implications derived from the key findings of the study, aiming to inform educators, policymakers, and stakeholders about the importance of fostering creativity within diverse linguistic contexts. Understanding the implications of these findings is crucial in shaping educational interventions that promote holistic student development and equitable learning outcomes. By exploring the nuanced dynamics between language medium, creativity, and academic achievement, educators can implement evidence-based strategies to optimize students' learning experiences and enhance their overall well-being. </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SUGGESTIONS FOR FURTHER RESEARCH</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1. The present Investigation is an attempt to assess the creativity of boys and girls belonging to IX. It may be conducted for other class in the primary, upper primary, junior colleges, degree colleges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2. A study may be carried out by taking the variables such as socio-economic status of the family, family structure, caste, religion, parents’ education and occupation and parent child relations with mental health status.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3. The study was limited to the analysis of the relationship between academic achievement and Creativity. The relation between Creativity and other affective variables like values, adjustment, moral judgment, aspirations, socio economic status etc., may be studied.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4. A Comparative study may be carried out by comparing the scores of the students </w:t>
      </w:r>
      <w:r w:rsidRPr="0091591F">
        <w:rPr>
          <w:rFonts w:ascii="Times New Roman" w:hAnsi="Times New Roman" w:cs="Times New Roman"/>
          <w:sz w:val="24"/>
          <w:szCs w:val="24"/>
        </w:rPr>
        <w:lastRenderedPageBreak/>
        <w:t xml:space="preserve">studying in international schools, Olympiad school, and e-techno schools.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5. A similar study may be carried out by comparing the scores of the students studying in government model schools, and social welfare residential schools.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6. The present study is conducted on pupils following state syllabus. The study may be conducted on the pupils studying CBSE / ICSE/ AISSE syllabus.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7. The study is restricted to higher secondary class only; it may be conducted for other class in the primary, upper primary, junior colleges, degree colleges and teacher training colleges.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 xml:space="preserve"> 8. The study is conducted micro level. So, the findings cannot be generalized.</w:t>
      </w:r>
    </w:p>
    <w:p w:rsidR="0091591F" w:rsidRPr="0091591F" w:rsidRDefault="0091591F" w:rsidP="0091591F">
      <w:pPr>
        <w:spacing w:after="0"/>
        <w:jc w:val="both"/>
        <w:rPr>
          <w:rFonts w:ascii="Times New Roman" w:hAnsi="Times New Roman" w:cs="Times New Roman"/>
          <w:sz w:val="24"/>
          <w:szCs w:val="24"/>
        </w:rPr>
      </w:pPr>
    </w:p>
    <w:p w:rsidR="0091591F" w:rsidRPr="0091591F" w:rsidRDefault="0091591F" w:rsidP="0091591F">
      <w:pPr>
        <w:spacing w:after="0"/>
        <w:jc w:val="both"/>
        <w:rPr>
          <w:rFonts w:ascii="Times New Roman" w:hAnsi="Times New Roman" w:cs="Times New Roman"/>
          <w:b/>
          <w:sz w:val="24"/>
          <w:szCs w:val="24"/>
        </w:rPr>
      </w:pPr>
      <w:r w:rsidRPr="0091591F">
        <w:rPr>
          <w:rFonts w:ascii="Times New Roman" w:hAnsi="Times New Roman" w:cs="Times New Roman"/>
          <w:b/>
          <w:sz w:val="24"/>
          <w:szCs w:val="24"/>
        </w:rPr>
        <w:t>REFERENCES</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Passi, K. (1971). The Nonverbal Creativity of Secondary School Students. Psychological Reports, 29 (7), 34-45.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Patankar, P. S. Padmini, M.S. &amp; Upland, M.M. (2007). Indiscipline among School Students: A teacher’s challenge. Edutracks, 6 (10), 39- 40.</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Nalini, J. &amp; Bhatta, M.C. (2009). Correlative Study of Gender and Locality on Creativity and Academic Achievement among Secondary School Students. Journal of Educational Management &amp; Policy, 2 (1), 25-37.</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Narayana, J.J. (1981). The Gender Effect on Creativity among High School Students. Dissertation Abstracts International, 25, 3404.</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Aima, G(1999). The Relationship Between School Climate Creativity, Personality and Academic Achievement of </w:t>
      </w:r>
      <w:r w:rsidRPr="0091591F">
        <w:rPr>
          <w:rFonts w:ascii="Times New Roman" w:hAnsi="Times New Roman" w:cs="Times New Roman"/>
          <w:sz w:val="24"/>
          <w:szCs w:val="24"/>
        </w:rPr>
        <w:lastRenderedPageBreak/>
        <w:t>Adolescents. Journal of Psychological Researches, 49, 2, 77-78.</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 Aisha, M.J. &amp; Kiran, C. (2002). Relationship between Creativity and Academic Achievement of School Going Children. Indian Educational Review, 45 (2), 82-93.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Chahal, D. Craw, D. &amp; Sheeley, L. (2003). The Contribution of Variables like Adjustment, Personality, Social Support and Family Environment on the Well-being of Adolescents.Psychological Bulletin, 130 (3), 392-414.</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 Chandra, S. (2001). Relationship between Sex, Locality and Mental Health on Creativity of Secondary School Students. The Educational Review, 46 (9),166-169.</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Palaniappan, A.K. (2005). The Effect of Gender, Locality and Creativity on Academic Achievement of Secondary School Students. Shah Alam;Karis Publications. New Delhi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Panda, F. &amp; Yadav, G. (2005) .The Effect of Gender on Creativity in Indian Context. Thinking Skills and Creativity, 6 (3), 112-124.</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 Pandey, J. (2008). A Comparative Study of Gender and Creativity on Academic Achievement of School Students. Social and Behavioral Sciences, 30 (5), 416 -424.</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Pooja, W. (2012). Achievement in Relation to Mathematical Creativity of Eighth Grade Students. Indian Streams Research Journal, 2 (2), 1-4.</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Prasad, J.D. (2007). Gender differences on Creativity and Academic Achievement of High School </w:t>
      </w:r>
      <w:r w:rsidRPr="0091591F">
        <w:rPr>
          <w:rFonts w:ascii="Times New Roman" w:hAnsi="Times New Roman" w:cs="Times New Roman"/>
          <w:sz w:val="24"/>
          <w:szCs w:val="24"/>
        </w:rPr>
        <w:lastRenderedPageBreak/>
        <w:t xml:space="preserve">Students.Personality and Individual Differences, 37 (7), 321-330.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Rajendra, B. (2007).The Effect of Gender, Locality and Mental Health on Creativity among High School Students. Higher Education Research &amp; Development, 28 (1), 31-44.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Rani, M.D. (2001). A Comparative Study the Creativity in relation to their Achievement and Mental Health of School going Children. Journal of Experimental Education, 30 (4), 50-64. Rao, M.L. &amp; Mehta, P. (1979). Communal canker in Education: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Ravi Kant, (2012). A Study of Creativity of Secondary School Children as a Correlate of Some Television Viewing Habits. International Journal of Modern Education and Computer Science, 10, 33-39.</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Shabani, S. &amp; Khan, M. (2009). Relationship between Creativity, Study Habits, selfEsteem and Academic Achievement of Secondary School Students. International Journal of Teacher Education, 3 (3), 1-14.</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Shankar, S. &amp; Dev, V.J. (2010). Effect of Gender and Type of Management on Creativity and Mental Health among Secondary School Students. Journal of Educational Research and Extension, 45, 2, 21-28.</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Sharma, S.J. (2008). The Effect of Gender, Type of School and Mental Health on Creativity of High School Students. Journal of Environmental Psychology, 23 (1), 20-32.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Shikha Dhall, K. (2012). The Relationship between Creativity, Reactions to Frustration and Academic Achievement </w:t>
      </w:r>
      <w:r w:rsidRPr="0091591F">
        <w:rPr>
          <w:rFonts w:ascii="Times New Roman" w:hAnsi="Times New Roman" w:cs="Times New Roman"/>
          <w:sz w:val="24"/>
          <w:szCs w:val="24"/>
        </w:rPr>
        <w:lastRenderedPageBreak/>
        <w:t>of Secondary School Students. Journal of Community Guidance &amp; Research, 27, 1, 28-36.</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Sindhu, G. (2005). Relationship among Creativity, Classroom Adjustment and Academic Achievement of Students at Higher Secondary Level. Unpublished M. Phil. Thesis, School of Pedagogical Sciences, Mahatma Gandhi University. Kottayam, Kerala.</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Singh, K. (2010). Mental Health in Relation to Intelligence, Creativity and Academic Achievement of Secondary School Students.Educational Psychology, 31 (3), 361-375. </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Thakur,T. Hughes, H.&amp; Durand, V. (2005). The Relationship Between School Environment, Moral Values and Judgement in Rural Preadolescents on Secondary School Students. Psychological Reports, 56, 1, 147-154.</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Trivedi, K. &amp; Bhargava, R. (2010). Relation of Creativity and Educational Achievement in Adolescence. Journal of Psychology, 1, (2),85-89.</w:t>
      </w:r>
    </w:p>
    <w:p w:rsidR="0091591F" w:rsidRPr="0091591F" w:rsidRDefault="0091591F" w:rsidP="0091591F">
      <w:pPr>
        <w:spacing w:after="0"/>
        <w:jc w:val="both"/>
        <w:rPr>
          <w:rFonts w:ascii="Times New Roman" w:hAnsi="Times New Roman" w:cs="Times New Roman"/>
          <w:sz w:val="24"/>
          <w:szCs w:val="24"/>
        </w:rPr>
      </w:pPr>
      <w:r w:rsidRPr="0091591F">
        <w:rPr>
          <w:rFonts w:ascii="Times New Roman" w:hAnsi="Times New Roman" w:cs="Times New Roman"/>
          <w:sz w:val="24"/>
          <w:szCs w:val="24"/>
        </w:rPr>
        <w:t>•</w:t>
      </w:r>
      <w:r w:rsidRPr="0091591F">
        <w:rPr>
          <w:rFonts w:ascii="Times New Roman" w:hAnsi="Times New Roman" w:cs="Times New Roman"/>
          <w:sz w:val="24"/>
          <w:szCs w:val="24"/>
        </w:rPr>
        <w:tab/>
        <w:t xml:space="preserve">Vandana V. Kumar,A.&amp;Patil,M. ( 2010). Creativity in Relation to General Intelligence and Academic Achievement of Secondary School Students. Edutrack, 10 (3), 43-56. </w:t>
      </w:r>
    </w:p>
    <w:p w:rsidR="00417F01" w:rsidRPr="0091591F" w:rsidRDefault="00417F01" w:rsidP="0091591F">
      <w:pPr>
        <w:spacing w:after="0"/>
        <w:jc w:val="both"/>
        <w:rPr>
          <w:rFonts w:ascii="Times New Roman" w:hAnsi="Times New Roman" w:cs="Times New Roman"/>
          <w:sz w:val="24"/>
          <w:szCs w:val="24"/>
        </w:rPr>
      </w:pPr>
    </w:p>
    <w:sectPr w:rsidR="00417F01" w:rsidRPr="0091591F" w:rsidSect="0091591F">
      <w:type w:val="continuous"/>
      <w:pgSz w:w="12240" w:h="15840"/>
      <w:pgMar w:top="1440" w:right="1440" w:bottom="1440" w:left="144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49A8" w:rsidRDefault="001249A8" w:rsidP="0091591F">
      <w:pPr>
        <w:spacing w:after="0" w:line="240" w:lineRule="auto"/>
      </w:pPr>
      <w:r>
        <w:separator/>
      </w:r>
    </w:p>
  </w:endnote>
  <w:endnote w:type="continuationSeparator" w:id="1">
    <w:p w:rsidR="001249A8" w:rsidRDefault="001249A8" w:rsidP="009159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14547"/>
      <w:docPartObj>
        <w:docPartGallery w:val="Page Numbers (Bottom of Page)"/>
        <w:docPartUnique/>
      </w:docPartObj>
    </w:sdtPr>
    <w:sdtContent>
      <w:p w:rsidR="0091591F" w:rsidRDefault="00554F34">
        <w:pPr>
          <w:pStyle w:val="Footer"/>
        </w:pPr>
        <w:fldSimple w:instr=" PAGE   \* MERGEFORMAT ">
          <w:r w:rsidR="001B6A88">
            <w:rPr>
              <w:noProof/>
            </w:rPr>
            <w:t>111</w:t>
          </w:r>
        </w:fldSimple>
      </w:p>
    </w:sdtContent>
  </w:sdt>
  <w:p w:rsidR="0091591F" w:rsidRDefault="0091591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49A8" w:rsidRDefault="001249A8" w:rsidP="0091591F">
      <w:pPr>
        <w:spacing w:after="0" w:line="240" w:lineRule="auto"/>
      </w:pPr>
      <w:r>
        <w:separator/>
      </w:r>
    </w:p>
  </w:footnote>
  <w:footnote w:type="continuationSeparator" w:id="1">
    <w:p w:rsidR="001249A8" w:rsidRDefault="001249A8" w:rsidP="009159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591F" w:rsidRDefault="00554F3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484329" o:spid="_x0000_s2050" type="#_x0000_t75" style="position:absolute;margin-left:0;margin-top:0;width:467.95pt;height:520.7pt;z-index:-251657216;mso-position-horizontal:center;mso-position-horizontal-relative:margin;mso-position-vertical:center;mso-position-vertical-relative:margin" o:allowincell="f">
          <v:imagedata r:id="rId1" o:title="journal 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4AD4" w:rsidRDefault="002B4AD4" w:rsidP="002B4AD4">
    <w:pPr>
      <w:spacing w:before="11"/>
      <w:ind w:left="20"/>
      <w:rPr>
        <w:b/>
        <w:spacing w:val="-4"/>
      </w:rPr>
    </w:pPr>
    <w:r>
      <w:rPr>
        <w:b/>
        <w:i/>
      </w:rPr>
      <w:t>EducationalResurgence</w:t>
    </w:r>
    <w:r>
      <w:rPr>
        <w:b/>
        <w:i/>
        <w:spacing w:val="-2"/>
      </w:rPr>
      <w:t xml:space="preserve">Journal  </w:t>
    </w:r>
    <w:r>
      <w:t xml:space="preserve">Vol.7, Issue2, July, 2024 </w:t>
    </w:r>
    <w:r>
      <w:tab/>
      <w:t xml:space="preserve">  </w:t>
    </w:r>
    <w:r>
      <w:rPr>
        <w:b/>
      </w:rPr>
      <w:t>e-ISSN2581-</w:t>
    </w:r>
    <w:r>
      <w:rPr>
        <w:b/>
        <w:spacing w:val="-4"/>
      </w:rPr>
      <w:t>9100</w:t>
    </w:r>
  </w:p>
  <w:p w:rsidR="002B4AD4" w:rsidRDefault="002B4AD4" w:rsidP="002B4AD4">
    <w:pPr>
      <w:spacing w:before="11"/>
      <w:ind w:left="20"/>
    </w:pPr>
    <w:r>
      <w:rPr>
        <w:b/>
      </w:rPr>
      <w:t>ISIIndexed(0.659)SJIF-6.62,</w:t>
    </w:r>
    <w:hyperlink r:id="rId1">
      <w:r>
        <w:rPr>
          <w:color w:val="0000FF"/>
          <w:u w:val="single" w:color="0000FF"/>
        </w:rPr>
        <w:t>https://coed.dypvp.edu.in/educational-resurgence-</w:t>
      </w:r>
      <w:r>
        <w:rPr>
          <w:color w:val="0000FF"/>
          <w:spacing w:val="-2"/>
          <w:u w:val="single" w:color="0000FF"/>
        </w:rPr>
        <w:t>journal/</w:t>
      </w:r>
    </w:hyperlink>
  </w:p>
  <w:p w:rsidR="0091591F" w:rsidRPr="002B4AD4" w:rsidRDefault="0091591F" w:rsidP="002B4AD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591F" w:rsidRDefault="00554F3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484328" o:spid="_x0000_s2049" type="#_x0000_t75" style="position:absolute;margin-left:0;margin-top:0;width:467.95pt;height:520.7pt;z-index:-251658240;mso-position-horizontal:center;mso-position-horizontal-relative:margin;mso-position-vertical:center;mso-position-vertical-relative:margin" o:allowincell="f">
          <v:imagedata r:id="rId1" o:title="journal logo" gain="19661f" blacklevel="22938f"/>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rsids>
    <w:rsidRoot w:val="0091591F"/>
    <w:rsid w:val="001249A8"/>
    <w:rsid w:val="001B6A88"/>
    <w:rsid w:val="002B4AD4"/>
    <w:rsid w:val="00417F01"/>
    <w:rsid w:val="00554F34"/>
    <w:rsid w:val="007038EA"/>
    <w:rsid w:val="007C270C"/>
    <w:rsid w:val="0091591F"/>
    <w:rsid w:val="009D3095"/>
    <w:rsid w:val="00B155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F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59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591F"/>
    <w:rPr>
      <w:rFonts w:ascii="Tahoma" w:hAnsi="Tahoma" w:cs="Tahoma"/>
      <w:sz w:val="16"/>
      <w:szCs w:val="16"/>
    </w:rPr>
  </w:style>
  <w:style w:type="paragraph" w:styleId="Header">
    <w:name w:val="header"/>
    <w:basedOn w:val="Normal"/>
    <w:link w:val="HeaderChar"/>
    <w:uiPriority w:val="99"/>
    <w:semiHidden/>
    <w:unhideWhenUsed/>
    <w:rsid w:val="0091591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1591F"/>
  </w:style>
  <w:style w:type="paragraph" w:styleId="Footer">
    <w:name w:val="footer"/>
    <w:basedOn w:val="Normal"/>
    <w:link w:val="FooterChar"/>
    <w:uiPriority w:val="99"/>
    <w:unhideWhenUsed/>
    <w:rsid w:val="009159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591F"/>
  </w:style>
</w:styles>
</file>

<file path=word/webSettings.xml><?xml version="1.0" encoding="utf-8"?>
<w:webSettings xmlns:r="http://schemas.openxmlformats.org/officeDocument/2006/relationships" xmlns:w="http://schemas.openxmlformats.org/wordprocessingml/2006/main">
  <w:divs>
    <w:div w:id="1376931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7.png"/><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hyperlink" Target="https://coed.dypvp.edu.in/educational-resurgence-journal/"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10</Pages>
  <Words>3560</Words>
  <Characters>20293</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2024-07-27T07:32:00Z</dcterms:created>
  <dcterms:modified xsi:type="dcterms:W3CDTF">2024-07-27T07:59:00Z</dcterms:modified>
</cp:coreProperties>
</file>