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rPr>
          <w:rFonts w:eastAsia="宋体" w:cs="Palatino Linotype"/>
          <w:lang w:eastAsia="zh-CN"/>
        </w:rPr>
      </w:pPr>
      <w:r>
        <w:rPr>
          <w:rFonts w:cs="Palatino Linotype"/>
        </w:rPr>
        <w:t>GC</w:t>
      </w:r>
      <w:r>
        <w:rPr>
          <w:rFonts w:hint="eastAsia" w:eastAsia="宋体" w:cs="Palatino Linotype"/>
          <w:lang w:val="en-US" w:eastAsia="zh-CN"/>
        </w:rPr>
        <w:t>-</w:t>
      </w:r>
      <w:r>
        <w:rPr>
          <w:rFonts w:cs="Palatino Linotype"/>
        </w:rPr>
        <w:t xml:space="preserve">MS </w:t>
      </w:r>
      <w:r>
        <w:rPr>
          <w:rFonts w:hint="eastAsia" w:eastAsia="宋体" w:cs="Palatino Linotype"/>
          <w:lang w:val="en-US" w:eastAsia="zh-CN"/>
        </w:rPr>
        <w:t>C</w:t>
      </w:r>
      <w:r>
        <w:rPr>
          <w:rFonts w:cs="Palatino Linotype"/>
        </w:rPr>
        <w:t xml:space="preserve">ombined with </w:t>
      </w:r>
      <w:r>
        <w:rPr>
          <w:rFonts w:hint="eastAsia" w:eastAsia="宋体" w:cs="Palatino Linotype"/>
          <w:lang w:val="en-US" w:eastAsia="zh-CN"/>
        </w:rPr>
        <w:t>F</w:t>
      </w:r>
      <w:r>
        <w:rPr>
          <w:rFonts w:cs="Palatino Linotype"/>
        </w:rPr>
        <w:t xml:space="preserve">ast GC e-nose </w:t>
      </w:r>
      <w:r>
        <w:rPr>
          <w:rFonts w:hint="eastAsia" w:eastAsia="宋体" w:cs="Palatino Linotype"/>
          <w:lang w:val="en-US" w:eastAsia="zh-CN"/>
        </w:rPr>
        <w:t>f</w:t>
      </w:r>
      <w:r>
        <w:rPr>
          <w:rFonts w:cs="Palatino Linotype"/>
        </w:rPr>
        <w:t xml:space="preserve">or the </w:t>
      </w:r>
      <w:r>
        <w:rPr>
          <w:rFonts w:hint="eastAsia" w:eastAsia="宋体" w:cs="Palatino Linotype"/>
          <w:lang w:val="en-US" w:eastAsia="zh-CN"/>
        </w:rPr>
        <w:t>A</w:t>
      </w:r>
      <w:r>
        <w:rPr>
          <w:rFonts w:cs="Palatino Linotype"/>
        </w:rPr>
        <w:t xml:space="preserve">nalysis of </w:t>
      </w:r>
      <w:r>
        <w:rPr>
          <w:rFonts w:hint="eastAsia" w:eastAsia="宋体" w:cs="Palatino Linotype"/>
          <w:lang w:val="en-US" w:eastAsia="zh-CN"/>
        </w:rPr>
        <w:t>V</w:t>
      </w:r>
      <w:r>
        <w:rPr>
          <w:rFonts w:cs="Palatino Linotype"/>
        </w:rPr>
        <w:t>olatile</w:t>
      </w:r>
      <w:r>
        <w:rPr>
          <w:rFonts w:hint="eastAsia" w:eastAsia="宋体" w:cs="Palatino Linotype"/>
          <w:lang w:val="en-US" w:eastAsia="zh-CN"/>
        </w:rPr>
        <w:t xml:space="preserve"> C</w:t>
      </w:r>
      <w:r>
        <w:rPr>
          <w:rFonts w:cs="Palatino Linotype"/>
        </w:rPr>
        <w:t xml:space="preserve">omponents of </w:t>
      </w:r>
      <w:r>
        <w:rPr>
          <w:rFonts w:hint="eastAsia" w:eastAsia="宋体" w:cs="Palatino Linotype"/>
          <w:lang w:val="en-US" w:eastAsia="zh-CN"/>
        </w:rPr>
        <w:t>C</w:t>
      </w:r>
      <w:r>
        <w:rPr>
          <w:rFonts w:cs="Palatino Linotype"/>
        </w:rPr>
        <w:t>hamomile (</w:t>
      </w:r>
      <w:r>
        <w:rPr>
          <w:rFonts w:cs="Palatino Linotype"/>
          <w:i/>
          <w:iCs/>
        </w:rPr>
        <w:t>Matricaria chamomilla</w:t>
      </w:r>
      <w:r>
        <w:rPr>
          <w:rFonts w:cs="Palatino Linotype"/>
        </w:rPr>
        <w:t xml:space="preserve"> L.)</w:t>
      </w:r>
    </w:p>
    <w:p>
      <w:pPr>
        <w:pStyle w:val="22"/>
        <w:rPr>
          <w:rFonts w:cs="Palatino Linotype"/>
        </w:rPr>
      </w:pPr>
      <w:r>
        <w:rPr>
          <w:rFonts w:hint="eastAsia" w:cs="Palatino Linotype" w:asciiTheme="minorEastAsia" w:hAnsiTheme="minorEastAsia" w:eastAsiaTheme="minorEastAsia"/>
          <w:lang w:eastAsia="zh-CN"/>
        </w:rPr>
        <w:t>L</w:t>
      </w:r>
      <w:r>
        <w:rPr>
          <w:rFonts w:hint="eastAsia" w:cs="Palatino Linotype" w:eastAsiaTheme="minorEastAsia"/>
          <w:lang w:eastAsia="zh-CN"/>
        </w:rPr>
        <w:t xml:space="preserve">u Jia-yu </w:t>
      </w:r>
      <w:r>
        <w:rPr>
          <w:rFonts w:cs="Palatino Linotype"/>
          <w:vertAlign w:val="superscript"/>
        </w:rPr>
        <w:t>1</w:t>
      </w:r>
      <w:r>
        <w:rPr>
          <w:rFonts w:cs="Palatino Linotype"/>
        </w:rPr>
        <w:t xml:space="preserve">, </w:t>
      </w:r>
      <w:r>
        <w:rPr>
          <w:rFonts w:hint="eastAsia" w:cs="Palatino Linotype" w:eastAsiaTheme="minorEastAsia"/>
          <w:lang w:eastAsia="zh-CN"/>
        </w:rPr>
        <w:t xml:space="preserve">Qu Cheng </w:t>
      </w:r>
      <w:r>
        <w:rPr>
          <w:rFonts w:hint="eastAsia" w:cs="Palatino Linotype" w:eastAsiaTheme="minorEastAsia"/>
          <w:vertAlign w:val="superscript"/>
          <w:lang w:eastAsia="zh-CN"/>
        </w:rPr>
        <w:t>1,</w:t>
      </w:r>
      <w:r>
        <w:rPr>
          <w:rFonts w:hint="eastAsia" w:cs="Palatino Linotype" w:eastAsiaTheme="minorEastAsia"/>
          <w:lang w:eastAsia="zh-CN"/>
        </w:rPr>
        <w:t>*,</w:t>
      </w:r>
      <w:r>
        <w:rPr>
          <w:rFonts w:cs="Palatino Linotype"/>
        </w:rPr>
        <w:t xml:space="preserve"> </w:t>
      </w:r>
      <w:r>
        <w:rPr>
          <w:rFonts w:hint="eastAsia" w:cs="Palatino Linotype" w:eastAsiaTheme="minorEastAsia"/>
          <w:lang w:eastAsia="zh-CN"/>
        </w:rPr>
        <w:t xml:space="preserve">Yu Dai-xin </w:t>
      </w:r>
      <w:r>
        <w:rPr>
          <w:rFonts w:hint="eastAsia" w:cs="Palatino Linotype" w:eastAsiaTheme="minorEastAsia"/>
          <w:vertAlign w:val="superscript"/>
          <w:lang w:eastAsia="zh-CN"/>
        </w:rPr>
        <w:t>1</w:t>
      </w:r>
      <w:r>
        <w:rPr>
          <w:rFonts w:hint="eastAsia" w:cs="Palatino Linotype" w:eastAsiaTheme="minorEastAsia"/>
          <w:lang w:eastAsia="zh-CN"/>
        </w:rPr>
        <w:t xml:space="preserve">, </w:t>
      </w:r>
      <w:r>
        <w:rPr>
          <w:rFonts w:cs="Palatino Linotype"/>
        </w:rPr>
        <w:t xml:space="preserve">and </w:t>
      </w:r>
      <w:r>
        <w:rPr>
          <w:rFonts w:hint="eastAsia" w:cs="Palatino Linotype" w:eastAsiaTheme="minorEastAsia"/>
          <w:lang w:eastAsia="zh-CN"/>
        </w:rPr>
        <w:t>Wu Qi-nan</w:t>
      </w:r>
      <w:r>
        <w:rPr>
          <w:rFonts w:cs="Palatino Linotype"/>
        </w:rPr>
        <w:t xml:space="preserve"> </w:t>
      </w:r>
      <w:r>
        <w:rPr>
          <w:rFonts w:hint="eastAsia" w:eastAsia="宋体" w:cs="Palatino Linotype"/>
          <w:vertAlign w:val="superscript"/>
          <w:lang w:val="en-US" w:eastAsia="zh-CN"/>
        </w:rPr>
        <w:t>1</w:t>
      </w:r>
      <w:r>
        <w:rPr>
          <w:rFonts w:cs="Palatino Linotype"/>
          <w:vertAlign w:val="superscript"/>
        </w:rPr>
        <w:t>,</w:t>
      </w:r>
      <w:r>
        <w:rPr>
          <w:rFonts w:cs="Palatino Linotype"/>
        </w:rPr>
        <w:t>*</w:t>
      </w:r>
    </w:p>
    <w:p>
      <w:pPr>
        <w:pStyle w:val="24"/>
        <w:rPr>
          <w:rFonts w:hint="eastAsia" w:eastAsia="宋体" w:cs="Palatino Linotype"/>
          <w:lang w:val="en-US" w:eastAsia="zh-CN"/>
        </w:rPr>
      </w:pPr>
      <w:r>
        <w:rPr>
          <w:rFonts w:cs="Palatino Linotype"/>
          <w:vertAlign w:val="superscript"/>
        </w:rPr>
        <w:t>1</w:t>
      </w:r>
      <w:r>
        <w:rPr>
          <w:rFonts w:cs="Palatino Linotype"/>
        </w:rPr>
        <w:tab/>
      </w:r>
      <w:r>
        <w:rPr>
          <w:rFonts w:hint="eastAsia" w:cs="Palatino Linotype"/>
        </w:rPr>
        <w:t>Nanjing University of Chinese Medicine, Nanjing 210023, China</w:t>
      </w:r>
      <w:r>
        <w:rPr>
          <w:rFonts w:hint="eastAsia" w:eastAsia="宋体" w:cs="Palatino Linotype"/>
          <w:lang w:val="en-US" w:eastAsia="zh-CN"/>
        </w:rPr>
        <w:t>;</w:t>
      </w:r>
    </w:p>
    <w:p>
      <w:pPr>
        <w:pStyle w:val="24"/>
        <w:rPr>
          <w:rFonts w:hint="default" w:eastAsia="宋体" w:cs="Palatino Linotype"/>
          <w:lang w:val="en-US" w:eastAsia="zh-CN"/>
        </w:rPr>
      </w:pPr>
      <w:r>
        <w:rPr>
          <w:rFonts w:hint="eastAsia" w:eastAsia="宋体" w:cs="Palatino Linotype"/>
          <w:lang w:val="en-US" w:eastAsia="zh-CN"/>
        </w:rPr>
        <w:t>lujiayu5210@163.com (J.-Y.L.); qucheng@njucm.edu.cn (C.Q.);yudaixin0616@163.com (D.-X.Y.); wuqn@njucm.edu.cn (Q.-N.W.)</w:t>
      </w:r>
    </w:p>
    <w:p>
      <w:pPr>
        <w:pStyle w:val="24"/>
        <w:rPr>
          <w:rFonts w:hint="eastAsia" w:eastAsia="宋体" w:cs="Palatino Linotype"/>
          <w:lang w:val="en-US" w:eastAsia="zh-CN"/>
        </w:rPr>
      </w:pPr>
      <w:r>
        <w:rPr>
          <w:rFonts w:cs="Palatino Linotype"/>
          <w:b/>
        </w:rPr>
        <w:t>*</w:t>
      </w:r>
      <w:r>
        <w:rPr>
          <w:rFonts w:cs="Palatino Linotype"/>
        </w:rPr>
        <w:tab/>
      </w:r>
      <w:r>
        <w:rPr>
          <w:rFonts w:cs="Palatino Linotype"/>
        </w:rPr>
        <w:t xml:space="preserve">Correspondence: </w:t>
      </w:r>
      <w:r>
        <w:rPr>
          <w:rFonts w:hint="eastAsia" w:cs="Palatino Linotype"/>
        </w:rPr>
        <w:t>qucheng@njucm.edu.cn</w:t>
      </w:r>
      <w:r>
        <w:rPr>
          <w:rFonts w:hint="eastAsia" w:eastAsia="宋体" w:cs="Palatino Linotype"/>
          <w:lang w:val="en-US" w:eastAsia="zh-CN"/>
        </w:rPr>
        <w:t xml:space="preserve"> </w:t>
      </w:r>
      <w:r>
        <w:rPr>
          <w:rFonts w:hint="eastAsia" w:cs="Palatino Linotype"/>
        </w:rPr>
        <w:t>(C.Q.)</w:t>
      </w:r>
      <w:r>
        <w:rPr>
          <w:rFonts w:hint="eastAsia" w:eastAsia="宋体" w:cs="Palatino Linotype"/>
          <w:lang w:val="en-US" w:eastAsia="zh-CN"/>
        </w:rPr>
        <w:t>; wuqn@njucm.edu.cn (Q.-N.W.)</w:t>
      </w:r>
    </w:p>
    <w:p>
      <w:pPr>
        <w:pStyle w:val="27"/>
        <w:rPr>
          <w:rFonts w:cs="Palatino Linotype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center"/>
        <w:textAlignment w:val="auto"/>
        <w:rPr>
          <w:rFonts w:hint="eastAsia"/>
        </w:rPr>
      </w:pPr>
      <w:bookmarkStart w:id="0" w:name="_GoBack"/>
      <w:bookmarkEnd w:id="0"/>
      <w:r>
        <w:rPr>
          <w:rFonts w:hint="eastAsia" w:ascii="Palatino Linotype" w:hAnsi="Palatino Linotype" w:eastAsia="Times New Roman" w:cs="Times New Roman"/>
          <w:b/>
          <w:snapToGrid w:val="0"/>
          <w:color w:val="000000"/>
          <w:sz w:val="20"/>
          <w:szCs w:val="22"/>
          <w:lang w:val="en-US" w:eastAsia="de-DE" w:bidi="en-US"/>
        </w:rPr>
        <w:t>Table S1</w:t>
      </w: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center"/>
        <w:textAlignment w:val="auto"/>
        <w:rPr>
          <w:rFonts w:hint="eastAsia"/>
        </w:rPr>
      </w:pPr>
      <w:r>
        <w:rPr>
          <w:rFonts w:hint="eastAsia" w:eastAsia="宋体"/>
          <w:lang w:val="en-US" w:eastAsia="zh-CN"/>
        </w:rPr>
        <w:t xml:space="preserve">The </w:t>
      </w:r>
      <w:r>
        <w:rPr>
          <w:rFonts w:hint="eastAsia"/>
        </w:rPr>
        <w:t>formula, and sensory description of flavor components in</w:t>
      </w:r>
      <w:r>
        <w:rPr>
          <w:rFonts w:hint="eastAsia" w:eastAsia="宋体"/>
          <w:lang w:val="en-US" w:eastAsia="zh-CN"/>
        </w:rPr>
        <w:t xml:space="preserve"> chamomile</w:t>
      </w:r>
      <w:r>
        <w:rPr>
          <w:rFonts w:hint="eastAsia"/>
        </w:rPr>
        <w:t xml:space="preserve"> by fast GC e-nose.</w:t>
      </w: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textAlignment w:val="auto"/>
        <w:rPr>
          <w:rFonts w:hint="eastAsia"/>
        </w:rPr>
      </w:pPr>
    </w:p>
    <w:tbl>
      <w:tblPr>
        <w:tblStyle w:val="11"/>
        <w:tblW w:w="499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75"/>
        <w:gridCol w:w="966"/>
        <w:gridCol w:w="968"/>
        <w:gridCol w:w="1056"/>
        <w:gridCol w:w="1084"/>
        <w:gridCol w:w="2120"/>
        <w:gridCol w:w="919"/>
        <w:gridCol w:w="16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915" w:type="pct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MXT-5</w:t>
            </w:r>
          </w:p>
        </w:tc>
        <w:tc>
          <w:tcPr>
            <w:tcW w:w="915" w:type="pct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MXT-1701</w:t>
            </w:r>
          </w:p>
        </w:tc>
        <w:tc>
          <w:tcPr>
            <w:tcW w:w="457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CAS</w:t>
            </w:r>
          </w:p>
        </w:tc>
        <w:tc>
          <w:tcPr>
            <w:tcW w:w="512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Formula</w:t>
            </w:r>
          </w:p>
        </w:tc>
        <w:tc>
          <w:tcPr>
            <w:tcW w:w="997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Nmae</w:t>
            </w:r>
          </w:p>
        </w:tc>
        <w:tc>
          <w:tcPr>
            <w:tcW w:w="435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Score</w:t>
            </w:r>
          </w:p>
        </w:tc>
        <w:tc>
          <w:tcPr>
            <w:tcW w:w="765" w:type="pct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Sensory descriptors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RT</w:t>
            </w:r>
          </w:p>
        </w:tc>
        <w:tc>
          <w:tcPr>
            <w:tcW w:w="460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RI</w:t>
            </w:r>
          </w:p>
        </w:tc>
        <w:tc>
          <w:tcPr>
            <w:tcW w:w="457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RT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RI</w:t>
            </w:r>
          </w:p>
        </w:tc>
        <w:tc>
          <w:tcPr>
            <w:tcW w:w="457" w:type="pct"/>
            <w:vMerge w:val="continue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</w:p>
        </w:tc>
        <w:tc>
          <w:tcPr>
            <w:tcW w:w="512" w:type="pct"/>
            <w:vMerge w:val="continue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</w:p>
        </w:tc>
        <w:tc>
          <w:tcPr>
            <w:tcW w:w="997" w:type="pct"/>
            <w:vMerge w:val="continue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</w:p>
        </w:tc>
        <w:tc>
          <w:tcPr>
            <w:tcW w:w="435" w:type="pct"/>
            <w:vMerge w:val="continue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</w:p>
        </w:tc>
        <w:tc>
          <w:tcPr>
            <w:tcW w:w="765" w:type="pct"/>
            <w:vMerge w:val="continue"/>
            <w:tcBorders>
              <w:top w:val="nil"/>
              <w:left w:val="nil"/>
              <w:bottom w:val="single" w:color="auto" w:sz="12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right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15.94 </w:t>
            </w:r>
          </w:p>
        </w:tc>
        <w:tc>
          <w:tcPr>
            <w:tcW w:w="460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418</w:t>
            </w:r>
          </w:p>
        </w:tc>
        <w:tc>
          <w:tcPr>
            <w:tcW w:w="457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14.50 </w:t>
            </w:r>
          </w:p>
        </w:tc>
        <w:tc>
          <w:tcPr>
            <w:tcW w:w="458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576</w:t>
            </w:r>
          </w:p>
        </w:tc>
        <w:tc>
          <w:tcPr>
            <w:tcW w:w="457" w:type="pc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107-01-7</w:t>
            </w:r>
          </w:p>
        </w:tc>
        <w:tc>
          <w:tcPr>
            <w:tcW w:w="512" w:type="pc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4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997" w:type="pc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2-Butene</w:t>
            </w:r>
          </w:p>
        </w:tc>
        <w:tc>
          <w:tcPr>
            <w:tcW w:w="435" w:type="pc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86.81</w:t>
            </w:r>
          </w:p>
        </w:tc>
        <w:tc>
          <w:tcPr>
            <w:tcW w:w="765" w:type="pct"/>
            <w:tcBorders>
              <w:top w:val="single" w:color="auto" w:sz="12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Aromatic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16.96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439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14.50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576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107-02-8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3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4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Propenal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75.19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Almond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Cherry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18.16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463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14.54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577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64-17-5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E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thanol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95.25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Spicy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Ethanol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22.64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552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18.12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694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71-23-8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3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8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1-Propanol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86.95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Spicy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Ethanol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26.10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621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15.18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598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110-54-3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Hexane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90.58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Gasoline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Alkane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26.98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16.34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636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96-37-7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methylcyclopentane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81.25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Gasoline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Gasoline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37.08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761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25.72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834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623-43-8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5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8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Methyl crotonate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95.03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Green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39.32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781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27.16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853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105-54-4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E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thyl butyrate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83.57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Sweety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41.90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804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30.26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895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6789-80-6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(Z)-3-hexenal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87.58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Oak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47.04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855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32.28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919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7452-79-1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7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14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Butanoic acid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96.01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Apple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52.52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911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44.24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1066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109-52-4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5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P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entanoic acid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72.63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Spicy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Sweety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54.16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932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38.06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985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7785-26-4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i/>
                <w:iCs/>
                <w:color w:val="000000"/>
                <w:sz w:val="18"/>
                <w:szCs w:val="18"/>
              </w:rPr>
              <w:t>a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-pinene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83.14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Resin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Terpenoids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55.74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951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48.72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1130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620-02-0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5-Methylfurfural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83.93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Spicy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Almond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57.04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967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39.82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1006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127-91-3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iCs/>
                <w:color w:val="000000"/>
                <w:sz w:val="18"/>
                <w:szCs w:val="18"/>
                <w:lang w:val="en-US" w:eastAsia="zh-CN"/>
              </w:rPr>
              <w:t>β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-Pinene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95.16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Resin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Wooden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58.69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987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33.47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932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123-35-3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Myrcene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91.6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Lemon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59.16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993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47.16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1106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124-13-0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8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Octanal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88.77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Orange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59.74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1000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42.00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1036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99-83-2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i/>
                <w:iCs/>
                <w:color w:val="000000"/>
                <w:sz w:val="18"/>
                <w:szCs w:val="18"/>
              </w:rPr>
              <w:t>a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-Phellandrene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79.98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Spicy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Orange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62.45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1041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56.66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1263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19322-27-1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5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norfuraneol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70.04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Sweety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Caramel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63.19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1055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47.70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1115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99-85-4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cs="Palatino Linotype"/>
                <w:i/>
                <w:iCs/>
                <w:color w:val="000000"/>
                <w:sz w:val="18"/>
                <w:szCs w:val="18"/>
                <w:lang w:val="en-US" w:eastAsia="zh-CN"/>
              </w:rPr>
              <w:t>γ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-Terpinene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91.29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Orange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64.42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1070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51.32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1170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925-78-0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9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3-Nonanone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93.95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Vegetable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65.94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1093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50.30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1155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1195-32-0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p-Cymenene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79.12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Orange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66.64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1104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51.38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1171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124-19-6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9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18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n-nonanal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92.44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Orange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68.62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1138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59.76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1323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21195-59-5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14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1,3,8 para-Menthatriene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84.39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Terpenoids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; Sulfurous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69.40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1152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59.76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1323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76-22-2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amphor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77.12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Camphor; Green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70.90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1178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60.98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1348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1197-01-9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14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Cymen-8-ol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85.77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Fruity; Coumarin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71.78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1194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61.92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1368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33512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8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2,6-dimethoxy-phenol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97.7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Wooden; Smoke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74.24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1241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61.92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1368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1197-07-5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trans-Carveol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93.64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Coriander; Green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80.46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1370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65.10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1438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31501-11-8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(Z)-3-Hexenyl hexanoate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91.47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Fruity; Green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82.50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1415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65.10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1438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6378-65-0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24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N-hexyl-hexanoate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91.74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Fruity; Apple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83.56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1440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75.96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1683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140-10-3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9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8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(E)-Cinnamic acid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88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.00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Sweety; Vegetable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84.71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1468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69.05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1528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19700-21-1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22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Geosmin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86.13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Beet; Soil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85.68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1489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68.68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1519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87-44-5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17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28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i/>
                <w:iCs/>
                <w:color w:val="000000"/>
                <w:sz w:val="18"/>
                <w:szCs w:val="18"/>
              </w:rPr>
              <w:t>β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-Caryophyllene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92.74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Fruity; Green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86.30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1504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68.68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1519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473-13-2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24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i/>
                <w:iCs/>
                <w:color w:val="000000"/>
                <w:sz w:val="18"/>
                <w:szCs w:val="18"/>
              </w:rPr>
              <w:t>a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-Selinene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91.27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Amber; Orange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86.82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1517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72.92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1614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111-82-0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13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Methyl dodecanoate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96.13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Fruity; Fatty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87.38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1531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68.68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1519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22306-28-1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34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8-methyl pentadecane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94.28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87.84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1543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66.66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1473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5471-51-2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12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Rheosmin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97.55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88.52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1560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77.70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1722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112-70-9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13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28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1-Tridecanol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87.18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91.54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1636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77.70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1722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124-25-4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14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28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Tetradecanal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95.62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Amber; Orange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94.36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1707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80.08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1775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2345-28-0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2-Pentadecanone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96.45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Spicy; Vegetable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95.80 </w:t>
            </w:r>
          </w:p>
        </w:tc>
        <w:tc>
          <w:tcPr>
            <w:tcW w:w="46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1743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81.08 </w:t>
            </w: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1797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124-10-7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15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30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>M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ethyl tetradecanoate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83.77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Palatino Linotype" w:hAnsi="Palatino Linotype" w:eastAsia="宋体" w:cs="Palatino Linotype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Coconut;</w:t>
            </w:r>
            <w:r>
              <w:rPr>
                <w:rFonts w:hint="eastAsia" w:cs="Palatino Linotype"/>
                <w:color w:val="000000"/>
                <w:sz w:val="18"/>
                <w:szCs w:val="18"/>
                <w:lang w:val="en-US" w:eastAsia="zh-CN"/>
              </w:rPr>
              <w:t xml:space="preserve"> Fatty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454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98.78 </w:t>
            </w:r>
          </w:p>
        </w:tc>
        <w:tc>
          <w:tcPr>
            <w:tcW w:w="460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1818</w:t>
            </w:r>
          </w:p>
        </w:tc>
        <w:tc>
          <w:tcPr>
            <w:tcW w:w="457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 xml:space="preserve">84.32 </w:t>
            </w:r>
          </w:p>
        </w:tc>
        <w:tc>
          <w:tcPr>
            <w:tcW w:w="458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1870</w:t>
            </w:r>
          </w:p>
        </w:tc>
        <w:tc>
          <w:tcPr>
            <w:tcW w:w="457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638-59-5</w:t>
            </w:r>
          </w:p>
        </w:tc>
        <w:tc>
          <w:tcPr>
            <w:tcW w:w="512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C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16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H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32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O</w:t>
            </w: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7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Tetradecyl acetate</w:t>
            </w:r>
          </w:p>
        </w:tc>
        <w:tc>
          <w:tcPr>
            <w:tcW w:w="435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91.46</w:t>
            </w:r>
          </w:p>
        </w:tc>
        <w:tc>
          <w:tcPr>
            <w:tcW w:w="765" w:type="pct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</w:pPr>
            <w:r>
              <w:rPr>
                <w:rFonts w:hint="default" w:ascii="Palatino Linotype" w:hAnsi="Palatino Linotype" w:eastAsia="Times New Roman" w:cs="Palatino Linotype"/>
                <w:color w:val="000000"/>
                <w:sz w:val="18"/>
                <w:szCs w:val="18"/>
              </w:rPr>
              <w:t>Fatty; Waxy</w:t>
            </w:r>
          </w:p>
        </w:tc>
      </w:tr>
    </w:tbl>
    <w:p>
      <w:pPr>
        <w:pStyle w:val="33"/>
        <w:ind w:left="0" w:leftChars="0" w:firstLine="0" w:firstLineChars="0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  <w:vertAlign w:val="superscript"/>
        </w:rPr>
        <w:t>1</w:t>
      </w:r>
      <w:r>
        <w:rPr>
          <w:rFonts w:hint="eastAsia"/>
          <w:sz w:val="18"/>
          <w:szCs w:val="18"/>
        </w:rPr>
        <w:t xml:space="preserve"> R</w:t>
      </w:r>
      <w:r>
        <w:rPr>
          <w:rFonts w:hint="eastAsia" w:eastAsia="宋体"/>
          <w:sz w:val="18"/>
          <w:szCs w:val="18"/>
          <w:lang w:val="en-US" w:eastAsia="zh-CN"/>
        </w:rPr>
        <w:t>T</w:t>
      </w:r>
      <w:r>
        <w:rPr>
          <w:rFonts w:hint="eastAsia"/>
          <w:sz w:val="18"/>
          <w:szCs w:val="18"/>
        </w:rPr>
        <w:t>, MXT-5 and R</w:t>
      </w:r>
      <w:r>
        <w:rPr>
          <w:rFonts w:hint="eastAsia" w:eastAsia="宋体"/>
          <w:sz w:val="18"/>
          <w:szCs w:val="18"/>
          <w:lang w:val="en-US" w:eastAsia="zh-CN"/>
        </w:rPr>
        <w:t>T</w:t>
      </w:r>
      <w:r>
        <w:rPr>
          <w:rFonts w:hint="eastAsia"/>
          <w:sz w:val="18"/>
          <w:szCs w:val="18"/>
        </w:rPr>
        <w:t xml:space="preserve">, MXT-1701: Retention </w:t>
      </w:r>
      <w:r>
        <w:rPr>
          <w:rFonts w:hint="eastAsia" w:eastAsia="宋体"/>
          <w:sz w:val="18"/>
          <w:szCs w:val="18"/>
          <w:lang w:val="en-US" w:eastAsia="zh-CN"/>
        </w:rPr>
        <w:t>time</w:t>
      </w:r>
      <w:r>
        <w:rPr>
          <w:rFonts w:hint="eastAsia"/>
          <w:sz w:val="18"/>
          <w:szCs w:val="18"/>
        </w:rPr>
        <w:t xml:space="preserve"> measured in column MXT-5 or MXT-1701; RI, MXT-5 and RI, MXT-1701:</w:t>
      </w:r>
      <w:r>
        <w:rPr>
          <w:rFonts w:hint="eastAsia" w:eastAsia="宋体"/>
          <w:sz w:val="18"/>
          <w:szCs w:val="18"/>
          <w:lang w:val="en-US" w:eastAsia="zh-CN"/>
        </w:rPr>
        <w:t xml:space="preserve"> </w:t>
      </w:r>
      <w:r>
        <w:rPr>
          <w:rFonts w:hint="eastAsia"/>
          <w:sz w:val="18"/>
          <w:szCs w:val="18"/>
        </w:rPr>
        <w:t xml:space="preserve">Retention </w:t>
      </w:r>
      <w:r>
        <w:rPr>
          <w:rFonts w:hint="eastAsia" w:eastAsia="宋体"/>
          <w:sz w:val="18"/>
          <w:szCs w:val="18"/>
          <w:lang w:val="en-US" w:eastAsia="zh-CN"/>
        </w:rPr>
        <w:t>index</w:t>
      </w:r>
      <w:r>
        <w:rPr>
          <w:rFonts w:hint="eastAsia"/>
          <w:sz w:val="18"/>
          <w:szCs w:val="18"/>
        </w:rPr>
        <w:t xml:space="preserve"> measured by n-alkanes</w:t>
      </w:r>
      <w:r>
        <w:rPr>
          <w:rFonts w:hint="eastAsia" w:eastAsia="宋体"/>
          <w:sz w:val="18"/>
          <w:szCs w:val="18"/>
          <w:lang w:val="en-US" w:eastAsia="zh-CN"/>
        </w:rPr>
        <w:t xml:space="preserve"> </w:t>
      </w:r>
      <w:r>
        <w:rPr>
          <w:rFonts w:hint="eastAsia"/>
          <w:sz w:val="18"/>
          <w:szCs w:val="18"/>
        </w:rPr>
        <w:t>in column MXT-5 or MXT-1701</w:t>
      </w:r>
      <w:r>
        <w:rPr>
          <w:rFonts w:hint="eastAsia" w:eastAsia="宋体"/>
          <w:sz w:val="18"/>
          <w:szCs w:val="18"/>
          <w:lang w:val="en-US" w:eastAsia="zh-CN"/>
        </w:rPr>
        <w:t>;</w:t>
      </w:r>
      <w:r>
        <w:rPr>
          <w:rFonts w:hint="eastAsia"/>
          <w:sz w:val="18"/>
          <w:szCs w:val="18"/>
        </w:rPr>
        <w:t>CAS: Chemical Abstracts Service registry number.</w:t>
      </w:r>
    </w:p>
    <w:p>
      <w:pPr>
        <w:pStyle w:val="33"/>
        <w:ind w:left="0" w:leftChars="0" w:firstLine="0" w:firstLineChars="0"/>
        <w:rPr>
          <w:rFonts w:hint="eastAsia"/>
          <w:sz w:val="18"/>
          <w:szCs w:val="18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center"/>
        <w:textAlignment w:val="auto"/>
        <w:rPr>
          <w:rFonts w:hint="eastAsia" w:eastAsia="宋体"/>
          <w:lang w:val="en-US" w:eastAsia="zh-CN"/>
        </w:rPr>
      </w:pPr>
      <w:r>
        <w:rPr>
          <w:rFonts w:hint="eastAsia" w:ascii="Palatino Linotype" w:hAnsi="Palatino Linotype" w:eastAsia="Times New Roman" w:cs="Times New Roman"/>
          <w:b/>
          <w:snapToGrid w:val="0"/>
          <w:color w:val="000000"/>
          <w:sz w:val="20"/>
          <w:szCs w:val="22"/>
          <w:lang w:val="en-US" w:eastAsia="de-DE" w:bidi="en-US"/>
        </w:rPr>
        <w:t>Table S</w:t>
      </w:r>
      <w:r>
        <w:rPr>
          <w:rFonts w:hint="eastAsia" w:eastAsia="宋体" w:cs="Times New Roman"/>
          <w:b/>
          <w:snapToGrid w:val="0"/>
          <w:color w:val="000000"/>
          <w:sz w:val="20"/>
          <w:szCs w:val="22"/>
          <w:lang w:val="en-US" w:eastAsia="zh-CN" w:bidi="en-US"/>
        </w:rPr>
        <w:t>2</w:t>
      </w:r>
    </w:p>
    <w:p>
      <w:pPr>
        <w:pStyle w:val="33"/>
        <w:ind w:left="0" w:leftChars="0" w:firstLine="0" w:firstLineChars="0"/>
        <w:jc w:val="center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Volatile oil composition of chamomile.</w:t>
      </w:r>
    </w:p>
    <w:tbl>
      <w:tblPr>
        <w:tblStyle w:val="11"/>
        <w:tblW w:w="1046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396"/>
        <w:gridCol w:w="387"/>
        <w:gridCol w:w="373"/>
        <w:gridCol w:w="628"/>
        <w:gridCol w:w="421"/>
        <w:gridCol w:w="421"/>
        <w:gridCol w:w="421"/>
        <w:gridCol w:w="421"/>
        <w:gridCol w:w="421"/>
        <w:gridCol w:w="421"/>
        <w:gridCol w:w="421"/>
        <w:gridCol w:w="421"/>
        <w:gridCol w:w="421"/>
        <w:gridCol w:w="421"/>
        <w:gridCol w:w="421"/>
        <w:gridCol w:w="421"/>
        <w:gridCol w:w="423"/>
        <w:gridCol w:w="423"/>
        <w:gridCol w:w="423"/>
        <w:gridCol w:w="423"/>
        <w:gridCol w:w="423"/>
        <w:gridCol w:w="4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Compound</w:t>
            </w:r>
          </w:p>
        </w:tc>
        <w:tc>
          <w:tcPr>
            <w:tcW w:w="18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RT</w:t>
            </w:r>
          </w:p>
        </w:tc>
        <w:tc>
          <w:tcPr>
            <w:tcW w:w="185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RI</w:t>
            </w:r>
            <w:r>
              <w:rPr>
                <w:rFonts w:cs="Palatino Linotype"/>
                <w:sz w:val="18"/>
                <w:szCs w:val="11"/>
              </w:rPr>
              <w:t>-m</w:t>
            </w:r>
          </w:p>
        </w:tc>
        <w:tc>
          <w:tcPr>
            <w:tcW w:w="178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RI</w:t>
            </w:r>
            <w:r>
              <w:rPr>
                <w:rFonts w:cs="Palatino Linotype"/>
                <w:sz w:val="18"/>
                <w:szCs w:val="11"/>
              </w:rPr>
              <w:t>-r</w:t>
            </w:r>
          </w:p>
        </w:tc>
        <w:tc>
          <w:tcPr>
            <w:tcW w:w="300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CAS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S1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S2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S3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S4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S5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S6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S7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S8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S9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</w:t>
            </w:r>
            <w:r>
              <w:rPr>
                <w:rFonts w:cs="Palatino Linotype"/>
                <w:sz w:val="18"/>
                <w:szCs w:val="11"/>
              </w:rPr>
              <w:t>10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S11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S12</w:t>
            </w:r>
          </w:p>
        </w:tc>
        <w:tc>
          <w:tcPr>
            <w:tcW w:w="20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S13</w:t>
            </w:r>
          </w:p>
        </w:tc>
        <w:tc>
          <w:tcPr>
            <w:tcW w:w="20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S14</w:t>
            </w:r>
          </w:p>
        </w:tc>
        <w:tc>
          <w:tcPr>
            <w:tcW w:w="20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S15</w:t>
            </w:r>
          </w:p>
        </w:tc>
        <w:tc>
          <w:tcPr>
            <w:tcW w:w="20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S16</w:t>
            </w:r>
          </w:p>
        </w:tc>
        <w:tc>
          <w:tcPr>
            <w:tcW w:w="20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S17</w:t>
            </w:r>
          </w:p>
        </w:tc>
        <w:tc>
          <w:tcPr>
            <w:tcW w:w="197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(</w:t>
            </w:r>
            <w:r>
              <w:rPr>
                <w:rFonts w:eastAsia="Times New Roman" w:cs="Palatino Linotype"/>
                <w:i/>
                <w:iCs/>
                <w:sz w:val="18"/>
                <w:szCs w:val="11"/>
              </w:rPr>
              <w:t>E</w:t>
            </w:r>
            <w:r>
              <w:rPr>
                <w:rFonts w:eastAsia="Times New Roman" w:cs="Palatino Linotype"/>
                <w:sz w:val="18"/>
                <w:szCs w:val="11"/>
              </w:rPr>
              <w:t>)-beta-farnesene</w:t>
            </w:r>
          </w:p>
        </w:tc>
        <w:tc>
          <w:tcPr>
            <w:tcW w:w="189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22.05</w:t>
            </w:r>
          </w:p>
        </w:tc>
        <w:tc>
          <w:tcPr>
            <w:tcW w:w="185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1459</w:t>
            </w:r>
          </w:p>
        </w:tc>
        <w:tc>
          <w:tcPr>
            <w:tcW w:w="178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1448</w:t>
            </w:r>
          </w:p>
        </w:tc>
        <w:tc>
          <w:tcPr>
            <w:tcW w:w="300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18794-84-8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1.02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1.14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1.47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0.63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1.28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1.06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2.00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1.94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0.77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1.27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0.08</w:t>
            </w:r>
          </w:p>
        </w:tc>
        <w:tc>
          <w:tcPr>
            <w:tcW w:w="201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2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2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0.03</w:t>
            </w:r>
          </w:p>
        </w:tc>
        <w:tc>
          <w:tcPr>
            <w:tcW w:w="202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0.06</w:t>
            </w:r>
          </w:p>
        </w:tc>
        <w:tc>
          <w:tcPr>
            <w:tcW w:w="197" w:type="pct"/>
            <w:tcBorders>
              <w:top w:val="single" w:color="auto" w:sz="12" w:space="0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Dehydrosesquicineole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22.33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1471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1473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211237-38-6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Germacrene D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22.68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1485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1477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23986-74-5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0.36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0.38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Bicyclogermacrene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23.06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1500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1492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24703-35-3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0.38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0.41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Spathulenol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25.21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1592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1568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6750-60-3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0.48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0.55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0.49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0.59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0.36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0.68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0.06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i/>
                <w:iCs/>
                <w:sz w:val="18"/>
                <w:szCs w:val="11"/>
              </w:rPr>
              <w:t>γ</w:t>
            </w:r>
            <w:r>
              <w:rPr>
                <w:rFonts w:eastAsia="Times New Roman" w:cs="Palatino Linotype"/>
                <w:sz w:val="18"/>
                <w:szCs w:val="11"/>
              </w:rPr>
              <w:t>-Eudesmol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25.90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1622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1630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1209-71-8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0.09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0.03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i/>
                <w:iCs/>
                <w:sz w:val="18"/>
                <w:szCs w:val="11"/>
              </w:rPr>
              <w:t>β</w:t>
            </w:r>
            <w:r>
              <w:rPr>
                <w:rFonts w:eastAsia="Times New Roman" w:cs="Palatino Linotype"/>
                <w:sz w:val="18"/>
                <w:szCs w:val="11"/>
              </w:rPr>
              <w:t>-Bisabolol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26.29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1640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1758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15352-77-9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i/>
                <w:iCs/>
                <w:sz w:val="18"/>
                <w:szCs w:val="11"/>
              </w:rPr>
              <w:t>γ</w:t>
            </w:r>
            <w:r>
              <w:rPr>
                <w:rFonts w:eastAsia="Times New Roman" w:cs="Palatino Linotype"/>
                <w:sz w:val="18"/>
                <w:szCs w:val="11"/>
              </w:rPr>
              <w:t>-Cadinol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26.49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1649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1639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5937-11-1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i/>
                <w:iCs/>
                <w:sz w:val="18"/>
                <w:szCs w:val="11"/>
              </w:rPr>
              <w:t>α</w:t>
            </w:r>
            <w:r>
              <w:rPr>
                <w:rFonts w:eastAsia="Times New Roman" w:cs="Palatino Linotype"/>
                <w:sz w:val="18"/>
                <w:szCs w:val="11"/>
              </w:rPr>
              <w:t>-Bisabolol oxide B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26.82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1663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1644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26184-88-3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0.67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2.92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0.70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2.34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2.82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2.62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2.30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2.62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3.36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2.63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1.51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1.40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1.44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0.88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2.04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1.17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1.26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Bisabolol oxide B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26.86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1665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1666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55399-12-7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0.04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i/>
                <w:iCs/>
                <w:sz w:val="18"/>
                <w:szCs w:val="11"/>
              </w:rPr>
              <w:t>α</w:t>
            </w:r>
            <w:r>
              <w:rPr>
                <w:rFonts w:eastAsia="Times New Roman" w:cs="Palatino Linotype"/>
                <w:sz w:val="18"/>
                <w:szCs w:val="11"/>
              </w:rPr>
              <w:t>-Bisabolone oxide A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27.37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1688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1670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22567-38-0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0.39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1.31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0.60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1.41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0.98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1.04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1.47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1.31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2.14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1.76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1.21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1.07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1.22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0.72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1.38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0.45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0.54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i/>
                <w:iCs/>
                <w:sz w:val="18"/>
                <w:szCs w:val="11"/>
              </w:rPr>
              <w:t>α</w:t>
            </w:r>
            <w:r>
              <w:rPr>
                <w:rFonts w:eastAsia="Times New Roman" w:cs="Palatino Linotype"/>
                <w:sz w:val="18"/>
                <w:szCs w:val="11"/>
              </w:rPr>
              <w:t>-Bisabolol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27.53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1695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1684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515-69-5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Chamazulene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28.42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1737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1707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529-05-5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1.08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1.28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0.93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0.57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1.92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2.05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3.79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2.37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0.52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0.51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0.57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0.47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0.31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α</w:t>
            </w:r>
            <w:r>
              <w:rPr>
                <w:rFonts w:cs="Palatino Linotype"/>
                <w:sz w:val="18"/>
                <w:szCs w:val="11"/>
              </w:rPr>
              <w:t>-</w:t>
            </w:r>
            <w:r>
              <w:rPr>
                <w:rFonts w:eastAsia="Times New Roman" w:cs="Palatino Linotype"/>
                <w:sz w:val="18"/>
                <w:szCs w:val="11"/>
              </w:rPr>
              <w:t>Bisabolol oxide A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28.90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1759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1758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22567-36-8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0.61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0.31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0.85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0.32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0.39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0.40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0.44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0.42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0.21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0.13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0.32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(</w:t>
            </w:r>
            <w:r>
              <w:rPr>
                <w:rFonts w:eastAsia="Times New Roman" w:cs="Palatino Linotype"/>
                <w:i/>
                <w:iCs/>
                <w:sz w:val="18"/>
                <w:szCs w:val="11"/>
              </w:rPr>
              <w:t>Z</w:t>
            </w:r>
            <w:r>
              <w:rPr>
                <w:rFonts w:eastAsia="Times New Roman" w:cs="Palatino Linotype"/>
                <w:sz w:val="18"/>
                <w:szCs w:val="11"/>
              </w:rPr>
              <w:t>)-ene-yne-Dicycloether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31.00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1855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1849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4575-53-5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0.08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(</w:t>
            </w:r>
            <w:r>
              <w:rPr>
                <w:rFonts w:eastAsia="Times New Roman" w:cs="Palatino Linotype"/>
                <w:i/>
                <w:iCs/>
                <w:sz w:val="18"/>
                <w:szCs w:val="11"/>
              </w:rPr>
              <w:t>Z</w:t>
            </w:r>
            <w:r>
              <w:rPr>
                <w:rFonts w:eastAsia="Times New Roman" w:cs="Palatino Linotype"/>
                <w:sz w:val="18"/>
                <w:szCs w:val="11"/>
              </w:rPr>
              <w:t>)-18-Octadec-9-enolide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36.47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2157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2158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74992-69-1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0.05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0.12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Heptacosane</w:t>
            </w:r>
          </w:p>
        </w:tc>
        <w:tc>
          <w:tcPr>
            <w:tcW w:w="189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42.29</w:t>
            </w:r>
          </w:p>
        </w:tc>
        <w:tc>
          <w:tcPr>
            <w:tcW w:w="185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2502</w:t>
            </w:r>
          </w:p>
        </w:tc>
        <w:tc>
          <w:tcPr>
            <w:tcW w:w="178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2500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593-49-7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0.20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0.16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0.14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0.10</w:t>
            </w:r>
          </w:p>
        </w:tc>
        <w:tc>
          <w:tcPr>
            <w:tcW w:w="202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0.03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7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Essential oil (%)</w:t>
            </w:r>
          </w:p>
        </w:tc>
        <w:tc>
          <w:tcPr>
            <w:tcW w:w="189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</w:p>
        </w:tc>
        <w:tc>
          <w:tcPr>
            <w:tcW w:w="185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</w:p>
        </w:tc>
        <w:tc>
          <w:tcPr>
            <w:tcW w:w="178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0.75%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0.90%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1.00%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0.77%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0.92%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0.91%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1.20%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1.10%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0.86%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1.00%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0.63%</w:t>
            </w:r>
          </w:p>
        </w:tc>
        <w:tc>
          <w:tcPr>
            <w:tcW w:w="201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0.55%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0.52%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0.44%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0.43%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0.66%</w:t>
            </w:r>
          </w:p>
        </w:tc>
        <w:tc>
          <w:tcPr>
            <w:tcW w:w="202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1.05%</w:t>
            </w:r>
          </w:p>
        </w:tc>
        <w:tc>
          <w:tcPr>
            <w:tcW w:w="197" w:type="pct"/>
            <w:tcBorders>
              <w:top w:val="nil"/>
              <w:left w:val="nil"/>
              <w:bottom w:val="single" w:color="auto" w:sz="8" w:space="0"/>
              <w:right w:val="nil"/>
              <w:tl2br w:val="nil"/>
              <w:tr2bl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jc w:val="center"/>
              <w:rPr>
                <w:rFonts w:eastAsia="Times New Roman" w:cs="Palatino Linotype"/>
                <w:sz w:val="18"/>
                <w:szCs w:val="11"/>
              </w:rPr>
            </w:pPr>
            <w:r>
              <w:rPr>
                <w:rFonts w:eastAsia="Times New Roman" w:cs="Palatino Linotype"/>
                <w:sz w:val="18"/>
                <w:szCs w:val="11"/>
              </w:rPr>
              <w:t>0.93%</w:t>
            </w:r>
          </w:p>
        </w:tc>
      </w:tr>
    </w:tbl>
    <w:p>
      <w:pPr>
        <w:pStyle w:val="33"/>
        <w:ind w:left="0" w:leftChars="0" w:firstLine="0" w:firstLineChars="0"/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</w:pPr>
      <w:r>
        <w:rPr>
          <w:rFonts w:hint="eastAsia" w:ascii="Palatino Linotype" w:hAnsi="Palatino Linotype" w:eastAsia="宋体" w:cs="Times New Roman"/>
          <w:snapToGrid w:val="0"/>
          <w:color w:val="000000"/>
          <w:sz w:val="18"/>
          <w:szCs w:val="18"/>
          <w:vertAlign w:val="superscript"/>
          <w:lang w:val="en-US" w:eastAsia="zh-CN" w:bidi="en-US"/>
        </w:rPr>
        <w:t>2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 RT: relative retention time in GC-MS; RI-m: the actual retention index calculated by n-alkanes; RI-r: the theoretical retention index in the NIST 14 library; CAS: Chemical Abstracts Service registry number; S1~S18: the content of each sample compared with the internal standard(μg/mL).</w:t>
      </w:r>
    </w:p>
    <w:p>
      <w:pPr>
        <w:pStyle w:val="33"/>
        <w:ind w:left="0" w:leftChars="0" w:firstLine="0" w:firstLineChars="0"/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center"/>
        <w:textAlignment w:val="auto"/>
        <w:rPr>
          <w:rFonts w:hint="eastAsia" w:eastAsia="宋体"/>
          <w:lang w:val="en-US" w:eastAsia="zh-CN"/>
        </w:rPr>
      </w:pPr>
      <w:r>
        <w:rPr>
          <w:rFonts w:hint="eastAsia" w:ascii="Palatino Linotype" w:hAnsi="Palatino Linotype" w:eastAsia="Times New Roman" w:cs="Times New Roman"/>
          <w:b/>
          <w:snapToGrid w:val="0"/>
          <w:color w:val="000000"/>
          <w:sz w:val="20"/>
          <w:szCs w:val="22"/>
          <w:lang w:val="en-US" w:eastAsia="de-DE" w:bidi="en-US"/>
        </w:rPr>
        <w:t>Table S</w:t>
      </w:r>
      <w:r>
        <w:rPr>
          <w:rFonts w:hint="eastAsia" w:eastAsia="宋体" w:cs="Times New Roman"/>
          <w:b/>
          <w:snapToGrid w:val="0"/>
          <w:color w:val="000000"/>
          <w:sz w:val="20"/>
          <w:szCs w:val="22"/>
          <w:lang w:val="en-US" w:eastAsia="zh-CN" w:bidi="en-US"/>
        </w:rPr>
        <w:t>3</w:t>
      </w:r>
    </w:p>
    <w:p>
      <w:pPr>
        <w:pStyle w:val="33"/>
        <w:ind w:left="0" w:leftChars="0" w:firstLine="0" w:firstLineChars="0"/>
        <w:jc w:val="center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>Electronic nose raw data.</w:t>
      </w:r>
    </w:p>
    <w:tbl>
      <w:tblPr>
        <w:tblStyle w:val="11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4"/>
        <w:gridCol w:w="902"/>
        <w:gridCol w:w="902"/>
        <w:gridCol w:w="1003"/>
        <w:gridCol w:w="902"/>
        <w:gridCol w:w="902"/>
        <w:gridCol w:w="1003"/>
        <w:gridCol w:w="1003"/>
        <w:gridCol w:w="1005"/>
        <w:gridCol w:w="9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S2</w:t>
            </w:r>
          </w:p>
        </w:tc>
        <w:tc>
          <w:tcPr>
            <w:tcW w:w="46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S3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S4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S5</w:t>
            </w:r>
          </w:p>
        </w:tc>
        <w:tc>
          <w:tcPr>
            <w:tcW w:w="46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S6</w:t>
            </w:r>
          </w:p>
        </w:tc>
        <w:tc>
          <w:tcPr>
            <w:tcW w:w="46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S7</w:t>
            </w:r>
          </w:p>
        </w:tc>
        <w:tc>
          <w:tcPr>
            <w:tcW w:w="470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S8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2-Butene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759.73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65103.63</w:t>
            </w:r>
          </w:p>
        </w:tc>
        <w:tc>
          <w:tcPr>
            <w:tcW w:w="46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1926.23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913.93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1101.27</w:t>
            </w:r>
          </w:p>
        </w:tc>
        <w:tc>
          <w:tcPr>
            <w:tcW w:w="46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1098.17</w:t>
            </w:r>
          </w:p>
        </w:tc>
        <w:tc>
          <w:tcPr>
            <w:tcW w:w="46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17751.00</w:t>
            </w:r>
          </w:p>
        </w:tc>
        <w:tc>
          <w:tcPr>
            <w:tcW w:w="47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1334.97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22260.40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Propenal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1874.43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2095.53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1734.67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2144.97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3113.40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1542.33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2181.33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Ethanol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1331.93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1345.47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1215.23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1-Propanol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1812.70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1086.30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1039.83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Hexane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1413.77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1442.03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1842.60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1701.47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2573.47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1375.23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2227.33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Methylcyclopentane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1101.57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1025.63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1141.00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1544.90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1630.97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1506.77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Ethylbutyrate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1288.90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1442.63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2349.67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1655.70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2217.40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2232.27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1999.20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2163.43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(Z)-3-hexenal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Butanoicacid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39825.90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36090.40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64121.77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47016.93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52171.73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63605.33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30753.70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85530.10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87087.07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Pentanoicacid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1541.80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2946.93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2015.40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1996.03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3305.83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3454.83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1886.03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3532.13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3321.63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α-pinene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3964.10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12011.33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5066.50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9059.00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11462.07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6641.10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12468.67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16600.90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12740.53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5-Methylfurfural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10386.57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10242.27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16823.20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10652.50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12929.70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14065.03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9431.53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18276.87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17622.17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β-Pinene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2825.27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3759.80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Myrcene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1411.57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Octanal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5071.87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5695.73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8308.40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3830.50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4472.23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4511.77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5300.87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8600.37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6826.03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α-Phellandrene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4068.90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2417.53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2901.03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3362.17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3352.40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4638.93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3901.97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Norfuraneol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13087.60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29475.40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26534.43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12418.77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15652.10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19603.53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14096.07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23196.83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22225.17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γ-Terpinene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3934.27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15148.43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6726.33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12691.27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19262.80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11272.73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22346.10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30543.47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21975.97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3-Nonanone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19686.63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53662.37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31473.97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44372.27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54650.00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58637.87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58901.03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81433.23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75145.13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p-Cymenene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1686.13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4190.17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2799.60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3223.77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4061.13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4378.00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5590.67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7329.37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5053.70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n-nonanal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1560.13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1899.97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2609.00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1967.13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1848.50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2787.47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2879.03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4546.57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2688.83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1,3,8para-Menthatriene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1088.83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1237.03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2007.83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2998.63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1786.87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camphor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974.83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1373.33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1576.70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2549.07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1742.67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Cymen-8-ol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1108.40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1104.30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2,6-dimethoxy-phenol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1438.27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1109.00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1981.37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trans-Carveol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1761.77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(Z)-3-Hexenylhexanoate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1431.77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1001.40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2276.87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3302.57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N-hexyl-hexanoate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1064.13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885.43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1270.37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(E)-Cinnamicacid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1596.70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1066.33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1034.03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Geosmin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55573.73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60881.90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112647.80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53439.87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89852.30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112605.77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114816.70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129848.17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40686.50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β-Caryophyllene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3165.20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1211.83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3023.50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2076.07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3725.37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4616.73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5347.63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1834.57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α-Selinene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1076.03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1023.40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920.90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1422.33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1468.30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1794.07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2091.00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976.57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Methyldodecanoate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1141.80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1871.83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1953.47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2264.87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2651.07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3926.50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3601.00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5437.80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1375.33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8-methylpentadecane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1386.10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3178.50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1246.83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1850.03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2136.53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3247.63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4391.73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1331.03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Rheosmin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1580.07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1732.53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1565.50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2461.57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2460.23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3832.57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5646.20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1310.87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1-Tridecanol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1235.83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1502.37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1177.00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1655.07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1926.73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2619.20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3772.20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1025.37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Tetradecanal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1214.87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1275.77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2401.50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1869.07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2514.83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2116.43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1598.35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2-Pentadecanone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2512.53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2492.53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3742.90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1322.43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9398.00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5122.23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8470.77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7775.10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8841.70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Methyltetradecanoate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2041.27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2530.77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2690.80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2151.07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4356.57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4535.70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7265.13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5108.70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6779.10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Tetradecylacetate</w:t>
            </w:r>
          </w:p>
        </w:tc>
        <w:tc>
          <w:tcPr>
            <w:tcW w:w="4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2114.10</w:t>
            </w:r>
          </w:p>
        </w:tc>
        <w:tc>
          <w:tcPr>
            <w:tcW w:w="4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3467.87</w:t>
            </w:r>
          </w:p>
        </w:tc>
        <w:tc>
          <w:tcPr>
            <w:tcW w:w="4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1709.83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2113.90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ID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S10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S11</w:t>
            </w:r>
          </w:p>
        </w:tc>
        <w:tc>
          <w:tcPr>
            <w:tcW w:w="46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S12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S13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S14</w:t>
            </w:r>
          </w:p>
        </w:tc>
        <w:tc>
          <w:tcPr>
            <w:tcW w:w="46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S15</w:t>
            </w:r>
          </w:p>
        </w:tc>
        <w:tc>
          <w:tcPr>
            <w:tcW w:w="46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S16</w:t>
            </w:r>
          </w:p>
        </w:tc>
        <w:tc>
          <w:tcPr>
            <w:tcW w:w="470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S17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2-Butene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15453.90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413.00</w:t>
            </w:r>
          </w:p>
        </w:tc>
        <w:tc>
          <w:tcPr>
            <w:tcW w:w="46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326.94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541.57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437.23</w:t>
            </w:r>
          </w:p>
        </w:tc>
        <w:tc>
          <w:tcPr>
            <w:tcW w:w="46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361.97</w:t>
            </w:r>
          </w:p>
        </w:tc>
        <w:tc>
          <w:tcPr>
            <w:tcW w:w="46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69229.50</w:t>
            </w:r>
          </w:p>
        </w:tc>
        <w:tc>
          <w:tcPr>
            <w:tcW w:w="47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73239.37</w:t>
            </w:r>
          </w:p>
        </w:tc>
        <w:tc>
          <w:tcPr>
            <w:tcW w:w="42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11689.13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Propenal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1687.17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1656.57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1196.13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2680.07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1976.20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3484.53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Ethanol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1307.40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1-Propanol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1260.07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1079.27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2470.63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2685.50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3379.37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1027.57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Hexane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1062.37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1305.40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1275.99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1103.63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Methylcyclopentane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1241.27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Ethylbutyrate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2113.10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1057.57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(Z)-3-hexenal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1720.70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2890.20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3723.83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2307.57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Butanoicacid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91001.33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7112.23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3888.48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5250.17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20890.07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13121.03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Pentanoicacid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2813.30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1172.67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1295.67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1381.90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1494.97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α-pinene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10498.73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3970.93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1658.28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1774.40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4717.53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4330.73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5-Methylfurfural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16116.10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1809.30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840.39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1142.87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4081.90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3074.50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β-Pinene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Myrcene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Octanal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5815.93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1254.50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1946.27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2810.00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α-Phellandrene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3433.43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Norfuraneol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18564.70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1271.47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553.15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623.50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1925.73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1635.27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3386.67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6801.70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γ-Terpinene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17006.97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4203.13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2975.24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2987.33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5673.67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5740.60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1350.00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3-Nonanone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60307.17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11423.87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5198.19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6392.27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21668.47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18359.43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4088.63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4111.10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2843.93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p-Cymenene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4424.33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901.27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1764.83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1468.80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n-nonanal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2093.33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1,3,8para-Menthatriene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1481.30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camphor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1343.37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Cymen-8-ol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1399.50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2,6-dimethoxy-phenol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trans-Carveol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(Z)-3-Hexenylhexanoate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N-hexyl-hexanoate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(E)-Cinnamicacid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Geosmin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44809.70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10433.40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19981.88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6580.30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8910.20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8476.73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30665.90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82372.40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25840.80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β-Caryophyllene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2881.97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α-Selinene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763.30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Methyldodecanoate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1754.87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1237.49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1416.80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8-methylpentadecane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1399.57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1268.35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1463.33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4185.30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Rheosmin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1362.10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2156.43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1-Tridecanol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1034.13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1094.47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Tetradecanal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1525.54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1368.37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870.03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1571.03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2-Pentadecanone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2631.07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1457.70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1502.56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1718.83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1054.37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2089.23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3408.67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5812.40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4252.50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Methyltetradecanoate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3956.00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2571.93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3466.89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3800.03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1721.23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3065.97</w:t>
            </w:r>
          </w:p>
        </w:tc>
        <w:tc>
          <w:tcPr>
            <w:tcW w:w="4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1468.40</w:t>
            </w:r>
          </w:p>
        </w:tc>
        <w:tc>
          <w:tcPr>
            <w:tcW w:w="4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2271.27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1852.00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08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Tetradecylacetate</w:t>
            </w:r>
          </w:p>
        </w:tc>
        <w:tc>
          <w:tcPr>
            <w:tcW w:w="4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1103.28</w:t>
            </w:r>
          </w:p>
        </w:tc>
        <w:tc>
          <w:tcPr>
            <w:tcW w:w="4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</w:t>
            </w:r>
          </w:p>
        </w:tc>
        <w:tc>
          <w:tcPr>
            <w:tcW w:w="46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1027.77</w:t>
            </w:r>
          </w:p>
        </w:tc>
        <w:tc>
          <w:tcPr>
            <w:tcW w:w="47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2104.77</w:t>
            </w:r>
          </w:p>
        </w:tc>
        <w:tc>
          <w:tcPr>
            <w:tcW w:w="4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Palatino Linotype" w:hAnsi="Palatino Linotype" w:eastAsia="宋体" w:cs="Palatino Linotype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1017.13</w:t>
            </w:r>
          </w:p>
        </w:tc>
      </w:tr>
    </w:tbl>
    <w:p>
      <w:pPr>
        <w:pStyle w:val="33"/>
        <w:ind w:left="0" w:leftChars="0" w:firstLine="0" w:firstLineChars="0"/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</w:pPr>
      <w:r>
        <w:rPr>
          <w:rFonts w:hint="eastAsia" w:eastAsia="宋体" w:cs="Times New Roman"/>
          <w:snapToGrid w:val="0"/>
          <w:color w:val="000000"/>
          <w:sz w:val="18"/>
          <w:szCs w:val="18"/>
          <w:vertAlign w:val="superscript"/>
          <w:lang w:val="en-US" w:eastAsia="zh-CN" w:bidi="en-US"/>
        </w:rPr>
        <w:t>3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 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ID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>: S1-S18 represent different chamomile samples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;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 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t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he leftmost column lists the 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 xml:space="preserve">name of 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>identified compounds for each peak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;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 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t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he data 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represent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 the signal peak areas 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analyse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>d by the Rapid Gas Chromatography Electronic Nose.</w:t>
      </w:r>
    </w:p>
    <w:p>
      <w:pPr>
        <w:pStyle w:val="33"/>
        <w:ind w:left="0" w:leftChars="0" w:firstLine="0" w:firstLineChars="0"/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center"/>
        <w:textAlignment w:val="auto"/>
        <w:rPr>
          <w:rFonts w:hint="eastAsia" w:eastAsia="宋体"/>
          <w:lang w:val="en-US" w:eastAsia="zh-CN"/>
        </w:rPr>
      </w:pPr>
      <w:r>
        <w:rPr>
          <w:rFonts w:hint="eastAsia" w:eastAsia="宋体" w:cs="Times New Roman"/>
          <w:b/>
          <w:snapToGrid w:val="0"/>
          <w:color w:val="000000"/>
          <w:sz w:val="20"/>
          <w:szCs w:val="22"/>
          <w:lang w:val="en-US" w:eastAsia="zh-CN" w:bidi="en-US"/>
        </w:rPr>
        <w:t>Figur</w:t>
      </w:r>
      <w:r>
        <w:rPr>
          <w:rFonts w:hint="eastAsia" w:ascii="Palatino Linotype" w:hAnsi="Palatino Linotype" w:eastAsia="Times New Roman" w:cs="Times New Roman"/>
          <w:b/>
          <w:snapToGrid w:val="0"/>
          <w:color w:val="000000"/>
          <w:sz w:val="20"/>
          <w:szCs w:val="22"/>
          <w:lang w:val="en-US" w:eastAsia="de-DE" w:bidi="en-US"/>
        </w:rPr>
        <w:t xml:space="preserve"> S</w:t>
      </w:r>
      <w:r>
        <w:rPr>
          <w:rFonts w:hint="eastAsia" w:eastAsia="宋体" w:cs="Times New Roman"/>
          <w:b/>
          <w:snapToGrid w:val="0"/>
          <w:color w:val="000000"/>
          <w:sz w:val="20"/>
          <w:szCs w:val="22"/>
          <w:lang w:val="en-US" w:eastAsia="zh-CN" w:bidi="en-US"/>
        </w:rPr>
        <w:t>1</w:t>
      </w:r>
    </w:p>
    <w:p>
      <w:pPr>
        <w:pStyle w:val="33"/>
        <w:ind w:left="0" w:leftChars="0" w:firstLine="0" w:firstLineChars="0"/>
        <w:jc w:val="center"/>
        <w:rPr>
          <w:rFonts w:hint="default" w:ascii="Palatino Linotype" w:hAnsi="Palatino Linotype" w:eastAsia="宋体" w:cs="Times New Roman"/>
          <w:snapToGrid w:val="0"/>
          <w:color w:val="000000"/>
          <w:sz w:val="18"/>
          <w:szCs w:val="18"/>
          <w:lang w:val="en-US" w:eastAsia="zh-CN" w:bidi="en-US"/>
        </w:rPr>
      </w:pPr>
      <w:r>
        <w:rPr>
          <w:rFonts w:hint="eastAsia" w:eastAsia="宋体"/>
          <w:sz w:val="18"/>
          <w:szCs w:val="18"/>
          <w:lang w:val="en-US" w:eastAsia="zh-CN"/>
        </w:rPr>
        <w:t>Results of Permutation</w:t>
      </w:r>
    </w:p>
    <w:p>
      <w:pPr>
        <w:pStyle w:val="33"/>
        <w:ind w:left="0" w:leftChars="0" w:firstLine="0" w:firstLineChars="0"/>
        <w:rPr>
          <w:rFonts w:hint="eastAsia" w:ascii="Palatino Linotype" w:hAnsi="Palatino Linotype" w:eastAsia="宋体" w:cs="Times New Roman"/>
          <w:snapToGrid w:val="0"/>
          <w:color w:val="000000"/>
          <w:sz w:val="18"/>
          <w:szCs w:val="18"/>
          <w:lang w:val="en-US" w:eastAsia="zh-CN" w:bidi="en-US"/>
        </w:rPr>
      </w:pPr>
      <w:r>
        <w:rPr>
          <w:rFonts w:hint="eastAsia" w:ascii="Palatino Linotype" w:hAnsi="Palatino Linotype" w:eastAsia="宋体" w:cs="Times New Roman"/>
          <w:snapToGrid w:val="0"/>
          <w:color w:val="000000"/>
          <w:sz w:val="18"/>
          <w:szCs w:val="18"/>
          <w:lang w:val="en-US" w:eastAsia="zh-CN" w:bidi="en-US"/>
        </w:rPr>
        <w:drawing>
          <wp:inline distT="0" distB="0" distL="114300" distR="114300">
            <wp:extent cx="5455285" cy="2218690"/>
            <wp:effectExtent l="0" t="0" r="5715" b="3810"/>
            <wp:docPr id="2" name="图片 2" descr="Permutation合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Permutation合并1"/>
                    <pic:cNvPicPr>
                      <a:picLocks noChangeAspect="1"/>
                    </pic:cNvPicPr>
                  </pic:nvPicPr>
                  <pic:blipFill>
                    <a:blip r:embed="rId11"/>
                    <a:srcRect t="24613" r="3353" b="36086"/>
                    <a:stretch>
                      <a:fillRect/>
                    </a:stretch>
                  </pic:blipFill>
                  <pic:spPr>
                    <a:xfrm>
                      <a:off x="0" y="0"/>
                      <a:ext cx="5455285" cy="2218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3"/>
        <w:ind w:left="0" w:leftChars="0" w:firstLine="0" w:firstLineChars="0"/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</w:pPr>
      <w:r>
        <w:rPr>
          <w:rFonts w:hint="eastAsia" w:eastAsia="宋体" w:cs="Times New Roman"/>
          <w:snapToGrid w:val="0"/>
          <w:color w:val="000000"/>
          <w:sz w:val="18"/>
          <w:szCs w:val="18"/>
          <w:vertAlign w:val="superscript"/>
          <w:lang w:val="en-US" w:eastAsia="zh-CN" w:bidi="en-US"/>
        </w:rPr>
        <w:t>4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 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A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: PLSDA Permutation 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r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>esult of GC-MS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;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 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B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: PLSDA Permutation result of 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electronic nose.</w:t>
      </w: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center"/>
        <w:textAlignment w:val="auto"/>
        <w:rPr>
          <w:rFonts w:hint="eastAsia" w:eastAsia="宋体" w:cs="Times New Roman"/>
          <w:b/>
          <w:snapToGrid w:val="0"/>
          <w:color w:val="000000"/>
          <w:sz w:val="20"/>
          <w:szCs w:val="22"/>
          <w:lang w:val="en-US" w:eastAsia="zh-CN" w:bidi="en-US"/>
        </w:rPr>
      </w:pPr>
    </w:p>
    <w:p>
      <w:pPr>
        <w:pStyle w:val="3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ind w:left="0" w:leftChars="0" w:firstLine="0" w:firstLineChars="0"/>
        <w:jc w:val="center"/>
        <w:textAlignment w:val="auto"/>
        <w:rPr>
          <w:rFonts w:hint="default" w:eastAsia="宋体"/>
          <w:lang w:val="en-US" w:eastAsia="zh-CN"/>
        </w:rPr>
      </w:pPr>
      <w:r>
        <w:rPr>
          <w:rFonts w:hint="eastAsia" w:eastAsia="宋体" w:cs="Times New Roman"/>
          <w:b/>
          <w:snapToGrid w:val="0"/>
          <w:color w:val="000000"/>
          <w:sz w:val="20"/>
          <w:szCs w:val="22"/>
          <w:lang w:val="en-US" w:eastAsia="zh-CN" w:bidi="en-US"/>
        </w:rPr>
        <w:t>Figur</w:t>
      </w:r>
      <w:r>
        <w:rPr>
          <w:rFonts w:hint="eastAsia" w:ascii="Palatino Linotype" w:hAnsi="Palatino Linotype" w:eastAsia="Times New Roman" w:cs="Times New Roman"/>
          <w:b/>
          <w:snapToGrid w:val="0"/>
          <w:color w:val="000000"/>
          <w:sz w:val="20"/>
          <w:szCs w:val="22"/>
          <w:lang w:val="en-US" w:eastAsia="de-DE" w:bidi="en-US"/>
        </w:rPr>
        <w:t xml:space="preserve"> S</w:t>
      </w:r>
      <w:r>
        <w:rPr>
          <w:rFonts w:hint="eastAsia" w:eastAsia="宋体" w:cs="Times New Roman"/>
          <w:b/>
          <w:snapToGrid w:val="0"/>
          <w:color w:val="000000"/>
          <w:sz w:val="20"/>
          <w:szCs w:val="22"/>
          <w:lang w:val="en-US" w:eastAsia="zh-CN" w:bidi="en-US"/>
        </w:rPr>
        <w:t>2</w:t>
      </w:r>
    </w:p>
    <w:p>
      <w:pPr>
        <w:pStyle w:val="33"/>
        <w:ind w:left="0" w:leftChars="0" w:firstLine="0" w:firstLineChars="0"/>
        <w:jc w:val="center"/>
        <w:rPr>
          <w:rFonts w:hint="default" w:ascii="Palatino Linotype" w:hAnsi="Palatino Linotype" w:eastAsia="宋体" w:cs="Times New Roman"/>
          <w:snapToGrid w:val="0"/>
          <w:color w:val="000000"/>
          <w:sz w:val="18"/>
          <w:szCs w:val="18"/>
          <w:lang w:val="en-US" w:eastAsia="zh-CN" w:bidi="en-US"/>
        </w:rPr>
      </w:pPr>
      <w:r>
        <w:rPr>
          <w:rFonts w:hint="eastAsia" w:eastAsia="宋体"/>
          <w:sz w:val="18"/>
          <w:szCs w:val="18"/>
          <w:lang w:val="en-US" w:eastAsia="zh-CN"/>
        </w:rPr>
        <w:t>Results of Single-Factor Investigations</w:t>
      </w:r>
    </w:p>
    <w:p>
      <w:pPr>
        <w:pStyle w:val="33"/>
        <w:ind w:left="0" w:leftChars="0" w:firstLine="0" w:firstLineChars="0"/>
        <w:rPr>
          <w:rFonts w:hint="eastAsia" w:ascii="Palatino Linotype" w:hAnsi="Palatino Linotype" w:eastAsia="宋体" w:cs="Times New Roman"/>
          <w:snapToGrid w:val="0"/>
          <w:color w:val="000000"/>
          <w:sz w:val="18"/>
          <w:szCs w:val="18"/>
          <w:lang w:val="en-US" w:eastAsia="zh-CN" w:bidi="en-US"/>
        </w:rPr>
      </w:pPr>
    </w:p>
    <w:p>
      <w:pPr>
        <w:pStyle w:val="33"/>
        <w:ind w:left="0" w:leftChars="0" w:firstLine="0" w:firstLineChars="0"/>
        <w:rPr>
          <w:rFonts w:hint="eastAsia" w:ascii="Palatino Linotype" w:hAnsi="Palatino Linotype" w:eastAsia="宋体" w:cs="Times New Roman"/>
          <w:snapToGrid w:val="0"/>
          <w:color w:val="000000"/>
          <w:sz w:val="18"/>
          <w:szCs w:val="18"/>
          <w:lang w:val="en-US" w:eastAsia="zh-CN" w:bidi="en-US"/>
        </w:rPr>
      </w:pPr>
      <w:r>
        <w:rPr>
          <w:rFonts w:hint="eastAsia" w:ascii="Palatino Linotype" w:hAnsi="Palatino Linotype" w:eastAsia="宋体" w:cs="Times New Roman"/>
          <w:snapToGrid w:val="0"/>
          <w:color w:val="000000"/>
          <w:sz w:val="18"/>
          <w:szCs w:val="18"/>
          <w:lang w:val="en-US" w:eastAsia="zh-CN" w:bidi="en-US"/>
        </w:rPr>
        <w:drawing>
          <wp:inline distT="0" distB="0" distL="114300" distR="114300">
            <wp:extent cx="4545330" cy="4191000"/>
            <wp:effectExtent l="0" t="0" r="1270" b="0"/>
            <wp:docPr id="4" name="图片 4" descr="合并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合并1"/>
                    <pic:cNvPicPr>
                      <a:picLocks noChangeAspect="1"/>
                    </pic:cNvPicPr>
                  </pic:nvPicPr>
                  <pic:blipFill>
                    <a:blip r:embed="rId12"/>
                    <a:srcRect l="1819" t="8242" r="4651" b="5525"/>
                    <a:stretch>
                      <a:fillRect/>
                    </a:stretch>
                  </pic:blipFill>
                  <pic:spPr>
                    <a:xfrm>
                      <a:off x="0" y="0"/>
                      <a:ext cx="4545330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3"/>
        <w:ind w:left="0" w:leftChars="0" w:firstLine="0" w:firstLineChars="0"/>
        <w:rPr>
          <w:rFonts w:hint="default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</w:pPr>
      <w:r>
        <w:rPr>
          <w:rFonts w:hint="eastAsia" w:eastAsia="宋体" w:cs="Times New Roman"/>
          <w:snapToGrid w:val="0"/>
          <w:color w:val="000000"/>
          <w:sz w:val="18"/>
          <w:szCs w:val="18"/>
          <w:vertAlign w:val="superscript"/>
          <w:lang w:val="en-US" w:eastAsia="zh-CN" w:bidi="en-US"/>
        </w:rPr>
        <w:t>5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 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A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: 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C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>hromatograms of Sample Quantity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;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 xml:space="preserve"> 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>B</w:t>
      </w:r>
      <w:r>
        <w:rPr>
          <w:rFonts w:hint="eastAsia" w:ascii="Palatino Linotype" w:hAnsi="Palatino Linotype" w:eastAsia="Times New Roman" w:cs="Times New Roman"/>
          <w:snapToGrid w:val="0"/>
          <w:color w:val="000000"/>
          <w:sz w:val="18"/>
          <w:szCs w:val="18"/>
          <w:lang w:val="en-US" w:eastAsia="de-DE" w:bidi="en-US"/>
        </w:rPr>
        <w:t>: Chromatograms of</w:t>
      </w:r>
      <w:r>
        <w:rPr>
          <w:rFonts w:hint="eastAsia" w:eastAsia="宋体" w:cs="Times New Roman"/>
          <w:snapToGrid w:val="0"/>
          <w:color w:val="000000"/>
          <w:sz w:val="18"/>
          <w:szCs w:val="18"/>
          <w:lang w:val="en-US" w:eastAsia="zh-CN" w:bidi="en-US"/>
        </w:rPr>
        <w:t xml:space="preserve"> Injection Volume; C: Chromatograms of Incubation Temperature; D: Chromatograms of Incubation Time.</w:t>
      </w:r>
    </w:p>
    <w:p>
      <w:pPr>
        <w:pStyle w:val="33"/>
        <w:ind w:left="0" w:leftChars="0" w:firstLine="0" w:firstLineChars="0"/>
        <w:rPr>
          <w:rFonts w:hint="eastAsia" w:ascii="Palatino Linotype" w:hAnsi="Palatino Linotype" w:eastAsia="宋体" w:cs="Times New Roman"/>
          <w:snapToGrid w:val="0"/>
          <w:color w:val="000000"/>
          <w:sz w:val="18"/>
          <w:szCs w:val="18"/>
          <w:lang w:val="en-US" w:eastAsia="zh-CN" w:bidi="en-US"/>
        </w:rPr>
      </w:pPr>
    </w:p>
    <w:sectPr>
      <w:headerReference r:id="rId7" w:type="first"/>
      <w:footerReference r:id="rId9" w:type="first"/>
      <w:headerReference r:id="rId5" w:type="default"/>
      <w:footerReference r:id="rId8" w:type="default"/>
      <w:headerReference r:id="rId6" w:type="even"/>
      <w:type w:val="continuous"/>
      <w:pgSz w:w="11906" w:h="16838"/>
      <w:pgMar w:top="1417" w:right="720" w:bottom="1077" w:left="720" w:header="1020" w:footer="340" w:gutter="0"/>
      <w:pgBorders>
        <w:top w:val="none" w:sz="0" w:space="0"/>
        <w:left w:val="none" w:sz="0" w:space="0"/>
        <w:bottom w:val="none" w:sz="0" w:space="0"/>
        <w:right w:val="none" w:sz="0" w:space="0"/>
      </w:pgBorders>
      <w:lnNumType w:countBy="1" w:distance="255" w:restart="continuous"/>
      <w:pgNumType w:start="1"/>
      <w:cols w:space="425" w:num="1"/>
      <w:titlePg/>
      <w:bidi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roman"/>
    <w:pitch w:val="default"/>
    <w:sig w:usb0="E0000287" w:usb1="40000013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rdia New">
    <w:altName w:val="Microsoft Sans Serif"/>
    <w:panose1 w:val="020B0304020202020204"/>
    <w:charset w:val="DE"/>
    <w:family w:val="swiss"/>
    <w:pitch w:val="default"/>
    <w:sig w:usb0="00000000" w:usb1="00000000" w:usb2="00000000" w:usb3="00000000" w:csb0="0001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single" w:color="000000" w:sz="4" w:space="0"/>
      </w:pBdr>
      <w:tabs>
        <w:tab w:val="right" w:pos="8844"/>
      </w:tabs>
      <w:adjustRightInd w:val="0"/>
      <w:snapToGrid w:val="0"/>
      <w:spacing w:before="480" w:line="100" w:lineRule="exact"/>
      <w:jc w:val="left"/>
      <w:rPr>
        <w:i/>
        <w:sz w:val="16"/>
        <w:szCs w:val="16"/>
      </w:rPr>
    </w:pPr>
  </w:p>
  <w:p>
    <w:pPr>
      <w:tabs>
        <w:tab w:val="right" w:pos="10466"/>
      </w:tabs>
      <w:adjustRightInd w:val="0"/>
      <w:snapToGrid w:val="0"/>
      <w:spacing w:line="240" w:lineRule="auto"/>
      <w:rPr>
        <w:sz w:val="16"/>
        <w:szCs w:val="16"/>
        <w:lang w:val="fr-CH"/>
      </w:rPr>
    </w:pPr>
    <w:r>
      <w:rPr>
        <w:i/>
        <w:sz w:val="16"/>
        <w:szCs w:val="16"/>
      </w:rPr>
      <w:t xml:space="preserve">Foods </w:t>
    </w:r>
    <w:r>
      <w:rPr>
        <w:b/>
        <w:bCs/>
        <w:iCs/>
        <w:sz w:val="16"/>
        <w:szCs w:val="16"/>
      </w:rPr>
      <w:t>2024</w:t>
    </w:r>
    <w:r>
      <w:rPr>
        <w:bCs/>
        <w:iCs/>
        <w:sz w:val="16"/>
        <w:szCs w:val="16"/>
      </w:rPr>
      <w:t>,</w:t>
    </w:r>
    <w:r>
      <w:rPr>
        <w:bCs/>
        <w:i/>
        <w:iCs/>
        <w:sz w:val="16"/>
        <w:szCs w:val="16"/>
      </w:rPr>
      <w:t xml:space="preserve"> 13</w:t>
    </w:r>
    <w:r>
      <w:rPr>
        <w:bCs/>
        <w:iCs/>
        <w:sz w:val="16"/>
        <w:szCs w:val="16"/>
      </w:rPr>
      <w:t>, x. https://doi.org/10.3390/xxxxx</w:t>
    </w:r>
    <w:r>
      <w:rPr>
        <w:sz w:val="16"/>
        <w:szCs w:val="16"/>
        <w:lang w:val="fr-CH"/>
      </w:rPr>
      <w:tab/>
    </w:r>
    <w:r>
      <w:rPr>
        <w:sz w:val="16"/>
        <w:szCs w:val="16"/>
        <w:lang w:val="fr-CH"/>
      </w:rPr>
      <w:t>www.mdpi.com/journal/</w:t>
    </w:r>
    <w:r>
      <w:rPr>
        <w:sz w:val="16"/>
        <w:szCs w:val="16"/>
      </w:rPr>
      <w:t>foods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right" w:pos="10466"/>
      </w:tabs>
      <w:adjustRightInd w:val="0"/>
      <w:snapToGrid w:val="0"/>
      <w:spacing w:line="240" w:lineRule="auto"/>
      <w:rPr>
        <w:sz w:val="16"/>
      </w:rPr>
    </w:pPr>
    <w:r>
      <w:rPr>
        <w:i/>
        <w:sz w:val="16"/>
      </w:rPr>
      <w:t xml:space="preserve">Foods </w:t>
    </w:r>
    <w:r>
      <w:rPr>
        <w:b/>
        <w:sz w:val="16"/>
      </w:rPr>
      <w:t>2024</w:t>
    </w:r>
    <w:r>
      <w:rPr>
        <w:sz w:val="16"/>
      </w:rPr>
      <w:t>,</w:t>
    </w:r>
    <w:r>
      <w:rPr>
        <w:i/>
        <w:sz w:val="16"/>
      </w:rPr>
      <w:t xml:space="preserve"> 13</w:t>
    </w:r>
    <w:r>
      <w:rPr>
        <w:sz w:val="16"/>
      </w:rPr>
      <w:t>, x FOR PEER REVIEW</w:t>
    </w:r>
    <w:r>
      <w:rPr>
        <w:sz w:val="16"/>
      </w:rPr>
      <w:tab/>
    </w:r>
    <w:r>
      <w:rPr>
        <w:sz w:val="16"/>
      </w:rPr>
      <w:fldChar w:fldCharType="begin"/>
    </w:r>
    <w:r>
      <w:rPr>
        <w:sz w:val="16"/>
      </w:rPr>
      <w:instrText xml:space="preserve"> PAGE   \* MERGEFORMAT </w:instrText>
    </w:r>
    <w:r>
      <w:rPr>
        <w:sz w:val="16"/>
      </w:rPr>
      <w:fldChar w:fldCharType="separate"/>
    </w:r>
    <w:r>
      <w:rPr>
        <w:sz w:val="16"/>
      </w:rPr>
      <w:t>2</w:t>
    </w:r>
    <w:r>
      <w:rPr>
        <w:sz w:val="16"/>
      </w:rPr>
      <w:fldChar w:fldCharType="end"/>
    </w:r>
    <w:r>
      <w:rPr>
        <w:sz w:val="16"/>
      </w:rPr>
      <w:t xml:space="preserve"> of </w:t>
    </w:r>
    <w:r>
      <w:rPr>
        <w:sz w:val="16"/>
      </w:rPr>
      <w:fldChar w:fldCharType="begin"/>
    </w:r>
    <w:r>
      <w:rPr>
        <w:sz w:val="16"/>
      </w:rPr>
      <w:instrText xml:space="preserve"> NUMPAGES   \* MERGEFORMAT </w:instrText>
    </w:r>
    <w:r>
      <w:rPr>
        <w:sz w:val="16"/>
      </w:rPr>
      <w:fldChar w:fldCharType="separate"/>
    </w:r>
    <w:r>
      <w:rPr>
        <w:sz w:val="16"/>
      </w:rPr>
      <w:t>5</w:t>
    </w:r>
    <w:r>
      <w:rPr>
        <w:sz w:val="16"/>
      </w:rPr>
      <w:fldChar w:fldCharType="end"/>
    </w:r>
  </w:p>
  <w:p>
    <w:pPr>
      <w:pBdr>
        <w:bottom w:val="single" w:color="000000" w:sz="4" w:space="1"/>
      </w:pBdr>
      <w:tabs>
        <w:tab w:val="right" w:pos="8844"/>
      </w:tabs>
      <w:adjustRightInd w:val="0"/>
      <w:snapToGrid w:val="0"/>
      <w:spacing w:after="480" w:line="100" w:lineRule="exact"/>
      <w:jc w:val="left"/>
      <w:rPr>
        <w:sz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1"/>
      <w:tblW w:w="10487" w:type="dxa"/>
      <w:tblInd w:w="0" w:type="dxa"/>
      <w:tblLayout w:type="autofit"/>
      <w:tblCellMar>
        <w:top w:w="0" w:type="dxa"/>
        <w:left w:w="0" w:type="dxa"/>
        <w:bottom w:w="0" w:type="dxa"/>
        <w:right w:w="0" w:type="dxa"/>
      </w:tblCellMar>
    </w:tblPr>
    <w:tblGrid>
      <w:gridCol w:w="3679"/>
      <w:gridCol w:w="4535"/>
      <w:gridCol w:w="2273"/>
    </w:tblGrid>
    <w:tr>
      <w:tblPrEx>
        <w:tblCellMar>
          <w:top w:w="0" w:type="dxa"/>
          <w:left w:w="0" w:type="dxa"/>
          <w:bottom w:w="0" w:type="dxa"/>
          <w:right w:w="0" w:type="dxa"/>
        </w:tblCellMar>
      </w:tblPrEx>
      <w:trPr>
        <w:trHeight w:val="686" w:hRule="atLeast"/>
      </w:trPr>
      <w:tc>
        <w:tcPr>
          <w:tcW w:w="3679" w:type="dxa"/>
          <w:shd w:val="clear" w:color="auto" w:fill="auto"/>
          <w:vAlign w:val="center"/>
        </w:tcPr>
        <w:p>
          <w:pPr>
            <w:pStyle w:val="7"/>
            <w:pBdr>
              <w:bottom w:val="none" w:color="auto" w:sz="0" w:space="0"/>
            </w:pBdr>
            <w:jc w:val="left"/>
            <w:rPr>
              <w:rFonts w:eastAsia="等线"/>
              <w:b/>
              <w:bCs/>
            </w:rPr>
          </w:pPr>
          <w:r>
            <w:rPr>
              <w:rFonts w:eastAsia="等线"/>
              <w:b/>
              <w:bCs/>
            </w:rPr>
            <w:drawing>
              <wp:inline distT="0" distB="0" distL="0" distR="0">
                <wp:extent cx="1233170" cy="436245"/>
                <wp:effectExtent l="0" t="0" r="0" b="0"/>
                <wp:docPr id="1" name="Picture 3" descr="C:\Users\home\AppData\Local\Temp\HZ$D.082.3307\foods_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 descr="C:\Users\home\AppData\Local\Temp\HZ$D.082.3307\foods_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33170" cy="4362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5" w:type="dxa"/>
          <w:shd w:val="clear" w:color="auto" w:fill="auto"/>
          <w:vAlign w:val="center"/>
        </w:tcPr>
        <w:p>
          <w:pPr>
            <w:pStyle w:val="7"/>
            <w:pBdr>
              <w:bottom w:val="none" w:color="auto" w:sz="0" w:space="0"/>
            </w:pBdr>
            <w:rPr>
              <w:rFonts w:eastAsia="等线"/>
              <w:b/>
              <w:bCs/>
            </w:rPr>
          </w:pPr>
        </w:p>
      </w:tc>
      <w:tc>
        <w:tcPr>
          <w:tcW w:w="2273" w:type="dxa"/>
          <w:shd w:val="clear" w:color="auto" w:fill="auto"/>
          <w:vAlign w:val="center"/>
        </w:tcPr>
        <w:p>
          <w:pPr>
            <w:pStyle w:val="7"/>
            <w:pBdr>
              <w:bottom w:val="none" w:color="auto" w:sz="0" w:space="0"/>
            </w:pBdr>
            <w:jc w:val="right"/>
            <w:rPr>
              <w:rFonts w:eastAsia="等线"/>
              <w:b/>
              <w:bCs/>
            </w:rPr>
          </w:pPr>
          <w:r>
            <w:rPr>
              <w:rFonts w:eastAsia="等线"/>
              <w:b/>
              <w:bCs/>
            </w:rPr>
            <w:drawing>
              <wp:inline distT="0" distB="0" distL="0" distR="0">
                <wp:extent cx="539750" cy="359410"/>
                <wp:effectExtent l="0" t="0" r="0" b="2540"/>
                <wp:docPr id="451294788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51294788" name="Picture 1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0" cy="3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Bdr>
        <w:bottom w:val="single" w:color="000000" w:sz="4" w:space="1"/>
      </w:pBdr>
      <w:adjustRightInd w:val="0"/>
      <w:snapToGrid w:val="0"/>
      <w:spacing w:line="100" w:lineRule="exact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B468F5"/>
    <w:multiLevelType w:val="multilevel"/>
    <w:tmpl w:val="18B468F5"/>
    <w:lvl w:ilvl="0" w:tentative="0">
      <w:start w:val="1"/>
      <w:numFmt w:val="bullet"/>
      <w:pStyle w:val="38"/>
      <w:lvlText w:val=""/>
      <w:lvlJc w:val="left"/>
      <w:pPr>
        <w:ind w:left="3033" w:hanging="425"/>
      </w:pPr>
      <w:rPr>
        <w:rFonts w:hint="default" w:ascii="Symbol" w:hAnsi="Symbol"/>
        <w:b w:val="0"/>
        <w:i w:val="0"/>
        <w:sz w:val="20"/>
        <w:vertAlign w:val="baseline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DA1CB9"/>
    <w:multiLevelType w:val="multilevel"/>
    <w:tmpl w:val="44DA1CB9"/>
    <w:lvl w:ilvl="0" w:tentative="0">
      <w:start w:val="1"/>
      <w:numFmt w:val="decimal"/>
      <w:pStyle w:val="49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7F75A7"/>
    <w:multiLevelType w:val="multilevel"/>
    <w:tmpl w:val="6D7F75A7"/>
    <w:lvl w:ilvl="0" w:tentative="0">
      <w:start w:val="1"/>
      <w:numFmt w:val="decimal"/>
      <w:pStyle w:val="37"/>
      <w:lvlText w:val="%1."/>
      <w:lvlJc w:val="left"/>
      <w:pPr>
        <w:ind w:left="3033" w:hanging="425"/>
      </w:pPr>
      <w:rPr>
        <w:b w:val="0"/>
        <w:i w:val="0"/>
        <w:sz w:val="20"/>
        <w:vertAlign w:val="baseline"/>
      </w:rPr>
    </w:lvl>
    <w:lvl w:ilvl="1" w:tentative="0">
      <w:start w:val="1"/>
      <w:numFmt w:val="lowerLetter"/>
      <w:lvlText w:val="%2."/>
      <w:lvlJc w:val="left"/>
      <w:pPr>
        <w:ind w:left="4048" w:hanging="360"/>
      </w:pPr>
    </w:lvl>
    <w:lvl w:ilvl="2" w:tentative="0">
      <w:start w:val="1"/>
      <w:numFmt w:val="lowerRoman"/>
      <w:lvlText w:val="%3."/>
      <w:lvlJc w:val="right"/>
      <w:pPr>
        <w:ind w:left="4768" w:hanging="180"/>
      </w:pPr>
    </w:lvl>
    <w:lvl w:ilvl="3" w:tentative="0">
      <w:start w:val="1"/>
      <w:numFmt w:val="decimal"/>
      <w:lvlText w:val="%4."/>
      <w:lvlJc w:val="left"/>
      <w:pPr>
        <w:ind w:left="5488" w:hanging="360"/>
      </w:pPr>
    </w:lvl>
    <w:lvl w:ilvl="4" w:tentative="0">
      <w:start w:val="1"/>
      <w:numFmt w:val="lowerLetter"/>
      <w:lvlText w:val="%5."/>
      <w:lvlJc w:val="left"/>
      <w:pPr>
        <w:ind w:left="6208" w:hanging="360"/>
      </w:pPr>
    </w:lvl>
    <w:lvl w:ilvl="5" w:tentative="0">
      <w:start w:val="1"/>
      <w:numFmt w:val="lowerRoman"/>
      <w:lvlText w:val="%6."/>
      <w:lvlJc w:val="right"/>
      <w:pPr>
        <w:ind w:left="6928" w:hanging="180"/>
      </w:pPr>
    </w:lvl>
    <w:lvl w:ilvl="6" w:tentative="0">
      <w:start w:val="1"/>
      <w:numFmt w:val="decimal"/>
      <w:lvlText w:val="%7."/>
      <w:lvlJc w:val="left"/>
      <w:pPr>
        <w:ind w:left="7648" w:hanging="360"/>
      </w:pPr>
    </w:lvl>
    <w:lvl w:ilvl="7" w:tentative="0">
      <w:start w:val="1"/>
      <w:numFmt w:val="lowerLetter"/>
      <w:lvlText w:val="%8."/>
      <w:lvlJc w:val="left"/>
      <w:pPr>
        <w:ind w:left="8368" w:hanging="360"/>
      </w:pPr>
    </w:lvl>
    <w:lvl w:ilvl="8" w:tentative="0">
      <w:start w:val="1"/>
      <w:numFmt w:val="lowerRoman"/>
      <w:lvlText w:val="%9."/>
      <w:lvlJc w:val="right"/>
      <w:pPr>
        <w:ind w:left="9088" w:hanging="180"/>
      </w:pPr>
    </w:lvl>
  </w:abstractNum>
  <w:abstractNum w:abstractNumId="3">
    <w:nsid w:val="721A26FB"/>
    <w:multiLevelType w:val="multilevel"/>
    <w:tmpl w:val="721A26FB"/>
    <w:lvl w:ilvl="0" w:tentative="0">
      <w:start w:val="1"/>
      <w:numFmt w:val="decimal"/>
      <w:pStyle w:val="84"/>
      <w:lvlText w:val="%1."/>
      <w:lvlJc w:val="left"/>
      <w:pPr>
        <w:ind w:left="425" w:hanging="425"/>
      </w:pPr>
      <w:rPr>
        <w:vertAlign w:val="superscrip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510"/>
  <w:autoHyphenation/>
  <w:drawingGridHorizontalSpacing w:val="100"/>
  <w:drawingGridVerticalSpacing w:val="163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xODBhYmY5NzcxZTllNzVhZjFmODEyMzc1MTk5YTMifQ=="/>
    <w:docVar w:name="NE.Ref{002C4E74-F62B-4E69-9EB8-E860C03B568F}" w:val=" ADDIN NE.Ref.{002C4E74-F62B-4E69-9EB8-E860C03B568F}&lt;Citation&gt;&lt;Group&gt;&lt;References&gt;&lt;Item&gt;&lt;ID&gt;229&lt;/ID&gt;&lt;UID&gt;{2E499376-F651-4312-8EE6-D1AD0AC42F2B}&lt;/UID&gt;&lt;Title&gt;Chamomile: A Review of Its Traditional Uses, Chemical Constituents,  Pharmacological Activities and Quality Control Studies&lt;/Title&gt;&lt;Template&gt;Journal Article&lt;/Template&gt;&lt;Star&gt;0&lt;/Star&gt;&lt;Tag&gt;0&lt;/Tag&gt;&lt;Author&gt;Dai, Y L; Li, Y; Wang, Q; Niu, F J; Li, K W; Wang, Y Y; Wang, J; Zhou, C Z; Gao, L N&lt;/Author&gt;&lt;Year&gt;2022&lt;/Year&gt;&lt;Details&gt;&lt;_accession_num&gt;36615326&lt;/_accession_num&gt;&lt;_author_adr&gt;College of Pharmacy, Shandong University of Traditional Chinese Medicine, Ji&amp;apos;nan  250355, China.; College of Pharmacy, Shandong University of Traditional Chinese Medicine, Ji&amp;apos;nan  250355, China.; College of Pharmacy, Shandong University of Traditional Chinese Medicine, Ji&amp;apos;nan  250355, China.; College of Pharmacy, Shandong University of Traditional Chinese Medicine, Ji&amp;apos;nan  250355, China.; College of Pharmacy, Shandong University of Traditional Chinese Medicine, Ji&amp;apos;nan  250355, China.; College of Pharmacy, Shandong University of Traditional Chinese Medicine, Ji&amp;apos;nan  250355, China.; College of Pharmacy, Shandong University of Traditional Chinese Medicine, Ji&amp;apos;nan  250355, China.; College of Pharmacy, Shandong University of Traditional Chinese Medicine, Ji&amp;apos;nan  250355, China.; College of Pharmacy, Shandong University of Traditional Chinese Medicine, Ji&amp;apos;nan  250355, China.&lt;/_author_adr&gt;&lt;_collection_scope&gt;SCIE&lt;/_collection_scope&gt;&lt;_created&gt;65320829&lt;/_created&gt;&lt;_date&gt;2022-12-23&lt;/_date&gt;&lt;_date_display&gt;2022 Dec 23&lt;/_date_display&gt;&lt;_db_updated&gt;PubMed&lt;/_db_updated&gt;&lt;_doi&gt;10.3390/molecules28010133&lt;/_doi&gt;&lt;_impact_factor&gt;   4.600&lt;/_impact_factor&gt;&lt;_isbn&gt;1420-3049 (Electronic); 1420-3049 (Linking)&lt;/_isbn&gt;&lt;_issue&gt;1&lt;/_issue&gt;&lt;_journal&gt;Molecules&lt;/_journal&gt;&lt;_keywords&gt;Chamaemelum nobile (L.) all.; Matricaria chamomilia L.; chamomile; chemical constituents; pharmacological activities&lt;/_keywords&gt;&lt;_language&gt;eng&lt;/_language&gt;&lt;_modified&gt;65320829&lt;/_modified&gt;&lt;_social_category&gt;生化与分子生物学(3) &amp;amp; 化学综合(3)&lt;/_social_category&gt;&lt;_subject_headings&gt;*Chamomile; Plant Extracts/chemistry; *Oils, Volatile/pharmacology/chemistry; Terpenes; Quality Control; Medicine, Traditional&lt;/_subject_headings&gt;&lt;_tertiary_title&gt;Molecules (Basel, Switzerland)&lt;/_tertiary_title&gt;&lt;_type_work&gt;Journal Article; Review&lt;/_type_work&gt;&lt;_url&gt;http://www.ncbi.nlm.nih.gov/entrez/query.fcgi?cmd=Retrieve&amp;amp;db=pubmed&amp;amp;dopt=Abstract&amp;amp;list_uids=36615326&amp;amp;query_hl=1&lt;/_url&gt;&lt;_volume&gt;28&lt;/_volume&gt;&lt;/Details&gt;&lt;Extra&gt;&lt;DBUID&gt;{7A4864DA-D1F8-4ACD-BB24-0EAEEAFDB637}&lt;/DBUID&gt;&lt;/Extra&gt;&lt;/Item&gt;&lt;/References&gt;&lt;/Group&gt;&lt;/Citation&gt;_x000a_"/>
    <w:docVar w:name="NE.Ref{089553C4-DC1A-488D-A183-BA6779218A4D}" w:val=" ADDIN NE.Ref.{089553C4-DC1A-488D-A183-BA6779218A4D}&lt;Citation&gt;&lt;Group&gt;&lt;References&gt;&lt;Item&gt;&lt;ID&gt;243&lt;/ID&gt;&lt;UID&gt;{D5E69822-04B3-43E8-8B0D-AAC6FC55272D}&lt;/UID&gt;&lt;Title&gt;Content and composition of the essential oil of Chamomilla recutita (L.)  Rauschert from some European countries&lt;/Title&gt;&lt;Template&gt;Journal Article&lt;/Template&gt;&lt;Star&gt;0&lt;/Star&gt;&lt;Tag&gt;0&lt;/Tag&gt;&lt;Author&gt;Orav, A; Raal, A; Arak, E&lt;/Author&gt;&lt;Year&gt;2010&lt;/Year&gt;&lt;Details&gt;&lt;_accession_num&gt;20013472&lt;/_accession_num&gt;&lt;_author_adr&gt;Institute of Chemistry, Tallinn University of Technology, Tallinn, Estonia.&lt;/_author_adr&gt;&lt;_collection_scope&gt;SCIE&lt;/_collection_scope&gt;&lt;_created&gt;65322061&lt;/_created&gt;&lt;_date&gt;2010-01-20&lt;/_date&gt;&lt;_date_display&gt;2010&lt;/_date_display&gt;&lt;_db_updated&gt;PubMed&lt;/_db_updated&gt;&lt;_doi&gt;10.1080/14786410802560690&lt;/_doi&gt;&lt;_impact_factor&gt;   2.200&lt;/_impact_factor&gt;&lt;_isbn&gt;1478-6427 (Electronic); 1478-6419 (Linking)&lt;/_isbn&gt;&lt;_issue&gt;1&lt;/_issue&gt;&lt;_journal&gt;Nat Prod Res&lt;/_journal&gt;&lt;_language&gt;eng&lt;/_language&gt;&lt;_modified&gt;65322061&lt;/_modified&gt;&lt;_pages&gt;48-55&lt;/_pages&gt;&lt;_social_category&gt;应用化学(3) &amp;amp; 药物化学(3)&lt;/_social_category&gt;&lt;_subject_headings&gt;Apigenin/chemistry; Chromatography, Gas; Europe; Matricaria/*chemistry; Monocyclic Sesquiterpenes; Oils, Volatile/*analysis/isolation &amp;amp; purification; Sesquiterpenes/chemistry; Xylenes/chemistry&lt;/_subject_headings&gt;&lt;_tertiary_title&gt;Natural product research&lt;/_tertiary_title&gt;&lt;_type_work&gt;Journal Article; Research Support, Non-U.S. Gov&amp;apos;t&lt;/_type_work&gt;&lt;_url&gt;http://www.ncbi.nlm.nih.gov/entrez/query.fcgi?cmd=Retrieve&amp;amp;db=pubmed&amp;amp;dopt=Abstract&amp;amp;list_uids=20013472&amp;amp;query_hl=1&lt;/_url&gt;&lt;_volume&gt;24&lt;/_volume&gt;&lt;/Details&gt;&lt;Extra&gt;&lt;DBUID&gt;{7A4864DA-D1F8-4ACD-BB24-0EAEEAFDB637}&lt;/DBUID&gt;&lt;/Extra&gt;&lt;/Item&gt;&lt;/References&gt;&lt;/Group&gt;&lt;Group&gt;&lt;References&gt;&lt;Item&gt;&lt;ID&gt;263&lt;/ID&gt;&lt;UID&gt;{B19FB1AC-32CF-4447-8BA4-D49BF12A6793}&lt;/UID&gt;&lt;Title&gt;Thermolabile essential oils, aromas and flavours: Degradation pathways, effect of  thermal processing and alteration of sensory quality&lt;/Title&gt;&lt;Template&gt;Journal Article&lt;/Template&gt;&lt;Star&gt;0&lt;/Star&gt;&lt;Tag&gt;0&lt;/Tag&gt;&lt;Author&gt;Mahanta, B P; Bora, P K; Kemprai, P; Borah, G; Lal, M; Haldar, S&lt;/Author&gt;&lt;Year&gt;2021&lt;/Year&gt;&lt;Details&gt;&lt;_accession_num&gt;34112407&lt;/_accession_num&gt;&lt;_author_adr&gt;Agrotechnology and Rural Development Division, CSIR-North East Institute of  Science and Technology (NEIST), Jorhat, Assam 785006, India; AcSIR-Academy of  Scientific and Innovative Research, Ghaziabad, Uttar Pradesh 201002, India.; Agrotechnology and Rural Development Division, CSIR-North East Institute of  Science and Technology (NEIST), Jorhat, Assam 785006, India; AcSIR-Academy of  Scientific and Innovative Research, Ghaziabad, Uttar Pradesh 201002, India.; Agrotechnology and Rural Development Division, CSIR-North East Institute of  Science and Technology (NEIST), Jorhat, Assam 785006, India; AcSIR-Academy of  Scientific and Innovative Research, Ghaziabad, Uttar Pradesh 201002, India.; Agrotechnology and Rural Development Division, CSIR-North East Institute of  Science and Technology (NEIST), Jorhat, Assam 785006, India; AcSIR-Academy of  Scientific and Innovative Research, Ghaziabad, Uttar Pradesh 201002, India.; Agrotechnology and Rural Development Division, CSIR-North East Institute of  Science and Technology (NEIST), Jorhat, Assam 785006, India; AcSIR-Academy of  Scientific and Innovative Research, Ghaziabad, Uttar Pradesh 201002, India.; Agrotechnology and Rural Development Division, CSIR-North East Institute of  Science and Technology (NEIST), Jorhat, Assam 785006, India; AcSIR-Academy of  Scientific and Innovative Research, Ghaziabad, Uttar Pradesh 201002, India.  Electronic address: saikatchembiol@gmail.com.&lt;/_author_adr&gt;&lt;_collection_scope&gt;SCIE;EI&lt;/_collection_scope&gt;&lt;_created&gt;65339796&lt;/_created&gt;&lt;_date&gt;2021-07-01&lt;/_date&gt;&lt;_date_display&gt;2021 Jul&lt;/_date_display&gt;&lt;_db_updated&gt;PubMed&lt;/_db_updated&gt;&lt;_doi&gt;10.1016/j.foodres.2021.110404&lt;/_doi&gt;&lt;_impact_factor&gt;   8.100&lt;/_impact_factor&gt;&lt;_isbn&gt;1873-7145 (Electronic); 0963-9969 (Linking)&lt;/_isbn&gt;&lt;_journal&gt;Food Res Int&lt;/_journal&gt;&lt;_keywords&gt;Aromatic crop; Post-harvest processing; Sensory analysis; Thermal degradation&lt;/_keywords&gt;&lt;_language&gt;eng&lt;/_language&gt;&lt;_modified&gt;65339796&lt;/_modified&gt;&lt;_ori_publication&gt;Copyright (c) 2021 Elsevier Ltd. All rights reserved.&lt;/_ori_publication&gt;&lt;_pages&gt;110404&lt;/_pages&gt;&lt;_social_category&gt;食品科技(1)&lt;/_social_category&gt;&lt;_subject_headings&gt;Flavoring Agents; Food Handling; *Odorants/analysis; *Oils, Volatile; Taste&lt;/_subject_headings&gt;&lt;_tertiary_title&gt;Food research international (Ottawa, Ont.)&lt;/_tertiary_title&gt;&lt;_type_work&gt;Journal Article; Research Support, Non-U.S. Gov&amp;apos;t; Review&lt;/_type_work&gt;&lt;_url&gt;http://www.ncbi.nlm.nih.gov/entrez/query.fcgi?cmd=Retrieve&amp;amp;db=pubmed&amp;amp;dopt=Abstract&amp;amp;list_uids=34112407&amp;amp;query_hl=1&lt;/_url&gt;&lt;_volume&gt;145&lt;/_volume&gt;&lt;/Details&gt;&lt;Extra&gt;&lt;DBUID&gt;{7A4864DA-D1F8-4ACD-BB24-0EAEEAFDB637}&lt;/DBUID&gt;&lt;/Extra&gt;&lt;/Item&gt;&lt;/References&gt;&lt;/Group&gt;&lt;/Citation&gt;_x000a_"/>
    <w:docVar w:name="NE.Ref{0A3BAC7E-5F81-452E-9E91-501904BAFED6}" w:val=" ADDIN NE.Ref.{0A3BAC7E-5F81-452E-9E91-501904BAFED6}&lt;Citation&gt;&lt;Group&gt;&lt;References&gt;&lt;Item&gt;&lt;ID&gt;257&lt;/ID&gt;&lt;UID&gt;{0E258C73-47CC-4D16-92DB-DD930BBB9E67}&lt;/UID&gt;&lt;Title&gt;Effect of Applying Different Levels of Nitrogen Fertilizer on Growth and Essential Oil of Chamomile ( L.)&lt;/Title&gt;&lt;Template&gt;Journal Article&lt;/Template&gt;&lt;Star&gt;0&lt;/Star&gt;&lt;Tag&gt;0&lt;/Tag&gt;&lt;Author&gt;Alhasan, Ali Sabah; Khadim, Ahmed A; Al-Ameri, Dalal Tareq; Saleh, Osama S; Al-Alwash, Firas Hadi Jabber; Kadkim, Hawraa Rahim&lt;/Author&gt;&lt;Year&gt;2022&lt;/Year&gt;&lt;Details&gt;&lt;_created&gt;65332191&lt;/_created&gt;&lt;_db_provider&gt;北京万方数据股份有限公司&lt;/_db_provider&gt;&lt;_db_updated&gt;Wanfangdata&lt;/_db_updated&gt;&lt;_doi&gt;10.1088/1755-1315/1060/1/012102&lt;/_doi&gt;&lt;_isbn&gt;1755-1307&lt;/_isbn&gt;&lt;_issue&gt;1&lt;/_issue&gt;&lt;_journal&gt;IOP Conference Series:Earth and Environmental Science&lt;/_journal&gt;&lt;_keywords&gt;Chamomile; Medicinal herb; Essential oil; Nitrogen supply; Flower number&lt;/_keywords&gt;&lt;_language&gt;eng&lt;/_language&gt;&lt;_modified&gt;65332191&lt;/_modified&gt;&lt;_url&gt;https://d.wanfangdata.com.cn/periodical/ChlQZXJpb2RpY2FsRU5HTmV3UzIwMjMwODMxEhFxazNlXzAwMDAzMDQyNzc2NRoIemt4NWx6bGs%3D&lt;/_url&gt;&lt;_volume&gt;1060&lt;/_volume&gt;&lt;/Details&gt;&lt;Extra&gt;&lt;DBUID&gt;{7A4864DA-D1F8-4ACD-BB24-0EAEEAFDB637}&lt;/DBUID&gt;&lt;/Extra&gt;&lt;/Item&gt;&lt;/References&gt;&lt;/Group&gt;&lt;/Citation&gt;_x000a_"/>
    <w:docVar w:name="NE.Ref{0D516570-4C6F-4FD8-AE36-40191B553DD2}" w:val=" ADDIN NE.Ref.{0D516570-4C6F-4FD8-AE36-40191B553DD2}&lt;Citation&gt;&lt;Group&gt;&lt;References&gt;&lt;Item&gt;&lt;ID&gt;265&lt;/ID&gt;&lt;UID&gt;{8B19E942-1967-48B2-B439-499BE7E06C95}&lt;/UID&gt;&lt;Title&gt;α-红没药醇对胶质母细胞瘤细胞迁移和侵袭的影响&lt;/Title&gt;&lt;Template&gt;Journal Article&lt;/Template&gt;&lt;Star&gt;0&lt;/Star&gt;&lt;Tag&gt;0&lt;/Tag&gt;&lt;Author&gt;闫海斌; 徐如祥&lt;/Author&gt;&lt;Year&gt;2018&lt;/Year&gt;&lt;Details&gt;&lt;_author_aff&gt;解放军总医院;陆军总医院附属八一脑科医院;&lt;/_author_aff&gt;&lt;_cited_count&gt;14&lt;/_cited_count&gt;&lt;_collection_scope&gt;PKU&lt;/_collection_scope&gt;&lt;_created&gt;65376625&lt;/_created&gt;&lt;_date&gt;2018-07-30&lt;/_date&gt;&lt;_db_updated&gt;CNKI - Reference&lt;/_db_updated&gt;&lt;_issue&gt;08&lt;/_issue&gt;&lt;_journal&gt;解放军医学院学报&lt;/_journal&gt;&lt;_keywords&gt;α-红没药醇;胶质母细胞瘤;迁移;侵袭;c-Met&lt;/_keywords&gt;&lt;_modified&gt;65376625&lt;/_modified&gt;&lt;_pages&gt;699-706&lt;/_pages&gt;&lt;_url&gt;https://link.cnki.net/urlid/10.1117.R.20180730.0959.002&lt;/_url&gt;&lt;_volume&gt;39&lt;/_volume&gt;&lt;_translated_author&gt;Yan, Hai bin;Xu, Ru xiang&lt;/_translated_author&gt;&lt;/Details&gt;&lt;Extra&gt;&lt;DBUID&gt;{7A4864DA-D1F8-4ACD-BB24-0EAEEAFDB637}&lt;/DBUID&gt;&lt;/Extra&gt;&lt;/Item&gt;&lt;/References&gt;&lt;/Group&gt;&lt;/Citation&gt;_x000a_"/>
    <w:docVar w:name="NE.Ref{1E9A92A6-1F71-4F73-93AE-285A61E06869}" w:val=" ADDIN NE.Ref.{1E9A92A6-1F71-4F73-93AE-285A61E06869}&lt;Citation&gt;&lt;Group&gt;&lt;References&gt;&lt;Item&gt;&lt;ID&gt;261&lt;/ID&gt;&lt;UID&gt;{B88751FC-DEBD-4785-BD02-109AEE6457AF}&lt;/UID&gt;&lt;Title&gt;Revisited anti-inflammatory activity of matricine in vitro: Comparison with  chamazulene&lt;/Title&gt;&lt;Template&gt;Journal Article&lt;/Template&gt;&lt;Star&gt;0&lt;/Star&gt;&lt;Tag&gt;0&lt;/Tag&gt;&lt;Author&gt;Flemming, M; Kraus, B; Rascle, A; Jurgenliemk, G; Fuchs, S; Furst, R; Heilmann, J&lt;/Author&gt;&lt;Year&gt;2015&lt;/Year&gt;&lt;Details&gt;&lt;_accession_num&gt;26304764&lt;/_accession_num&gt;&lt;_author_adr&gt;Institut fur Pharmazie, Universitat Regensburg, Universitatsstr. 31, 93053  Regensburg, Germany.; Institut fur Pharmazie, Universitat Regensburg, Universitatsstr. 31, 93053  Regensburg, Germany.; Institut fur Immunologie, Universitat Regensburg, Franz-Josef-Strauss-Allee 11,  93053 Regensburg, Germany.; Institut fur Pharmazie, Universitat Regensburg, Universitatsstr. 31, 93053  Regensburg, Germany.; Institut fur Pharmazeutische Biologie, Goethe-Universitat Frankfurt,  Max-von-Laue-Str. 9, 60438 Frankfurt am Main, Germany.; Institut fur Pharmazeutische Biologie, Goethe-Universitat Frankfurt,  Max-von-Laue-Str. 9, 60438 Frankfurt am Main, Germany.; Institut fur Pharmazie, Universitat Regensburg, Universitatsstr. 31, 93053  Regensburg, Germany. Electronic address: joerg.heilmann@chemie.uni-regensburg.de.&lt;/_author_adr&gt;&lt;_collection_scope&gt;SCIE&lt;/_collection_scope&gt;&lt;_created&gt;65333431&lt;/_created&gt;&lt;_date&gt;2015-10-01&lt;/_date&gt;&lt;_date_display&gt;2015 Oct&lt;/_date_display&gt;&lt;_db_updated&gt;PubMed&lt;/_db_updated&gt;&lt;_doi&gt;10.1016/j.fitote.2015.08.010&lt;/_doi&gt;&lt;_impact_factor&gt;   3.400&lt;/_impact_factor&gt;&lt;_isbn&gt;1873-6971 (Electronic); 0367-326X (Linking)&lt;/_isbn&gt;&lt;_journal&gt;Fitoterapia&lt;/_journal&gt;&lt;_keywords&gt;Anti-inflammatory activity; Chamazulene; ICAM-1; Matricaria recutita; Matricine; NF-kappaB&lt;/_keywords&gt;&lt;_language&gt;eng&lt;/_language&gt;&lt;_modified&gt;65333431&lt;/_modified&gt;&lt;_ori_publication&gt;Copyright (c) 2015 Elsevier B.V. All rights reserved.&lt;/_ori_publication&gt;&lt;_pages&gt;122-8&lt;/_pages&gt;&lt;_social_category&gt;药物化学(3) &amp;amp; 药学(3)&lt;/_social_category&gt;&lt;_subject_headings&gt;Anti-Inflammatory Agents/*pharmacology; Azulenes/*pharmacology; Cells, Cultured; Chamomile/chemistry; Endothelial Cells/*drug effects; Flowers/chemistry; Human Umbilical Vein Endothelial Cells/drug effects; Humans; Intercellular Adhesion Molecule-1/metabolism; Interferon-gamma/pharmacology; Lactones/*pharmacology; Lipopolysaccharides/pharmacology; NF-kappa B/metabolism; Sesquiterpenes/*pharmacology; Sesquiterpenes, Guaiane; Signal Transduction; Tumor Necrosis Factor-alpha/pharmacology&lt;/_subject_headings&gt;&lt;_tertiary_title&gt;Fitoterapia&lt;/_tertiary_title&gt;&lt;_type_work&gt;Comparative Study; Journal Article&lt;/_type_work&gt;&lt;_url&gt;http://www.ncbi.nlm.nih.gov/entrez/query.fcgi?cmd=Retrieve&amp;amp;db=pubmed&amp;amp;dopt=Abstract&amp;amp;list_uids=26304764&amp;amp;query_hl=1&lt;/_url&gt;&lt;_volume&gt;106&lt;/_volume&gt;&lt;/Details&gt;&lt;Extra&gt;&lt;DBUID&gt;{7A4864DA-D1F8-4ACD-BB24-0EAEEAFDB637}&lt;/DBUID&gt;&lt;/Extra&gt;&lt;/Item&gt;&lt;/References&gt;&lt;/Group&gt;&lt;Group&gt;&lt;References&gt;&lt;Item&gt;&lt;ID&gt;262&lt;/ID&gt;&lt;UID&gt;{68387AF8-D49D-442A-94C0-FAC3723374E7}&lt;/UID&gt;&lt;Title&gt;Chamazulene carboxylic acid and matricin: a natural profen and its natural  prodrug, identified through similarity to synthetic drug substances&lt;/Title&gt;&lt;Template&gt;Journal Article&lt;/Template&gt;&lt;Star&gt;0&lt;/Star&gt;&lt;Tag&gt;0&lt;/Tag&gt;&lt;Author&gt;Ramadan, M; Goeters, S; Watzer, B; Krause, E; Lohmann, K; Bauer, R; Hempel, B; Imming, P&lt;/Author&gt;&lt;Year&gt;2006&lt;/Year&gt;&lt;Details&gt;&lt;_accession_num&gt;16872141&lt;/_accession_num&gt;&lt;_author_adr&gt;Institut fuer Pharmazeutische Chemie, Philipps-Universitaet, 35032 Marburg,  Germany.&lt;/_author_adr&gt;&lt;_collection_scope&gt;SCIE&lt;/_collection_scope&gt;&lt;_created&gt;65333436&lt;/_created&gt;&lt;_date&gt;2006-07-01&lt;/_date&gt;&lt;_date_display&gt;2006 Jul&lt;/_date_display&gt;&lt;_db_updated&gt;PubMed&lt;/_db_updated&gt;&lt;_doi&gt;10.1021/np0601556&lt;/_doi&gt;&lt;_impact_factor&gt;   5.100&lt;/_impact_factor&gt;&lt;_isbn&gt;0163-3864 (Print); 0163-3864 (Linking)&lt;/_isbn&gt;&lt;_issue&gt;7&lt;/_issue&gt;&lt;_journal&gt;J Nat Prod&lt;/_journal&gt;&lt;_language&gt;eng&lt;/_language&gt;&lt;_modified&gt;65333436&lt;/_modified&gt;&lt;_pages&gt;1041-5&lt;/_pages&gt;&lt;_social_category&gt;农艺学(2) &amp;amp; 药物化学(2) &amp;amp; 药学(2) &amp;amp; 植物科学(2)&lt;/_social_category&gt;&lt;_subject_headings&gt;Achillea/chemistry; *Anti-Inflammatory Agents, Non-Steroidal; Azulenes; *Carboxylic Acids; *Cycloheptanes; Cyclooxygenase 1/metabolism; *Cyclooxygenase 2 Inhibitors; Germany; *Lactones; Matricaria/chemistry; Molecular Structure; Pharmaceutical Preparations; Prodrugs/chemistry; *Sesquiterpenes; Sesquiterpenes, Guaiane&lt;/_subject_headings&gt;&lt;_tertiary_title&gt;Journal of natural products&lt;/_tertiary_title&gt;&lt;_type_work&gt;Journal Article&lt;/_type_work&gt;&lt;_url&gt;http://www.ncbi.nlm.nih.gov/entrez/query.fcgi?cmd=Retrieve&amp;amp;db=pubmed&amp;amp;dopt=Abstract&amp;amp;list_uids=16872141&amp;amp;query_hl=1&lt;/_url&gt;&lt;_volume&gt;69&lt;/_volume&gt;&lt;/Details&gt;&lt;Extra&gt;&lt;DBUID&gt;{7A4864DA-D1F8-4ACD-BB24-0EAEEAFDB637}&lt;/DBUID&gt;&lt;/Extra&gt;&lt;/Item&gt;&lt;/References&gt;&lt;/Group&gt;&lt;/Citation&gt;_x000a_"/>
    <w:docVar w:name="NE.Ref{2254411B-6405-4DF5-BA0C-6686C2B92257}" w:val=" ADDIN NE.Ref.{2254411B-6405-4DF5-BA0C-6686C2B92257}&lt;Citation&gt;&lt;Group&gt;&lt;References&gt;&lt;Item&gt;&lt;ID&gt;256&lt;/ID&gt;&lt;UID&gt;{E338E42A-5BDB-4228-A6BB-528EBF3BFD88}&lt;/UID&gt;&lt;Title&gt;Heracles Neo超快速气相电子鼻对不同产地、生长年限及采收期黄芪药材品质评价研究&lt;/Title&gt;&lt;Template&gt;Journal Article&lt;/Template&gt;&lt;Star&gt;0&lt;/Star&gt;&lt;Tag&gt;0&lt;/Tag&gt;&lt;Author&gt;余亦婷; 赵乙萌; 袁曦; 曹丽娟; 李西文; 陆兔林; 严国俊&lt;/Author&gt;&lt;Year&gt;2022&lt;/Year&gt;&lt;Details&gt;&lt;_author_aff&gt;南京中医药大学药学院;盛实百草药业有限公司;中国中医科学院中药研究所;&lt;/_author_aff&gt;&lt;_collection_scope&gt;CSCD;PKU&lt;/_collection_scope&gt;&lt;_created&gt;65329707&lt;/_created&gt;&lt;_date&gt;2022-03-03&lt;/_date&gt;&lt;_db_updated&gt;CNKI - Reference&lt;/_db_updated&gt;&lt;_issue&gt;05&lt;/_issue&gt;&lt;_journal&gt;中草药&lt;/_journal&gt;&lt;_keywords&gt;黄芪;超快速气相电子鼻;生长年限;采收期;质量标志物;正己醛&lt;/_keywords&gt;&lt;_modified&gt;65329707&lt;/_modified&gt;&lt;_pages&gt;1328-1337&lt;/_pages&gt;&lt;_url&gt;https://kns.cnki.net/kcms2/article/abstract?v=aHgEko1xHjiaHgpOEK6EymzTA3yf2ZBJU27U7zL8eikovyE0jF-uInzNhNSiFOsOcExDDEgCIWirUz76zXH-Lp2pIWm5STPmvAGUv5BEJtsnJ49m8GXKso5ilH1ofZrpLQY7fqkM1HWELbBvIDQWDQ==&amp;amp;uniplatform=NZKPT&amp;amp;language=CHS&lt;/_url&gt;&lt;_volume&gt;53&lt;/_volume&gt;&lt;_translated_author&gt;Yu, Yi ting;Zhao, Yi meng;Yuan, Xi;Cao, Li juan;Li, Xi wen;Lu, Tu lin;Yan, Guo jun&lt;/_translated_author&gt;&lt;/Details&gt;&lt;Extra&gt;&lt;DBUID&gt;{7A4864DA-D1F8-4ACD-BB24-0EAEEAFDB637}&lt;/DBUID&gt;&lt;/Extra&gt;&lt;/Item&gt;&lt;/References&gt;&lt;/Group&gt;&lt;/Citation&gt;_x000a_"/>
    <w:docVar w:name="NE.Ref{2D13663C-C2F9-43AE-A53D-1C512C73B021}" w:val=" ADDIN NE.Ref.{2D13663C-C2F9-43AE-A53D-1C512C73B021}&lt;Citation&gt;&lt;Group&gt;&lt;References&gt;&lt;Item&gt;&lt;ID&gt;244&lt;/ID&gt;&lt;UID&gt;{183DB3D1-64E8-49A1-8FD7-1353D24E0E1F}&lt;/UID&gt;&lt;Title&gt;Organosulfur volatile profiles in Italian red garlic ( Allium Sativum L .) varieties investigated by HS-SPME /GC-MS and chemometrics&lt;/Title&gt;&lt;Template&gt;Journal Article&lt;/Template&gt;&lt;Star&gt;0&lt;/Star&gt;&lt;Tag&gt;0&lt;/Tag&gt;&lt;Author&gt;Biancolillo, Alessandra; Aloia, Rosaria; Rossi, Leucio; D&amp;apos;Archivio, Angelo Antonio&lt;/Author&gt;&lt;Year&gt;2022&lt;/Year&gt;&lt;Details&gt;&lt;_author_adr&gt;[Alessandra Biancolillo]Univ Aquila, Dipartimento Sci Fis &amp;amp; Chim, Via Vetoio, I-67010 Laquila, Italy;[Rosaria Aloia]Univ Aquila, Dipartimento Sci Fis &amp;amp; Chim, Via Vetoio, I-67010 Laquila, Italy;[Leucio Rossi]Univ Aquila, Dipartimento Sci Fis &amp;amp; Chim, Via Vetoio, I-67010 Laquila, Italy;[Angelo Antonio D&amp;apos;Archivio]Univ Aquila, Dipartimento Sci Fis &amp;amp; Chim, Via Vetoio, I-67010 Laquila, Italy;&lt;/_author_adr&gt;&lt;_author_aff&gt;Univ Aquila;University of L&amp;apos;Aquila;University of L&amp;apos;Aquila Department of Physical and Chemical Sciences;&lt;/_author_aff&gt;&lt;_cate&gt;Food Science &amp;amp; Technology;&lt;/_cate&gt;&lt;_cited_count&gt;18&lt;/_cited_count&gt;&lt;_collection_scope&gt;SCIE&lt;/_collection_scope&gt;&lt;_created&gt;65322140&lt;/_created&gt;&lt;_date&gt;2022-01-01&lt;/_date&gt;&lt;_db_updated&gt;Web of Science-Core&lt;/_db_updated&gt;&lt;_doi&gt;10.1016/j.foodcont.2021.108477&lt;/_doi&gt;&lt;_impact_factor&gt;   6.000&lt;/_impact_factor&gt;&lt;_isbn&gt;0956-7135&lt;/_isbn&gt;&lt;_journal&gt;FOOD CONTROL&lt;/_journal&gt;&lt;_keywords&gt;Red garlic;Organosulfur volatiles;HS-SPME-GC-MS;Volatile composition;Traceability;PLS-DA;&lt;/_keywords&gt;&lt;_modified&gt;65322140&lt;/_modified&gt;&lt;_ori_publication&gt;ELSEVIER SCI LTD&lt;/_ori_publication&gt;&lt;_place_published&gt;THE BOULEVARD, LANGFORD LANE, KIDLINGTON, OXFORD OX5 1GB, OXON, ENGLAND&lt;/_place_published&gt;&lt;_ref_count&gt;35&lt;/_ref_count&gt;&lt;_social_category&gt;食品科技(1)&lt;/_social_category&gt;&lt;_url&gt;https://www.webofscience.com/wos/alldb/full-record/WOS:000691514000001&lt;/_url&gt;&lt;_volume&gt;131&lt;/_volume&gt;&lt;/Details&gt;&lt;Extra&gt;&lt;DBUID&gt;{7A4864DA-D1F8-4ACD-BB24-0EAEEAFDB637}&lt;/DBUID&gt;&lt;/Extra&gt;&lt;/Item&gt;&lt;/References&gt;&lt;/Group&gt;&lt;/Citation&gt;_x000a_"/>
    <w:docVar w:name="NE.Ref{2D9055F6-08BF-4E52-8E60-495E81CA7FB0}" w:val=" ADDIN NE.Ref.{2D9055F6-08BF-4E52-8E60-495E81CA7FB0}&lt;Citation&gt;&lt;Group&gt;&lt;References&gt;&lt;Item&gt;&lt;ID&gt;258&lt;/ID&gt;&lt;UID&gt;{B52250FD-AFCE-49DE-A3C5-184F8DFA5B0F}&lt;/UID&gt;&lt;Title&gt;Correlation among environmental factors, chemical composition and antioxidative properties of essential oil and extracts of chamomile (Matricaria chamomilla L.) collected in Molise (South-central Italy)&lt;/Title&gt;&lt;Template&gt;Journal Article&lt;/Template&gt;&lt;Star&gt;0&lt;/Star&gt;&lt;Tag&gt;0&lt;/Tag&gt;&lt;Author&gt;Formisano, Carmen; Delfine, Sebastiano; Oliviero, Filomena; Tenore, Gian Carlo; Rigano, Daniela; Senatore, Felice&lt;/Author&gt;&lt;Year&gt;2015&lt;/Year&gt;&lt;Details&gt;&lt;_author_adr&gt;费德里科II大学&lt;/_author_adr&gt;&lt;_author_aff&gt;费德里科II大学&lt;/_author_aff&gt;&lt;_collection_scope&gt;SCIE;EI&lt;/_collection_scope&gt;&lt;_created&gt;65332270&lt;/_created&gt;&lt;_db_provider&gt;北京万方数据股份有限公司&lt;/_db_provider&gt;&lt;_db_updated&gt;Wanfangdata&lt;/_db_updated&gt;&lt;_doi&gt;10.1016/j.indcrop.2014.09.042&lt;/_doi&gt;&lt;_impact_factor&gt;   5.900&lt;/_impact_factor&gt;&lt;_isbn&gt;0926-6690&lt;/_isbn&gt;&lt;_journal&gt;Industrial Crops and Products&lt;/_journal&gt;&lt;_keywords&gt;Matricaria chamomilla; Essential oil; Cis-tonghaosu; alpha-Bisabolol oxide; Phenolic compounds; Antioxidant activity&lt;/_keywords&gt;&lt;_language&gt;eng&lt;/_language&gt;&lt;_modified&gt;65332272&lt;/_modified&gt;&lt;_pages&gt;256-263&lt;/_pages&gt;&lt;_social_category&gt;农业工程(1) &amp;amp; 农艺学(1)&lt;/_social_category&gt;&lt;_url&gt;https://d.wanfangdata.com.cn/periodical/ChlQZXJpb2RpY2FsRU5HTmV3UzIwMjMwODMxEiA5MTQxZTQ0N2Q3MmJiYTI5MGRkNDhkMDA4ODBjOGQ1MhoIcHpqNW00aHI%3D&lt;/_url&gt;&lt;_volume&gt;63&lt;/_volume&gt;&lt;/Details&gt;&lt;Extra&gt;&lt;DBUID&gt;{7A4864DA-D1F8-4ACD-BB24-0EAEEAFDB637}&lt;/DBUID&gt;&lt;/Extra&gt;&lt;/Item&gt;&lt;/References&gt;&lt;/Group&gt;&lt;Group&gt;&lt;References&gt;&lt;Item&gt;&lt;ID&gt;259&lt;/ID&gt;&lt;UID&gt;{7B2F0F68-339A-4966-B4FE-2B167766CCD3}&lt;/UID&gt;&lt;Title&gt;Chamomile (Matricaria chamomilla L.): An overview&lt;/Title&gt;&lt;Template&gt;Journal Article&lt;/Template&gt;&lt;Star&gt;0&lt;/Star&gt;&lt;Tag&gt;0&lt;/Tag&gt;&lt;Author&gt;Singh, O; Khanam, Z; Misra, N; Srivastava, M K&lt;/Author&gt;&lt;Year&gt;2011&lt;/Year&gt;&lt;Details&gt;&lt;_accession_num&gt;22096322&lt;/_accession_num&gt;&lt;_author_adr&gt;Department of Biochemistry, Bundelkhand University, Jhansi- 284 128, India.&lt;/_author_adr&gt;&lt;_created&gt;65332293&lt;/_created&gt;&lt;_date&gt;2011-01-01&lt;/_date&gt;&lt;_date_display&gt;2011 Jan&lt;/_date_display&gt;&lt;_db_updated&gt;PubMed&lt;/_db_updated&gt;&lt;_doi&gt;10.4103/0973-7847.79103&lt;/_doi&gt;&lt;_isbn&gt;0976-2787 (Electronic); 0973-7847 (Print); 0973-6581 (Linking)&lt;/_isbn&gt;&lt;_issue&gt;9&lt;/_issue&gt;&lt;_journal&gt;Pharmacogn Rev&lt;/_journal&gt;&lt;_keywords&gt;Amino acid; cadmium; co-cultivation; copper; cultivation; medicinal plant; salicylic acid; secondary metabolites; tissue culture&lt;/_keywords&gt;&lt;_language&gt;eng&lt;/_language&gt;&lt;_modified&gt;65332294&lt;/_modified&gt;&lt;_pages&gt;82-95&lt;/_pages&gt;&lt;_tertiary_title&gt;Pharmacognosy reviews&lt;/_tertiary_title&gt;&lt;_type_work&gt;Journal Article&lt;/_type_work&gt;&lt;_url&gt;http://www.ncbi.nlm.nih.gov/entrez/query.fcgi?cmd=Retrieve&amp;amp;db=pubmed&amp;amp;dopt=Abstract&amp;amp;list_uids=22096322&amp;amp;query_hl=1&lt;/_url&gt;&lt;_volume&gt;5&lt;/_volume&gt;&lt;/Details&gt;&lt;Extra&gt;&lt;DBUID&gt;{7A4864DA-D1F8-4ACD-BB24-0EAEEAFDB637}&lt;/DBUID&gt;&lt;/Extra&gt;&lt;/Item&gt;&lt;/References&gt;&lt;/Group&gt;&lt;/Citation&gt;_x000a_"/>
    <w:docVar w:name="NE.Ref{31308D8F-2100-473F-B17D-F045A978AAF3}" w:val=" ADDIN NE.Ref.{31308D8F-2100-473F-B17D-F045A978AAF3}&lt;Citation&gt;&lt;Group&gt;&lt;References&gt;&lt;Item&gt;&lt;ID&gt;230&lt;/ID&gt;&lt;UID&gt;{4C419032-57DA-4F63-8127-EB6173307086}&lt;/UID&gt;&lt;Title&gt;Chamomile: A herbal medicine of the past with bright future&lt;/Title&gt;&lt;Template&gt;Journal Article&lt;/Template&gt;&lt;Star&gt;0&lt;/Star&gt;&lt;Tag&gt;0&lt;/Tag&gt;&lt;Author&gt;Srivastava, J K; Shankar, E; Gupta, S&lt;/Author&gt;&lt;Year&gt;2010&lt;/Year&gt;&lt;Details&gt;&lt;_accession_num&gt;21132119&lt;/_accession_num&gt;&lt;_author_adr&gt;Department of Urology &amp;amp; Nutrition, Case Western Reserve University, Cleveland,  Ohio 44106.&lt;/_author_adr&gt;&lt;_collection_scope&gt;SCIE&lt;/_collection_scope&gt;&lt;_created&gt;65320835&lt;/_created&gt;&lt;_date&gt;2010-11-01&lt;/_date&gt;&lt;_date_display&gt;2010 Nov 1&lt;/_date_display&gt;&lt;_db_updated&gt;PubMed&lt;/_db_updated&gt;&lt;_doi&gt;10.3892/mmr.2010.377&lt;/_doi&gt;&lt;_impact_factor&gt;   3.400&lt;/_impact_factor&gt;&lt;_isbn&gt;1791-3004 (Electronic); 1791-2997 (Print); 1791-2997 (Linking)&lt;/_isbn&gt;&lt;_issue&gt;6&lt;/_issue&gt;&lt;_journal&gt;Mol Med Rep&lt;/_journal&gt;&lt;_language&gt;eng&lt;/_language&gt;&lt;_modified&gt;65320835&lt;/_modified&gt;&lt;_pages&gt;895-901&lt;/_pages&gt;&lt;_social_category&gt;医学：研究与实验(4) &amp;amp; 肿瘤学(4)&lt;/_social_category&gt;&lt;_tertiary_title&gt;Molecular medicine reports&lt;/_tertiary_title&gt;&lt;_type_work&gt;Journal Article&lt;/_type_work&gt;&lt;_url&gt;http://www.ncbi.nlm.nih.gov/entrez/query.fcgi?cmd=Retrieve&amp;amp;db=pubmed&amp;amp;dopt=Abstract&amp;amp;list_uids=21132119&amp;amp;query_hl=1&lt;/_url&gt;&lt;_volume&gt;3&lt;/_volume&gt;&lt;/Details&gt;&lt;Extra&gt;&lt;DBUID&gt;{7A4864DA-D1F8-4ACD-BB24-0EAEEAFDB637}&lt;/DBUID&gt;&lt;/Extra&gt;&lt;/Item&gt;&lt;/References&gt;&lt;/Group&gt;&lt;Group&gt;&lt;References&gt;&lt;Item&gt;&lt;ID&gt;252&lt;/ID&gt;&lt;UID&gt;{0B93B907-FF5E-419A-B73E-4F3E8FAF33B6}&lt;/UID&gt;&lt;Title&gt;Fast quality assessment of German chamomile (Matricaria chamomilla L.) by  headspace solid-phase microextraction: influence of flower development stage&lt;/Title&gt;&lt;Template&gt;Journal Article&lt;/Template&gt;&lt;Star&gt;0&lt;/Star&gt;&lt;Tag&gt;0&lt;/Tag&gt;&lt;Author&gt;Rafieiolhossaini, M; Adams, A; Sodaeizadeh, H; Van Damme, P; De Kimpe, N&lt;/Author&gt;&lt;Year&gt;2012&lt;/Year&gt;&lt;Details&gt;&lt;_accession_num&gt;22428258&lt;/_accession_num&gt;&lt;_author_adr&gt;Laboratory of Tropical and Subtropical Agronomy and Ethnobotany, Faculty of  Bioscience Engineering, Coupure Links 653, B- 9000 Ghent, Belgium.&lt;/_author_adr&gt;&lt;_collection_scope&gt;SCIE&lt;/_collection_scope&gt;&lt;_created&gt;65326774&lt;/_created&gt;&lt;_date&gt;2012-01-01&lt;/_date&gt;&lt;_date_display&gt;2012 Jan&lt;/_date_display&gt;&lt;_db_updated&gt;PubMed&lt;/_db_updated&gt;&lt;_impact_factor&gt;   1.800&lt;/_impact_factor&gt;&lt;_isbn&gt;1934-578X (Print); 1555-9475 (Linking)&lt;/_isbn&gt;&lt;_issue&gt;1&lt;/_issue&gt;&lt;_journal&gt;Nat Prod Commun&lt;/_journal&gt;&lt;_language&gt;eng&lt;/_language&gt;&lt;_modified&gt;65326774&lt;/_modified&gt;&lt;_pages&gt;97-100&lt;/_pages&gt;&lt;_social_category&gt;药物化学(4) &amp;amp; 食品科技(4)&lt;/_social_category&gt;&lt;_subject_headings&gt;Flowers/*chemistry/*growth &amp;amp; development; Gas Chromatography-Mass Spectrometry; Matricaria/*chemistry/growth &amp;amp; development; Solid Phase Microextraction/*methods&lt;/_subject_headings&gt;&lt;_tertiary_title&gt;Natural product communications&lt;/_tertiary_title&gt;&lt;_type_work&gt;Journal Article; Research Support, Non-U.S. Gov&amp;apos;t&lt;/_type_work&gt;&lt;_url&gt;http://www.ncbi.nlm.nih.gov/entrez/query.fcgi?cmd=Retrieve&amp;amp;db=pubmed&amp;amp;dopt=Abstract&amp;amp;list_uids=22428258&amp;amp;query_hl=1&lt;/_url&gt;&lt;_volume&gt;7&lt;/_volume&gt;&lt;/Details&gt;&lt;Extra&gt;&lt;DBUID&gt;{7A4864DA-D1F8-4ACD-BB24-0EAEEAFDB637}&lt;/DBUID&gt;&lt;/Extra&gt;&lt;/Item&gt;&lt;/References&gt;&lt;/Group&gt;&lt;/Citation&gt;_x000a_"/>
    <w:docVar w:name="NE.Ref{34B7AF92-52FD-40E8-A107-6E9798365F9B}" w:val=" ADDIN NE.Ref.{34B7AF92-52FD-40E8-A107-6E9798365F9B}&lt;Citation&gt;&lt;Group&gt;&lt;References&gt;&lt;Item&gt;&lt;ID&gt;239&lt;/ID&gt;&lt;UID&gt;{108A2CC5-A521-4171-8CFC-E59905DAD7BE}&lt;/UID&gt;&lt;Title&gt;Headspace GC/MS and fast GC e-nose combined with chemometric analysis to identify the varieties and geographical origins of ginger (Zingiber officinale Roscoe)&lt;/Title&gt;&lt;Template&gt;Journal Article&lt;/Template&gt;&lt;Star&gt;0&lt;/Star&gt;&lt;Tag&gt;0&lt;/Tag&gt;&lt;Author&gt;X., Yu D; S., Guo; H., Yan; M., Wang J; Q., Zhou J; A., Duan J; X., Zhang; J., Yang&lt;/Author&gt;&lt;Year&gt;2022&lt;/Year&gt;&lt;Details&gt;&lt;_collection_scope&gt;SCIE;EI&lt;/_collection_scope&gt;&lt;_created&gt;65321941&lt;/_created&gt;&lt;_db_provider&gt;北京万方数据股份有限公司&lt;/_db_provider&gt;&lt;_db_updated&gt;Wanfangdata&lt;/_db_updated&gt;&lt;_doi&gt;10.1016/j.foodchem.2022.133672&lt;/_doi&gt;&lt;_impact_factor&gt;   8.800&lt;/_impact_factor&gt;&lt;_isbn&gt;0308-8146&lt;/_isbn&gt;&lt;_issue&gt;Dec.1&lt;/_issue&gt;&lt;_journal&gt;Food Chemistry&lt;/_journal&gt;&lt;_keywords&gt;Chemometrics; fast GC e-nose; Geographical origin discrimination; Ginger; HS-GC–MS&lt;/_keywords&gt;&lt;_language&gt;eng&lt;/_language&gt;&lt;_modified&gt;65321941&lt;/_modified&gt;&lt;_pages&gt;1-11&lt;/_pages&gt;&lt;_social_category&gt;应用化学(1) &amp;amp; 食品科技(1) &amp;amp; 营养学(1)&lt;/_social_category&gt;&lt;_url&gt;https://d.wanfangdata.com.cn/periodical/ChlQZXJpb2RpY2FsRU5HTmV3UzIwMjMwODMxEiAzMjkyYTZmZDViZTdiNDc0MDNjYzE1ZDFlNmU2NjU3OBoIdTd2c2s2ZWg%3D&lt;/_url&gt;&lt;_volume&gt;396&lt;/_volume&gt;&lt;/Details&gt;&lt;Extra&gt;&lt;DBUID&gt;{7A4864DA-D1F8-4ACD-BB24-0EAEEAFDB637}&lt;/DBUID&gt;&lt;/Extra&gt;&lt;/Item&gt;&lt;/References&gt;&lt;/Group&gt;&lt;/Citation&gt;_x000a_"/>
    <w:docVar w:name="NE.Ref{390A86C4-DD48-44AB-AA0F-1AFCDC827FC7}" w:val=" ADDIN NE.Ref.{390A86C4-DD48-44AB-AA0F-1AFCDC827FC7}&lt;Citation&gt;&lt;Group&gt;&lt;References&gt;&lt;Item&gt;&lt;ID&gt;226&lt;/ID&gt;&lt;UID&gt;{A255960A-ADDE-49AB-8DA8-C15EADEE8693}&lt;/UID&gt;&lt;Title&gt;基于生姜炮制品研究和GC-MS验证的气味分析仪应用性探讨&lt;/Title&gt;&lt;Template&gt;Journal Article&lt;/Template&gt;&lt;Star&gt;0&lt;/Star&gt;&lt;Tag&gt;0&lt;/Tag&gt;&lt;Author&gt;董妍玉; 张莹; 苏仁敬; 窦志英; 何俊; 王晖&lt;/Author&gt;&lt;Year&gt;2022&lt;/Year&gt;&lt;Details&gt;&lt;_author_aff&gt;天津中医药大学中药学院国家中医药管理局“中药炮制技术传承基地”(天津);天津中医药大学中药学院天津市中药药理重点实验室;天津中医药大学中医药研究院天津市现代中药重点实验室;&lt;/_author_aff&gt;&lt;_collection_scope&gt;CSCD;PKU&lt;/_collection_scope&gt;&lt;_created&gt;65310736&lt;/_created&gt;&lt;_date&gt;2022-01-30&lt;/_date&gt;&lt;_db_updated&gt;CNKI - Reference&lt;/_db_updated&gt;&lt;_issue&gt;24&lt;/_issue&gt;&lt;_journal&gt;中国中药杂志&lt;/_journal&gt;&lt;_keywords&gt;气质联用;HeraclesⅡ快速电子气味分析仪;干姜;炮姜;姜炭;主成分分析;判别因子分析&lt;/_keywords&gt;&lt;_modified&gt;65310736&lt;/_modified&gt;&lt;_pages&gt;6633-6640&lt;/_pages&gt;&lt;_url&gt;https://link.cnki.net/doi/10.19540/j.cnki.cjcmm.20220128.305&lt;/_url&gt;&lt;_volume&gt;47&lt;/_volume&gt;&lt;_translated_author&gt;Dong, Yan yu;Zhang, Ying;Su, Ren jing;Dou, Zhi ying;He, Jun;Wang, Hui&lt;/_translated_author&gt;&lt;/Details&gt;&lt;Extra&gt;&lt;DBUID&gt;{7A4864DA-D1F8-4ACD-BB24-0EAEEAFDB637}&lt;/DBUID&gt;&lt;/Extra&gt;&lt;/Item&gt;&lt;/References&gt;&lt;/Group&gt;&lt;/Citation&gt;_x000a_"/>
    <w:docVar w:name="NE.Ref{3B69441E-FD81-47D9-A9FF-0A5250A4BBA3}" w:val=" ADDIN NE.Ref.{3B69441E-FD81-47D9-A9FF-0A5250A4BBA3}&lt;Citation&gt;&lt;Group&gt;&lt;References&gt;&lt;Item&gt;&lt;ID&gt;237&lt;/ID&gt;&lt;UID&gt;{3DB2159E-1053-4237-B3DA-99C3A6DCD19F}&lt;/UID&gt;&lt;Title&gt;Rapid direct analysis to discriminate geographic origin of extra virgin olive oils by flash gas chromatography electronic nose and chemometrics&lt;/Title&gt;&lt;Template&gt;Journal Article&lt;/Template&gt;&lt;Star&gt;0&lt;/Star&gt;&lt;Tag&gt;0&lt;/Tag&gt;&lt;Author&gt;Melucci, Dora; Bendini, Alessandra; Tesini, Federica; Barbieri, Sara; Zappi, Alessandro; Vichi, Stefania; Conte, Lanfranco; Toschi, Tullia Gallina&lt;/Author&gt;&lt;Year&gt;2016&lt;/Year&gt;&lt;Details&gt;&lt;_author_adr&gt;乌迪内大学&lt;/_author_adr&gt;&lt;_author_aff&gt;乌迪内大学&lt;/_author_aff&gt;&lt;_collection_scope&gt;SCIE;EI&lt;/_collection_scope&gt;&lt;_created&gt;65321934&lt;/_created&gt;&lt;_db_provider&gt;北京万方数据股份有限公司&lt;/_db_provider&gt;&lt;_db_updated&gt;Wanfangdata&lt;/_db_updated&gt;&lt;_doi&gt;10.1016/j.foodchem.2016.02.131&lt;/_doi&gt;&lt;_impact_factor&gt;   8.800&lt;/_impact_factor&gt;&lt;_isbn&gt;0308-8146&lt;/_isbn&gt;&lt;_issue&gt;Aug.1&lt;/_issue&gt;&lt;_journal&gt;Food Chemistry&lt;/_journal&gt;&lt;_keywords&gt;Extra virgin olive oil; Geographic origin; FGC E-nose; SPME/GC-MS; Headspace volatile compounds; Non-target analysis; PCA; PLS-DA&lt;/_keywords&gt;&lt;_language&gt;eng&lt;/_language&gt;&lt;_modified&gt;65321934&lt;/_modified&gt;&lt;_pages&gt;263-273&lt;/_pages&gt;&lt;_social_category&gt;应用化学(1) &amp;amp; 食品科技(1) &amp;amp; 营养学(1)&lt;/_social_category&gt;&lt;_url&gt;https://d.wanfangdata.com.cn/periodical/ChlQZXJpb2RpY2FsRU5HTmV3UzIwMjMwODMxEiBmNzNjMmEwNTg3NjM2Y2NhNTdiYzA2NjcwMDU5NjY3MxoIam11NXI4a3Q%3D&lt;/_url&gt;&lt;_volume&gt;204&lt;/_volume&gt;&lt;/Details&gt;&lt;Extra&gt;&lt;DBUID&gt;{7A4864DA-D1F8-4ACD-BB24-0EAEEAFDB637}&lt;/DBUID&gt;&lt;/Extra&gt;&lt;/Item&gt;&lt;/References&gt;&lt;/Group&gt;&lt;/Citation&gt;_x000a_"/>
    <w:docVar w:name="NE.Ref{3B6F4839-53E7-4610-9597-9454E8F85490}" w:val=" ADDIN NE.Ref.{3B6F4839-53E7-4610-9597-9454E8F85490}&lt;Citation&gt;&lt;Group&gt;&lt;References&gt;&lt;Item&gt;&lt;ID&gt;254&lt;/ID&gt;&lt;UID&gt;{79D33936-0D66-417C-A86A-CEF298724971}&lt;/UID&gt;&lt;Title&gt;A Comprehensive Review on Biology, Genetic Improvement, Agro and Process  Technology of German Chamomile (Matricaria chamomilla L.)&lt;/Title&gt;&lt;Template&gt;Journal Article&lt;/Template&gt;&lt;Star&gt;0&lt;/Star&gt;&lt;Tag&gt;0&lt;/Tag&gt;&lt;Author&gt;Chauhan, R; Singh, S; Kumar, V; Kumar, A; Kumari, A; Rathore, S; Kumar, R; Singh, S&lt;/Author&gt;&lt;Year&gt;2021&lt;/Year&gt;&lt;Details&gt;&lt;_accession_num&gt;35009033&lt;/_accession_num&gt;&lt;_author_adr&gt;Division of Agrotechnology, Council of Scientific and Industrial  Research-Institute of Himalayan Bioresource Technology (CSIR-IHBT), Palampur  176061, India.; Division of Agrotechnology, Council of Scientific and Industrial  Research-Institute of Himalayan Bioresource Technology (CSIR-IHBT), Palampur  176061, India.; Division of Environmental Technology, CSIR-IHBT, Palampur 176061, India.; Division of Agrotechnology, Council of Scientific and Industrial  Research-Institute of Himalayan Bioresource Technology (CSIR-IHBT), Palampur  176061, India.; Division of Chemical Technology, CSIR-IHBT, Palampur 176061, India.; Academy of Scientific and Industrial Research, Ghaziabad 201002, India.; Division of Agrotechnology, Council of Scientific and Industrial  Research-Institute of Himalayan Bioresource Technology (CSIR-IHBT), Palampur  176061, India.; Division of Agrotechnology, Council of Scientific and Industrial  Research-Institute of Himalayan Bioresource Technology (CSIR-IHBT), Palampur  176061, India.&lt;/_author_adr&gt;&lt;_collection_scope&gt;SCIE&lt;/_collection_scope&gt;&lt;_created&gt;65326790&lt;/_created&gt;&lt;_date&gt;2021-12-23&lt;/_date&gt;&lt;_date_display&gt;2021 Dec 23&lt;/_date_display&gt;&lt;_db_updated&gt;PubMed&lt;/_db_updated&gt;&lt;_doi&gt;10.3390/plants11010029&lt;/_doi&gt;&lt;_impact_factor&gt;   4.500&lt;/_impact_factor&gt;&lt;_isbn&gt;2223-7747 (Print); 2223-7747 (Electronic); 2223-7747 (Linking)&lt;/_isbn&gt;&lt;_issue&gt;1&lt;/_issue&gt;&lt;_journal&gt;Plants (Basel)&lt;/_journal&gt;&lt;_keywords&gt;agronomy; chamomile; essential oil; genetic improvement; pharmacological uses&lt;/_keywords&gt;&lt;_language&gt;eng&lt;/_language&gt;&lt;_modified&gt;65326792&lt;/_modified&gt;&lt;_social_category&gt;农艺学(3) &amp;amp; 植物科学(3)&lt;/_social_category&gt;&lt;_tertiary_title&gt;Plants (Basel, Switzerland)&lt;/_tertiary_title&gt;&lt;_type_work&gt;Journal Article; Review&lt;/_type_work&gt;&lt;_url&gt;http://www.ncbi.nlm.nih.gov/entrez/query.fcgi?cmd=Retrieve&amp;amp;db=pubmed&amp;amp;dopt=Abstract&amp;amp;list_uids=35009033&amp;amp;query_hl=1&lt;/_url&gt;&lt;_volume&gt;11&lt;/_volume&gt;&lt;/Details&gt;&lt;Extra&gt;&lt;DBUID&gt;{7A4864DA-D1F8-4ACD-BB24-0EAEEAFDB637}&lt;/DBUID&gt;&lt;/Extra&gt;&lt;/Item&gt;&lt;/References&gt;&lt;/Group&gt;&lt;Group&gt;&lt;References&gt;&lt;Item&gt;&lt;ID&gt;255&lt;/ID&gt;&lt;UID&gt;{15E80553-8C2F-4758-84C2-59A4D0D26285}&lt;/UID&gt;&lt;Title&gt;A Comprehensive Study of Therapeutic Applications of Chamomile&lt;/Title&gt;&lt;Template&gt;Journal Article&lt;/Template&gt;&lt;Star&gt;0&lt;/Star&gt;&lt;Tag&gt;0&lt;/Tag&gt;&lt;Author&gt;Sah, A; Naseef, P P; Kuruniyan, M S; Jain, G K; Zakir, F; Aggarwal, G&lt;/Author&gt;&lt;Year&gt;2022&lt;/Year&gt;&lt;Details&gt;&lt;_accession_num&gt;36297396&lt;/_accession_num&gt;&lt;_author_adr&gt;Department of Pharmaceutics, Delhi Institute of Pharmaceutical Sciences and  Research, Delhi Pharmaceutical Sciences and Research University, Sector-3, M.B.  Road, Pushp Vihar, New Delhi 110017, India.; Department of Pharmaceutics, Moulana College of Pharmacy, Perinthalmanna 679321,  India.; Department of Dental Technology, College of Applied Medical Sciences, King Khalid  University, Abha 61421, Saudi Arabia.; Department of Pharmaceutics, Delhi Institute of Pharmaceutical Sciences and  Research, Delhi Pharmaceutical Sciences and Research University, Sector-3, M.B.  Road, Pushp Vihar, New Delhi 110017, India.; Center for Advanced Formulation Development, Delhi Pharmaceutical Sciences and  Research University, Sector-3, M.B. Road, Pushp Vihar, New Delhi 110017, India.; Department of B. Pharm (Ayurveda), School of Pharmaceutical Sciences, Delhi  Pharmaceutical Sciences and Research University, Sector-3, M.B. Road, Pushp  Vihar, New Delhi 110017, India.; Center for Advanced Formulation Development, Delhi Pharmaceutical Sciences and  Research University, Sector-3, M.B. Road, Pushp Vihar, New Delhi 110017, India.; Department of Pharmaceutics, School of Pharmaceutical Sciences, Delhi  Pharmaceutical Sciences and Research University, Sector-3, M.B. Road, Pushp  Vihar, New Delhi 110017, India.&lt;/_author_adr&gt;&lt;_collection_scope&gt;SCIE&lt;/_collection_scope&gt;&lt;_created&gt;65326808&lt;/_created&gt;&lt;_date&gt;2022-10-19&lt;/_date&gt;&lt;_date_display&gt;2022 Oct 19&lt;/_date_display&gt;&lt;_db_updated&gt;PubMed&lt;/_db_updated&gt;&lt;_doi&gt;10.3390/ph15101284&lt;/_doi&gt;&lt;_impact_factor&gt;   4.600&lt;/_impact_factor&gt;&lt;_isbn&gt;1424-8247 (Print); 1424-8247 (Electronic); 1424-8247 (Linking)&lt;/_isbn&gt;&lt;_issue&gt;10&lt;/_issue&gt;&lt;_journal&gt;Pharmaceuticals (Basel)&lt;/_journal&gt;&lt;_keywords&gt;apigenin; bisabalool; chamomile; chamomilla; flavonoid; matricaria&lt;/_keywords&gt;&lt;_language&gt;eng&lt;/_language&gt;&lt;_modified&gt;65326808&lt;/_modified&gt;&lt;_social_category&gt;药物化学(3) &amp;amp; 药学(3)&lt;/_social_category&gt;&lt;_tertiary_title&gt;Pharmaceuticals (Basel, Switzerland)&lt;/_tertiary_title&gt;&lt;_type_work&gt;Journal Article; Review&lt;/_type_work&gt;&lt;_url&gt;http://www.ncbi.nlm.nih.gov/entrez/query.fcgi?cmd=Retrieve&amp;amp;db=pubmed&amp;amp;dopt=Abstract&amp;amp;list_uids=36297396&amp;amp;query_hl=1&lt;/_url&gt;&lt;_volume&gt;15&lt;/_volume&gt;&lt;/Details&gt;&lt;Extra&gt;&lt;DBUID&gt;{7A4864DA-D1F8-4ACD-BB24-0EAEEAFDB637}&lt;/DBUID&gt;&lt;/Extra&gt;&lt;/Item&gt;&lt;/References&gt;&lt;/Group&gt;&lt;/Citation&gt;_x000a_"/>
    <w:docVar w:name="NE.Ref{413098C7-3246-4832-8DF3-E2F2C4877E58}" w:val=" ADDIN NE.Ref.{413098C7-3246-4832-8DF3-E2F2C4877E58}&lt;Citation&gt;&lt;Group&gt;&lt;References&gt;&lt;Item&gt;&lt;ID&gt;259&lt;/ID&gt;&lt;UID&gt;{7B2F0F68-339A-4966-B4FE-2B167766CCD3}&lt;/UID&gt;&lt;Title&gt;Chamomile (Matricaria chamomilla L.): An overview&lt;/Title&gt;&lt;Template&gt;Journal Article&lt;/Template&gt;&lt;Star&gt;0&lt;/Star&gt;&lt;Tag&gt;0&lt;/Tag&gt;&lt;Author&gt;Singh, O; Khanam, Z; Misra, N; Srivastava, M K&lt;/Author&gt;&lt;Year&gt;2011&lt;/Year&gt;&lt;Details&gt;&lt;_accession_num&gt;22096322&lt;/_accession_num&gt;&lt;_author_adr&gt;Department of Biochemistry, Bundelkhand University, Jhansi- 284 128, India.&lt;/_author_adr&gt;&lt;_created&gt;65332293&lt;/_created&gt;&lt;_date&gt;2011-01-01&lt;/_date&gt;&lt;_date_display&gt;2011 Jan&lt;/_date_display&gt;&lt;_db_updated&gt;PubMed&lt;/_db_updated&gt;&lt;_doi&gt;10.4103/0973-7847.79103&lt;/_doi&gt;&lt;_isbn&gt;0976-2787 (Electronic); 0973-7847 (Print); 0973-6581 (Linking)&lt;/_isbn&gt;&lt;_issue&gt;9&lt;/_issue&gt;&lt;_journal&gt;Pharmacogn Rev&lt;/_journal&gt;&lt;_keywords&gt;Amino acid; cadmium; co-cultivation; copper; cultivation; medicinal plant; salicylic acid; secondary metabolites; tissue culture&lt;/_keywords&gt;&lt;_language&gt;eng&lt;/_language&gt;&lt;_modified&gt;65332294&lt;/_modified&gt;&lt;_pages&gt;82-95&lt;/_pages&gt;&lt;_tertiary_title&gt;Pharmacognosy reviews&lt;/_tertiary_title&gt;&lt;_type_work&gt;Journal Article&lt;/_type_work&gt;&lt;_url&gt;http://www.ncbi.nlm.nih.gov/entrez/query.fcgi?cmd=Retrieve&amp;amp;db=pubmed&amp;amp;dopt=Abstract&amp;amp;list_uids=22096322&amp;amp;query_hl=1&lt;/_url&gt;&lt;_volume&gt;5&lt;/_volume&gt;&lt;/Details&gt;&lt;Extra&gt;&lt;DBUID&gt;{7A4864DA-D1F8-4ACD-BB24-0EAEEAFDB637}&lt;/DBUID&gt;&lt;/Extra&gt;&lt;/Item&gt;&lt;/References&gt;&lt;/Group&gt;&lt;/Citation&gt;_x000a_"/>
    <w:docVar w:name="NE.Ref{50F3D357-A5E9-4F37-B808-DE7504F270FD}" w:val=" ADDIN NE.Ref.{50F3D357-A5E9-4F37-B808-DE7504F270FD}&lt;Citation&gt;&lt;Group&gt;&lt;References&gt;&lt;Item&gt;&lt;ID&gt;235&lt;/ID&gt;&lt;UID&gt;{0374FF3E-D9F3-4E87-9455-5E0736F59D7A}&lt;/UID&gt;&lt;Title&gt;Study on the key volatile compounds and aroma quality of jasmine tea with different scenting technology (vol 385, 132718, 2022)&lt;/Title&gt;&lt;Template&gt;Journal Article&lt;/Template&gt;&lt;Star&gt;0&lt;/Star&gt;&lt;Tag&gt;0&lt;/Tag&gt;&lt;Author&gt;An, Huimin; Ou, Xingchang; Zhang, Yangbo; Li, Shi; Xiong, Yifan; Li, Qin; Huang, Jianan; Liu, Zhonghua&lt;/Author&gt;&lt;Year&gt;2022&lt;/Year&gt;&lt;Details&gt;&lt;_author_adr&gt;[Huimin An]Natl Res Ctr Engn Technol Utilizat Bot Funct Ingre, Changsha 410128, Peoples R China;[Xingchang Ou]Natl Res Ctr Engn Technol Utilizat Bot Funct Ingre, Changsha 410128, Peoples R China;[Yangbo Zhang]Natl Res Ctr Engn Technol Utilizat Bot Funct Ingre, Changsha 410128, Peoples R China;[Shi Li]Natl Res Ctr Engn Technol Utilizat Bot Funct Ingre, Changsha 410128, Peoples R China;[Yifan Xiong]Natl Res Ctr Engn Technol Utilizat Bot Funct Ingre, Changsha 410128, Peoples R China;[Qin Li]Natl Res Ctr Engn Technol Utilizat Bot Funct Ingre, Changsha 410128, Peoples R China;[Jianan Huang]Hunan Coinnovat Ctr Utilizat Bot Funct Ingredients, Changsha 410128, Peoples R China;[Zhonghua Liu]Hunan Coinnovat Ctr Utilizat Bot Funct Ingredients, Changsha 410128, Peoples R China;&lt;/_author_adr&gt;&lt;_author_aff&gt;Hunan Agr Univ;Hunan Agricultural University;Natl Res Ctr Engn Technol Utilizat Bot Funct Ingre;Hunan Coinnovat Ctr Utilizat Bot Funct Ingredients;&lt;/_author_aff&gt;&lt;_cate&gt;Chemistry, Applied;Food Science &amp;amp; Technology;Nutrition &amp;amp; Dietetics;&lt;/_cate&gt;&lt;_cited_count&gt;1&lt;/_cited_count&gt;&lt;_collection_scope&gt;SCIE;EI&lt;/_collection_scope&gt;&lt;_created&gt;65321888&lt;/_created&gt;&lt;_db_updated&gt;Web of Science-Core&lt;/_db_updated&gt;&lt;_doi&gt;10.1016/j.foodchem.2022.133172&lt;/_doi&gt;&lt;_impact_factor&gt;   8.800&lt;/_impact_factor&gt;&lt;_isbn&gt;0308-8146&lt;/_isbn&gt;&lt;_journal&gt;FOOD CHEMISTRY&lt;/_journal&gt;&lt;_modified&gt;65321889&lt;/_modified&gt;&lt;_ori_publication&gt;ELSEVIER SCI LTD&lt;/_ori_publication&gt;&lt;_place_published&gt;THE BOULEVARD, LANGFORD LANE, KIDLINGTON, OXFORD OX5 1GB, OXON, ENGLAND&lt;/_place_published&gt;&lt;_ref_count&gt;0&lt;/_ref_count&gt;&lt;_social_category&gt;应用化学(1) &amp;amp; 食品科技(1) &amp;amp; 营养学(1)&lt;/_social_category&gt;&lt;_url&gt;https://www.webofscience.com/wos/alldb/full-record/WOS:000809250600005&lt;/_url&gt;&lt;_volume&gt;389&lt;/_volume&gt;&lt;/Details&gt;&lt;Extra&gt;&lt;DBUID&gt;{7A4864DA-D1F8-4ACD-BB24-0EAEEAFDB637}&lt;/DBUID&gt;&lt;/Extra&gt;&lt;/Item&gt;&lt;/References&gt;&lt;/Group&gt;&lt;Group&gt;&lt;References&gt;&lt;Item&gt;&lt;ID&gt;250&lt;/ID&gt;&lt;UID&gt;{7C3FD087-3591-4770-A4D9-1971619392CC}&lt;/UID&gt;&lt;Title&gt;Valorisation of Roman chamomile (Chamaemelum nobile L.) herb by comprehensive  evaluation of hydrodistilled aroma and residual non-volatile fractions&lt;/Title&gt;&lt;Template&gt;Journal Article&lt;/Template&gt;&lt;Star&gt;0&lt;/Star&gt;&lt;Tag&gt;0&lt;/Tag&gt;&lt;Author&gt;Baranauskiene, R; Venskutonis, P R; Ragazinskiene, O&lt;/Author&gt;&lt;Year&gt;2022&lt;/Year&gt;&lt;Details&gt;&lt;_accession_num&gt;36076410&lt;/_accession_num&gt;&lt;_author_adr&gt;Department of Food Science and Technology, Kaunas University of Technology,  Radvilenu rd. 19, Kaunas LT-50254, Lithuania. Electronic address:  renata.baranauskiene@ktu.lt.; Department of Food Science and Technology, Kaunas University of Technology,  Radvilenu rd. 19, Kaunas LT-50254, Lithuania.; Kaunas Botanical Garden of Vytautas Magnus University, Z.E. Zilibero str. 6,  Kaunas LT-46324, Lithuania.&lt;/_author_adr&gt;&lt;_collection_scope&gt;SCIE;EI&lt;/_collection_scope&gt;&lt;_created&gt;65326337&lt;/_created&gt;&lt;_date&gt;2022-10-01&lt;/_date&gt;&lt;_date_display&gt;2022 Oct&lt;/_date_display&gt;&lt;_db_updated&gt;PubMed&lt;/_db_updated&gt;&lt;_doi&gt;10.1016/j.foodres.2022.111715&lt;/_doi&gt;&lt;_impact_factor&gt;   8.100&lt;/_impact_factor&gt;&lt;_isbn&gt;1873-7145 (Electronic); 0963-9969 (Linking)&lt;/_isbn&gt;&lt;_journal&gt;Food Res Int&lt;/_journal&gt;&lt;_keywords&gt;Antioxidant capacity; Chamaemelum nobile L.; Deodorized acetone extract; Essential oil; Growth phases; Water extract&lt;/_keywords&gt;&lt;_language&gt;eng&lt;/_language&gt;&lt;_modified&gt;65326337&lt;/_modified&gt;&lt;_ori_publication&gt;Copyright (c) 2022 Elsevier Ltd. All rights reserved.&lt;/_ori_publication&gt;&lt;_pages&gt;111715&lt;/_pages&gt;&lt;_social_category&gt;食品科技(1)&lt;/_social_category&gt;&lt;_subject_headings&gt;Antioxidants/chemistry; *Chamaemelum/chemistry; Isobutyrates; Odorants; *Oils, Volatile; Water&lt;/_subject_headings&gt;&lt;_tertiary_title&gt;Food research international (Ottawa, Ont.)&lt;/_tertiary_title&gt;&lt;_type_work&gt;Journal Article&lt;/_type_work&gt;&lt;_url&gt;http://www.ncbi.nlm.nih.gov/entrez/query.fcgi?cmd=Retrieve&amp;amp;db=pubmed&amp;amp;dopt=Abstract&amp;amp;list_uids=36076410&amp;amp;query_hl=1&lt;/_url&gt;&lt;_volume&gt;160&lt;/_volume&gt;&lt;/Details&gt;&lt;Extra&gt;&lt;DBUID&gt;{7A4864DA-D1F8-4ACD-BB24-0EAEEAFDB637}&lt;/DBUID&gt;&lt;/Extra&gt;&lt;/Item&gt;&lt;/References&gt;&lt;/Group&gt;&lt;/Citation&gt;_x000a_"/>
    <w:docVar w:name="NE.Ref{519E34B9-5DC7-4C5B-BC08-BF5B030688FA}" w:val=" ADDIN NE.Ref.{519E34B9-5DC7-4C5B-BC08-BF5B030688FA}&lt;Citation&gt;&lt;Group&gt;&lt;References&gt;&lt;Item&gt;&lt;ID&gt;228&lt;/ID&gt;&lt;UID&gt;{361E9CC8-AFBD-4775-9939-A4C958BFC493}&lt;/UID&gt;&lt;Title&gt;Matricaria chamomilla: A valuable insight into recent advances in medicinal uses and pharmacological activities&lt;/Title&gt;&lt;Template&gt;Journal Article&lt;/Template&gt;&lt;Star&gt;0&lt;/Star&gt;&lt;Tag&gt;0&lt;/Tag&gt;&lt;Author&gt;El Joumaa, Manal M; Borjac, Jamilah M&lt;/Author&gt;&lt;Year&gt;2022&lt;/Year&gt;&lt;Details&gt;&lt;_alternate_title&gt;Phytochemistry Reviews&lt;/_alternate_title&gt;&lt;_collection_scope&gt;SCIE&lt;/_collection_scope&gt;&lt;_created&gt;65320808&lt;/_created&gt;&lt;_date&gt;2022-01-01&lt;/_date&gt;&lt;_date_display&gt;2022&lt;/_date_display&gt;&lt;_doi&gt;10.1007/s11101-022-09817-0&lt;/_doi&gt;&lt;_impact_factor&gt;   7.700&lt;/_impact_factor&gt;&lt;_isbn&gt;1572-980X&lt;/_isbn&gt;&lt;_issue&gt;6&lt;/_issue&gt;&lt;_journal&gt;Phytochemistry Reviews&lt;/_journal&gt;&lt;_modified&gt;65320808&lt;/_modified&gt;&lt;_number&gt;El Joumaa2022&lt;/_number&gt;&lt;_pages&gt;1913-1940&lt;/_pages&gt;&lt;_social_category&gt;农艺学(2) &amp;amp; 植物科学(2)&lt;/_social_category&gt;&lt;_url&gt;https://doi.org/10.1007/s11101-022-09817-0&lt;/_url&gt;&lt;_volume&gt;21&lt;/_volume&gt;&lt;/Details&gt;&lt;Extra&gt;&lt;DBUID&gt;{7A4864DA-D1F8-4ACD-BB24-0EAEEAFDB637}&lt;/DBUID&gt;&lt;/Extra&gt;&lt;/Item&gt;&lt;/References&gt;&lt;/Group&gt;&lt;/Citation&gt;_x000a_"/>
    <w:docVar w:name="NE.Ref{537C2EC7-383C-4689-81BC-D66F1824AA57}" w:val=" ADDIN NE.Ref.{537C2EC7-383C-4689-81BC-D66F1824AA57}&lt;Citation&gt;&lt;Group&gt;&lt;References&gt;&lt;Item&gt;&lt;ID&gt;267&lt;/ID&gt;&lt;UID&gt;{4A30AC5C-DF1F-4BDE-97A3-5898CE8F49EF}&lt;/UID&gt;&lt;Title&gt;Artemisia sieversiana Ehrhart ex Willd. Essential Oil and Its Main Component , Chamazulene : Their Photoprotective Effect against UVB-Induced Cellular Damage and Potential as Novel Natural Sunscreen Additives&lt;/Title&gt;&lt;Template&gt;Journal Article&lt;/Template&gt;&lt;Star&gt;0&lt;/Star&gt;&lt;Tag&gt;0&lt;/Tag&gt;&lt;Author&gt;Zhou, Ying; He, Lei; Wang, Wencui; Wei, Guodong; Ma, Li; Liu, Huanyan; Yao, Lei&lt;/Author&gt;&lt;Year&gt;2023&lt;/Year&gt;&lt;Details&gt;&lt;_author_adr&gt;[Ying Zhou]Shanghai Jiao Tong Univ, R&amp;amp;D Ctr Aromat Plants, Shanghai 200240, Peoples R China;[Lei He]Shanghai Jiao Tong Univ, Sch Agr &amp;amp; Biol, Shanghai 200240, Peoples R China;[Wencui Wang]Shanghai Jiao Tong Univ, R&amp;amp;D Ctr Aromat Plants, Shanghai 200240, Peoples R China;[Guodong Wei]DoTERRA Shanghai Biotechnol Co Ltd, Shanghai 200072, Peoples R China;[Li Ma]Shanghai Jiao Tong Univ, R&amp;amp;D Ctr Aromat Plants, Shanghai 200240, Peoples R China;[Huanyan Liu]DoTERRA Shanghai Biotechnol Co Ltd, Shanghai 200072, Peoples R China;[Lei Yao]Shanghai Jiao Tong Univ, R&amp;amp;D Ctr Aromat Plants, Shanghai 200240, Peoples R China;&lt;/_author_adr&gt;&lt;_author_aff&gt;Shanghai Jiao Tong Univ;Shanghai Jiao Tong University;Shanghai Jiao Tong University School of Design;Shanghai Jiao Tong Univ;Shanghai Jiao Tong University;Shanghai Jiao Tong Univ;Shanghai Jiao Tong University;Shanghai Jiao Tong University School of Agriculture and Biology;DoTERRA Shanghai Biotechnol Co Ltd;&lt;/_author_aff&gt;&lt;_cate&gt;Chemistry, Multidisciplinary;Green &amp;amp; Sustainable Science &amp;amp; Technology;Engineering, Chemical;&lt;/_cate&gt;&lt;_cited_count&gt;0&lt;/_cited_count&gt;&lt;_collection_scope&gt;SCIE;EI&lt;/_collection_scope&gt;&lt;_created&gt;65376635&lt;/_created&gt;&lt;_db_updated&gt;Web of Science-Core&lt;/_db_updated&gt;&lt;_doi&gt;10.1021/acssuschemeng.3c04804&lt;/_doi&gt;&lt;_impact_factor&gt;   8.400&lt;/_impact_factor&gt;&lt;_isbn&gt;2168-0485&lt;/_isbn&gt;&lt;_issue&gt;50&lt;/_issue&gt;&lt;_journal&gt;ACS SUSTAINABLE CHEMISTRY &amp;amp; ENGINEERING&lt;/_journal&gt;&lt;_keywords&gt;Artemisia sieversiana Ehrhart ex Willd;essential oil;chamazulene;photoprotective;HaCaT;UVB;sunscreen additive;&lt;/_keywords&gt;&lt;_modified&gt;65376635&lt;/_modified&gt;&lt;_ori_publication&gt;AMER CHEMICAL SOC&lt;/_ori_publication&gt;&lt;_pages&gt;17675-17686&lt;/_pages&gt;&lt;_place_published&gt;1155 16TH ST, NW, WASHINGTON, DC 20036 USA&lt;/_place_published&gt;&lt;_ref_count&gt;70&lt;/_ref_count&gt;&lt;_social_category&gt;化学：综合(2) &amp;amp; 工程：化工(2) &amp;amp; 绿色可持续发展技术(3)&lt;/_social_category&gt;&lt;_url&gt;https://www.webofscience.com/wos/alldb/full-record/WOS:001127572000001&lt;/_url&gt;&lt;_volume&gt;11&lt;/_volume&gt;&lt;/Details&gt;&lt;Extra&gt;&lt;DBUID&gt;{7A4864DA-D1F8-4ACD-BB24-0EAEEAFDB637}&lt;/DBUID&gt;&lt;/Extra&gt;&lt;/Item&gt;&lt;/References&gt;&lt;/Group&gt;&lt;/Citation&gt;_x000a_"/>
    <w:docVar w:name="NE.Ref{54A7B481-F9ED-4007-82EE-46CD3C429BD2}" w:val=" ADDIN NE.Ref.{54A7B481-F9ED-4007-82EE-46CD3C429BD2}&lt;Citation&gt;&lt;Group&gt;&lt;References&gt;&lt;Item&gt;&lt;ID&gt;238&lt;/ID&gt;&lt;UID&gt;{AAFCA4FD-13E9-41E0-BD4B-42BFB24E922E}&lt;/UID&gt;&lt;Title&gt;Physicochemical parameters combined flash GC e-nose and artificial neural network for quality and volatile characterization of vinegar with different brewing techniques&lt;/Title&gt;&lt;Template&gt;Journal Article&lt;/Template&gt;&lt;Star&gt;0&lt;/Star&gt;&lt;Tag&gt;0&lt;/Tag&gt;&lt;Author&gt;Li, Yu; Fei, Chenghao; Mao, Chunqin; Ji, De; Gong, Jingwen; Qin, Yuwen; Qu, Lingyun; Zhang, Wei; Bian, Zhenhua; Su, Lianlin; Lu, Tulin&lt;/Author&gt;&lt;Year&gt;0&lt;/Year&gt;&lt;Details&gt;&lt;_created&gt;65321935&lt;/_created&gt;&lt;_db_provider&gt;北京万方数据股份有限公司&lt;/_db_provider&gt;&lt;_db_updated&gt;Wanfangdata&lt;/_db_updated&gt;&lt;_keywords&gt;Vinegar; Flash GC e-nose; Artificial neural network (ANN); Volatiles; Classification&lt;/_keywords&gt;&lt;_modified&gt;65321935&lt;/_modified&gt;&lt;_url&gt;https://d.wanfangdata.com.cn/periodical/ChlQZXJpb2RpY2FsRU5HTmV3UzIwMjMwODMxEiA1MGYwMWFmZmNiODBlYTU0M2I4YmYxNzJkNzU4OTJmZBoIbXBoZXdnOXI%3D&lt;/_url&gt;&lt;/Details&gt;&lt;Extra&gt;&lt;DBUID&gt;{7A4864DA-D1F8-4ACD-BB24-0EAEEAFDB637}&lt;/DBUID&gt;&lt;/Extra&gt;&lt;/Item&gt;&lt;/References&gt;&lt;/Group&gt;&lt;/Citation&gt;_x000a_"/>
    <w:docVar w:name="NE.Ref{611D83D4-1786-4018-8B3F-B114BD6AC336}" w:val=" ADDIN NE.Ref.{611D83D4-1786-4018-8B3F-B114BD6AC336}&lt;Citation&gt;&lt;Group&gt;&lt;References&gt;&lt;Item&gt;&lt;ID&gt;232&lt;/ID&gt;&lt;UID&gt;{1475EBDF-42D7-4BC4-BE84-57BFA92751D1}&lt;/UID&gt;&lt;Title&gt;Elemental Composition of Commercial Herbal Tea Plants and Respective Infusions&lt;/Title&gt;&lt;Template&gt;Journal Article&lt;/Template&gt;&lt;Star&gt;0&lt;/Star&gt;&lt;Tag&gt;0&lt;/Tag&gt;&lt;Author&gt;Fernandes, J; Reboredo, F H; Luis, I; Silva, M M; Simoes, M M; Lidon, F C; Ramalho, J C&lt;/Author&gt;&lt;Year&gt;2022&lt;/Year&gt;&lt;Details&gt;&lt;_accession_num&gt;35684185&lt;/_accession_num&gt;&lt;_author_adr&gt;Departamento Ciencias da Terra, Faculdade de Ciencias e Tecnologia, Campus da  Caparica, Universidade NOVA de Lisboa, 2829-516 Caparica, Portugal.; Departamento Ciencias da Terra, Faculdade de Ciencias e Tecnologia, Campus da  Caparica, Universidade NOVA de Lisboa, 2829-516 Caparica, Portugal.; GeoBioTec, Departamento de Ciencias da Terra, Faculdade de Ciencias e Tecnologia,  Campus da Caparica, Universidade NOVA de Lisboa, 2829-516 Caparica, Portugal.; Departamento Ciencias da Terra, Faculdade de Ciencias e Tecnologia, Campus da  Caparica, Universidade NOVA de Lisboa, 2829-516 Caparica, Portugal.; GeoBioTec, Departamento de Ciencias da Terra, Faculdade de Ciencias e Tecnologia,  Campus da Caparica, Universidade NOVA de Lisboa, 2829-516 Caparica, Portugal.; ESEAG-COFAC, Avenida do Campo Grande 376, 1749-024 Lisboa, Portugal.; Departamento Ciencias da Terra, Faculdade de Ciencias e Tecnologia, Campus da  Caparica, Universidade NOVA de Lisboa, 2829-516 Caparica, Portugal.; GeoBioTec, Departamento de Ciencias da Terra, Faculdade de Ciencias e Tecnologia,  Campus da Caparica, Universidade NOVA de Lisboa, 2829-516 Caparica, Portugal.; Departamento Ciencias da Terra, Faculdade de Ciencias e Tecnologia, Campus da  Caparica, Universidade NOVA de Lisboa, 2829-516 Caparica, Portugal.; GeoBioTec, Departamento de Ciencias da Terra, Faculdade de Ciencias e Tecnologia,  Campus da Caparica, Universidade NOVA de Lisboa, 2829-516 Caparica, Portugal.; GeoBioTec, Departamento de Ciencias da Terra, Faculdade de Ciencias e Tecnologia,  Campus da Caparica, Universidade NOVA de Lisboa, 2829-516 Caparica, Portugal.; Plant Stress &amp;amp; Biodiversity Lab, Centro de Estudos Florestais (CEF), Instituto  Superior Agronomia (ISA), Universidade de Lisboa (ULisboa), Quinta do Marques,  Av. Republica, 2784-505 Oeiras, Portugal.&lt;/_author_adr&gt;&lt;_collection_scope&gt;SCIE&lt;/_collection_scope&gt;&lt;_created&gt;65320846&lt;/_created&gt;&lt;_date&gt;2022-05-26&lt;/_date&gt;&lt;_date_display&gt;2022 May 26&lt;/_date_display&gt;&lt;_db_updated&gt;PubMed&lt;/_db_updated&gt;&lt;_doi&gt;10.3390/plants11111412&lt;/_doi&gt;&lt;_impact_factor&gt;   4.500&lt;/_impact_factor&gt;&lt;_isbn&gt;2223-7747 (Print); 2223-7747 (Electronic); 2223-7747 (Linking)&lt;/_isbn&gt;&lt;_issue&gt;11&lt;/_issue&gt;&lt;_journal&gt;Plants (Basel)&lt;/_journal&gt;&lt;_keywords&gt;PCA analysis; X-ray fluorescence; elemental composition; herbal infusions; herbal tea samples; inductively coupled plasma-atomic emission spectroscopy&lt;/_keywords&gt;&lt;_language&gt;eng&lt;/_language&gt;&lt;_modified&gt;65320846&lt;/_modified&gt;&lt;_social_category&gt;农艺学(3) &amp;amp; 植物科学(3)&lt;/_social_category&gt;&lt;_tertiary_title&gt;Plants (Basel, Switzerland)&lt;/_tertiary_title&gt;&lt;_type_work&gt;Journal Article&lt;/_type_work&gt;&lt;_url&gt;http://www.ncbi.nlm.nih.gov/entrez/query.fcgi?cmd=Retrieve&amp;amp;db=pubmed&amp;amp;dopt=Abstract&amp;amp;list_uids=35684185&amp;amp;query_hl=1&lt;/_url&gt;&lt;_volume&gt;11&lt;/_volume&gt;&lt;/Details&gt;&lt;Extra&gt;&lt;DBUID&gt;{7A4864DA-D1F8-4ACD-BB24-0EAEEAFDB637}&lt;/DBUID&gt;&lt;/Extra&gt;&lt;/Item&gt;&lt;/References&gt;&lt;/Group&gt;&lt;Group&gt;&lt;References&gt;&lt;Item&gt;&lt;ID&gt;264&lt;/ID&gt;&lt;UID&gt;{6ECC8D09-E995-438B-8A56-8E89E27282DD}&lt;/UID&gt;&lt;Title&gt;Content of essential oil, terpenoids and polyphenols in commercial chamomile(Chamomilla recutita L Rauschert) teas from different countries&lt;/Title&gt;&lt;Template&gt;Journal Article&lt;/Template&gt;&lt;Star&gt;0&lt;/Star&gt;&lt;Tag&gt;0&lt;/Tag&gt;&lt;Author&gt;Raal, Ain; Orav, Anne; Piissa, Tonu; Vainer, Catri; Malmiste, Birgit; Arak, Elmar&lt;/Author&gt;&lt;Year&gt;2012&lt;/Year&gt;&lt;Details&gt;&lt;_author_adr&gt;塔尔图大学; 爱沙尼亚塔林理工大学&lt;/_author_adr&gt;&lt;_author_aff&gt;塔尔图大学; 爱沙尼亚塔林理工大学&lt;/_author_aff&gt;&lt;_collection_scope&gt;SCIE;EI&lt;/_collection_scope&gt;&lt;_created&gt;65339830&lt;/_created&gt;&lt;_db_provider&gt;北京万方数据股份有限公司&lt;/_db_provider&gt;&lt;_db_updated&gt;Wanfangdata&lt;/_db_updated&gt;&lt;_impact_factor&gt;   8.800&lt;/_impact_factor&gt;&lt;_isbn&gt;0308-8146&lt;/_isbn&gt;&lt;_issue&gt;2&lt;/_issue&gt;&lt;_journal&gt;Food Chemistry&lt;/_journal&gt;&lt;_keywords&gt;chamomile tea; chamomilla recutita; commercial samples; essential oil; german chamomile; herbal infusion; polyphenols&lt;/_keywords&gt;&lt;_language&gt;eng&lt;/_language&gt;&lt;_modified&gt;65339830&lt;/_modified&gt;&lt;_pages&gt;632-638&lt;/_pages&gt;&lt;_social_category&gt;应用化学(1) &amp;amp; 食品科技(1) &amp;amp; 营养学(1)&lt;/_social_category&gt;&lt;_url&gt;https://d.wanfangdata.com.cn/periodical/ChlQZXJpb2RpY2FsRU5HTmV3UzIwMjMwODMxEiBjOWNjODhiNmJiYmZkYzVkMmJhYTVkNzBhNTY3YTk3ZBoIcWY1NHYxYnk%3D&lt;/_url&gt;&lt;_volume&gt;131&lt;/_volume&gt;&lt;/Details&gt;&lt;Extra&gt;&lt;DBUID&gt;{7A4864DA-D1F8-4ACD-BB24-0EAEEAFDB637}&lt;/DBUID&gt;&lt;/Extra&gt;&lt;/Item&gt;&lt;/References&gt;&lt;/Group&gt;&lt;/Citation&gt;_x000a_"/>
    <w:docVar w:name="NE.Ref{6383C691-FFD2-445B-9366-DD05C8DC3F33}" w:val=" ADDIN NE.Ref.{6383C691-FFD2-445B-9366-DD05C8DC3F33}&lt;Citation&gt;&lt;Group&gt;&lt;References&gt;&lt;Item&gt;&lt;ID&gt;255&lt;/ID&gt;&lt;UID&gt;{15E80553-8C2F-4758-84C2-59A4D0D26285}&lt;/UID&gt;&lt;Title&gt;A Comprehensive Study of Therapeutic Applications of Chamomile&lt;/Title&gt;&lt;Template&gt;Journal Article&lt;/Template&gt;&lt;Star&gt;0&lt;/Star&gt;&lt;Tag&gt;0&lt;/Tag&gt;&lt;Author&gt;Sah, A; Naseef, P P; Kuruniyan, M S; Jain, G K; Zakir, F; Aggarwal, G&lt;/Author&gt;&lt;Year&gt;2022&lt;/Year&gt;&lt;Details&gt;&lt;_accession_num&gt;36297396&lt;/_accession_num&gt;&lt;_author_adr&gt;Department of Pharmaceutics, Delhi Institute of Pharmaceutical Sciences and  Research, Delhi Pharmaceutical Sciences and Research University, Sector-3, M.B.  Road, Pushp Vihar, New Delhi 110017, India.; Department of Pharmaceutics, Moulana College of Pharmacy, Perinthalmanna 679321,  India.; Department of Dental Technology, College of Applied Medical Sciences, King Khalid  University, Abha 61421, Saudi Arabia.; Department of Pharmaceutics, Delhi Institute of Pharmaceutical Sciences and  Research, Delhi Pharmaceutical Sciences and Research University, Sector-3, M.B.  Road, Pushp Vihar, New Delhi 110017, India.; Center for Advanced Formulation Development, Delhi Pharmaceutical Sciences and  Research University, Sector-3, M.B. Road, Pushp Vihar, New Delhi 110017, India.; Department of B. Pharm (Ayurveda), School of Pharmaceutical Sciences, Delhi  Pharmaceutical Sciences and Research University, Sector-3, M.B. Road, Pushp  Vihar, New Delhi 110017, India.; Center for Advanced Formulation Development, Delhi Pharmaceutical Sciences and  Research University, Sector-3, M.B. Road, Pushp Vihar, New Delhi 110017, India.; Department of Pharmaceutics, School of Pharmaceutical Sciences, Delhi  Pharmaceutical Sciences and Research University, Sector-3, M.B. Road, Pushp  Vihar, New Delhi 110017, India.&lt;/_author_adr&gt;&lt;_collection_scope&gt;SCIE&lt;/_collection_scope&gt;&lt;_created&gt;65326808&lt;/_created&gt;&lt;_date&gt;2022-10-19&lt;/_date&gt;&lt;_date_display&gt;2022 Oct 19&lt;/_date_display&gt;&lt;_db_updated&gt;PubMed&lt;/_db_updated&gt;&lt;_doi&gt;10.3390/ph15101284&lt;/_doi&gt;&lt;_impact_factor&gt;   4.600&lt;/_impact_factor&gt;&lt;_isbn&gt;1424-8247 (Print); 1424-8247 (Electronic); 1424-8247 (Linking)&lt;/_isbn&gt;&lt;_issue&gt;10&lt;/_issue&gt;&lt;_journal&gt;Pharmaceuticals (Basel)&lt;/_journal&gt;&lt;_keywords&gt;apigenin; bisabalool; chamomile; chamomilla; flavonoid; matricaria&lt;/_keywords&gt;&lt;_language&gt;eng&lt;/_language&gt;&lt;_modified&gt;65326808&lt;/_modified&gt;&lt;_social_category&gt;药物化学(3) &amp;amp; 药学(3)&lt;/_social_category&gt;&lt;_tertiary_title&gt;Pharmaceuticals (Basel, Switzerland)&lt;/_tertiary_title&gt;&lt;_type_work&gt;Journal Article; Review&lt;/_type_work&gt;&lt;_url&gt;http://www.ncbi.nlm.nih.gov/entrez/query.fcgi?cmd=Retrieve&amp;amp;db=pubmed&amp;amp;dopt=Abstract&amp;amp;list_uids=36297396&amp;amp;query_hl=1&lt;/_url&gt;&lt;_volume&gt;15&lt;/_volume&gt;&lt;/Details&gt;&lt;Extra&gt;&lt;DBUID&gt;{7A4864DA-D1F8-4ACD-BB24-0EAEEAFDB637}&lt;/DBUID&gt;&lt;/Extra&gt;&lt;/Item&gt;&lt;/References&gt;&lt;/Group&gt;&lt;Group&gt;&lt;References&gt;&lt;Item&gt;&lt;ID&gt;254&lt;/ID&gt;&lt;UID&gt;{79D33936-0D66-417C-A86A-CEF298724971}&lt;/UID&gt;&lt;Title&gt;A Comprehensive Review on Biology, Genetic Improvement, Agro and Process  Technology of German Chamomile (Matricaria chamomilla L.)&lt;/Title&gt;&lt;Template&gt;Journal Article&lt;/Template&gt;&lt;Star&gt;0&lt;/Star&gt;&lt;Tag&gt;0&lt;/Tag&gt;&lt;Author&gt;Chauhan, R; Singh, S; Kumar, V; Kumar, A; Kumari, A; Rathore, S; Kumar, R; Singh, S&lt;/Author&gt;&lt;Year&gt;2021&lt;/Year&gt;&lt;Details&gt;&lt;_accession_num&gt;35009033&lt;/_accession_num&gt;&lt;_author_adr&gt;Division of Agrotechnology, Council of Scientific and Industrial  Research-Institute of Himalayan Bioresource Technology (CSIR-IHBT), Palampur  176061, India.; Division of Agrotechnology, Council of Scientific and Industrial  Research-Institute of Himalayan Bioresource Technology (CSIR-IHBT), Palampur  176061, India.; Division of Environmental Technology, CSIR-IHBT, Palampur 176061, India.; Division of Agrotechnology, Council of Scientific and Industrial  Research-Institute of Himalayan Bioresource Technology (CSIR-IHBT), Palampur  176061, India.; Division of Chemical Technology, CSIR-IHBT, Palampur 176061, India.; Academy of Scientific and Industrial Research, Ghaziabad 201002, India.; Division of Agrotechnology, Council of Scientific and Industrial  Research-Institute of Himalayan Bioresource Technology (CSIR-IHBT), Palampur  176061, India.; Division of Agrotechnology, Council of Scientific and Industrial  Research-Institute of Himalayan Bioresource Technology (CSIR-IHBT), Palampur  176061, India.&lt;/_author_adr&gt;&lt;_collection_scope&gt;SCIE&lt;/_collection_scope&gt;&lt;_created&gt;65326790&lt;/_created&gt;&lt;_date&gt;2021-12-23&lt;/_date&gt;&lt;_date_display&gt;2021 Dec 23&lt;/_date_display&gt;&lt;_db_updated&gt;PubMed&lt;/_db_updated&gt;&lt;_doi&gt;10.3390/plants11010029&lt;/_doi&gt;&lt;_impact_factor&gt;   4.500&lt;/_impact_factor&gt;&lt;_isbn&gt;2223-7747 (Print); 2223-7747 (Electronic); 2223-7747 (Linking)&lt;/_isbn&gt;&lt;_issue&gt;1&lt;/_issue&gt;&lt;_journal&gt;Plants (Basel)&lt;/_journal&gt;&lt;_keywords&gt;agronomy; chamomile; essential oil; genetic improvement; pharmacological uses&lt;/_keywords&gt;&lt;_language&gt;eng&lt;/_language&gt;&lt;_modified&gt;65326792&lt;/_modified&gt;&lt;_social_category&gt;农艺学(3) &amp;amp; 植物科学(3)&lt;/_social_category&gt;&lt;_tertiary_title&gt;Plants (Basel, Switzerland)&lt;/_tertiary_title&gt;&lt;_type_work&gt;Journal Article; Review&lt;/_type_work&gt;&lt;_url&gt;http://www.ncbi.nlm.nih.gov/entrez/query.fcgi?cmd=Retrieve&amp;amp;db=pubmed&amp;amp;dopt=Abstract&amp;amp;list_uids=35009033&amp;amp;query_hl=1&lt;/_url&gt;&lt;_volume&gt;11&lt;/_volume&gt;&lt;/Details&gt;&lt;Extra&gt;&lt;DBUID&gt;{7A4864DA-D1F8-4ACD-BB24-0EAEEAFDB637}&lt;/DBUID&gt;&lt;/Extra&gt;&lt;/Item&gt;&lt;/References&gt;&lt;/Group&gt;&lt;/Citation&gt;_x000a_"/>
    <w:docVar w:name="NE.Ref{6B00CCAF-98E1-420C-9509-0ED1B23BB36A}" w:val=" ADDIN NE.Ref.{6B00CCAF-98E1-420C-9509-0ED1B23BB36A}&lt;Citation&gt;&lt;Group&gt;&lt;References&gt;&lt;Item&gt;&lt;ID&gt;258&lt;/ID&gt;&lt;UID&gt;{B52250FD-AFCE-49DE-A3C5-184F8DFA5B0F}&lt;/UID&gt;&lt;Title&gt;Correlation among environmental factors, chemical composition and antioxidative properties of essential oil and extracts of chamomile (Matricaria chamomilla L.) collected in Molise (South-central Italy)&lt;/Title&gt;&lt;Template&gt;Journal Article&lt;/Template&gt;&lt;Star&gt;0&lt;/Star&gt;&lt;Tag&gt;0&lt;/Tag&gt;&lt;Author&gt;Formisano, Carmen; Delfine, Sebastiano; Oliviero, Filomena; Tenore, Gian Carlo; Rigano, Daniela; Senatore, Felice&lt;/Author&gt;&lt;Year&gt;2015&lt;/Year&gt;&lt;Details&gt;&lt;_author_adr&gt;费德里科II大学&lt;/_author_adr&gt;&lt;_author_aff&gt;费德里科II大学&lt;/_author_aff&gt;&lt;_collection_scope&gt;SCIE;EI&lt;/_collection_scope&gt;&lt;_created&gt;65332270&lt;/_created&gt;&lt;_db_provider&gt;北京万方数据股份有限公司&lt;/_db_provider&gt;&lt;_db_updated&gt;Wanfangdata&lt;/_db_updated&gt;&lt;_doi&gt;10.1016/j.indcrop.2014.09.042&lt;/_doi&gt;&lt;_impact_factor&gt;   5.900&lt;/_impact_factor&gt;&lt;_isbn&gt;0926-6690&lt;/_isbn&gt;&lt;_journal&gt;Industrial Crops and Products&lt;/_journal&gt;&lt;_keywords&gt;Matricaria chamomilla; Essential oil; Cis-tonghaosu; alpha-Bisabolol oxide; Phenolic compounds; Antioxidant activity&lt;/_keywords&gt;&lt;_language&gt;eng&lt;/_language&gt;&lt;_modified&gt;65332272&lt;/_modified&gt;&lt;_pages&gt;256-263&lt;/_pages&gt;&lt;_social_category&gt;农业工程(1) &amp;amp; 农艺学(1)&lt;/_social_category&gt;&lt;_url&gt;https://d.wanfangdata.com.cn/periodical/ChlQZXJpb2RpY2FsRU5HTmV3UzIwMjMwODMxEiA5MTQxZTQ0N2Q3MmJiYTI5MGRkNDhkMDA4ODBjOGQ1MhoIcHpqNW00aHI%3D&lt;/_url&gt;&lt;_volume&gt;63&lt;/_volume&gt;&lt;/Details&gt;&lt;Extra&gt;&lt;DBUID&gt;{7A4864DA-D1F8-4ACD-BB24-0EAEEAFDB637}&lt;/DBUID&gt;&lt;/Extra&gt;&lt;/Item&gt;&lt;/References&gt;&lt;/Group&gt;&lt;/Citation&gt;_x000a_"/>
    <w:docVar w:name="NE.Ref{8AA72257-4557-47DA-BE93-F2FEE00FEBA7}" w:val=" ADDIN NE.Ref.{8AA72257-4557-47DA-BE93-F2FEE00FEBA7}&lt;Citation&gt;&lt;Group&gt;&lt;References&gt;&lt;Item&gt;&lt;ID&gt;255&lt;/ID&gt;&lt;UID&gt;{15E80553-8C2F-4758-84C2-59A4D0D26285}&lt;/UID&gt;&lt;Title&gt;A Comprehensive Study of Therapeutic Applications of Chamomile&lt;/Title&gt;&lt;Template&gt;Journal Article&lt;/Template&gt;&lt;Star&gt;0&lt;/Star&gt;&lt;Tag&gt;0&lt;/Tag&gt;&lt;Author&gt;Sah, A; Naseef, P P; Kuruniyan, M S; Jain, G K; Zakir, F; Aggarwal, G&lt;/Author&gt;&lt;Year&gt;2022&lt;/Year&gt;&lt;Details&gt;&lt;_accession_num&gt;36297396&lt;/_accession_num&gt;&lt;_author_adr&gt;Department of Pharmaceutics, Delhi Institute of Pharmaceutical Sciences and  Research, Delhi Pharmaceutical Sciences and Research University, Sector-3, M.B.  Road, Pushp Vihar, New Delhi 110017, India.; Department of Pharmaceutics, Moulana College of Pharmacy, Perinthalmanna 679321,  India.; Department of Dental Technology, College of Applied Medical Sciences, King Khalid  University, Abha 61421, Saudi Arabia.; Department of Pharmaceutics, Delhi Institute of Pharmaceutical Sciences and  Research, Delhi Pharmaceutical Sciences and Research University, Sector-3, M.B.  Road, Pushp Vihar, New Delhi 110017, India.; Center for Advanced Formulation Development, Delhi Pharmaceutical Sciences and  Research University, Sector-3, M.B. Road, Pushp Vihar, New Delhi 110017, India.; Department of B. Pharm (Ayurveda), School of Pharmaceutical Sciences, Delhi  Pharmaceutical Sciences and Research University, Sector-3, M.B. Road, Pushp  Vihar, New Delhi 110017, India.; Center for Advanced Formulation Development, Delhi Pharmaceutical Sciences and  Research University, Sector-3, M.B. Road, Pushp Vihar, New Delhi 110017, India.; Department of Pharmaceutics, School of Pharmaceutical Sciences, Delhi  Pharmaceutical Sciences and Research University, Sector-3, M.B. Road, Pushp  Vihar, New Delhi 110017, India.&lt;/_author_adr&gt;&lt;_collection_scope&gt;SCIE&lt;/_collection_scope&gt;&lt;_created&gt;65326808&lt;/_created&gt;&lt;_date&gt;2022-10-19&lt;/_date&gt;&lt;_date_display&gt;2022 Oct 19&lt;/_date_display&gt;&lt;_db_updated&gt;PubMed&lt;/_db_updated&gt;&lt;_doi&gt;10.3390/ph15101284&lt;/_doi&gt;&lt;_impact_factor&gt;   4.600&lt;/_impact_factor&gt;&lt;_isbn&gt;1424-8247 (Print); 1424-8247 (Electronic); 1424-8247 (Linking)&lt;/_isbn&gt;&lt;_issue&gt;10&lt;/_issue&gt;&lt;_journal&gt;Pharmaceuticals (Basel)&lt;/_journal&gt;&lt;_keywords&gt;apigenin; bisabalool; chamomile; chamomilla; flavonoid; matricaria&lt;/_keywords&gt;&lt;_language&gt;eng&lt;/_language&gt;&lt;_modified&gt;65326808&lt;/_modified&gt;&lt;_social_category&gt;药物化学(3) &amp;amp; 药学(3)&lt;/_social_category&gt;&lt;_tertiary_title&gt;Pharmaceuticals (Basel, Switzerland)&lt;/_tertiary_title&gt;&lt;_type_work&gt;Journal Article; Review&lt;/_type_work&gt;&lt;_url&gt;http://www.ncbi.nlm.nih.gov/entrez/query.fcgi?cmd=Retrieve&amp;amp;db=pubmed&amp;amp;dopt=Abstract&amp;amp;list_uids=36297396&amp;amp;query_hl=1&lt;/_url&gt;&lt;_volume&gt;15&lt;/_volume&gt;&lt;/Details&gt;&lt;Extra&gt;&lt;DBUID&gt;{7A4864DA-D1F8-4ACD-BB24-0EAEEAFDB637}&lt;/DBUID&gt;&lt;/Extra&gt;&lt;/Item&gt;&lt;/References&gt;&lt;/Group&gt;&lt;/Citation&gt;_x000a_"/>
    <w:docVar w:name="NE.Ref{958F2A53-E791-4352-8826-8C50C9DD664E}" w:val=" ADDIN NE.Ref.{958F2A53-E791-4352-8826-8C50C9DD664E}&lt;Citation&gt;&lt;Group&gt;&lt;References&gt;&lt;Item&gt;&lt;ID&gt;264&lt;/ID&gt;&lt;UID&gt;{6ECC8D09-E995-438B-8A56-8E89E27282DD}&lt;/UID&gt;&lt;Title&gt;Content of essential oil, terpenoids and polyphenols in commercial chamomile(Chamomilla recutita L Rauschert) teas from different countries&lt;/Title&gt;&lt;Template&gt;Journal Article&lt;/Template&gt;&lt;Star&gt;0&lt;/Star&gt;&lt;Tag&gt;0&lt;/Tag&gt;&lt;Author&gt;Raal, Ain; Orav, Anne; Piissa, Tonu; Vainer, Catri; Malmiste, Birgit; Arak, Elmar&lt;/Author&gt;&lt;Year&gt;2012&lt;/Year&gt;&lt;Details&gt;&lt;_author_adr&gt;塔尔图大学; 爱沙尼亚塔林理工大学&lt;/_author_adr&gt;&lt;_author_aff&gt;塔尔图大学; 爱沙尼亚塔林理工大学&lt;/_author_aff&gt;&lt;_collection_scope&gt;SCIE;EI&lt;/_collection_scope&gt;&lt;_created&gt;65339830&lt;/_created&gt;&lt;_db_provider&gt;北京万方数据股份有限公司&lt;/_db_provider&gt;&lt;_db_updated&gt;Wanfangdata&lt;/_db_updated&gt;&lt;_impact_factor&gt;   8.800&lt;/_impact_factor&gt;&lt;_isbn&gt;0308-8146&lt;/_isbn&gt;&lt;_issue&gt;2&lt;/_issue&gt;&lt;_journal&gt;Food Chemistry&lt;/_journal&gt;&lt;_keywords&gt;chamomile tea; chamomilla recutita; commercial samples; essential oil; german chamomile; herbal infusion; polyphenols&lt;/_keywords&gt;&lt;_language&gt;eng&lt;/_language&gt;&lt;_modified&gt;65339830&lt;/_modified&gt;&lt;_pages&gt;632-638&lt;/_pages&gt;&lt;_social_category&gt;应用化学(1) &amp;amp; 食品科技(1) &amp;amp; 营养学(1)&lt;/_social_category&gt;&lt;_url&gt;https://d.wanfangdata.com.cn/periodical/ChlQZXJpb2RpY2FsRU5HTmV3UzIwMjMwODMxEiBjOWNjODhiNmJiYmZkYzVkMmJhYTVkNzBhNTY3YTk3ZBoIcWY1NHYxYnk%3D&lt;/_url&gt;&lt;_volume&gt;131&lt;/_volume&gt;&lt;/Details&gt;&lt;Extra&gt;&lt;DBUID&gt;{7A4864DA-D1F8-4ACD-BB24-0EAEEAFDB637}&lt;/DBUID&gt;&lt;/Extra&gt;&lt;/Item&gt;&lt;/References&gt;&lt;/Group&gt;&lt;/Citation&gt;_x000a_"/>
    <w:docVar w:name="NE.Ref{A35A8253-DED8-4AE3-ADDB-AEA36AB48BD8}" w:val=" ADDIN NE.Ref.{A35A8253-DED8-4AE3-ADDB-AEA36AB48BD8}&lt;Citation&gt;&lt;Group&gt;&lt;References&gt;&lt;Item&gt;&lt;ID&gt;248&lt;/ID&gt;&lt;UID&gt;{EF81A7E8-EF83-4B37-8CF1-B1B1C83F2537}&lt;/UID&gt;&lt;Title&gt;Phyllotaxis development: a lesson from the Asteraceae family&lt;/Title&gt;&lt;Template&gt;Journal Article&lt;/Template&gt;&lt;Star&gt;0&lt;/Star&gt;&lt;Tag&gt;0&lt;/Tag&gt;&lt;Author&gt;Liu, J; Yuan, Q; Dong, Y&lt;/Author&gt;&lt;Year&gt;2021&lt;/Year&gt;&lt;Details&gt;&lt;_accession_num&gt;34172385&lt;/_accession_num&gt;&lt;_author_adr&gt;State Key Laboratory of Systematic and Evolutionary Botany, Institute of Botany,  the Chinese Academy of Sciences, 20 Nanxincun, Xiangshan, Beijing 100093, China.; State Key Laboratory of Systematic and Evolutionary Botany, Institute of Botany,  the Chinese Academy of Sciences, 20 Nanxincun, Xiangshan, Beijing 100093, China.; State Key Laboratory of Systematic and Evolutionary Botany, Institute of Botany,  the Chinese Academy of Sciences, 20 Nanxincun, Xiangshan, Beijing 100093, China.  Electronic address: Yang.Dong@ibcas.ac.cn.&lt;/_author_adr&gt;&lt;_collection_scope&gt;SCIE&lt;/_collection_scope&gt;&lt;_created&gt;65326233&lt;/_created&gt;&lt;_date&gt;2021-09-01&lt;/_date&gt;&lt;_date_display&gt;2021 Sep&lt;/_date_display&gt;&lt;_db_updated&gt;PubMed&lt;/_db_updated&gt;&lt;_doi&gt;10.1016/j.tplants.2021.06.002&lt;/_doi&gt;&lt;_impact_factor&gt;  20.500&lt;/_impact_factor&gt;&lt;_isbn&gt;1878-4372 (Electronic); 1360-1385 (Linking)&lt;/_isbn&gt;&lt;_issue&gt;9&lt;/_issue&gt;&lt;_journal&gt;Trends Plant Sci&lt;/_journal&gt;&lt;_keywords&gt;Asteraceae; Fibonacci numbers; Gerbera hybrida; auxin maxima; capitulum development; phyllotaxis&lt;/_keywords&gt;&lt;_language&gt;eng&lt;/_language&gt;&lt;_modified&gt;65326233&lt;/_modified&gt;&lt;_ori_publication&gt;Copyright (c) 2021 Elsevier Ltd. All rights reserved.&lt;/_ori_publication&gt;&lt;_pages&gt;873-875&lt;/_pages&gt;&lt;_social_category&gt;农艺学(1) &amp;amp; 植物科学(1)&lt;/_social_category&gt;&lt;_subject_headings&gt;*Asteraceae; Flowers; Gene Expression Regulation, Plant; Phylogeny; Plant Leaves&lt;/_subject_headings&gt;&lt;_tertiary_title&gt;Trends in plant science&lt;/_tertiary_title&gt;&lt;_type_work&gt;Comment; Journal Article; Research Support, Non-U.S. Gov&amp;apos;t&lt;/_type_work&gt;&lt;_url&gt;http://www.ncbi.nlm.nih.gov/entrez/query.fcgi?cmd=Retrieve&amp;amp;db=pubmed&amp;amp;dopt=Abstract&amp;amp;list_uids=34172385&amp;amp;query_hl=1&lt;/_url&gt;&lt;_volume&gt;26&lt;/_volume&gt;&lt;/Details&gt;&lt;Extra&gt;&lt;DBUID&gt;{7A4864DA-D1F8-4ACD-BB24-0EAEEAFDB637}&lt;/DBUID&gt;&lt;/Extra&gt;&lt;/Item&gt;&lt;/References&gt;&lt;/Group&gt;&lt;/Citation&gt;_x000a_"/>
    <w:docVar w:name="NE.Ref{B25A15F9-C6A2-4E39-8A1C-A3735FA386A5}" w:val=" ADDIN NE.Ref.{B25A15F9-C6A2-4E39-8A1C-A3735FA386A5}&lt;Citation&gt;&lt;Group&gt;&lt;References&gt;&lt;Item&gt;&lt;ID&gt;249&lt;/ID&gt;&lt;UID&gt;{887380CC-374A-4F7A-BC4C-C9E4E769F8A8}&lt;/UID&gt;&lt;Title&gt;A review of the bioactivity and potential health benefits of chamomile tea  (Matricaria recutita L.)&lt;/Title&gt;&lt;Template&gt;Journal Article&lt;/Template&gt;&lt;Star&gt;0&lt;/Star&gt;&lt;Tag&gt;0&lt;/Tag&gt;&lt;Author&gt;McKay, D L; Blumberg, J B&lt;/Author&gt;&lt;Year&gt;2006&lt;/Year&gt;&lt;Details&gt;&lt;_accession_num&gt;16628544&lt;/_accession_num&gt;&lt;_author_adr&gt;USDA Human Nutrition Research Center on Aging at Tufts University, 711 Washington  Street, Boston, MA 02111, USA. diane.mckay@tufts.edu&lt;/_author_adr&gt;&lt;_collection_scope&gt;SCIE&lt;/_collection_scope&gt;&lt;_created&gt;65326241&lt;/_created&gt;&lt;_date&gt;2006-07-01&lt;/_date&gt;&lt;_date_display&gt;2006 Jul&lt;/_date_display&gt;&lt;_db_updated&gt;PubMed&lt;/_db_updated&gt;&lt;_doi&gt;10.1002/ptr.1900&lt;/_doi&gt;&lt;_impact_factor&gt;   7.200&lt;/_impact_factor&gt;&lt;_isbn&gt;0951-418X (Print); 0951-418X (Linking)&lt;/_isbn&gt;&lt;_issue&gt;7&lt;/_issue&gt;&lt;_journal&gt;Phytother Res&lt;/_journal&gt;&lt;_language&gt;eng&lt;/_language&gt;&lt;_modified&gt;65326241&lt;/_modified&gt;&lt;_pages&gt;519-30&lt;/_pages&gt;&lt;_social_category&gt;药物化学(2) &amp;amp; 药学(2)&lt;/_social_category&gt;&lt;_subject_headings&gt;*Beverages; *Health; Humans; Matricaria/*chemistry; *Phytotherapy; Plant Extracts/adverse effects/pharmacology/therapeutic use; *Plants, Medicinal/adverse effects&lt;/_subject_headings&gt;&lt;_tertiary_title&gt;Phytotherapy research : PTR&lt;/_tertiary_title&gt;&lt;_type_work&gt;Journal Article; Research Support, U.S. Gov&amp;apos;t, Non-P.H.S.; Review&lt;/_type_work&gt;&lt;_url&gt;http://www.ncbi.nlm.nih.gov/entrez/query.fcgi?cmd=Retrieve&amp;amp;db=pubmed&amp;amp;dopt=Abstract&amp;amp;list_uids=16628544&amp;amp;query_hl=1&lt;/_url&gt;&lt;_volume&gt;20&lt;/_volume&gt;&lt;/Details&gt;&lt;Extra&gt;&lt;DBUID&gt;{7A4864DA-D1F8-4ACD-BB24-0EAEEAFDB637}&lt;/DBUID&gt;&lt;/Extra&gt;&lt;/Item&gt;&lt;/References&gt;&lt;/Group&gt;&lt;/Citation&gt;_x000a_"/>
    <w:docVar w:name="NE.Ref{B3156A31-F630-49F4-9932-E4D4810E52ED}" w:val=" ADDIN NE.Ref.{B3156A31-F630-49F4-9932-E4D4810E52ED}&lt;Citation&gt;&lt;Group&gt;&lt;References&gt;&lt;Item&gt;&lt;ID&gt;245&lt;/ID&gt;&lt;UID&gt;{908DD19F-A632-4204-8A2E-5B1B20E547BA}&lt;/UID&gt;&lt;Title&gt;Psychopharmacological profile of Chamomile (Matricaria recutita L.) essential oil  in mice&lt;/Title&gt;&lt;Template&gt;Journal Article&lt;/Template&gt;&lt;Star&gt;0&lt;/Star&gt;&lt;Tag&gt;0&lt;/Tag&gt;&lt;Author&gt;Can, O D; Demir, Ozkay U; Kiyan, H T; Demirci, B&lt;/Author&gt;&lt;Year&gt;2012&lt;/Year&gt;&lt;Details&gt;&lt;_accession_num&gt;22070986&lt;/_accession_num&gt;&lt;_author_adr&gt;Anadolu University, Faculty of Pharmacy, Department of Pharmacology, 26470  Eskisehir, Turkey. ozgurdt@anadolu.edu.tr&lt;/_author_adr&gt;&lt;_collection_scope&gt;SCIE&lt;/_collection_scope&gt;&lt;_created&gt;65326211&lt;/_created&gt;&lt;_date&gt;2012-02-15&lt;/_date&gt;&lt;_date_display&gt;2012 Feb 15&lt;/_date_display&gt;&lt;_db_updated&gt;PubMed&lt;/_db_updated&gt;&lt;_doi&gt;10.1016/j.phymed.2011.10.001&lt;/_doi&gt;&lt;_impact_factor&gt;   7.900&lt;/_impact_factor&gt;&lt;_isbn&gt;1618-095X (Electronic); 0944-7113 (Linking)&lt;/_isbn&gt;&lt;_issue&gt;3-4&lt;/_issue&gt;&lt;_journal&gt;Phytomedicine&lt;/_journal&gt;&lt;_language&gt;eng&lt;/_language&gt;&lt;_modified&gt;65326211&lt;/_modified&gt;&lt;_ori_publication&gt;Copyright (c) 2011 Elsevier GmbH. All rights reserved.&lt;/_ori_publication&gt;&lt;_pages&gt;306-10&lt;/_pages&gt;&lt;_social_category&gt;农艺学(1) &amp;amp; 药物化学(2) &amp;amp; 全科医学与补充医学(1) &amp;amp; 药学(1) &amp;amp; 植物科学(1)&lt;/_social_category&gt;&lt;_subject_headings&gt;Animals; Behavior, Animal/*drug effects; Depression/drug therapy; Exploratory Behavior/drug effects; Flowers/chemistry; Gas Chromatography-Mass Spectrometry; Male; Matricaria/*chemistry; Mice; Mice, Inbred BALB C; Monocyclic Sesquiterpenes; Motor Activity; Oils, Volatile/administration &amp;amp; dosage/chemistry/*pharmacology; Phytotherapy; Plant Oils/administration &amp;amp; dosage/chemistry/pharmacology; Psychopharmacology; Psychotropic Drugs/chemistry/*pharmacology; Sesquiterpenes/chemistry/pharmacology&lt;/_subject_headings&gt;&lt;_tertiary_title&gt;Phytomedicine : international journal of phytotherapy and phytopharmacology&lt;/_tertiary_title&gt;&lt;_type_work&gt;Journal Article&lt;/_type_work&gt;&lt;_url&gt;http://www.ncbi.nlm.nih.gov/entrez/query.fcgi?cmd=Retrieve&amp;amp;db=pubmed&amp;amp;dopt=Abstract&amp;amp;list_uids=22070986&amp;amp;query_hl=1&lt;/_url&gt;&lt;_volume&gt;19&lt;/_volume&gt;&lt;/Details&gt;&lt;Extra&gt;&lt;DBUID&gt;{7A4864DA-D1F8-4ACD-BB24-0EAEEAFDB637}&lt;/DBUID&gt;&lt;/Extra&gt;&lt;/Item&gt;&lt;/References&gt;&lt;/Group&gt;&lt;/Citation&gt;_x000a_"/>
    <w:docVar w:name="NE.Ref{B39AB058-ADA6-43D0-B7B7-53EF5A2ADF49}" w:val=" ADDIN NE.Ref.{B39AB058-ADA6-43D0-B7B7-53EF5A2ADF49}&lt;Citation&gt;&lt;Group&gt;&lt;References&gt;&lt;Item&gt;&lt;ID&gt;246&lt;/ID&gt;&lt;UID&gt;{3B7231A6-8017-47A2-82F2-18579CE17C85}&lt;/UID&gt;&lt;Title&gt;Composition and Bioactivities of an (E)-beta-Farnesene Chemotype of Chamomile  (Matricaria chamomilla) Essential Oil from Nepal&lt;/Title&gt;&lt;Template&gt;Journal Article&lt;/Template&gt;&lt;Star&gt;0&lt;/Star&gt;&lt;Tag&gt;0&lt;/Tag&gt;&lt;Author&gt;Satyal, P; Shrestha, S; Setzer, W N&lt;/Author&gt;&lt;Year&gt;2015&lt;/Year&gt;&lt;Details&gt;&lt;_accession_num&gt;26434140&lt;/_accession_num&gt;&lt;_collection_scope&gt;SCIE&lt;/_collection_scope&gt;&lt;_created&gt;65326217&lt;/_created&gt;&lt;_date&gt;2015-08-01&lt;/_date&gt;&lt;_date_display&gt;2015 Aug&lt;/_date_display&gt;&lt;_db_updated&gt;PubMed&lt;/_db_updated&gt;&lt;_impact_factor&gt;   1.800&lt;/_impact_factor&gt;&lt;_isbn&gt;1934-578X (Print); 1555-9475 (Linking)&lt;/_isbn&gt;&lt;_issue&gt;8&lt;/_issue&gt;&lt;_journal&gt;Nat Prod Commun&lt;/_journal&gt;&lt;_language&gt;eng&lt;/_language&gt;&lt;_modified&gt;65326217&lt;/_modified&gt;&lt;_pages&gt;1453-7&lt;/_pages&gt;&lt;_social_category&gt;药物化学(4) &amp;amp; 食品科技(4)&lt;/_social_category&gt;&lt;_subject_headings&gt;Animals; Anti-Infective Agents/chemistry/pharmacology; Bacteria/drug effects; Drosophila melanogaster/drug effects; Fungi/drug effects; Gas Chromatography-Mass Spectrometry; Insecticides/chemistry/pharmacology; Matricaria/*chemistry/classification; Nepal; Oils, Volatile/*chemistry/pharmacology; Plant Oils/*chemistry/pharmacology; Sesquiterpenes/*chemistry/pharmacology&lt;/_subject_headings&gt;&lt;_tertiary_title&gt;Natural product communications&lt;/_tertiary_title&gt;&lt;_type_work&gt;Journal Article&lt;/_type_work&gt;&lt;_url&gt;http://www.ncbi.nlm.nih.gov/entrez/query.fcgi?cmd=Retrieve&amp;amp;db=pubmed&amp;amp;dopt=Abstract&amp;amp;list_uids=26434140&amp;amp;query_hl=1&lt;/_url&gt;&lt;_volume&gt;10&lt;/_volume&gt;&lt;/Details&gt;&lt;Extra&gt;&lt;DBUID&gt;{7A4864DA-D1F8-4ACD-BB24-0EAEEAFDB637}&lt;/DBUID&gt;&lt;/Extra&gt;&lt;/Item&gt;&lt;/References&gt;&lt;/Group&gt;&lt;/Citation&gt;_x000a_"/>
    <w:docVar w:name="NE.Ref{B3D660DA-D536-43D4-81AC-E6E7CF4C29B1}" w:val=" ADDIN NE.Ref.{B3D660DA-D536-43D4-81AC-E6E7CF4C29B1}&lt;Citation&gt;&lt;Group&gt;&lt;References&gt;&lt;Item&gt;&lt;ID&gt;239&lt;/ID&gt;&lt;UID&gt;{108A2CC5-A521-4171-8CFC-E59905DAD7BE}&lt;/UID&gt;&lt;Title&gt;Headspace GC/MS and fast GC e-nose combined with chemometric analysis to identify the varieties and geographical origins of ginger (Zingiber officinale Roscoe)&lt;/Title&gt;&lt;Template&gt;Journal Article&lt;/Template&gt;&lt;Star&gt;0&lt;/Star&gt;&lt;Tag&gt;0&lt;/Tag&gt;&lt;Author&gt;X., Yu D; S., Guo; H., Yan; M., Wang J; Q., Zhou J; A., Duan J; X., Zhang; J., Yang&lt;/Author&gt;&lt;Year&gt;2022&lt;/Year&gt;&lt;Details&gt;&lt;_collection_scope&gt;SCIE;EI&lt;/_collection_scope&gt;&lt;_created&gt;65321941&lt;/_created&gt;&lt;_db_provider&gt;北京万方数据股份有限公司&lt;/_db_provider&gt;&lt;_db_updated&gt;Wanfangdata&lt;/_db_updated&gt;&lt;_doi&gt;10.1016/j.foodchem.2022.133672&lt;/_doi&gt;&lt;_impact_factor&gt;   8.800&lt;/_impact_factor&gt;&lt;_isbn&gt;0308-8146&lt;/_isbn&gt;&lt;_issue&gt;Dec.1&lt;/_issue&gt;&lt;_journal&gt;Food Chemistry&lt;/_journal&gt;&lt;_keywords&gt;Chemometrics; fast GC e-nose; Geographical origin discrimination; Ginger; HS-GC–MS&lt;/_keywords&gt;&lt;_language&gt;eng&lt;/_language&gt;&lt;_modified&gt;65321941&lt;/_modified&gt;&lt;_pages&gt;1-11&lt;/_pages&gt;&lt;_social_category&gt;应用化学(1) &amp;amp; 食品科技(1) &amp;amp; 营养学(1)&lt;/_social_category&gt;&lt;_url&gt;https://d.wanfangdata.com.cn/periodical/ChlQZXJpb2RpY2FsRU5HTmV3UzIwMjMwODMxEiAzMjkyYTZmZDViZTdiNDc0MDNjYzE1ZDFlNmU2NjU3OBoIdTd2c2s2ZWg%3D&lt;/_url&gt;&lt;_volume&gt;396&lt;/_volume&gt;&lt;/Details&gt;&lt;Extra&gt;&lt;DBUID&gt;{7A4864DA-D1F8-4ACD-BB24-0EAEEAFDB637}&lt;/DBUID&gt;&lt;/Extra&gt;&lt;/Item&gt;&lt;/References&gt;&lt;/Group&gt;&lt;/Citation&gt;_x000a_"/>
    <w:docVar w:name="NE.Ref{BFE7DD9E-45F7-4DF8-9E25-9483394C71A7}" w:val=" ADDIN NE.Ref.{BFE7DD9E-45F7-4DF8-9E25-9483394C71A7}&lt;Citation&gt;&lt;Group&gt;&lt;References&gt;&lt;Item&gt;&lt;ID&gt;239&lt;/ID&gt;&lt;UID&gt;{108A2CC5-A521-4171-8CFC-E59905DAD7BE}&lt;/UID&gt;&lt;Title&gt;Headspace GC/MS and fast GC e-nose combined with chemometric analysis to identify the varieties and geographical origins of ginger (Zingiber officinale Roscoe)&lt;/Title&gt;&lt;Template&gt;Journal Article&lt;/Template&gt;&lt;Star&gt;0&lt;/Star&gt;&lt;Tag&gt;0&lt;/Tag&gt;&lt;Author&gt;X., Yu D; S., Guo; H., Yan; M., Wang J; Q., Zhou J; A., Duan J; X., Zhang; J., Yang&lt;/Author&gt;&lt;Year&gt;2022&lt;/Year&gt;&lt;Details&gt;&lt;_collection_scope&gt;SCIE;EI&lt;/_collection_scope&gt;&lt;_created&gt;65321941&lt;/_created&gt;&lt;_db_provider&gt;北京万方数据股份有限公司&lt;/_db_provider&gt;&lt;_db_updated&gt;Wanfangdata&lt;/_db_updated&gt;&lt;_doi&gt;10.1016/j.foodchem.2022.133672&lt;/_doi&gt;&lt;_impact_factor&gt;   8.800&lt;/_impact_factor&gt;&lt;_isbn&gt;0308-8146&lt;/_isbn&gt;&lt;_issue&gt;Dec.1&lt;/_issue&gt;&lt;_journal&gt;Food Chemistry&lt;/_journal&gt;&lt;_keywords&gt;Chemometrics; fast GC e-nose; Geographical origin discrimination; Ginger; HS-GC–MS&lt;/_keywords&gt;&lt;_language&gt;eng&lt;/_language&gt;&lt;_modified&gt;65321941&lt;/_modified&gt;&lt;_pages&gt;1-11&lt;/_pages&gt;&lt;_social_category&gt;应用化学(1) &amp;amp; 食品科技(1) &amp;amp; 营养学(1)&lt;/_social_category&gt;&lt;_url&gt;https://d.wanfangdata.com.cn/periodical/ChlQZXJpb2RpY2FsRU5HTmV3UzIwMjMwODMxEiAzMjkyYTZmZDViZTdiNDc0MDNjYzE1ZDFlNmU2NjU3OBoIdTd2c2s2ZWg%3D&lt;/_url&gt;&lt;_volume&gt;396&lt;/_volume&gt;&lt;/Details&gt;&lt;Extra&gt;&lt;DBUID&gt;{7A4864DA-D1F8-4ACD-BB24-0EAEEAFDB637}&lt;/DBUID&gt;&lt;/Extra&gt;&lt;/Item&gt;&lt;/References&gt;&lt;/Group&gt;&lt;/Citation&gt;_x000a_"/>
    <w:docVar w:name="NE.Ref{C06B2113-FBFE-402C-BC50-799DF263C095}" w:val=" ADDIN NE.Ref.{C06B2113-FBFE-402C-BC50-799DF263C095}&lt;Citation&gt;&lt;Group&gt;&lt;References&gt;&lt;Item&gt;&lt;ID&gt;266&lt;/ID&gt;&lt;UID&gt;{B18A1D5F-8949-45C0-AED4-995B28B8E16B}&lt;/UID&gt;&lt;Title&gt;Bioactive compounds from Matricaria chamomilla: structure identification, in  vitro antiproliferative, antimigratory, antiangiogenic, and antiadenoviral  activities&lt;/Title&gt;&lt;Template&gt;Journal Article&lt;/Template&gt;&lt;Star&gt;0&lt;/Star&gt;&lt;Tag&gt;0&lt;/Tag&gt;&lt;Author&gt;Shaaban, M; El-Hagrassi, A M; Osman, A F; Soltan, M M&lt;/Author&gt;&lt;Year&gt;2022&lt;/Year&gt;&lt;Details&gt;&lt;_accession_num&gt;34463438&lt;/_accession_num&gt;&lt;_author_adr&gt;Chemistry of Natural Compounds Department, Division of Pharmaceutical Industries,  National Research Centre, El-Behoos St. 33, Dokki-Cairo 12622, Egypt.; Department of Phytochemistry and Plant Systematics, Division of Pharmaceutical  Industries, National Research Centre, El-Behoos St. 33, Dokki-Cairo 12622, Egypt.; Chemistry of Natural Compounds Department, Division of Pharmaceutical Industries,  National Research Centre, El-Behoos St. 33, Dokki-Cairo 12622, Egypt.; Biology Unit, Central Laboratory for Pharmaceutical and Drug Industries Research  Division, Chemistry of Medicinal Plants Department, National Research Centre,  Dokki-Cairo, Egypt.&lt;/_author_adr&gt;&lt;_collection_scope&gt;SCIE&lt;/_collection_scope&gt;&lt;_created&gt;65376626&lt;/_created&gt;&lt;_date&gt;2022-03-28&lt;/_date&gt;&lt;_date_display&gt;2022 Mar 28&lt;/_date_display&gt;&lt;_db_updated&gt;PubMed&lt;/_db_updated&gt;&lt;_doi&gt;10.1515/znc-2021-0083&lt;/_doi&gt;&lt;_impact_factor&gt;   2.000&lt;/_impact_factor&gt;&lt;_isbn&gt;1865-7125 (Electronic); 0341-0382 (Linking)&lt;/_isbn&gt;&lt;_issue&gt;3-4&lt;/_issue&gt;&lt;_journal&gt;Z Naturforsch C J Biosci&lt;/_journal&gt;&lt;_keywords&gt;Matricaria chamomilla; Antiangiogenic; antiadeno-7 virus activity; antimigratory; antiproliferative; bioactive compounds&lt;/_keywords&gt;&lt;_language&gt;eng&lt;/_language&gt;&lt;_modified&gt;65376627&lt;/_modified&gt;&lt;_ori_publication&gt;(c) 2021 Walter de Gruyter GmbH, Berlin/Boston.&lt;/_ori_publication&gt;&lt;_pages&gt;85-94&lt;/_pages&gt;&lt;_social_category&gt;生化与分子生物学(4) &amp;amp; 药学(4)&lt;/_social_category&gt;&lt;_subject_headings&gt;Caco-2 Cells; Flowers/chemistry; Humans; *Matricaria/chemistry; *Oils, Volatile/analysis; Plant Extracts/chemistry; *Plants, Medicinal&lt;/_subject_headings&gt;&lt;_tertiary_title&gt;Zeitschrift fur Naturforschung. C, Journal of biosciences&lt;/_tertiary_title&gt;&lt;_type_work&gt;Journal Article&lt;/_type_work&gt;&lt;_url&gt;http://www.ncbi.nlm.nih.gov/entrez/query.fcgi?cmd=Retrieve&amp;amp;db=pubmed&amp;amp;dopt=Abstract&amp;amp;list_uids=34463438&amp;amp;query_hl=1&lt;/_url&gt;&lt;_volume&gt;77&lt;/_volume&gt;&lt;/Details&gt;&lt;Extra&gt;&lt;DBUID&gt;{7A4864DA-D1F8-4ACD-BB24-0EAEEAFDB637}&lt;/DBUID&gt;&lt;/Extra&gt;&lt;/Item&gt;&lt;/References&gt;&lt;/Group&gt;&lt;/Citation&gt;_x000a_"/>
    <w:docVar w:name="NE.Ref{CA252233-6607-438A-8984-F2D510215BAA}" w:val=" ADDIN NE.Ref.{CA252233-6607-438A-8984-F2D510215BAA}&lt;Citation&gt;&lt;Group&gt;&lt;References&gt;&lt;Item&gt;&lt;ID&gt;265&lt;/ID&gt;&lt;UID&gt;{8B19E942-1967-48B2-B439-499BE7E06C95}&lt;/UID&gt;&lt;Title&gt;α-红没药醇对胶质母细胞瘤细胞迁移和侵袭的影响&lt;/Title&gt;&lt;Template&gt;Journal Article&lt;/Template&gt;&lt;Star&gt;0&lt;/Star&gt;&lt;Tag&gt;0&lt;/Tag&gt;&lt;Author&gt;闫海斌; 徐如祥&lt;/Author&gt;&lt;Year&gt;2018&lt;/Year&gt;&lt;Details&gt;&lt;_author_aff&gt;解放军总医院;陆军总医院附属八一脑科医院;&lt;/_author_aff&gt;&lt;_cited_count&gt;14&lt;/_cited_count&gt;&lt;_date&gt;2018-07-30&lt;/_date&gt;&lt;_issue&gt;08&lt;/_issue&gt;&lt;_journal&gt;解放军医学院学报&lt;/_journal&gt;&lt;_keywords&gt;α-红没药醇;胶质母细胞瘤;迁移;侵袭;c-Met&lt;/_keywords&gt;&lt;_pages&gt;699-706&lt;/_pages&gt;&lt;_url&gt;https://link.cnki.net/urlid/10.1117.R.20180730.0959.002&lt;/_url&gt;&lt;_volume&gt;39&lt;/_volume&gt;&lt;_created&gt;65376625&lt;/_created&gt;&lt;_modified&gt;65376625&lt;/_modified&gt;&lt;_db_updated&gt;CNKI - Reference&lt;/_db_updated&gt;&lt;_collection_scope&gt;PKU&lt;/_collection_scope&gt;&lt;_translated_author&gt;Yan, Hai bin;Xu, Ru xiang&lt;/_translated_author&gt;&lt;/Details&gt;&lt;Extra&gt;&lt;DBUID&gt;{7A4864DA-D1F8-4ACD-BB24-0EAEEAFDB637}&lt;/DBUID&gt;&lt;/Extra&gt;&lt;/Item&gt;&lt;/References&gt;&lt;/Group&gt;&lt;/Citation&gt;_x000a_"/>
    <w:docVar w:name="NE.Ref{D8B2FAA1-4A28-4AB0-9035-CAC42532AA73}" w:val=" ADDIN NE.Ref.{D8B2FAA1-4A28-4AB0-9035-CAC42532AA73}&lt;Citation&gt;&lt;Group&gt;&lt;References&gt;&lt;Item&gt;&lt;ID&gt;233&lt;/ID&gt;&lt;UID&gt;{871B2DDD-C19D-47C1-AE18-6DE4F051FE3C}&lt;/UID&gt;&lt;Title&gt;GGE biplot and regression based multi-environment investigations for higher yield and essential oil content in German chamomile (Matricaria chamomilla L.)&lt;/Title&gt;&lt;Template&gt;Journal Article&lt;/Template&gt;&lt;Star&gt;0&lt;/Star&gt;&lt;Tag&gt;0&lt;/Tag&gt;&lt;Author&gt;Shakya, Pooja; Thakur, Romika; Sharan, Hari; Yadav, Niketa; Kumar, Manish; Chauhan, Ramesh; Kumar, Dinesh; Kumar, Ashok; Singh, Sanatsujat; Singh, Satbeer&lt;/Author&gt;&lt;Year&gt;2023&lt;/Year&gt;&lt;Details&gt;&lt;_alternate_title&gt;Industrial Crops and Products&lt;/_alternate_title&gt;&lt;_collection_scope&gt;SCIE;EI&lt;/_collection_scope&gt;&lt;_created&gt;65321017&lt;/_created&gt;&lt;_date&gt;2023-01-01&lt;/_date&gt;&lt;_date_display&gt;2023&lt;/_date_display&gt;&lt;_db_updated&gt;ScienceDirect&lt;/_db_updated&gt;&lt;_doi&gt;https://doi.org/10.1016/j.indcrop.2022.116145&lt;/_doi&gt;&lt;_impact_factor&gt;   5.900&lt;/_impact_factor&gt;&lt;_isbn&gt;0926-6690&lt;/_isbn&gt;&lt;_journal&gt;Industrial Crops and Products&lt;/_journal&gt;&lt;_keywords&gt;Stability; Genetic parameters; Multi-location; G×E interaction&lt;/_keywords&gt;&lt;_modified&gt;65321017&lt;/_modified&gt;&lt;_pages&gt;116145&lt;/_pages&gt;&lt;_social_category&gt;农业工程(1) &amp;amp; 农艺学(1)&lt;/_social_category&gt;&lt;_url&gt;https://www.sciencedirect.com/science/article/pii/S0926669022016284&lt;/_url&gt;&lt;_volume&gt;193&lt;/_volume&gt;&lt;/Details&gt;&lt;Extra&gt;&lt;DBUID&gt;{7A4864DA-D1F8-4ACD-BB24-0EAEEAFDB637}&lt;/DBUID&gt;&lt;/Extra&gt;&lt;/Item&gt;&lt;/References&gt;&lt;/Group&gt;&lt;/Citation&gt;_x000a_"/>
    <w:docVar w:name="NE.Ref{DC274041-7E34-4CBA-AC18-FAE49421AB58}" w:val=" ADDIN NE.Ref.{DC274041-7E34-4CBA-AC18-FAE49421AB58}&lt;Citation&gt;&lt;Group&gt;&lt;References&gt;&lt;Item&gt;&lt;ID&gt;260&lt;/ID&gt;&lt;UID&gt;{A9059DC6-64EF-4162-8642-825226C8E7D0}&lt;/UID&gt;&lt;Title&gt;维药洋甘菊化学成分与质量标准研究&lt;/Title&gt;&lt;Template&gt;Thesis&lt;/Template&gt;&lt;Star&gt;0&lt;/Star&gt;&lt;Tag&gt;0&lt;/Tag&gt;&lt;Author&gt;赵一帆&lt;/Author&gt;&lt;Year&gt;2018&lt;/Year&gt;&lt;Details&gt;&lt;_created&gt;65333419&lt;/_created&gt;&lt;_date&gt;2018-05-16&lt;/_date&gt;&lt;_db_provider&gt;北京万方数据股份有限公司&lt;/_db_provider&gt;&lt;_db_updated&gt;Wanfangdata&lt;/_db_updated&gt;&lt;_keywords&gt;维药洋甘菊; 化学成分; 挥发性成分; 含量测定; 质量标准&lt;/_keywords&gt;&lt;_language&gt;chi&lt;/_language&gt;&lt;_modified&gt;65333419&lt;/_modified&gt;&lt;_publisher&gt;中国中医科学院&lt;/_publisher&gt;&lt;_section&gt;中药学&lt;/_section&gt;&lt;_tertiary_author&gt;杨岚&lt;/_tertiary_author&gt;&lt;_url&gt;https://d.wanfangdata.com.cn/thesis/ChJUaGVzaXNOZXdTMjAyNDAxMDkSCFkzNDkyOTg2GghiczQzc2g0ZA%3D%3D&lt;/_url&gt;&lt;_volume&gt;硕士&lt;/_volume&gt;&lt;_translated_author&gt;Zhao, Yi fan&lt;/_translated_author&gt;&lt;_translated_tertiary_author&gt;Yang, Lan&lt;/_translated_tertiary_author&gt;&lt;/Details&gt;&lt;Extra&gt;&lt;DBUID&gt;{7A4864DA-D1F8-4ACD-BB24-0EAEEAFDB637}&lt;/DBUID&gt;&lt;/Extra&gt;&lt;/Item&gt;&lt;/References&gt;&lt;/Group&gt;&lt;/Citation&gt;_x000a_"/>
    <w:docVar w:name="NE.Ref{F8A768AC-9279-4645-8B52-A293793EBF40}" w:val=" ADDIN NE.Ref.{F8A768AC-9279-4645-8B52-A293793EBF40}&lt;Citation&gt;&lt;Group&gt;&lt;References&gt;&lt;Item&gt;&lt;ID&gt;247&lt;/ID&gt;&lt;UID&gt;{CF43B95C-3F2B-4F54-9622-C1C5F23F26F8}&lt;/UID&gt;&lt;Title&gt;[Flavorand taste change rules of Sophora Flavescentis Radix processed using  ancient classical method:an exploration based on intelligent sensory analysis]&lt;/Title&gt;&lt;Template&gt;Journal Article&lt;/Template&gt;&lt;Star&gt;0&lt;/Star&gt;&lt;Tag&gt;0&lt;/Tag&gt;&lt;Author&gt;Dai, Y; Yu, D R; Liu, Y; Xiao, Y Q; Li, L&lt;/Author&gt;&lt;Year&gt;2021&lt;/Year&gt;&lt;Details&gt;&lt;_accession_num&gt;34994133&lt;/_accession_num&gt;&lt;_author_adr&gt;Institute of Chinese Materia Medica,China Academy of Chinese Medical Sciences  Beijing 100700, China.; Institute of Chinese Materia Medica,China Academy of Chinese Medical Sciences  Beijing 100700, China.; Institute of Chinese Materia Medica,China Academy of Chinese Medical Sciences  Beijing 100700, China.; Institute of Chinese Materia Medica,China Academy of Chinese Medical Sciences  Beijing 100700, China.; Institute of Chinese Materia Medica,China Academy of Chinese Medical Sciences  Beijing 100700, China.&lt;/_author_adr&gt;&lt;_created&gt;65326227&lt;/_created&gt;&lt;_date&gt;2021-12-01&lt;/_date&gt;&lt;_date_display&gt;2021 Dec&lt;/_date_display&gt;&lt;_db_updated&gt;PubMed&lt;/_db_updated&gt;&lt;_doi&gt;10.19540/j.cnki.cjcmm.20210922.301&lt;/_doi&gt;&lt;_isbn&gt;1001-5302 (Print); 1001-5302 (Linking)&lt;/_isbn&gt;&lt;_issue&gt;24&lt;/_issue&gt;&lt;_journal&gt;Zhongguo Zhong Yao Za Zhi&lt;/_journal&gt;&lt;_keywords&gt;Master Lei&amp;apos;s Discourse on Medicinal Processing(Lei Gong Pao Zhi Lun); Sophora Flavescentis Radix; ancient classical processing method; electronic nose; electronic tongue; intelligent sensory analysis&lt;/_keywords&gt;&lt;_language&gt;chi&lt;/_language&gt;&lt;_modified&gt;65326227&lt;/_modified&gt;&lt;_pages&gt;6410-6416&lt;/_pages&gt;&lt;_subject_headings&gt;*Drugs, Chinese Herbal; Electronic Nose; Plant Roots; *Sophora; Taste&lt;/_subject_headings&gt;&lt;_tertiary_title&gt;Zhongguo Zhong yao za zhi = Zhongguo zhongyao zazhi = China journal of Chinese _x000d__x000a_      materia medica&lt;/_tertiary_title&gt;&lt;_type_work&gt;Journal Article&lt;/_type_work&gt;&lt;_url&gt;http://www.ncbi.nlm.nih.gov/entrez/query.fcgi?cmd=Retrieve&amp;amp;db=pubmed&amp;amp;dopt=Abstract&amp;amp;list_uids=34994133&amp;amp;query_hl=1&lt;/_url&gt;&lt;_volume&gt;46&lt;/_volume&gt;&lt;/Details&gt;&lt;Extra&gt;&lt;DBUID&gt;{7A4864DA-D1F8-4ACD-BB24-0EAEEAFDB637}&lt;/DBUID&gt;&lt;/Extra&gt;&lt;/Item&gt;&lt;/References&gt;&lt;/Group&gt;&lt;/Citation&gt;_x000a_"/>
    <w:docVar w:name="NE.Ref{FA087B7A-0CCC-4D29-9C2A-77AF04679F50}" w:val=" ADDIN NE.Ref.{FA087B7A-0CCC-4D29-9C2A-77AF04679F50}&lt;Citation&gt;&lt;Group&gt;&lt;References&gt;&lt;Item&gt;&lt;ID&gt;231&lt;/ID&gt;&lt;UID&gt;{25DE5F00-0EC1-4837-BDE5-C8271BFC2274}&lt;/UID&gt;&lt;Title&gt;A review of the bioactivity and potential health benefits of chamomile tea  (Matricaria recutita L.)&lt;/Title&gt;&lt;Template&gt;Journal Article&lt;/Template&gt;&lt;Star&gt;0&lt;/Star&gt;&lt;Tag&gt;0&lt;/Tag&gt;&lt;Author&gt;McKay, D L; Blumberg, J B&lt;/Author&gt;&lt;Year&gt;2006&lt;/Year&gt;&lt;Details&gt;&lt;_accession_num&gt;16628544&lt;/_accession_num&gt;&lt;_author_adr&gt;USDA Human Nutrition Research Center on Aging at Tufts University, 711 Washington  Street, Boston, MA 02111, USA. diane.mckay@tufts.edu&lt;/_author_adr&gt;&lt;_collection_scope&gt;SCIE&lt;/_collection_scope&gt;&lt;_created&gt;65320841&lt;/_created&gt;&lt;_date&gt;2006-07-01&lt;/_date&gt;&lt;_date_display&gt;2006 Jul&lt;/_date_display&gt;&lt;_db_updated&gt;PubMed&lt;/_db_updated&gt;&lt;_doi&gt;10.1002/ptr.1900&lt;/_doi&gt;&lt;_impact_factor&gt;   7.200&lt;/_impact_factor&gt;&lt;_isbn&gt;0951-418X (Print); 0951-418X (Linking)&lt;/_isbn&gt;&lt;_issue&gt;7&lt;/_issue&gt;&lt;_journal&gt;Phytother Res&lt;/_journal&gt;&lt;_language&gt;eng&lt;/_language&gt;&lt;_modified&gt;65320841&lt;/_modified&gt;&lt;_pages&gt;519-30&lt;/_pages&gt;&lt;_social_category&gt;药物化学(2) &amp;amp; 药学(2)&lt;/_social_category&gt;&lt;_subject_headings&gt;*Beverages; *Health; Humans; Matricaria/*chemistry; *Phytotherapy; Plant Extracts/adverse effects/pharmacology/therapeutic use; *Plants, Medicinal/adverse effects&lt;/_subject_headings&gt;&lt;_tertiary_title&gt;Phytotherapy research : PTR&lt;/_tertiary_title&gt;&lt;_type_work&gt;Journal Article; Research Support, U.S. Gov&amp;apos;t, Non-P.H.S.; Review&lt;/_type_work&gt;&lt;_url&gt;http://www.ncbi.nlm.nih.gov/entrez/query.fcgi?cmd=Retrieve&amp;amp;db=pubmed&amp;amp;dopt=Abstract&amp;amp;list_uids=16628544&amp;amp;query_hl=1&lt;/_url&gt;&lt;_volume&gt;20&lt;/_volume&gt;&lt;/Details&gt;&lt;Extra&gt;&lt;DBUID&gt;{7A4864DA-D1F8-4ACD-BB24-0EAEEAFDB637}&lt;/DBUID&gt;&lt;/Extra&gt;&lt;/Item&gt;&lt;/References&gt;&lt;/Group&gt;&lt;Group&gt;&lt;References&gt;&lt;Item&gt;&lt;ID&gt;232&lt;/ID&gt;&lt;UID&gt;{1475EBDF-42D7-4BC4-BE84-57BFA92751D1}&lt;/UID&gt;&lt;Title&gt;Elemental Composition of Commercial Herbal Tea Plants and Respective Infusions&lt;/Title&gt;&lt;Template&gt;Journal Article&lt;/Template&gt;&lt;Star&gt;0&lt;/Star&gt;&lt;Tag&gt;0&lt;/Tag&gt;&lt;Author&gt;Fernandes, J; Reboredo, F H; Luis, I; Silva, M M; Simoes, M M; Lidon, F C; Ramalho, J C&lt;/Author&gt;&lt;Year&gt;2022&lt;/Year&gt;&lt;Details&gt;&lt;_accession_num&gt;35684185&lt;/_accession_num&gt;&lt;_author_adr&gt;Departamento Ciencias da Terra, Faculdade de Ciencias e Tecnologia, Campus da  Caparica, Universidade NOVA de Lisboa, 2829-516 Caparica, Portugal.; Departamento Ciencias da Terra, Faculdade de Ciencias e Tecnologia, Campus da  Caparica, Universidade NOVA de Lisboa, 2829-516 Caparica, Portugal.; GeoBioTec, Departamento de Ciencias da Terra, Faculdade de Ciencias e Tecnologia,  Campus da Caparica, Universidade NOVA de Lisboa, 2829-516 Caparica, Portugal.; Departamento Ciencias da Terra, Faculdade de Ciencias e Tecnologia, Campus da  Caparica, Universidade NOVA de Lisboa, 2829-516 Caparica, Portugal.; GeoBioTec, Departamento de Ciencias da Terra, Faculdade de Ciencias e Tecnologia,  Campus da Caparica, Universidade NOVA de Lisboa, 2829-516 Caparica, Portugal.; ESEAG-COFAC, Avenida do Campo Grande 376, 1749-024 Lisboa, Portugal.; Departamento Ciencias da Terra, Faculdade de Ciencias e Tecnologia, Campus da  Caparica, Universidade NOVA de Lisboa, 2829-516 Caparica, Portugal.; GeoBioTec, Departamento de Ciencias da Terra, Faculdade de Ciencias e Tecnologia,  Campus da Caparica, Universidade NOVA de Lisboa, 2829-516 Caparica, Portugal.; Departamento Ciencias da Terra, Faculdade de Ciencias e Tecnologia, Campus da  Caparica, Universidade NOVA de Lisboa, 2829-516 Caparica, Portugal.; GeoBioTec, Departamento de Ciencias da Terra, Faculdade de Ciencias e Tecnologia,  Campus da Caparica, Universidade NOVA de Lisboa, 2829-516 Caparica, Portugal.; GeoBioTec, Departamento de Ciencias da Terra, Faculdade de Ciencias e Tecnologia,  Campus da Caparica, Universidade NOVA de Lisboa, 2829-516 Caparica, Portugal.; Plant Stress &amp;amp; Biodiversity Lab, Centro de Estudos Florestais (CEF), Instituto  Superior Agronomia (ISA), Universidade de Lisboa (ULisboa), Quinta do Marques,  Av. Republica, 2784-505 Oeiras, Portugal.&lt;/_author_adr&gt;&lt;_collection_scope&gt;SCIE&lt;/_collection_scope&gt;&lt;_created&gt;65320846&lt;/_created&gt;&lt;_date&gt;2022-05-26&lt;/_date&gt;&lt;_date_display&gt;2022 May 26&lt;/_date_display&gt;&lt;_db_updated&gt;PubMed&lt;/_db_updated&gt;&lt;_doi&gt;10.3390/plants11111412&lt;/_doi&gt;&lt;_impact_factor&gt;   4.500&lt;/_impact_factor&gt;&lt;_isbn&gt;2223-7747 (Print); 2223-7747 (Electronic); 2223-7747 (Linking)&lt;/_isbn&gt;&lt;_issue&gt;11&lt;/_issue&gt;&lt;_journal&gt;Plants (Basel)&lt;/_journal&gt;&lt;_keywords&gt;PCA analysis; X-ray fluorescence; elemental composition; herbal infusions; herbal tea samples; inductively coupled plasma-atomic emission spectroscopy&lt;/_keywords&gt;&lt;_language&gt;eng&lt;/_language&gt;&lt;_modified&gt;65320846&lt;/_modified&gt;&lt;_social_category&gt;农艺学(3) &amp;amp; 植物科学(3)&lt;/_social_category&gt;&lt;_tertiary_title&gt;Plants (Basel, Switzerland)&lt;/_tertiary_title&gt;&lt;_type_work&gt;Journal Article&lt;/_type_work&gt;&lt;_url&gt;http://www.ncbi.nlm.nih.gov/entrez/query.fcgi?cmd=Retrieve&amp;amp;db=pubmed&amp;amp;dopt=Abstract&amp;amp;list_uids=35684185&amp;amp;query_hl=1&lt;/_url&gt;&lt;_volume&gt;11&lt;/_volume&gt;&lt;/Details&gt;&lt;Extra&gt;&lt;DBUID&gt;{7A4864DA-D1F8-4ACD-BB24-0EAEEAFDB637}&lt;/DBUID&gt;&lt;/Extra&gt;&lt;/Item&gt;&lt;/References&gt;&lt;/Group&gt;&lt;/Citation&gt;_x000a_"/>
    <w:docVar w:name="ne_docsoft" w:val="MSWord"/>
    <w:docVar w:name="ne_docversion" w:val="NoteExpress 2.0"/>
    <w:docVar w:name="ne_stylename" w:val="中草药"/>
  </w:docVars>
  <w:rsids>
    <w:rsidRoot w:val="00172A27"/>
    <w:rsid w:val="000407A2"/>
    <w:rsid w:val="000573A9"/>
    <w:rsid w:val="000655E2"/>
    <w:rsid w:val="00080FE0"/>
    <w:rsid w:val="00092EF2"/>
    <w:rsid w:val="000A1516"/>
    <w:rsid w:val="000C4C13"/>
    <w:rsid w:val="0012030C"/>
    <w:rsid w:val="00124D69"/>
    <w:rsid w:val="001260D5"/>
    <w:rsid w:val="001273E0"/>
    <w:rsid w:val="00160266"/>
    <w:rsid w:val="00172A27"/>
    <w:rsid w:val="00175630"/>
    <w:rsid w:val="001766EA"/>
    <w:rsid w:val="001836DF"/>
    <w:rsid w:val="0018545E"/>
    <w:rsid w:val="001A30E8"/>
    <w:rsid w:val="001A535F"/>
    <w:rsid w:val="001B2C94"/>
    <w:rsid w:val="001C1F99"/>
    <w:rsid w:val="001C69E7"/>
    <w:rsid w:val="001C76F6"/>
    <w:rsid w:val="001D0CDE"/>
    <w:rsid w:val="001D3E0E"/>
    <w:rsid w:val="001E2AEB"/>
    <w:rsid w:val="001F0198"/>
    <w:rsid w:val="00204BE3"/>
    <w:rsid w:val="00243653"/>
    <w:rsid w:val="00247843"/>
    <w:rsid w:val="002519D0"/>
    <w:rsid w:val="00254361"/>
    <w:rsid w:val="00265034"/>
    <w:rsid w:val="002713E0"/>
    <w:rsid w:val="00275B44"/>
    <w:rsid w:val="002919AD"/>
    <w:rsid w:val="00294590"/>
    <w:rsid w:val="002B3A4B"/>
    <w:rsid w:val="002B4A2A"/>
    <w:rsid w:val="002D6A12"/>
    <w:rsid w:val="002E3A10"/>
    <w:rsid w:val="002E7247"/>
    <w:rsid w:val="00312DD0"/>
    <w:rsid w:val="00313D10"/>
    <w:rsid w:val="00326141"/>
    <w:rsid w:val="00333563"/>
    <w:rsid w:val="00334387"/>
    <w:rsid w:val="003346FC"/>
    <w:rsid w:val="00350B3B"/>
    <w:rsid w:val="003914DF"/>
    <w:rsid w:val="003A4B7F"/>
    <w:rsid w:val="003D0C5A"/>
    <w:rsid w:val="003F26A8"/>
    <w:rsid w:val="003F312B"/>
    <w:rsid w:val="00401D30"/>
    <w:rsid w:val="004064B7"/>
    <w:rsid w:val="00415B9C"/>
    <w:rsid w:val="004232BB"/>
    <w:rsid w:val="004315EE"/>
    <w:rsid w:val="004359FE"/>
    <w:rsid w:val="00476ADE"/>
    <w:rsid w:val="004A4199"/>
    <w:rsid w:val="004A4322"/>
    <w:rsid w:val="004A71B0"/>
    <w:rsid w:val="004D278C"/>
    <w:rsid w:val="00526502"/>
    <w:rsid w:val="00526ADB"/>
    <w:rsid w:val="00527202"/>
    <w:rsid w:val="00527533"/>
    <w:rsid w:val="0053255F"/>
    <w:rsid w:val="0055562C"/>
    <w:rsid w:val="005923DC"/>
    <w:rsid w:val="005A21A7"/>
    <w:rsid w:val="005B5B5A"/>
    <w:rsid w:val="005C70B1"/>
    <w:rsid w:val="0060137B"/>
    <w:rsid w:val="00624CAE"/>
    <w:rsid w:val="00634BA3"/>
    <w:rsid w:val="00651A46"/>
    <w:rsid w:val="00652F0C"/>
    <w:rsid w:val="00676D2D"/>
    <w:rsid w:val="00681D08"/>
    <w:rsid w:val="00685C15"/>
    <w:rsid w:val="00692264"/>
    <w:rsid w:val="00692393"/>
    <w:rsid w:val="006A1B40"/>
    <w:rsid w:val="006A69B7"/>
    <w:rsid w:val="006E4337"/>
    <w:rsid w:val="006E5513"/>
    <w:rsid w:val="006F3A1F"/>
    <w:rsid w:val="0072365C"/>
    <w:rsid w:val="00764704"/>
    <w:rsid w:val="00784160"/>
    <w:rsid w:val="00796463"/>
    <w:rsid w:val="007B57CF"/>
    <w:rsid w:val="007C039F"/>
    <w:rsid w:val="007D3461"/>
    <w:rsid w:val="007D5729"/>
    <w:rsid w:val="007E13A0"/>
    <w:rsid w:val="007E20DF"/>
    <w:rsid w:val="007E74F3"/>
    <w:rsid w:val="007F292D"/>
    <w:rsid w:val="00817DF9"/>
    <w:rsid w:val="00826878"/>
    <w:rsid w:val="00841227"/>
    <w:rsid w:val="00847C63"/>
    <w:rsid w:val="008579E6"/>
    <w:rsid w:val="008641B9"/>
    <w:rsid w:val="008703A8"/>
    <w:rsid w:val="00873D51"/>
    <w:rsid w:val="008A1C69"/>
    <w:rsid w:val="008A5041"/>
    <w:rsid w:val="008A7E9A"/>
    <w:rsid w:val="008B289A"/>
    <w:rsid w:val="008E2664"/>
    <w:rsid w:val="008F00A1"/>
    <w:rsid w:val="0090193C"/>
    <w:rsid w:val="00906D45"/>
    <w:rsid w:val="00915C7D"/>
    <w:rsid w:val="00924029"/>
    <w:rsid w:val="0092741D"/>
    <w:rsid w:val="0093135B"/>
    <w:rsid w:val="0093795F"/>
    <w:rsid w:val="00954EA5"/>
    <w:rsid w:val="00967C33"/>
    <w:rsid w:val="009A28F8"/>
    <w:rsid w:val="009B0F42"/>
    <w:rsid w:val="009B1312"/>
    <w:rsid w:val="009C17B8"/>
    <w:rsid w:val="009D0429"/>
    <w:rsid w:val="009E0DEB"/>
    <w:rsid w:val="009F2B63"/>
    <w:rsid w:val="009F70E6"/>
    <w:rsid w:val="00A004EE"/>
    <w:rsid w:val="00A338EE"/>
    <w:rsid w:val="00A40A4C"/>
    <w:rsid w:val="00A50652"/>
    <w:rsid w:val="00A82F41"/>
    <w:rsid w:val="00A863D2"/>
    <w:rsid w:val="00AC3148"/>
    <w:rsid w:val="00AD12E5"/>
    <w:rsid w:val="00AD547E"/>
    <w:rsid w:val="00AE2FA4"/>
    <w:rsid w:val="00AE6E21"/>
    <w:rsid w:val="00AF6A72"/>
    <w:rsid w:val="00B05DC9"/>
    <w:rsid w:val="00B407AF"/>
    <w:rsid w:val="00B61C94"/>
    <w:rsid w:val="00B70808"/>
    <w:rsid w:val="00B70B43"/>
    <w:rsid w:val="00B8053B"/>
    <w:rsid w:val="00B916AE"/>
    <w:rsid w:val="00B93694"/>
    <w:rsid w:val="00BA4502"/>
    <w:rsid w:val="00BA732E"/>
    <w:rsid w:val="00BC0CB4"/>
    <w:rsid w:val="00BE01A2"/>
    <w:rsid w:val="00BE4A23"/>
    <w:rsid w:val="00BE5440"/>
    <w:rsid w:val="00BF06B0"/>
    <w:rsid w:val="00BF1202"/>
    <w:rsid w:val="00C10209"/>
    <w:rsid w:val="00C1211E"/>
    <w:rsid w:val="00C42C23"/>
    <w:rsid w:val="00C471D1"/>
    <w:rsid w:val="00C54134"/>
    <w:rsid w:val="00C80AB5"/>
    <w:rsid w:val="00C92553"/>
    <w:rsid w:val="00C93562"/>
    <w:rsid w:val="00CC7ED9"/>
    <w:rsid w:val="00CD2B32"/>
    <w:rsid w:val="00CE0600"/>
    <w:rsid w:val="00CF276C"/>
    <w:rsid w:val="00D036B1"/>
    <w:rsid w:val="00D20599"/>
    <w:rsid w:val="00D30FE8"/>
    <w:rsid w:val="00D82592"/>
    <w:rsid w:val="00D8306D"/>
    <w:rsid w:val="00D84B0A"/>
    <w:rsid w:val="00DB493F"/>
    <w:rsid w:val="00DC4CCD"/>
    <w:rsid w:val="00DF25E8"/>
    <w:rsid w:val="00DF395F"/>
    <w:rsid w:val="00E014E9"/>
    <w:rsid w:val="00E05F48"/>
    <w:rsid w:val="00E069C0"/>
    <w:rsid w:val="00E1136E"/>
    <w:rsid w:val="00E1348D"/>
    <w:rsid w:val="00E220D5"/>
    <w:rsid w:val="00E24B0B"/>
    <w:rsid w:val="00E5223B"/>
    <w:rsid w:val="00E568C3"/>
    <w:rsid w:val="00E62255"/>
    <w:rsid w:val="00E6287B"/>
    <w:rsid w:val="00F00870"/>
    <w:rsid w:val="00F25161"/>
    <w:rsid w:val="00F46911"/>
    <w:rsid w:val="00F866AC"/>
    <w:rsid w:val="00FA359D"/>
    <w:rsid w:val="00FA39C7"/>
    <w:rsid w:val="00FA3BD6"/>
    <w:rsid w:val="00FB5747"/>
    <w:rsid w:val="00FC69D1"/>
    <w:rsid w:val="00FD4496"/>
    <w:rsid w:val="01046A9E"/>
    <w:rsid w:val="03347F2F"/>
    <w:rsid w:val="04C8796C"/>
    <w:rsid w:val="04E11641"/>
    <w:rsid w:val="068C3738"/>
    <w:rsid w:val="0C254758"/>
    <w:rsid w:val="0FE60171"/>
    <w:rsid w:val="11C71B03"/>
    <w:rsid w:val="12B53C2D"/>
    <w:rsid w:val="130F08B3"/>
    <w:rsid w:val="1CEB48AB"/>
    <w:rsid w:val="1DCA4713"/>
    <w:rsid w:val="1EC3161A"/>
    <w:rsid w:val="1F7C21AE"/>
    <w:rsid w:val="1FA40C98"/>
    <w:rsid w:val="225F0539"/>
    <w:rsid w:val="26CC7959"/>
    <w:rsid w:val="271A4B3C"/>
    <w:rsid w:val="2820139C"/>
    <w:rsid w:val="29000C8D"/>
    <w:rsid w:val="29D6775C"/>
    <w:rsid w:val="2DA70590"/>
    <w:rsid w:val="2F413E74"/>
    <w:rsid w:val="30575C63"/>
    <w:rsid w:val="32D27FD7"/>
    <w:rsid w:val="33306B16"/>
    <w:rsid w:val="35FA61F1"/>
    <w:rsid w:val="384A7CF1"/>
    <w:rsid w:val="3A952189"/>
    <w:rsid w:val="3B47491C"/>
    <w:rsid w:val="3C3D4849"/>
    <w:rsid w:val="3D69457B"/>
    <w:rsid w:val="3D896D7B"/>
    <w:rsid w:val="430F5865"/>
    <w:rsid w:val="44621918"/>
    <w:rsid w:val="45933284"/>
    <w:rsid w:val="46BF38D0"/>
    <w:rsid w:val="46DC1387"/>
    <w:rsid w:val="46EE715D"/>
    <w:rsid w:val="47DA1B52"/>
    <w:rsid w:val="4CC96223"/>
    <w:rsid w:val="4DE50652"/>
    <w:rsid w:val="4E56747C"/>
    <w:rsid w:val="50056601"/>
    <w:rsid w:val="53641780"/>
    <w:rsid w:val="53B862EC"/>
    <w:rsid w:val="53D56AAD"/>
    <w:rsid w:val="560E5D47"/>
    <w:rsid w:val="59723C0B"/>
    <w:rsid w:val="5C146DE9"/>
    <w:rsid w:val="5D3256EA"/>
    <w:rsid w:val="5E2D436A"/>
    <w:rsid w:val="61476500"/>
    <w:rsid w:val="64A35B1F"/>
    <w:rsid w:val="6888718C"/>
    <w:rsid w:val="692E5DFB"/>
    <w:rsid w:val="6A9C7464"/>
    <w:rsid w:val="6C4A5310"/>
    <w:rsid w:val="6D1A3679"/>
    <w:rsid w:val="6DC74A88"/>
    <w:rsid w:val="6F165D50"/>
    <w:rsid w:val="717A32EF"/>
    <w:rsid w:val="71F5768E"/>
    <w:rsid w:val="72D05E87"/>
    <w:rsid w:val="73950CB0"/>
    <w:rsid w:val="73AB01D2"/>
    <w:rsid w:val="756A6059"/>
    <w:rsid w:val="783338A4"/>
    <w:rsid w:val="7A4B62B3"/>
    <w:rsid w:val="7E0875A5"/>
    <w:rsid w:val="7ECF14A7"/>
    <w:rsid w:val="7EF1786E"/>
    <w:rsid w:val="7F4B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qFormat="1" w:unhideWhenUsed="0" w:uiPriority="99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iPriority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60" w:lineRule="atLeast"/>
      <w:jc w:val="both"/>
    </w:pPr>
    <w:rPr>
      <w:rFonts w:ascii="Palatino Linotype" w:hAnsi="Palatino Linotype" w:eastAsia="宋体" w:cs="Times New Roman"/>
      <w:color w:val="000000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78"/>
    <w:qFormat/>
    <w:uiPriority w:val="0"/>
  </w:style>
  <w:style w:type="paragraph" w:styleId="3">
    <w:name w:val="Body Text"/>
    <w:link w:val="77"/>
    <w:qFormat/>
    <w:uiPriority w:val="0"/>
    <w:pPr>
      <w:spacing w:after="120" w:line="340" w:lineRule="atLeast"/>
      <w:jc w:val="both"/>
    </w:pPr>
    <w:rPr>
      <w:rFonts w:ascii="Palatino Linotype" w:hAnsi="Palatino Linotype" w:eastAsia="宋体" w:cs="Times New Roman"/>
      <w:color w:val="000000"/>
      <w:sz w:val="24"/>
      <w:lang w:val="en-US" w:eastAsia="de-DE" w:bidi="ar-SA"/>
    </w:rPr>
  </w:style>
  <w:style w:type="paragraph" w:styleId="4">
    <w:name w:val="endnote text"/>
    <w:basedOn w:val="1"/>
    <w:link w:val="80"/>
    <w:semiHidden/>
    <w:unhideWhenUsed/>
    <w:qFormat/>
    <w:uiPriority w:val="0"/>
    <w:pPr>
      <w:spacing w:line="240" w:lineRule="auto"/>
    </w:pPr>
  </w:style>
  <w:style w:type="paragraph" w:styleId="5">
    <w:name w:val="Balloon Text"/>
    <w:basedOn w:val="1"/>
    <w:link w:val="50"/>
    <w:qFormat/>
    <w:uiPriority w:val="99"/>
    <w:rPr>
      <w:rFonts w:cs="Tahoma"/>
      <w:szCs w:val="18"/>
    </w:rPr>
  </w:style>
  <w:style w:type="paragraph" w:styleId="6">
    <w:name w:val="footer"/>
    <w:basedOn w:val="1"/>
    <w:link w:val="29"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paragraph" w:styleId="7">
    <w:name w:val="header"/>
    <w:basedOn w:val="1"/>
    <w:link w:val="3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paragraph" w:styleId="8">
    <w:name w:val="footnote text"/>
    <w:basedOn w:val="1"/>
    <w:link w:val="81"/>
    <w:semiHidden/>
    <w:unhideWhenUsed/>
    <w:qFormat/>
    <w:uiPriority w:val="0"/>
    <w:pPr>
      <w:spacing w:line="240" w:lineRule="auto"/>
    </w:pPr>
  </w:style>
  <w:style w:type="paragraph" w:styleId="9">
    <w:name w:val="Normal (Web)"/>
    <w:basedOn w:val="1"/>
    <w:qFormat/>
    <w:uiPriority w:val="99"/>
    <w:rPr>
      <w:szCs w:val="24"/>
    </w:rPr>
  </w:style>
  <w:style w:type="paragraph" w:styleId="10">
    <w:name w:val="annotation subject"/>
    <w:basedOn w:val="2"/>
    <w:next w:val="2"/>
    <w:link w:val="79"/>
    <w:qFormat/>
    <w:uiPriority w:val="0"/>
    <w:rPr>
      <w:b/>
      <w:bCs/>
    </w:rPr>
  </w:style>
  <w:style w:type="table" w:styleId="12">
    <w:name w:val="Table Grid"/>
    <w:basedOn w:val="11"/>
    <w:qFormat/>
    <w:uiPriority w:val="59"/>
    <w:pPr>
      <w:spacing w:line="260" w:lineRule="atLeast"/>
      <w:jc w:val="both"/>
    </w:pPr>
    <w:rPr>
      <w:rFonts w:ascii="Palatino Linotype" w:hAnsi="Palatino Linotype"/>
      <w:color w:val="00000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endnote reference"/>
    <w:qFormat/>
    <w:uiPriority w:val="0"/>
    <w:rPr>
      <w:vertAlign w:val="superscript"/>
    </w:rPr>
  </w:style>
  <w:style w:type="character" w:styleId="15">
    <w:name w:val="page number"/>
    <w:qFormat/>
    <w:uiPriority w:val="0"/>
  </w:style>
  <w:style w:type="character" w:styleId="16">
    <w:name w:val="FollowedHyperlink"/>
    <w:qFormat/>
    <w:uiPriority w:val="0"/>
    <w:rPr>
      <w:color w:val="954F72"/>
      <w:u w:val="single"/>
    </w:rPr>
  </w:style>
  <w:style w:type="character" w:styleId="17">
    <w:name w:val="line number"/>
    <w:qFormat/>
    <w:uiPriority w:val="99"/>
    <w:rPr>
      <w:rFonts w:ascii="Palatino Linotype" w:hAnsi="Palatino Linotype"/>
      <w:sz w:val="16"/>
    </w:rPr>
  </w:style>
  <w:style w:type="character" w:styleId="18">
    <w:name w:val="Hyperlink"/>
    <w:qFormat/>
    <w:uiPriority w:val="99"/>
    <w:rPr>
      <w:color w:val="0000FF"/>
      <w:u w:val="single"/>
    </w:rPr>
  </w:style>
  <w:style w:type="character" w:styleId="19">
    <w:name w:val="annotation reference"/>
    <w:qFormat/>
    <w:uiPriority w:val="0"/>
    <w:rPr>
      <w:sz w:val="21"/>
      <w:szCs w:val="21"/>
    </w:rPr>
  </w:style>
  <w:style w:type="paragraph" w:customStyle="1" w:styleId="20">
    <w:name w:val="MDPI_1.1_article_type"/>
    <w:next w:val="1"/>
    <w:qFormat/>
    <w:uiPriority w:val="0"/>
    <w:pPr>
      <w:adjustRightInd w:val="0"/>
      <w:snapToGrid w:val="0"/>
      <w:spacing w:before="240"/>
    </w:pPr>
    <w:rPr>
      <w:rFonts w:ascii="Palatino Linotype" w:hAnsi="Palatino Linotype" w:eastAsia="Times New Roman" w:cs="Times New Roman"/>
      <w:i/>
      <w:snapToGrid w:val="0"/>
      <w:color w:val="000000"/>
      <w:szCs w:val="22"/>
      <w:lang w:val="en-US" w:eastAsia="de-DE" w:bidi="en-US"/>
    </w:rPr>
  </w:style>
  <w:style w:type="paragraph" w:customStyle="1" w:styleId="21">
    <w:name w:val="MDPI_1.2_title"/>
    <w:next w:val="1"/>
    <w:qFormat/>
    <w:uiPriority w:val="0"/>
    <w:pPr>
      <w:adjustRightInd w:val="0"/>
      <w:snapToGrid w:val="0"/>
      <w:spacing w:after="240" w:line="240" w:lineRule="atLeast"/>
    </w:pPr>
    <w:rPr>
      <w:rFonts w:ascii="Palatino Linotype" w:hAnsi="Palatino Linotype" w:eastAsia="Times New Roman" w:cs="Times New Roman"/>
      <w:b/>
      <w:snapToGrid w:val="0"/>
      <w:color w:val="000000"/>
      <w:sz w:val="36"/>
      <w:lang w:val="en-US" w:eastAsia="de-DE" w:bidi="en-US"/>
    </w:rPr>
  </w:style>
  <w:style w:type="paragraph" w:customStyle="1" w:styleId="22">
    <w:name w:val="MDPI_1.3_authornames"/>
    <w:next w:val="1"/>
    <w:qFormat/>
    <w:uiPriority w:val="0"/>
    <w:pPr>
      <w:adjustRightInd w:val="0"/>
      <w:snapToGrid w:val="0"/>
      <w:spacing w:after="360" w:line="260" w:lineRule="atLeast"/>
    </w:pPr>
    <w:rPr>
      <w:rFonts w:ascii="Palatino Linotype" w:hAnsi="Palatino Linotype" w:eastAsia="Times New Roman" w:cs="Times New Roman"/>
      <w:b/>
      <w:color w:val="000000"/>
      <w:szCs w:val="22"/>
      <w:lang w:val="en-US" w:eastAsia="de-DE" w:bidi="en-US"/>
    </w:rPr>
  </w:style>
  <w:style w:type="paragraph" w:customStyle="1" w:styleId="23">
    <w:name w:val="MDPI_1.4_history"/>
    <w:basedOn w:val="1"/>
    <w:next w:val="1"/>
    <w:qFormat/>
    <w:uiPriority w:val="0"/>
    <w:pPr>
      <w:adjustRightInd w:val="0"/>
      <w:snapToGrid w:val="0"/>
      <w:spacing w:line="240" w:lineRule="atLeast"/>
      <w:ind w:right="113"/>
      <w:jc w:val="left"/>
    </w:pPr>
    <w:rPr>
      <w:rFonts w:eastAsia="Times New Roman"/>
      <w:sz w:val="14"/>
      <w:lang w:eastAsia="de-DE" w:bidi="en-US"/>
    </w:rPr>
  </w:style>
  <w:style w:type="paragraph" w:customStyle="1" w:styleId="24">
    <w:name w:val="MDPI_1.6_affiliation"/>
    <w:qFormat/>
    <w:uiPriority w:val="0"/>
    <w:pPr>
      <w:adjustRightInd w:val="0"/>
      <w:snapToGrid w:val="0"/>
      <w:spacing w:line="200" w:lineRule="atLeast"/>
      <w:ind w:left="2806" w:hanging="198"/>
    </w:pPr>
    <w:rPr>
      <w:rFonts w:ascii="Palatino Linotype" w:hAnsi="Palatino Linotype" w:eastAsia="Times New Roman" w:cs="Times New Roman"/>
      <w:color w:val="000000"/>
      <w:sz w:val="16"/>
      <w:szCs w:val="18"/>
      <w:lang w:val="en-US" w:eastAsia="de-DE" w:bidi="en-US"/>
    </w:rPr>
  </w:style>
  <w:style w:type="paragraph" w:customStyle="1" w:styleId="25">
    <w:name w:val="MDPI_1.7_abstract"/>
    <w:next w:val="1"/>
    <w:qFormat/>
    <w:uiPriority w:val="0"/>
    <w:pPr>
      <w:adjustRightInd w:val="0"/>
      <w:snapToGrid w:val="0"/>
      <w:spacing w:before="240" w:line="260" w:lineRule="atLeast"/>
      <w:ind w:left="2608"/>
      <w:jc w:val="both"/>
    </w:pPr>
    <w:rPr>
      <w:rFonts w:ascii="Palatino Linotype" w:hAnsi="Palatino Linotype" w:eastAsia="Times New Roman" w:cs="Times New Roman"/>
      <w:color w:val="000000"/>
      <w:sz w:val="18"/>
      <w:szCs w:val="22"/>
      <w:lang w:val="en-US" w:eastAsia="de-DE" w:bidi="en-US"/>
    </w:rPr>
  </w:style>
  <w:style w:type="paragraph" w:customStyle="1" w:styleId="26">
    <w:name w:val="MDPI_1.8_keywords"/>
    <w:next w:val="1"/>
    <w:qFormat/>
    <w:uiPriority w:val="0"/>
    <w:pPr>
      <w:adjustRightInd w:val="0"/>
      <w:snapToGrid w:val="0"/>
      <w:spacing w:before="240" w:line="260" w:lineRule="atLeast"/>
      <w:ind w:left="2608"/>
      <w:jc w:val="both"/>
    </w:pPr>
    <w:rPr>
      <w:rFonts w:ascii="Palatino Linotype" w:hAnsi="Palatino Linotype" w:eastAsia="Times New Roman" w:cs="Times New Roman"/>
      <w:snapToGrid w:val="0"/>
      <w:color w:val="000000"/>
      <w:sz w:val="18"/>
      <w:szCs w:val="22"/>
      <w:lang w:val="en-US" w:eastAsia="de-DE" w:bidi="en-US"/>
    </w:rPr>
  </w:style>
  <w:style w:type="paragraph" w:customStyle="1" w:styleId="27">
    <w:name w:val="MDPI_1.9_line"/>
    <w:qFormat/>
    <w:uiPriority w:val="0"/>
    <w:pPr>
      <w:pBdr>
        <w:bottom w:val="single" w:color="auto" w:sz="6" w:space="1"/>
      </w:pBdr>
      <w:adjustRightInd w:val="0"/>
      <w:snapToGrid w:val="0"/>
      <w:spacing w:after="480" w:line="260" w:lineRule="atLeast"/>
      <w:ind w:left="2608"/>
      <w:jc w:val="both"/>
    </w:pPr>
    <w:rPr>
      <w:rFonts w:ascii="Palatino Linotype" w:hAnsi="Palatino Linotype" w:eastAsia="Times New Roman" w:cs="Cordia New"/>
      <w:color w:val="000000"/>
      <w:szCs w:val="24"/>
      <w:lang w:val="en-US" w:eastAsia="de-DE" w:bidi="en-US"/>
    </w:rPr>
  </w:style>
  <w:style w:type="table" w:customStyle="1" w:styleId="28">
    <w:name w:val="M_deck_5_table_body_three_lines"/>
    <w:basedOn w:val="11"/>
    <w:qFormat/>
    <w:uiPriority w:val="99"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Borders>
        <w:bottom w:val="single" w:color="auto" w:sz="8" w:space="0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="0" w:leftChars="0" w:right="0" w:rightChars="0" w:firstLine="0" w:firstLineChars="0"/>
        <w:contextualSpacing w:val="0"/>
        <w:jc w:val="center"/>
        <w:outlineLvl w:val="9"/>
      </w:pPr>
      <w:rPr>
        <w:rFonts w:ascii="Times New Roman" w:hAnsi="Times New Roman" w:eastAsia="Times New Roman"/>
        <w:b w:val="0"/>
        <w:i w:val="0"/>
        <w:snapToGrid w:val="0"/>
        <w:sz w:val="22"/>
      </w:rPr>
      <w:tcPr>
        <w:tcBorders>
          <w:top w:val="single" w:color="auto" w:sz="8" w:space="0"/>
          <w:left w:val="nil"/>
          <w:bottom w:val="single" w:color="auto" w:sz="4" w:space="0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29">
    <w:name w:val="页脚 字符"/>
    <w:link w:val="6"/>
    <w:qFormat/>
    <w:uiPriority w:val="99"/>
    <w:rPr>
      <w:rFonts w:ascii="Palatino Linotype" w:hAnsi="Palatino Linotype"/>
      <w:color w:val="000000"/>
      <w:szCs w:val="18"/>
    </w:rPr>
  </w:style>
  <w:style w:type="character" w:customStyle="1" w:styleId="30">
    <w:name w:val="页眉 字符"/>
    <w:link w:val="7"/>
    <w:qFormat/>
    <w:uiPriority w:val="99"/>
    <w:rPr>
      <w:rFonts w:ascii="Palatino Linotype" w:hAnsi="Palatino Linotype"/>
      <w:color w:val="000000"/>
      <w:szCs w:val="18"/>
    </w:rPr>
  </w:style>
  <w:style w:type="paragraph" w:customStyle="1" w:styleId="31">
    <w:name w:val="MDPI_header_journal_logo"/>
    <w:qFormat/>
    <w:uiPriority w:val="0"/>
    <w:pPr>
      <w:adjustRightInd w:val="0"/>
      <w:snapToGrid w:val="0"/>
      <w:spacing w:line="260" w:lineRule="atLeast"/>
      <w:jc w:val="both"/>
    </w:pPr>
    <w:rPr>
      <w:rFonts w:ascii="Palatino Linotype" w:hAnsi="Palatino Linotype" w:eastAsia="Times New Roman" w:cs="Times New Roman"/>
      <w:i/>
      <w:color w:val="000000"/>
      <w:sz w:val="24"/>
      <w:szCs w:val="22"/>
      <w:lang w:val="en-US" w:eastAsia="de-CH" w:bidi="ar-SA"/>
    </w:rPr>
  </w:style>
  <w:style w:type="paragraph" w:customStyle="1" w:styleId="32">
    <w:name w:val="MDPI_3.2_text_no_indent"/>
    <w:basedOn w:val="33"/>
    <w:qFormat/>
    <w:uiPriority w:val="0"/>
    <w:pPr>
      <w:ind w:firstLine="0"/>
    </w:pPr>
  </w:style>
  <w:style w:type="paragraph" w:customStyle="1" w:styleId="33">
    <w:name w:val="MDPI_3.1_text"/>
    <w:qFormat/>
    <w:uiPriority w:val="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34">
    <w:name w:val="MDPI_3.3_text_space_after"/>
    <w:qFormat/>
    <w:uiPriority w:val="0"/>
    <w:pPr>
      <w:adjustRightInd w:val="0"/>
      <w:snapToGrid w:val="0"/>
      <w:spacing w:after="240" w:line="228" w:lineRule="auto"/>
      <w:ind w:left="2608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35">
    <w:name w:val="MDPI_3.5_text_before_list"/>
    <w:qFormat/>
    <w:uiPriority w:val="0"/>
    <w:pPr>
      <w:adjustRightInd w:val="0"/>
      <w:snapToGrid w:val="0"/>
      <w:spacing w:line="228" w:lineRule="auto"/>
      <w:ind w:left="2608" w:firstLine="425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36">
    <w:name w:val="MDPI_3.6_text_after_list"/>
    <w:qFormat/>
    <w:uiPriority w:val="0"/>
    <w:pPr>
      <w:adjustRightInd w:val="0"/>
      <w:snapToGrid w:val="0"/>
      <w:spacing w:before="120" w:line="228" w:lineRule="auto"/>
      <w:ind w:left="2608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37">
    <w:name w:val="MDPI_3.7_itemize"/>
    <w:qFormat/>
    <w:uiPriority w:val="0"/>
    <w:pPr>
      <w:numPr>
        <w:ilvl w:val="0"/>
        <w:numId w:val="1"/>
      </w:numPr>
      <w:adjustRightInd w:val="0"/>
      <w:snapToGrid w:val="0"/>
      <w:spacing w:line="228" w:lineRule="auto"/>
      <w:jc w:val="both"/>
    </w:pPr>
    <w:rPr>
      <w:rFonts w:ascii="Palatino Linotype" w:hAnsi="Palatino Linotype" w:eastAsia="Times New Roman" w:cs="Times New Roman"/>
      <w:color w:val="000000"/>
      <w:szCs w:val="22"/>
      <w:lang w:val="en-US" w:eastAsia="de-DE" w:bidi="en-US"/>
    </w:rPr>
  </w:style>
  <w:style w:type="paragraph" w:customStyle="1" w:styleId="38">
    <w:name w:val="MDPI_3.8_bullet"/>
    <w:qFormat/>
    <w:uiPriority w:val="0"/>
    <w:pPr>
      <w:numPr>
        <w:ilvl w:val="0"/>
        <w:numId w:val="2"/>
      </w:numPr>
      <w:adjustRightInd w:val="0"/>
      <w:snapToGrid w:val="0"/>
      <w:spacing w:line="228" w:lineRule="auto"/>
      <w:jc w:val="both"/>
    </w:pPr>
    <w:rPr>
      <w:rFonts w:ascii="Palatino Linotype" w:hAnsi="Palatino Linotype" w:eastAsia="Times New Roman" w:cs="Times New Roman"/>
      <w:color w:val="000000"/>
      <w:szCs w:val="22"/>
      <w:lang w:val="en-US" w:eastAsia="de-DE" w:bidi="en-US"/>
    </w:rPr>
  </w:style>
  <w:style w:type="paragraph" w:customStyle="1" w:styleId="39">
    <w:name w:val="MDPI_3.9_equation"/>
    <w:qFormat/>
    <w:uiPriority w:val="0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40">
    <w:name w:val="MDPI_3.a_equation_number"/>
    <w:qFormat/>
    <w:uiPriority w:val="0"/>
    <w:pPr>
      <w:spacing w:before="120" w:after="120"/>
      <w:jc w:val="right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41">
    <w:name w:val="MDPI_4.1_table_caption"/>
    <w:qFormat/>
    <w:uiPriority w:val="0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hAnsi="Palatino Linotype" w:eastAsia="Times New Roman" w:cs="Cordia New"/>
      <w:color w:val="000000"/>
      <w:sz w:val="18"/>
      <w:szCs w:val="22"/>
      <w:lang w:val="en-US" w:eastAsia="de-DE" w:bidi="en-US"/>
    </w:rPr>
  </w:style>
  <w:style w:type="paragraph" w:customStyle="1" w:styleId="42">
    <w:name w:val="MDPI_4.2_table_body"/>
    <w:qFormat/>
    <w:uiPriority w:val="0"/>
    <w:pPr>
      <w:adjustRightInd w:val="0"/>
      <w:snapToGrid w:val="0"/>
      <w:spacing w:line="260" w:lineRule="atLeast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  <w:style w:type="paragraph" w:customStyle="1" w:styleId="43">
    <w:name w:val="MDPI_4.3_table_footer"/>
    <w:next w:val="33"/>
    <w:qFormat/>
    <w:uiPriority w:val="0"/>
    <w:pPr>
      <w:adjustRightInd w:val="0"/>
      <w:snapToGrid w:val="0"/>
      <w:spacing w:line="228" w:lineRule="auto"/>
      <w:ind w:left="2608"/>
      <w:jc w:val="both"/>
    </w:pPr>
    <w:rPr>
      <w:rFonts w:ascii="Palatino Linotype" w:hAnsi="Palatino Linotype" w:eastAsia="Times New Roman" w:cs="Cordia New"/>
      <w:color w:val="000000"/>
      <w:sz w:val="18"/>
      <w:szCs w:val="22"/>
      <w:lang w:val="en-US" w:eastAsia="de-DE" w:bidi="en-US"/>
    </w:rPr>
  </w:style>
  <w:style w:type="paragraph" w:customStyle="1" w:styleId="44">
    <w:name w:val="MDPI_5.1_figure_caption"/>
    <w:qFormat/>
    <w:uiPriority w:val="0"/>
    <w:pPr>
      <w:adjustRightInd w:val="0"/>
      <w:snapToGrid w:val="0"/>
      <w:spacing w:before="120" w:after="240" w:line="228" w:lineRule="auto"/>
      <w:ind w:left="2608"/>
      <w:jc w:val="both"/>
    </w:pPr>
    <w:rPr>
      <w:rFonts w:ascii="Palatino Linotype" w:hAnsi="Palatino Linotype" w:eastAsia="Times New Roman" w:cs="Times New Roman"/>
      <w:color w:val="000000"/>
      <w:sz w:val="18"/>
      <w:lang w:val="en-US" w:eastAsia="de-DE" w:bidi="en-US"/>
    </w:rPr>
  </w:style>
  <w:style w:type="paragraph" w:customStyle="1" w:styleId="45">
    <w:name w:val="MDPI_5.2_figure"/>
    <w:qFormat/>
    <w:uiPriority w:val="0"/>
    <w:pPr>
      <w:adjustRightInd w:val="0"/>
      <w:snapToGrid w:val="0"/>
      <w:spacing w:before="240" w:after="120"/>
      <w:jc w:val="center"/>
    </w:pPr>
    <w:rPr>
      <w:rFonts w:ascii="Palatino Linotype" w:hAnsi="Palatino Linotype" w:eastAsia="Times New Roman" w:cs="Times New Roman"/>
      <w:snapToGrid w:val="0"/>
      <w:color w:val="000000"/>
      <w:lang w:val="en-US" w:eastAsia="de-DE" w:bidi="en-US"/>
    </w:rPr>
  </w:style>
  <w:style w:type="paragraph" w:customStyle="1" w:styleId="46">
    <w:name w:val="MDPI_2.3_heading3"/>
    <w:qFormat/>
    <w:uiPriority w:val="0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47">
    <w:name w:val="MDPI_2.1_heading1"/>
    <w:qFormat/>
    <w:uiPriority w:val="0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hAnsi="Palatino Linotype" w:eastAsia="Times New Roman" w:cs="Times New Roman"/>
      <w:b/>
      <w:snapToGrid w:val="0"/>
      <w:color w:val="000000"/>
      <w:szCs w:val="22"/>
      <w:lang w:val="en-US" w:eastAsia="de-DE" w:bidi="en-US"/>
    </w:rPr>
  </w:style>
  <w:style w:type="paragraph" w:customStyle="1" w:styleId="48">
    <w:name w:val="MDPI_2.2_heading2"/>
    <w:qFormat/>
    <w:uiPriority w:val="0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hAnsi="Palatino Linotype" w:eastAsia="Times New Roman" w:cs="Times New Roman"/>
      <w:i/>
      <w:snapToGrid w:val="0"/>
      <w:color w:val="000000"/>
      <w:szCs w:val="22"/>
      <w:lang w:val="en-US" w:eastAsia="de-DE" w:bidi="en-US"/>
    </w:rPr>
  </w:style>
  <w:style w:type="paragraph" w:customStyle="1" w:styleId="49">
    <w:name w:val="MDPI_7.1_References"/>
    <w:qFormat/>
    <w:uiPriority w:val="0"/>
    <w:pPr>
      <w:numPr>
        <w:ilvl w:val="0"/>
        <w:numId w:val="3"/>
      </w:numPr>
      <w:adjustRightInd w:val="0"/>
      <w:snapToGrid w:val="0"/>
      <w:spacing w:line="228" w:lineRule="auto"/>
      <w:jc w:val="both"/>
    </w:pPr>
    <w:rPr>
      <w:rFonts w:ascii="Palatino Linotype" w:hAnsi="Palatino Linotype" w:eastAsia="Times New Roman" w:cs="Times New Roman"/>
      <w:color w:val="000000"/>
      <w:sz w:val="18"/>
      <w:lang w:val="en-US" w:eastAsia="de-DE" w:bidi="en-US"/>
    </w:rPr>
  </w:style>
  <w:style w:type="character" w:customStyle="1" w:styleId="50">
    <w:name w:val="批注框文本 字符"/>
    <w:link w:val="5"/>
    <w:qFormat/>
    <w:uiPriority w:val="99"/>
    <w:rPr>
      <w:rFonts w:ascii="Palatino Linotype" w:hAnsi="Palatino Linotype" w:cs="Tahoma"/>
      <w:color w:val="000000"/>
      <w:szCs w:val="18"/>
    </w:rPr>
  </w:style>
  <w:style w:type="table" w:customStyle="1" w:styleId="51">
    <w:name w:val="MDPI_4.1_three_line_table"/>
    <w:basedOn w:val="11"/>
    <w:qFormat/>
    <w:uiPriority w:val="99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color="auto" w:sz="8" w:space="0"/>
        <w:bottom w:val="single" w:color="auto" w:sz="8" w:space="0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cPr>
        <w:tcBorders>
          <w:bottom w:val="single" w:color="auto" w:sz="4" w:space="0"/>
        </w:tcBorders>
      </w:tcPr>
    </w:tblStylePr>
  </w:style>
  <w:style w:type="character" w:customStyle="1" w:styleId="52">
    <w:name w:val="未处理的提及1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53">
    <w:name w:val="无格式表格 41"/>
    <w:basedOn w:val="11"/>
    <w:qFormat/>
    <w:uiPriority w:val="44"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2F2F2"/>
      </w:tcPr>
    </w:tblStylePr>
    <w:tblStylePr w:type="band1Horz">
      <w:tcPr>
        <w:shd w:val="clear" w:color="auto" w:fill="F2F2F2"/>
      </w:tcPr>
    </w:tblStylePr>
  </w:style>
  <w:style w:type="paragraph" w:customStyle="1" w:styleId="54">
    <w:name w:val="MDPI_3.4_text_space_before"/>
    <w:qFormat/>
    <w:uiPriority w:val="0"/>
    <w:pPr>
      <w:adjustRightInd w:val="0"/>
      <w:snapToGrid w:val="0"/>
      <w:spacing w:before="240" w:line="228" w:lineRule="auto"/>
      <w:ind w:left="2608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55">
    <w:name w:val="MDPI_8.1_theorem"/>
    <w:qFormat/>
    <w:uiPriority w:val="0"/>
    <w:pPr>
      <w:adjustRightInd w:val="0"/>
      <w:snapToGrid w:val="0"/>
      <w:spacing w:line="228" w:lineRule="auto"/>
      <w:ind w:left="2608"/>
      <w:jc w:val="both"/>
    </w:pPr>
    <w:rPr>
      <w:rFonts w:ascii="Palatino Linotype" w:hAnsi="Palatino Linotype" w:eastAsia="Times New Roman" w:cs="Times New Roman"/>
      <w:i/>
      <w:snapToGrid w:val="0"/>
      <w:color w:val="000000"/>
      <w:szCs w:val="22"/>
      <w:lang w:val="en-US" w:eastAsia="de-DE" w:bidi="en-US"/>
    </w:rPr>
  </w:style>
  <w:style w:type="paragraph" w:customStyle="1" w:styleId="56">
    <w:name w:val="MDPI_8.2_proof"/>
    <w:qFormat/>
    <w:uiPriority w:val="0"/>
    <w:pPr>
      <w:adjustRightInd w:val="0"/>
      <w:snapToGrid w:val="0"/>
      <w:spacing w:line="228" w:lineRule="auto"/>
      <w:ind w:left="2608"/>
      <w:jc w:val="both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57">
    <w:name w:val="MDPI_6.1_Citation"/>
    <w:qFormat/>
    <w:uiPriority w:val="0"/>
    <w:pPr>
      <w:adjustRightInd w:val="0"/>
      <w:snapToGrid w:val="0"/>
      <w:spacing w:line="240" w:lineRule="atLeast"/>
      <w:ind w:right="113"/>
    </w:pPr>
    <w:rPr>
      <w:rFonts w:ascii="Palatino Linotype" w:hAnsi="Palatino Linotype" w:eastAsia="宋体" w:cs="Cordia New"/>
      <w:sz w:val="14"/>
      <w:szCs w:val="22"/>
      <w:lang w:val="en-US" w:eastAsia="zh-CN" w:bidi="ar-SA"/>
    </w:rPr>
  </w:style>
  <w:style w:type="paragraph" w:customStyle="1" w:styleId="58">
    <w:name w:val="MDPI_6.2_BackMatter"/>
    <w:qFormat/>
    <w:uiPriority w:val="0"/>
    <w:pPr>
      <w:adjustRightInd w:val="0"/>
      <w:snapToGrid w:val="0"/>
      <w:spacing w:after="120" w:line="228" w:lineRule="auto"/>
      <w:ind w:left="2608"/>
      <w:jc w:val="both"/>
    </w:pPr>
    <w:rPr>
      <w:rFonts w:ascii="Palatino Linotype" w:hAnsi="Palatino Linotype" w:eastAsia="Times New Roman" w:cs="Times New Roman"/>
      <w:snapToGrid w:val="0"/>
      <w:color w:val="000000"/>
      <w:sz w:val="18"/>
      <w:lang w:val="en-US" w:eastAsia="en-US" w:bidi="en-US"/>
    </w:rPr>
  </w:style>
  <w:style w:type="paragraph" w:customStyle="1" w:styleId="59">
    <w:name w:val="MDPI_6.3_Notes"/>
    <w:qFormat/>
    <w:uiPriority w:val="0"/>
    <w:pPr>
      <w:adjustRightInd w:val="0"/>
      <w:snapToGrid w:val="0"/>
      <w:spacing w:before="240" w:line="228" w:lineRule="auto"/>
      <w:jc w:val="both"/>
    </w:pPr>
    <w:rPr>
      <w:rFonts w:ascii="Palatino Linotype" w:hAnsi="Palatino Linotype" w:eastAsia="宋体" w:cs="Times New Roman"/>
      <w:snapToGrid w:val="0"/>
      <w:color w:val="000000"/>
      <w:sz w:val="18"/>
      <w:lang w:val="en-US" w:eastAsia="en-US" w:bidi="en-US"/>
    </w:rPr>
  </w:style>
  <w:style w:type="paragraph" w:customStyle="1" w:styleId="60">
    <w:name w:val="MDPI_1.5_academic_editor"/>
    <w:qFormat/>
    <w:uiPriority w:val="0"/>
    <w:pPr>
      <w:adjustRightInd w:val="0"/>
      <w:snapToGrid w:val="0"/>
      <w:spacing w:before="120" w:line="240" w:lineRule="atLeast"/>
      <w:ind w:right="113"/>
    </w:pPr>
    <w:rPr>
      <w:rFonts w:ascii="Palatino Linotype" w:hAnsi="Palatino Linotype" w:eastAsia="Times New Roman" w:cs="Times New Roman"/>
      <w:color w:val="000000"/>
      <w:sz w:val="14"/>
      <w:szCs w:val="22"/>
      <w:lang w:val="en-US" w:eastAsia="de-DE" w:bidi="en-US"/>
    </w:rPr>
  </w:style>
  <w:style w:type="paragraph" w:customStyle="1" w:styleId="61">
    <w:name w:val="MDPI_1.9_classification"/>
    <w:qFormat/>
    <w:uiPriority w:val="0"/>
    <w:pPr>
      <w:spacing w:before="240" w:line="260" w:lineRule="atLeast"/>
      <w:ind w:left="113"/>
      <w:jc w:val="both"/>
    </w:pPr>
    <w:rPr>
      <w:rFonts w:ascii="Palatino Linotype" w:hAnsi="Palatino Linotype" w:eastAsia="Times New Roman" w:cs="Times New Roman"/>
      <w:b/>
      <w:color w:val="000000"/>
      <w:szCs w:val="22"/>
      <w:lang w:val="en-US" w:eastAsia="de-DE" w:bidi="en-US"/>
    </w:rPr>
  </w:style>
  <w:style w:type="paragraph" w:customStyle="1" w:styleId="62">
    <w:name w:val="MDPI_4.1.1_one_table_caption"/>
    <w:qFormat/>
    <w:uiPriority w:val="0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 w:eastAsia="宋体" w:cs="Cordia New"/>
      <w:color w:val="000000"/>
      <w:sz w:val="18"/>
      <w:szCs w:val="22"/>
      <w:lang w:val="en-US" w:eastAsia="zh-CN" w:bidi="en-US"/>
    </w:rPr>
  </w:style>
  <w:style w:type="paragraph" w:customStyle="1" w:styleId="63">
    <w:name w:val="MDPI_5.1.1_one_figure_caption"/>
    <w:qFormat/>
    <w:uiPriority w:val="0"/>
    <w:pPr>
      <w:adjustRightInd w:val="0"/>
      <w:snapToGrid w:val="0"/>
      <w:spacing w:before="240" w:after="120" w:line="260" w:lineRule="atLeast"/>
      <w:jc w:val="center"/>
    </w:pPr>
    <w:rPr>
      <w:rFonts w:ascii="Palatino Linotype" w:hAnsi="Palatino Linotype" w:eastAsia="宋体" w:cs="Times New Roman"/>
      <w:color w:val="000000"/>
      <w:sz w:val="18"/>
      <w:lang w:val="en-US" w:eastAsia="zh-CN" w:bidi="en-US"/>
    </w:rPr>
  </w:style>
  <w:style w:type="paragraph" w:customStyle="1" w:styleId="64">
    <w:name w:val="MDPI_7.2_Copyright"/>
    <w:qFormat/>
    <w:uiPriority w:val="0"/>
    <w:pPr>
      <w:adjustRightInd w:val="0"/>
      <w:snapToGrid w:val="0"/>
      <w:spacing w:before="60" w:line="240" w:lineRule="atLeast"/>
      <w:ind w:right="113"/>
      <w:jc w:val="both"/>
    </w:pPr>
    <w:rPr>
      <w:rFonts w:ascii="Palatino Linotype" w:hAnsi="Palatino Linotype" w:eastAsia="Times New Roman" w:cs="Times New Roman"/>
      <w:snapToGrid w:val="0"/>
      <w:color w:val="000000"/>
      <w:sz w:val="14"/>
      <w:lang w:val="en-GB" w:eastAsia="en-GB" w:bidi="ar-SA"/>
    </w:rPr>
  </w:style>
  <w:style w:type="paragraph" w:customStyle="1" w:styleId="65">
    <w:name w:val="MDPI_7.3_CopyrightImage"/>
    <w:qFormat/>
    <w:uiPriority w:val="0"/>
    <w:pPr>
      <w:adjustRightInd w:val="0"/>
      <w:snapToGrid w:val="0"/>
      <w:spacing w:after="100" w:line="260" w:lineRule="atLeast"/>
      <w:jc w:val="right"/>
    </w:pPr>
    <w:rPr>
      <w:rFonts w:ascii="Palatino Linotype" w:hAnsi="Palatino Linotype" w:eastAsia="Times New Roman" w:cs="Times New Roman"/>
      <w:color w:val="000000"/>
      <w:lang w:val="en-US" w:eastAsia="de-CH" w:bidi="ar-SA"/>
    </w:rPr>
  </w:style>
  <w:style w:type="paragraph" w:customStyle="1" w:styleId="66">
    <w:name w:val="MDPI_equationFram"/>
    <w:qFormat/>
    <w:uiPriority w:val="0"/>
    <w:pPr>
      <w:adjustRightInd w:val="0"/>
      <w:snapToGrid w:val="0"/>
      <w:spacing w:before="120" w:after="120"/>
      <w:jc w:val="center"/>
    </w:pPr>
    <w:rPr>
      <w:rFonts w:ascii="Palatino Linotype" w:hAnsi="Palatino Linotype" w:eastAsia="Times New Roman" w:cs="Times New Roman"/>
      <w:snapToGrid w:val="0"/>
      <w:color w:val="000000"/>
      <w:szCs w:val="22"/>
      <w:lang w:val="en-US" w:eastAsia="de-DE" w:bidi="en-US"/>
    </w:rPr>
  </w:style>
  <w:style w:type="paragraph" w:customStyle="1" w:styleId="67">
    <w:name w:val="MDPI_footer"/>
    <w:qFormat/>
    <w:uiPriority w:val="0"/>
    <w:pPr>
      <w:adjustRightInd w:val="0"/>
      <w:snapToGrid w:val="0"/>
      <w:spacing w:before="120" w:line="260" w:lineRule="atLeast"/>
      <w:jc w:val="center"/>
    </w:pPr>
    <w:rPr>
      <w:rFonts w:ascii="Palatino Linotype" w:hAnsi="Palatino Linotype" w:eastAsia="Times New Roman" w:cs="Times New Roman"/>
      <w:color w:val="000000"/>
      <w:lang w:val="en-US" w:eastAsia="de-DE" w:bidi="ar-SA"/>
    </w:rPr>
  </w:style>
  <w:style w:type="paragraph" w:customStyle="1" w:styleId="68">
    <w:name w:val="MDPI_footer_firstpage"/>
    <w:qFormat/>
    <w:uiPriority w:val="0"/>
    <w:pPr>
      <w:tabs>
        <w:tab w:val="right" w:pos="8845"/>
      </w:tabs>
      <w:spacing w:line="160" w:lineRule="exact"/>
    </w:pPr>
    <w:rPr>
      <w:rFonts w:ascii="Palatino Linotype" w:hAnsi="Palatino Linotype" w:eastAsia="Times New Roman" w:cs="Times New Roman"/>
      <w:color w:val="000000"/>
      <w:sz w:val="16"/>
      <w:lang w:val="en-US" w:eastAsia="de-DE" w:bidi="ar-SA"/>
    </w:rPr>
  </w:style>
  <w:style w:type="paragraph" w:customStyle="1" w:styleId="69">
    <w:name w:val="MDPI_header"/>
    <w:qFormat/>
    <w:uiPriority w:val="0"/>
    <w:pPr>
      <w:adjustRightInd w:val="0"/>
      <w:snapToGrid w:val="0"/>
      <w:spacing w:after="240" w:line="260" w:lineRule="atLeast"/>
      <w:jc w:val="both"/>
    </w:pPr>
    <w:rPr>
      <w:rFonts w:ascii="Palatino Linotype" w:hAnsi="Palatino Linotype" w:eastAsia="Times New Roman" w:cs="Times New Roman"/>
      <w:iCs/>
      <w:color w:val="000000"/>
      <w:sz w:val="16"/>
      <w:lang w:val="en-US" w:eastAsia="de-DE" w:bidi="ar-SA"/>
    </w:rPr>
  </w:style>
  <w:style w:type="paragraph" w:customStyle="1" w:styleId="70">
    <w:name w:val="MDPI_header_citation"/>
    <w:qFormat/>
    <w:uiPriority w:val="0"/>
    <w:pPr>
      <w:spacing w:after="240"/>
    </w:pPr>
    <w:rPr>
      <w:rFonts w:ascii="Palatino Linotype" w:hAnsi="Palatino Linotype" w:eastAsia="Times New Roman" w:cs="Times New Roman"/>
      <w:snapToGrid w:val="0"/>
      <w:color w:val="000000"/>
      <w:sz w:val="18"/>
      <w:lang w:val="en-US" w:eastAsia="de-DE" w:bidi="en-US"/>
    </w:rPr>
  </w:style>
  <w:style w:type="paragraph" w:customStyle="1" w:styleId="71">
    <w:name w:val="MDPI_header_mdpi_logo"/>
    <w:qFormat/>
    <w:uiPriority w:val="0"/>
    <w:pPr>
      <w:adjustRightInd w:val="0"/>
      <w:snapToGrid w:val="0"/>
      <w:spacing w:line="260" w:lineRule="atLeast"/>
      <w:jc w:val="right"/>
    </w:pPr>
    <w:rPr>
      <w:rFonts w:ascii="Palatino Linotype" w:hAnsi="Palatino Linotype" w:eastAsia="Times New Roman" w:cs="Times New Roman"/>
      <w:color w:val="000000"/>
      <w:sz w:val="24"/>
      <w:szCs w:val="22"/>
      <w:lang w:val="en-US" w:eastAsia="de-CH" w:bidi="ar-SA"/>
    </w:rPr>
  </w:style>
  <w:style w:type="table" w:customStyle="1" w:styleId="72">
    <w:name w:val="MDPI_Table"/>
    <w:basedOn w:val="11"/>
    <w:qFormat/>
    <w:uiPriority w:val="99"/>
    <w:rPr>
      <w:rFonts w:ascii="Palatino Linotype" w:hAnsi="Palatino Linotype"/>
      <w:color w:val="000000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73">
    <w:name w:val="MDPI_text"/>
    <w:qFormat/>
    <w:uiPriority w:val="0"/>
    <w:pPr>
      <w:spacing w:line="260" w:lineRule="atLeast"/>
      <w:ind w:left="425" w:right="425" w:firstLine="284"/>
      <w:jc w:val="both"/>
    </w:pPr>
    <w:rPr>
      <w:rFonts w:ascii="Times New Roman" w:hAnsi="Times New Roman" w:eastAsia="Times New Roman" w:cs="Times New Roman"/>
      <w:snapToGrid w:val="0"/>
      <w:color w:val="000000"/>
      <w:sz w:val="22"/>
      <w:szCs w:val="22"/>
      <w:lang w:val="en-US" w:eastAsia="de-DE" w:bidi="en-US"/>
    </w:rPr>
  </w:style>
  <w:style w:type="paragraph" w:customStyle="1" w:styleId="74">
    <w:name w:val="MDPI_title"/>
    <w:qFormat/>
    <w:uiPriority w:val="0"/>
    <w:pPr>
      <w:adjustRightInd w:val="0"/>
      <w:snapToGrid w:val="0"/>
      <w:spacing w:after="240" w:line="260" w:lineRule="atLeast"/>
      <w:jc w:val="both"/>
    </w:pPr>
    <w:rPr>
      <w:rFonts w:ascii="Palatino Linotype" w:hAnsi="Palatino Linotype" w:eastAsia="Times New Roman" w:cs="Times New Roman"/>
      <w:b/>
      <w:snapToGrid w:val="0"/>
      <w:color w:val="000000"/>
      <w:sz w:val="36"/>
      <w:lang w:val="en-US" w:eastAsia="de-DE" w:bidi="en-US"/>
    </w:rPr>
  </w:style>
  <w:style w:type="character" w:customStyle="1" w:styleId="75">
    <w:name w:val="apple-converted-space"/>
    <w:qFormat/>
    <w:uiPriority w:val="0"/>
  </w:style>
  <w:style w:type="paragraph" w:customStyle="1" w:styleId="76">
    <w:name w:val="书目1"/>
    <w:basedOn w:val="1"/>
    <w:next w:val="1"/>
    <w:semiHidden/>
    <w:unhideWhenUsed/>
    <w:qFormat/>
    <w:uiPriority w:val="37"/>
  </w:style>
  <w:style w:type="character" w:customStyle="1" w:styleId="77">
    <w:name w:val="正文文本 字符"/>
    <w:link w:val="3"/>
    <w:qFormat/>
    <w:uiPriority w:val="0"/>
    <w:rPr>
      <w:rFonts w:ascii="Palatino Linotype" w:hAnsi="Palatino Linotype"/>
      <w:color w:val="000000"/>
      <w:sz w:val="24"/>
      <w:lang w:eastAsia="de-DE"/>
    </w:rPr>
  </w:style>
  <w:style w:type="character" w:customStyle="1" w:styleId="78">
    <w:name w:val="批注文字 字符"/>
    <w:link w:val="2"/>
    <w:qFormat/>
    <w:uiPriority w:val="0"/>
    <w:rPr>
      <w:rFonts w:ascii="Palatino Linotype" w:hAnsi="Palatino Linotype"/>
      <w:color w:val="000000"/>
    </w:rPr>
  </w:style>
  <w:style w:type="character" w:customStyle="1" w:styleId="79">
    <w:name w:val="批注主题 字符"/>
    <w:link w:val="10"/>
    <w:qFormat/>
    <w:uiPriority w:val="0"/>
    <w:rPr>
      <w:rFonts w:ascii="Palatino Linotype" w:hAnsi="Palatino Linotype"/>
      <w:b/>
      <w:bCs/>
      <w:color w:val="000000"/>
    </w:rPr>
  </w:style>
  <w:style w:type="character" w:customStyle="1" w:styleId="80">
    <w:name w:val="尾注文本 字符"/>
    <w:link w:val="4"/>
    <w:semiHidden/>
    <w:qFormat/>
    <w:uiPriority w:val="0"/>
    <w:rPr>
      <w:rFonts w:ascii="Palatino Linotype" w:hAnsi="Palatino Linotype"/>
      <w:color w:val="000000"/>
    </w:rPr>
  </w:style>
  <w:style w:type="character" w:customStyle="1" w:styleId="81">
    <w:name w:val="脚注文本 字符"/>
    <w:link w:val="8"/>
    <w:semiHidden/>
    <w:qFormat/>
    <w:uiPriority w:val="0"/>
    <w:rPr>
      <w:rFonts w:ascii="Palatino Linotype" w:hAnsi="Palatino Linotype"/>
      <w:color w:val="000000"/>
    </w:rPr>
  </w:style>
  <w:style w:type="paragraph" w:customStyle="1" w:styleId="82">
    <w:name w:val="MsoFootnoteText"/>
    <w:basedOn w:val="9"/>
    <w:qFormat/>
    <w:uiPriority w:val="0"/>
    <w:rPr>
      <w:rFonts w:ascii="Times New Roman" w:hAnsi="Times New Roman"/>
    </w:rPr>
  </w:style>
  <w:style w:type="character" w:styleId="83">
    <w:name w:val="Placeholder Text"/>
    <w:semiHidden/>
    <w:qFormat/>
    <w:uiPriority w:val="99"/>
    <w:rPr>
      <w:color w:val="808080"/>
    </w:rPr>
  </w:style>
  <w:style w:type="paragraph" w:customStyle="1" w:styleId="84">
    <w:name w:val="MDPI_7.1_FootNotes"/>
    <w:qFormat/>
    <w:uiPriority w:val="0"/>
    <w:pPr>
      <w:numPr>
        <w:ilvl w:val="0"/>
        <w:numId w:val="4"/>
      </w:numPr>
      <w:adjustRightInd w:val="0"/>
      <w:snapToGrid w:val="0"/>
      <w:spacing w:line="228" w:lineRule="auto"/>
    </w:pPr>
    <w:rPr>
      <w:rFonts w:ascii="Palatino Linotype" w:hAnsi="Palatino Linotype" w:cs="Times New Roman" w:eastAsiaTheme="minorEastAsia"/>
      <w:color w:val="000000"/>
      <w:sz w:val="18"/>
      <w:lang w:val="en-US" w:eastAsia="zh-CN" w:bidi="ar-SA"/>
    </w:rPr>
  </w:style>
  <w:style w:type="character" w:customStyle="1" w:styleId="85">
    <w:name w:val="font1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image" Target="media/image4.png"/><Relationship Id="rId11" Type="http://schemas.openxmlformats.org/officeDocument/2006/relationships/image" Target="media/image3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7641</Words>
  <Characters>43560</Characters>
  <Lines>363</Lines>
  <Paragraphs>102</Paragraphs>
  <TotalTime>3</TotalTime>
  <ScaleCrop>false</ScaleCrop>
  <LinksUpToDate>false</LinksUpToDate>
  <CharactersWithSpaces>51099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2024-04-29T12:00:00Z</dcterms:created>
  <dc:creator>大师</dc:creator>
  <cp:lastModifiedBy>大师</cp:lastModifiedBy>
  <dcterms:modified xsi:type="dcterms:W3CDTF">2024-05-30T00:42:36Z</dcterms:modified>
  <dc:title>Type of the Paper (Article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F8D9B1E0B3C643AAB5FA9700DC320AE1_13</vt:lpwstr>
  </property>
  <property fmtid="{D5CDD505-2E9C-101B-9397-08002B2CF9AE}" pid="3" name="KSOProductBuildVer">
    <vt:lpwstr>2052-12.1.0.15374</vt:lpwstr>
  </property>
</Properties>
</file>