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B6075C" w14:textId="77777777" w:rsidR="009F66C5" w:rsidRDefault="009F66C5"/>
    <w:p w14:paraId="6F918D2F" w14:textId="77777777" w:rsidR="006E2065" w:rsidRDefault="006E2065"/>
    <w:tbl>
      <w:tblPr>
        <w:tblStyle w:val="Tablaconcuadrcula"/>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410"/>
        <w:gridCol w:w="6094"/>
      </w:tblGrid>
      <w:tr w:rsidR="006E2065" w:rsidRPr="00186F2D" w14:paraId="6DB08CC1" w14:textId="77777777" w:rsidTr="00040822">
        <w:tc>
          <w:tcPr>
            <w:tcW w:w="8504" w:type="dxa"/>
            <w:gridSpan w:val="2"/>
          </w:tcPr>
          <w:p w14:paraId="512AB00C" w14:textId="77777777" w:rsidR="006E2065" w:rsidRPr="00186F2D" w:rsidRDefault="006E2065" w:rsidP="00040822">
            <w:pPr>
              <w:jc w:val="center"/>
              <w:rPr>
                <w:rFonts w:ascii="Palatino Linotype" w:hAnsi="Palatino Linotype"/>
                <w:b/>
                <w:bCs/>
                <w:color w:val="000000"/>
                <w:sz w:val="20"/>
                <w:szCs w:val="20"/>
              </w:rPr>
            </w:pPr>
            <w:r w:rsidRPr="00186F2D">
              <w:rPr>
                <w:rFonts w:ascii="Palatino Linotype" w:hAnsi="Palatino Linotype"/>
                <w:b/>
                <w:bCs/>
                <w:color w:val="000000"/>
                <w:sz w:val="20"/>
                <w:szCs w:val="20"/>
              </w:rPr>
              <w:t xml:space="preserve">Tabla 1 – </w:t>
            </w:r>
            <w:r>
              <w:rPr>
                <w:rFonts w:ascii="Palatino Linotype" w:hAnsi="Palatino Linotype"/>
                <w:b/>
                <w:bCs/>
                <w:color w:val="000000"/>
                <w:sz w:val="20"/>
                <w:szCs w:val="20"/>
              </w:rPr>
              <w:t>Comparación de los criterios generales</w:t>
            </w:r>
          </w:p>
        </w:tc>
      </w:tr>
      <w:tr w:rsidR="006E2065" w:rsidRPr="00186F2D" w14:paraId="0071890D" w14:textId="77777777" w:rsidTr="00040822">
        <w:trPr>
          <w:trHeight w:val="63"/>
        </w:trPr>
        <w:tc>
          <w:tcPr>
            <w:tcW w:w="2410" w:type="dxa"/>
            <w:tcBorders>
              <w:bottom w:val="single" w:sz="4" w:space="0" w:color="auto"/>
            </w:tcBorders>
          </w:tcPr>
          <w:p w14:paraId="2914C47F" w14:textId="77777777" w:rsidR="006E2065" w:rsidRPr="00186F2D" w:rsidRDefault="006E2065" w:rsidP="00040822">
            <w:pPr>
              <w:jc w:val="center"/>
              <w:rPr>
                <w:rFonts w:ascii="Palatino Linotype" w:hAnsi="Palatino Linotype"/>
                <w:b/>
                <w:bCs/>
                <w:color w:val="000000"/>
                <w:sz w:val="20"/>
                <w:szCs w:val="20"/>
              </w:rPr>
            </w:pPr>
            <w:r>
              <w:rPr>
                <w:rFonts w:ascii="Palatino Linotype" w:hAnsi="Palatino Linotype"/>
                <w:b/>
                <w:bCs/>
                <w:color w:val="000000"/>
                <w:sz w:val="20"/>
                <w:szCs w:val="20"/>
              </w:rPr>
              <w:t>Convocatoria 2022</w:t>
            </w:r>
          </w:p>
        </w:tc>
        <w:tc>
          <w:tcPr>
            <w:tcW w:w="6094" w:type="dxa"/>
            <w:tcBorders>
              <w:bottom w:val="single" w:sz="4" w:space="0" w:color="auto"/>
            </w:tcBorders>
          </w:tcPr>
          <w:p w14:paraId="1CC303B2" w14:textId="77777777" w:rsidR="006E2065" w:rsidRDefault="006E2065" w:rsidP="00040822">
            <w:pPr>
              <w:rPr>
                <w:rFonts w:ascii="Palatino Linotype" w:hAnsi="Palatino Linotype"/>
                <w:b/>
                <w:bCs/>
                <w:color w:val="000000"/>
                <w:sz w:val="20"/>
                <w:szCs w:val="20"/>
              </w:rPr>
            </w:pPr>
            <w:r>
              <w:rPr>
                <w:rFonts w:ascii="Palatino Linotype" w:hAnsi="Palatino Linotype"/>
                <w:b/>
                <w:bCs/>
                <w:color w:val="000000"/>
                <w:sz w:val="20"/>
                <w:szCs w:val="20"/>
              </w:rPr>
              <w:t>Convocatoria 2023</w:t>
            </w:r>
          </w:p>
        </w:tc>
      </w:tr>
      <w:tr w:rsidR="006E2065" w:rsidRPr="009278BF" w14:paraId="74639B43" w14:textId="77777777" w:rsidTr="00040822">
        <w:trPr>
          <w:trHeight w:val="2671"/>
        </w:trPr>
        <w:tc>
          <w:tcPr>
            <w:tcW w:w="2410" w:type="dxa"/>
            <w:tcBorders>
              <w:top w:val="single" w:sz="4" w:space="0" w:color="auto"/>
              <w:bottom w:val="single" w:sz="4" w:space="0" w:color="auto"/>
            </w:tcBorders>
          </w:tcPr>
          <w:p w14:paraId="1EA372D8" w14:textId="77777777" w:rsidR="006E2065" w:rsidRPr="009278BF" w:rsidRDefault="006E2065" w:rsidP="00040822">
            <w:pPr>
              <w:jc w:val="both"/>
              <w:rPr>
                <w:rFonts w:ascii="Palatino Linotype" w:hAnsi="Palatino Linotype"/>
                <w:color w:val="000000"/>
                <w:sz w:val="18"/>
                <w:szCs w:val="18"/>
              </w:rPr>
            </w:pPr>
            <w:r>
              <w:rPr>
                <w:rFonts w:ascii="Palatino Linotype" w:hAnsi="Palatino Linotype"/>
                <w:color w:val="002060"/>
                <w:sz w:val="10"/>
                <w:szCs w:val="10"/>
              </w:rPr>
              <w:t xml:space="preserve">1. </w:t>
            </w:r>
            <w:r w:rsidRPr="00A83AC1">
              <w:rPr>
                <w:rFonts w:ascii="Palatino Linotype" w:hAnsi="Palatino Linotype"/>
                <w:color w:val="002060"/>
                <w:sz w:val="10"/>
                <w:szCs w:val="10"/>
              </w:rPr>
              <w:t>Deberán presentarse cinco aportaciones y dos aportaciones sustitutorias. Excepcionalmente, el número de aportaciones podrá ser inferior si los trabajos tienen una extraordinaria calidad y han tenido una alta repercusión científica o técnica.</w:t>
            </w:r>
          </w:p>
        </w:tc>
        <w:tc>
          <w:tcPr>
            <w:tcW w:w="6094" w:type="dxa"/>
            <w:tcBorders>
              <w:top w:val="single" w:sz="4" w:space="0" w:color="auto"/>
              <w:bottom w:val="single" w:sz="4" w:space="0" w:color="auto"/>
            </w:tcBorders>
          </w:tcPr>
          <w:p w14:paraId="7F798801" w14:textId="77777777" w:rsidR="006E2065" w:rsidRPr="007373B2" w:rsidRDefault="006E2065" w:rsidP="00040822">
            <w:pPr>
              <w:jc w:val="both"/>
              <w:rPr>
                <w:rFonts w:ascii="Palatino Linotype" w:hAnsi="Palatino Linotype"/>
                <w:color w:val="002060"/>
                <w:sz w:val="18"/>
                <w:szCs w:val="18"/>
              </w:rPr>
            </w:pPr>
            <w:r w:rsidRPr="007373B2">
              <w:rPr>
                <w:rFonts w:ascii="Palatino Linotype" w:hAnsi="Palatino Linotype"/>
                <w:color w:val="002060"/>
                <w:sz w:val="11"/>
                <w:szCs w:val="11"/>
              </w:rPr>
              <w:t>1.</w:t>
            </w:r>
            <w:r w:rsidRPr="007373B2">
              <w:rPr>
                <w:rFonts w:ascii="Palatino Linotype" w:hAnsi="Palatino Linotype"/>
                <w:color w:val="002060"/>
                <w:sz w:val="11"/>
                <w:szCs w:val="11"/>
              </w:rPr>
              <w:t> </w:t>
            </w:r>
            <w:r w:rsidRPr="007373B2">
              <w:rPr>
                <w:rFonts w:ascii="Palatino Linotype" w:hAnsi="Palatino Linotype"/>
                <w:color w:val="002060"/>
                <w:sz w:val="11"/>
                <w:szCs w:val="11"/>
              </w:rPr>
              <w:t xml:space="preserve">Deberán presentarse cinco aportaciones principales, </w:t>
            </w:r>
            <w:r w:rsidRPr="00A83AC1">
              <w:rPr>
                <w:rFonts w:ascii="Palatino Linotype" w:hAnsi="Palatino Linotype"/>
                <w:color w:val="FF0000"/>
                <w:sz w:val="11"/>
                <w:szCs w:val="11"/>
              </w:rPr>
              <w:t xml:space="preserve">que podrán acompañarse de </w:t>
            </w:r>
            <w:r w:rsidRPr="007373B2">
              <w:rPr>
                <w:rFonts w:ascii="Palatino Linotype" w:hAnsi="Palatino Linotype"/>
                <w:color w:val="002060"/>
                <w:sz w:val="11"/>
                <w:szCs w:val="11"/>
              </w:rPr>
              <w:t xml:space="preserve">dos aportaciones sustitutorias, </w:t>
            </w:r>
            <w:r w:rsidRPr="00A83AC1">
              <w:rPr>
                <w:rFonts w:ascii="Palatino Linotype" w:hAnsi="Palatino Linotype"/>
                <w:color w:val="FF0000"/>
                <w:sz w:val="11"/>
                <w:szCs w:val="11"/>
              </w:rPr>
              <w:t>seleccionadas por la persona solicitante</w:t>
            </w:r>
            <w:r w:rsidRPr="007373B2">
              <w:rPr>
                <w:rFonts w:ascii="Palatino Linotype" w:hAnsi="Palatino Linotype"/>
                <w:color w:val="002060"/>
                <w:sz w:val="11"/>
                <w:szCs w:val="11"/>
              </w:rPr>
              <w:t xml:space="preserve">. Excepcionalmente, el número de aportaciones podrá ser inferior si los trabajos tienen una relevancia extraordinaria y han tenido un alto impacto científico </w:t>
            </w:r>
            <w:r w:rsidRPr="00A83AC1">
              <w:rPr>
                <w:rFonts w:ascii="Palatino Linotype" w:hAnsi="Palatino Linotype"/>
                <w:color w:val="FF0000"/>
                <w:sz w:val="11"/>
                <w:szCs w:val="11"/>
              </w:rPr>
              <w:t>o social</w:t>
            </w:r>
            <w:r w:rsidRPr="007373B2">
              <w:rPr>
                <w:rFonts w:ascii="Palatino Linotype" w:hAnsi="Palatino Linotype"/>
                <w:color w:val="002060"/>
                <w:sz w:val="11"/>
                <w:szCs w:val="11"/>
              </w:rPr>
              <w:t xml:space="preserve">, </w:t>
            </w:r>
            <w:r w:rsidRPr="00A83AC1">
              <w:rPr>
                <w:rFonts w:ascii="Palatino Linotype" w:hAnsi="Palatino Linotype"/>
                <w:color w:val="538135" w:themeColor="accent6" w:themeShade="BF"/>
                <w:sz w:val="11"/>
                <w:szCs w:val="11"/>
              </w:rPr>
              <w:t>o bien si en el período sometido a evaluación quien solicita la evaluación ha justificado debidamente las situaciones de permisos de maternidad o paternidad, excedencias por el cuidado de las/os hijas/os, por el cuidado de familiares en primer grado dependientes que estén a su cargo, por razón de violencia de género y por razón de violencia terrorista previstas en el artículo 89.1 del Real Decreto Legislativo 5/2015, de 30 de octubre, por el que se aprueba el texto refundido de la Ley del Estatuto Básico del Empleado Público, o bajas de larga duración por enfermedad. Las aportaciones que se presenten a un sexenio de investigación no podrán presentarse a una posterior convocatoria de sexenios de transferencia. Con esta precisión, y de acuerdo con lo expuesto en la parte expositiva de esta resolución, se amplía para todos los campos el abanico de aportaciones y de posibles medios de difusión que pueden justificar una actividad investigadora durante el período evaluado, de acuerdo con los artículos 7 de la Orden, de 2 de diciembre de 1994, por la que se establece el procedimiento para la evaluación de la actividad investigadora en desarrollo del Real Decreto 1086/1989, de 28 de agosto, sobre retribuciones del profesorado universitario, y 3 de la Orden CNU/1181/2019, de 3 de diciembre, por la que se establecen las bases comunes para la evaluación de la actividad investigadora del personal investigador funcionario de las escalas científicas de los Organismos Públicos de Investigación de la Administración General del Estado. Además, las mencionadas órdenes indican que las aportaciones se valorarán considerando la situación general de la ciencia en España, lo que aconseja estimar que en el momento actual también pueden justificar actividad investigadora los conjuntos de datos, las metodologías, los programas de ordenador o los modelos de aprendizaje automático.</w:t>
            </w:r>
          </w:p>
        </w:tc>
      </w:tr>
      <w:tr w:rsidR="006E2065" w:rsidRPr="009278BF" w14:paraId="4576E582" w14:textId="77777777" w:rsidTr="00040822">
        <w:trPr>
          <w:trHeight w:val="1839"/>
        </w:trPr>
        <w:tc>
          <w:tcPr>
            <w:tcW w:w="2410" w:type="dxa"/>
            <w:tcBorders>
              <w:top w:val="single" w:sz="4" w:space="0" w:color="auto"/>
              <w:bottom w:val="single" w:sz="4" w:space="0" w:color="auto"/>
            </w:tcBorders>
          </w:tcPr>
          <w:p w14:paraId="2C485C8A" w14:textId="77777777" w:rsidR="006E2065" w:rsidRPr="009278BF" w:rsidRDefault="006E2065" w:rsidP="00040822">
            <w:pPr>
              <w:jc w:val="both"/>
              <w:rPr>
                <w:rFonts w:ascii="Palatino Linotype" w:hAnsi="Palatino Linotype"/>
                <w:color w:val="000000"/>
                <w:sz w:val="18"/>
                <w:szCs w:val="18"/>
              </w:rPr>
            </w:pPr>
            <w:r w:rsidRPr="00A83AC1">
              <w:rPr>
                <w:rFonts w:ascii="Palatino Linotype" w:hAnsi="Palatino Linotype"/>
                <w:color w:val="002060"/>
                <w:sz w:val="10"/>
                <w:szCs w:val="10"/>
              </w:rPr>
              <w:t>2. Las aportaciones sólo serán valorables si significan progreso real del conocimiento. No se valorarán los trabajos meramente descriptivos o las reiteraciones de trabajos previos, excepto en los casos en que contribuyan claramente a la consolidación del conocimiento.</w:t>
            </w:r>
          </w:p>
        </w:tc>
        <w:tc>
          <w:tcPr>
            <w:tcW w:w="6094" w:type="dxa"/>
            <w:tcBorders>
              <w:top w:val="single" w:sz="4" w:space="0" w:color="auto"/>
              <w:bottom w:val="single" w:sz="4" w:space="0" w:color="auto"/>
            </w:tcBorders>
          </w:tcPr>
          <w:p w14:paraId="6F12F611" w14:textId="77777777" w:rsidR="006E2065" w:rsidRPr="007373B2" w:rsidRDefault="006E2065" w:rsidP="00040822">
            <w:pPr>
              <w:jc w:val="both"/>
              <w:rPr>
                <w:rFonts w:ascii="Palatino Linotype" w:hAnsi="Palatino Linotype"/>
                <w:color w:val="002060"/>
                <w:sz w:val="11"/>
                <w:szCs w:val="11"/>
              </w:rPr>
            </w:pPr>
            <w:r w:rsidRPr="007373B2">
              <w:rPr>
                <w:rFonts w:ascii="Palatino Linotype" w:hAnsi="Palatino Linotype"/>
                <w:color w:val="002060"/>
                <w:sz w:val="11"/>
                <w:szCs w:val="11"/>
              </w:rPr>
              <w:t>2.</w:t>
            </w:r>
            <w:r w:rsidRPr="007373B2">
              <w:rPr>
                <w:rFonts w:ascii="Palatino Linotype" w:hAnsi="Palatino Linotype"/>
                <w:color w:val="002060"/>
                <w:sz w:val="11"/>
                <w:szCs w:val="11"/>
              </w:rPr>
              <w:t> </w:t>
            </w:r>
            <w:r w:rsidRPr="007373B2">
              <w:rPr>
                <w:rFonts w:ascii="Palatino Linotype" w:hAnsi="Palatino Linotype"/>
                <w:color w:val="002060"/>
                <w:sz w:val="11"/>
                <w:szCs w:val="11"/>
              </w:rPr>
              <w:t xml:space="preserve">Las aportaciones solo serán valorables si contribuyen al progreso del conocimiento </w:t>
            </w:r>
            <w:r w:rsidRPr="00A83AC1">
              <w:rPr>
                <w:rFonts w:ascii="Palatino Linotype" w:hAnsi="Palatino Linotype"/>
                <w:color w:val="FF0000"/>
                <w:sz w:val="11"/>
                <w:szCs w:val="11"/>
              </w:rPr>
              <w:t>y presentan impacto científico o social,</w:t>
            </w:r>
            <w:r w:rsidRPr="007373B2">
              <w:rPr>
                <w:rFonts w:ascii="Palatino Linotype" w:hAnsi="Palatino Linotype"/>
                <w:color w:val="002060"/>
                <w:sz w:val="11"/>
                <w:szCs w:val="11"/>
              </w:rPr>
              <w:t xml:space="preserve"> </w:t>
            </w:r>
            <w:r w:rsidRPr="00A83AC1">
              <w:rPr>
                <w:rFonts w:ascii="Palatino Linotype" w:hAnsi="Palatino Linotype"/>
                <w:color w:val="70AD47" w:themeColor="accent6"/>
                <w:sz w:val="11"/>
                <w:szCs w:val="11"/>
              </w:rPr>
              <w:t xml:space="preserve">entendido este último como los beneficios evidenciables que aporta el conocimiento más allá del ámbito académico. </w:t>
            </w:r>
            <w:r w:rsidRPr="007373B2">
              <w:rPr>
                <w:rFonts w:ascii="Palatino Linotype" w:hAnsi="Palatino Linotype"/>
                <w:color w:val="002060"/>
                <w:sz w:val="11"/>
                <w:szCs w:val="11"/>
              </w:rPr>
              <w:t xml:space="preserve">En el proceso de evaluación se aplicarán criterios y metodologías de evaluación cualitativas y cuantitativas. </w:t>
            </w:r>
            <w:r w:rsidRPr="00E630AD">
              <w:rPr>
                <w:rFonts w:ascii="Palatino Linotype" w:hAnsi="Palatino Linotype"/>
                <w:color w:val="70AD47" w:themeColor="accent6"/>
                <w:sz w:val="11"/>
                <w:szCs w:val="11"/>
              </w:rPr>
              <w:t xml:space="preserve">Para ello, se tomará como referencia la narrativa aportada por la persona solicitante en los «indicios de relevancia e impacto» de cada aportación. En este apartado de la solicitud se defenderá el impacto científico de la aportación, por ejemplo, a través de citas recibidas contextualizadas excluyendo </w:t>
            </w:r>
            <w:proofErr w:type="spellStart"/>
            <w:r w:rsidRPr="00E630AD">
              <w:rPr>
                <w:rFonts w:ascii="Palatino Linotype" w:hAnsi="Palatino Linotype"/>
                <w:color w:val="70AD47" w:themeColor="accent6"/>
                <w:sz w:val="11"/>
                <w:szCs w:val="11"/>
              </w:rPr>
              <w:t>autocitas</w:t>
            </w:r>
            <w:proofErr w:type="spellEnd"/>
            <w:r w:rsidRPr="00E630AD">
              <w:rPr>
                <w:rFonts w:ascii="Palatino Linotype" w:hAnsi="Palatino Linotype"/>
                <w:color w:val="70AD47" w:themeColor="accent6"/>
                <w:sz w:val="11"/>
                <w:szCs w:val="11"/>
              </w:rPr>
              <w:t>, de su proyección nacional e internacional, de los proyectos nacionales o internacionales que han financiado la investigación o que se han derivado de ella, del cumplimiento de estándares de ética e integridad en la investigación, de los premios recibidos, de las traducciones de la obra, entre otros</w:t>
            </w:r>
            <w:r w:rsidRPr="007373B2">
              <w:rPr>
                <w:rFonts w:ascii="Palatino Linotype" w:hAnsi="Palatino Linotype"/>
                <w:color w:val="002060"/>
                <w:sz w:val="11"/>
                <w:szCs w:val="11"/>
              </w:rPr>
              <w:t xml:space="preserve">; </w:t>
            </w:r>
            <w:r w:rsidRPr="00E630AD">
              <w:rPr>
                <w:rFonts w:ascii="Palatino Linotype" w:hAnsi="Palatino Linotype"/>
                <w:color w:val="70AD47" w:themeColor="accent6"/>
                <w:sz w:val="11"/>
                <w:szCs w:val="11"/>
              </w:rPr>
              <w:t>y/o la contribución de dicha aportación a la generación de impacto social evidenciado, por ejemplo, a través de aportaciones al diseño e implementación de políticas públicas, contribución al desarrollo de soluciones a problemas sociales, o cualquier otro aspecto que se considere relevante. En la narrativa aportada se hará un uso responsable de indicadores cuantitativos (indicadores bibliométricos normalizados, entre otros).</w:t>
            </w:r>
          </w:p>
        </w:tc>
      </w:tr>
      <w:tr w:rsidR="006E2065" w:rsidRPr="009278BF" w14:paraId="58BB0E3F" w14:textId="77777777" w:rsidTr="00040822">
        <w:trPr>
          <w:trHeight w:val="1839"/>
        </w:trPr>
        <w:tc>
          <w:tcPr>
            <w:tcW w:w="2410" w:type="dxa"/>
            <w:tcBorders>
              <w:top w:val="single" w:sz="4" w:space="0" w:color="auto"/>
              <w:bottom w:val="single" w:sz="4" w:space="0" w:color="auto"/>
            </w:tcBorders>
          </w:tcPr>
          <w:p w14:paraId="7D4F8576" w14:textId="77777777" w:rsidR="006E2065" w:rsidRPr="00911EAF" w:rsidRDefault="006E2065" w:rsidP="00040822">
            <w:pPr>
              <w:jc w:val="both"/>
              <w:rPr>
                <w:rFonts w:ascii="Palatino Linotype" w:hAnsi="Palatino Linotype"/>
                <w:color w:val="0070C0"/>
                <w:sz w:val="10"/>
                <w:szCs w:val="10"/>
              </w:rPr>
            </w:pPr>
            <w:r w:rsidRPr="0063789A">
              <w:rPr>
                <w:rFonts w:ascii="Palatino Linotype" w:hAnsi="Palatino Linotype"/>
                <w:color w:val="0070C0"/>
                <w:sz w:val="10"/>
                <w:szCs w:val="10"/>
              </w:rPr>
              <w:t xml:space="preserve">3. La indexación de una publicación en un determinado repertorio bibliográfico o base de datos inferirá la calidad científica de los trabajos que en ella se contienen y servirá de criterio orientativo para su posible evaluación positiva, si bien el mero hecho de la indexación no será el único criterio que determine la evaluación positiva de un trabajo aparecido en tal publicación, que dependerá del contenido científico. </w:t>
            </w:r>
          </w:p>
        </w:tc>
        <w:tc>
          <w:tcPr>
            <w:tcW w:w="6094" w:type="dxa"/>
            <w:tcBorders>
              <w:top w:val="single" w:sz="4" w:space="0" w:color="auto"/>
              <w:bottom w:val="single" w:sz="4" w:space="0" w:color="auto"/>
            </w:tcBorders>
          </w:tcPr>
          <w:p w14:paraId="6EC00CE1" w14:textId="77777777" w:rsidR="006E2065" w:rsidRPr="00911EAF" w:rsidRDefault="006E2065" w:rsidP="00040822">
            <w:pPr>
              <w:jc w:val="both"/>
              <w:rPr>
                <w:rFonts w:ascii="Palatino Linotype" w:hAnsi="Palatino Linotype"/>
                <w:color w:val="70AD47" w:themeColor="accent6"/>
                <w:sz w:val="11"/>
                <w:szCs w:val="11"/>
              </w:rPr>
            </w:pPr>
            <w:r w:rsidRPr="00911EAF">
              <w:rPr>
                <w:rFonts w:ascii="Palatino Linotype" w:hAnsi="Palatino Linotype"/>
                <w:color w:val="70AD47" w:themeColor="accent6"/>
                <w:sz w:val="11"/>
                <w:szCs w:val="11"/>
              </w:rPr>
              <w:t>3.</w:t>
            </w:r>
            <w:r w:rsidRPr="00911EAF">
              <w:rPr>
                <w:rFonts w:ascii="Palatino Linotype" w:hAnsi="Palatino Linotype"/>
                <w:color w:val="70AD47" w:themeColor="accent6"/>
                <w:sz w:val="11"/>
                <w:szCs w:val="11"/>
              </w:rPr>
              <w:t> </w:t>
            </w:r>
            <w:r w:rsidRPr="00911EAF">
              <w:rPr>
                <w:rFonts w:ascii="Palatino Linotype" w:hAnsi="Palatino Linotype"/>
                <w:color w:val="70AD47" w:themeColor="accent6"/>
                <w:sz w:val="11"/>
                <w:szCs w:val="11"/>
              </w:rPr>
              <w:t xml:space="preserve">De acuerdo con el artículo 11.7 de la Ley Orgánica 2/2023, de 22 de marzo, del Sistema Universitario, en todos los campos se valorarán positivamente los resultados de investigaciones multidisciplinares e interdisciplinares, como vías con las que responder a la complejidad creciente de los retos que enfrentamos como sociedad. </w:t>
            </w:r>
          </w:p>
        </w:tc>
      </w:tr>
      <w:tr w:rsidR="006E2065" w:rsidRPr="009278BF" w14:paraId="2C484178" w14:textId="77777777" w:rsidTr="00040822">
        <w:trPr>
          <w:trHeight w:val="1839"/>
        </w:trPr>
        <w:tc>
          <w:tcPr>
            <w:tcW w:w="2410" w:type="dxa"/>
            <w:tcBorders>
              <w:top w:val="single" w:sz="4" w:space="0" w:color="auto"/>
              <w:bottom w:val="single" w:sz="4" w:space="0" w:color="auto"/>
            </w:tcBorders>
          </w:tcPr>
          <w:p w14:paraId="1B1E6021" w14:textId="77777777" w:rsidR="006E2065" w:rsidRPr="00911EAF" w:rsidRDefault="006E2065" w:rsidP="00040822">
            <w:pPr>
              <w:jc w:val="both"/>
              <w:rPr>
                <w:rFonts w:ascii="Palatino Linotype" w:hAnsi="Palatino Linotype"/>
                <w:color w:val="0070C0"/>
                <w:sz w:val="10"/>
                <w:szCs w:val="10"/>
              </w:rPr>
            </w:pPr>
            <w:r w:rsidRPr="00911EAF">
              <w:rPr>
                <w:rFonts w:ascii="Palatino Linotype" w:hAnsi="Palatino Linotype"/>
                <w:color w:val="0070C0"/>
                <w:sz w:val="10"/>
                <w:szCs w:val="10"/>
              </w:rPr>
              <w:t xml:space="preserve">4. Entre otros posibles criterios, se considerará que una publicación está debidamente indexada cuando disponga de los siguientes elementos: tener identificados a sus comités editoriales y científicos; contener trabajos inéditos; instruir a las/os autoras/es acerca de la formalización del trabajo para su publicación; que los trabajos se acompañen de un resumen, con palabras clave; que la publicación de la revista se realice de forma periódica; que exista un consejo asesor formado por profesionales y personas expertas, sin vinculación con la revista o editorial, para revisión de los manuscritos remitidos, razonando en un informe correspondiente su admisión o rechazo; que el medio de publicación sea utilizado por la comunidad científica, tal y como se especifica en el punto B del Apéndice de la presente resolución. </w:t>
            </w:r>
          </w:p>
          <w:p w14:paraId="775A9246" w14:textId="77777777" w:rsidR="006E2065" w:rsidRPr="0063789A" w:rsidRDefault="006E2065" w:rsidP="00040822">
            <w:pPr>
              <w:jc w:val="both"/>
              <w:rPr>
                <w:rFonts w:ascii="Palatino Linotype" w:hAnsi="Palatino Linotype"/>
                <w:color w:val="0070C0"/>
                <w:sz w:val="10"/>
                <w:szCs w:val="10"/>
              </w:rPr>
            </w:pPr>
          </w:p>
        </w:tc>
        <w:tc>
          <w:tcPr>
            <w:tcW w:w="6094" w:type="dxa"/>
            <w:tcBorders>
              <w:top w:val="single" w:sz="4" w:space="0" w:color="auto"/>
              <w:bottom w:val="single" w:sz="4" w:space="0" w:color="auto"/>
            </w:tcBorders>
          </w:tcPr>
          <w:p w14:paraId="68AA81C9" w14:textId="77777777" w:rsidR="006E2065" w:rsidRDefault="006E2065" w:rsidP="00040822">
            <w:pPr>
              <w:jc w:val="both"/>
              <w:rPr>
                <w:rFonts w:ascii="Palatino Linotype" w:hAnsi="Palatino Linotype"/>
                <w:color w:val="002060"/>
                <w:sz w:val="11"/>
                <w:szCs w:val="11"/>
              </w:rPr>
            </w:pPr>
            <w:r w:rsidRPr="002004AA">
              <w:rPr>
                <w:rFonts w:ascii="Palatino Linotype" w:hAnsi="Palatino Linotype"/>
                <w:color w:val="002060"/>
                <w:sz w:val="11"/>
                <w:szCs w:val="11"/>
              </w:rPr>
              <w:t>4.</w:t>
            </w:r>
            <w:r w:rsidRPr="002004AA">
              <w:rPr>
                <w:rFonts w:ascii="Palatino Linotype" w:hAnsi="Palatino Linotype"/>
                <w:color w:val="002060"/>
                <w:sz w:val="11"/>
                <w:szCs w:val="11"/>
              </w:rPr>
              <w:t> </w:t>
            </w:r>
            <w:r w:rsidRPr="0063789A">
              <w:rPr>
                <w:rFonts w:ascii="Palatino Linotype" w:hAnsi="Palatino Linotype"/>
                <w:color w:val="70AD47" w:themeColor="accent6"/>
                <w:sz w:val="11"/>
                <w:szCs w:val="11"/>
              </w:rPr>
              <w:t>De acuerdo con el artículo 11.5 de la Ley Orgánica 2/2023, de 22 de marzo, se promoverá la investigación en las lenguas oficiales de los territorios, razón por la que las aportaciones en español o en otras lenguas cooficiales no podrá considerarse un demérito, máxime cuando su utilización en distintos campos científicos evidencie la coherencia y el compromiso que son exigibles con las realidades objeto de estudio. Además, de acuerdo con el principio de internacionalización establecido en el artículo 4 de la Ley 14/2011, de 1 de junio, de la Ciencia, la Tecnología y la Innovación, tampoco podrá considerarse un demérito la presentación de aportaciones en la lengua oficial del país en el que se realizó la misma</w:t>
            </w:r>
          </w:p>
          <w:p w14:paraId="7041EDAF" w14:textId="77777777" w:rsidR="006E2065" w:rsidRPr="00911EAF" w:rsidRDefault="006E2065" w:rsidP="00040822">
            <w:pPr>
              <w:jc w:val="both"/>
              <w:rPr>
                <w:rFonts w:ascii="Palatino Linotype" w:hAnsi="Palatino Linotype"/>
                <w:color w:val="70AD47" w:themeColor="accent6"/>
                <w:sz w:val="11"/>
                <w:szCs w:val="11"/>
              </w:rPr>
            </w:pPr>
          </w:p>
        </w:tc>
      </w:tr>
      <w:tr w:rsidR="006E2065" w:rsidRPr="009278BF" w14:paraId="4BA32FA1" w14:textId="77777777" w:rsidTr="00040822">
        <w:trPr>
          <w:trHeight w:val="708"/>
        </w:trPr>
        <w:tc>
          <w:tcPr>
            <w:tcW w:w="2410" w:type="dxa"/>
            <w:tcBorders>
              <w:top w:val="single" w:sz="4" w:space="0" w:color="auto"/>
              <w:bottom w:val="single" w:sz="4" w:space="0" w:color="auto"/>
            </w:tcBorders>
          </w:tcPr>
          <w:p w14:paraId="6B046BD6" w14:textId="77777777" w:rsidR="006E2065" w:rsidRPr="00911EAF" w:rsidRDefault="006E2065" w:rsidP="00040822">
            <w:pPr>
              <w:jc w:val="both"/>
              <w:rPr>
                <w:rFonts w:ascii="Palatino Linotype" w:hAnsi="Palatino Linotype"/>
                <w:color w:val="0070C0"/>
                <w:sz w:val="10"/>
                <w:szCs w:val="10"/>
              </w:rPr>
            </w:pPr>
            <w:r w:rsidRPr="00911EAF">
              <w:rPr>
                <w:rFonts w:ascii="Palatino Linotype" w:hAnsi="Palatino Linotype"/>
                <w:color w:val="0070C0"/>
                <w:sz w:val="10"/>
                <w:szCs w:val="10"/>
              </w:rPr>
              <w:t xml:space="preserve">5. Para que una aportación sea considerada, la persona solicitante deberá haber participado activamente en los trabajos que le dieron origen, concretando su aportación específica a los mismos en los casos de </w:t>
            </w:r>
            <w:proofErr w:type="spellStart"/>
            <w:r w:rsidRPr="00911EAF">
              <w:rPr>
                <w:rFonts w:ascii="Palatino Linotype" w:hAnsi="Palatino Linotype"/>
                <w:color w:val="0070C0"/>
                <w:sz w:val="10"/>
                <w:szCs w:val="10"/>
              </w:rPr>
              <w:t>multiautoría</w:t>
            </w:r>
            <w:proofErr w:type="spellEnd"/>
            <w:r w:rsidRPr="00911EAF">
              <w:rPr>
                <w:rFonts w:ascii="Palatino Linotype" w:hAnsi="Palatino Linotype"/>
                <w:color w:val="0070C0"/>
                <w:sz w:val="10"/>
                <w:szCs w:val="10"/>
              </w:rPr>
              <w:t xml:space="preserve">. </w:t>
            </w:r>
          </w:p>
          <w:p w14:paraId="23A9E961" w14:textId="77777777" w:rsidR="006E2065" w:rsidRPr="00911EAF" w:rsidRDefault="006E2065" w:rsidP="00040822">
            <w:pPr>
              <w:jc w:val="both"/>
              <w:rPr>
                <w:rFonts w:ascii="Palatino Linotype" w:hAnsi="Palatino Linotype"/>
                <w:color w:val="0070C0"/>
                <w:sz w:val="10"/>
                <w:szCs w:val="10"/>
              </w:rPr>
            </w:pPr>
          </w:p>
        </w:tc>
        <w:tc>
          <w:tcPr>
            <w:tcW w:w="6094" w:type="dxa"/>
            <w:tcBorders>
              <w:top w:val="single" w:sz="4" w:space="0" w:color="auto"/>
              <w:bottom w:val="single" w:sz="4" w:space="0" w:color="auto"/>
            </w:tcBorders>
          </w:tcPr>
          <w:p w14:paraId="486AF2CC" w14:textId="77777777" w:rsidR="006E2065" w:rsidRDefault="006E2065" w:rsidP="00040822">
            <w:pPr>
              <w:jc w:val="both"/>
              <w:rPr>
                <w:rFonts w:ascii="Palatino Linotype" w:hAnsi="Palatino Linotype"/>
                <w:color w:val="70AD47" w:themeColor="accent6"/>
                <w:sz w:val="11"/>
                <w:szCs w:val="11"/>
              </w:rPr>
            </w:pPr>
            <w:r w:rsidRPr="002004AA">
              <w:rPr>
                <w:rFonts w:ascii="Palatino Linotype" w:hAnsi="Palatino Linotype"/>
                <w:color w:val="002060"/>
                <w:sz w:val="11"/>
                <w:szCs w:val="11"/>
              </w:rPr>
              <w:t>5.</w:t>
            </w:r>
            <w:r w:rsidRPr="002004AA">
              <w:rPr>
                <w:rFonts w:ascii="Palatino Linotype" w:hAnsi="Palatino Linotype"/>
                <w:color w:val="002060"/>
                <w:sz w:val="11"/>
                <w:szCs w:val="11"/>
              </w:rPr>
              <w:t> </w:t>
            </w:r>
            <w:r w:rsidRPr="00911EAF">
              <w:rPr>
                <w:rFonts w:ascii="Palatino Linotype" w:hAnsi="Palatino Linotype"/>
                <w:color w:val="70AD47" w:themeColor="accent6"/>
                <w:sz w:val="11"/>
                <w:szCs w:val="11"/>
              </w:rPr>
              <w:t xml:space="preserve">De acuerdo con el artículo 37 de la Ley 14/2011, de 1 de junio, y el artículo 12 de la Ley Orgánica 2/2023, de 22 de marzo, se requerirá el depósito de los resultados de la investigación que se sometan a evaluación en repositorios institucionales, temáticos o generalistas de acceso abierto, incluyendo un identificador persistente (DOI, </w:t>
            </w:r>
            <w:proofErr w:type="spellStart"/>
            <w:r w:rsidRPr="00911EAF">
              <w:rPr>
                <w:rFonts w:ascii="Palatino Linotype" w:hAnsi="Palatino Linotype"/>
                <w:color w:val="70AD47" w:themeColor="accent6"/>
                <w:sz w:val="11"/>
                <w:szCs w:val="11"/>
              </w:rPr>
              <w:t>Handle</w:t>
            </w:r>
            <w:proofErr w:type="spellEnd"/>
            <w:r w:rsidRPr="00911EAF">
              <w:rPr>
                <w:rFonts w:ascii="Palatino Linotype" w:hAnsi="Palatino Linotype"/>
                <w:color w:val="70AD47" w:themeColor="accent6"/>
                <w:sz w:val="11"/>
                <w:szCs w:val="11"/>
              </w:rPr>
              <w:t xml:space="preserve">, ARK, SWHID, o, en general, una URI/URL única permanente). En el caso de las publicaciones académicas, sean en formato artículo, libro o capítulo de libro, las personas solicitantes deberán aportar evidencia de haber depositado una copia de la versión final de la aportación aceptada para publicación en un repositorio de su institución o en un repositorio temático o generalista de acceso abierto. El depósito podrá hacerse en acceso abierto, acceso restringido, embargado o con acceso solo a los metadatos, respetando en todos los casos la gestión de derechos de autoría amparada por el marco legal vigente en el momento de la publicación. Los conjuntos de datos que se sometan a evaluación deberán cumplir con los principios FAIR (fáciles de encontrar, accesibles, interoperables y reutilizables) y, siempre que sea posible, se difundirán en acceso abierto en repositorios o infraestructuras de datos de confianza. Por último, en el caso de los programas de ordenador, se valorarán las contribuciones relevantes a programas distribuidos como software libre, entendiendo como tal aquel que cumpla la definición publicada por la Open </w:t>
            </w:r>
            <w:proofErr w:type="spellStart"/>
            <w:r w:rsidRPr="00911EAF">
              <w:rPr>
                <w:rFonts w:ascii="Palatino Linotype" w:hAnsi="Palatino Linotype"/>
                <w:color w:val="70AD47" w:themeColor="accent6"/>
                <w:sz w:val="11"/>
                <w:szCs w:val="11"/>
              </w:rPr>
              <w:t>Source</w:t>
            </w:r>
            <w:proofErr w:type="spellEnd"/>
            <w:r w:rsidRPr="00911EAF">
              <w:rPr>
                <w:rFonts w:ascii="Palatino Linotype" w:hAnsi="Palatino Linotype"/>
                <w:color w:val="70AD47" w:themeColor="accent6"/>
                <w:sz w:val="11"/>
                <w:szCs w:val="11"/>
              </w:rPr>
              <w:t xml:space="preserve"> </w:t>
            </w:r>
            <w:proofErr w:type="spellStart"/>
            <w:r w:rsidRPr="00911EAF">
              <w:rPr>
                <w:rFonts w:ascii="Palatino Linotype" w:hAnsi="Palatino Linotype"/>
                <w:color w:val="70AD47" w:themeColor="accent6"/>
                <w:sz w:val="11"/>
                <w:szCs w:val="11"/>
              </w:rPr>
              <w:t>Initiative</w:t>
            </w:r>
            <w:proofErr w:type="spellEnd"/>
            <w:r w:rsidRPr="00911EAF">
              <w:rPr>
                <w:rFonts w:ascii="Palatino Linotype" w:hAnsi="Palatino Linotype"/>
                <w:color w:val="70AD47" w:themeColor="accent6"/>
                <w:sz w:val="11"/>
                <w:szCs w:val="11"/>
              </w:rPr>
              <w:t xml:space="preserve"> (https://opensource.org/osd/) y que, por tanto, esté protegido por alguna de las licencias aprobadas por este organismo (https:// opensource.org/</w:t>
            </w:r>
            <w:proofErr w:type="spellStart"/>
            <w:r w:rsidRPr="00911EAF">
              <w:rPr>
                <w:rFonts w:ascii="Palatino Linotype" w:hAnsi="Palatino Linotype"/>
                <w:color w:val="70AD47" w:themeColor="accent6"/>
                <w:sz w:val="11"/>
                <w:szCs w:val="11"/>
              </w:rPr>
              <w:t>licences</w:t>
            </w:r>
            <w:proofErr w:type="spellEnd"/>
            <w:r w:rsidRPr="00911EAF">
              <w:rPr>
                <w:rFonts w:ascii="Palatino Linotype" w:hAnsi="Palatino Linotype"/>
                <w:color w:val="70AD47" w:themeColor="accent6"/>
                <w:sz w:val="11"/>
                <w:szCs w:val="11"/>
              </w:rPr>
              <w:t>/).</w:t>
            </w:r>
          </w:p>
          <w:p w14:paraId="49F15DAA" w14:textId="77777777" w:rsidR="006E2065" w:rsidRPr="00911EAF" w:rsidRDefault="006E2065" w:rsidP="00040822">
            <w:pPr>
              <w:jc w:val="both"/>
              <w:rPr>
                <w:rFonts w:ascii="Palatino Linotype" w:hAnsi="Palatino Linotype"/>
                <w:color w:val="70AD47" w:themeColor="accent6"/>
                <w:sz w:val="11"/>
                <w:szCs w:val="11"/>
              </w:rPr>
            </w:pPr>
            <w:r w:rsidRPr="002004AA">
              <w:rPr>
                <w:rFonts w:ascii="Palatino Linotype" w:hAnsi="Palatino Linotype"/>
                <w:color w:val="002060"/>
                <w:sz w:val="11"/>
                <w:szCs w:val="11"/>
              </w:rPr>
              <w:t>6.</w:t>
            </w:r>
            <w:r w:rsidRPr="002004AA">
              <w:rPr>
                <w:rFonts w:ascii="Palatino Linotype" w:hAnsi="Palatino Linotype"/>
                <w:color w:val="002060"/>
                <w:sz w:val="11"/>
                <w:szCs w:val="11"/>
              </w:rPr>
              <w:t> </w:t>
            </w:r>
            <w:r w:rsidRPr="00911EAF">
              <w:rPr>
                <w:rFonts w:ascii="Palatino Linotype" w:hAnsi="Palatino Linotype"/>
                <w:color w:val="FF0000"/>
                <w:sz w:val="11"/>
                <w:szCs w:val="11"/>
              </w:rPr>
              <w:t xml:space="preserve">Para que una aportación sea considerada, la persona solicitante deberá haber participado activamente en los trabajos que le dieron origen, concretando su aportación específica a los mismos en los casos de </w:t>
            </w:r>
            <w:r w:rsidRPr="00911EAF">
              <w:rPr>
                <w:rFonts w:ascii="Palatino Linotype" w:hAnsi="Palatino Linotype"/>
                <w:color w:val="70AD47" w:themeColor="accent6"/>
                <w:sz w:val="11"/>
                <w:szCs w:val="11"/>
              </w:rPr>
              <w:t xml:space="preserve">coautoría o autoría múltiple. En el caso de las publicaciones esta información deberá aportarse de acuerdo con la taxonomía </w:t>
            </w:r>
            <w:proofErr w:type="spellStart"/>
            <w:r w:rsidRPr="00911EAF">
              <w:rPr>
                <w:rFonts w:ascii="Palatino Linotype" w:hAnsi="Palatino Linotype"/>
                <w:color w:val="70AD47" w:themeColor="accent6"/>
                <w:sz w:val="11"/>
                <w:szCs w:val="11"/>
              </w:rPr>
              <w:t>CRediT</w:t>
            </w:r>
            <w:proofErr w:type="spellEnd"/>
            <w:r w:rsidRPr="00911EAF">
              <w:rPr>
                <w:rFonts w:ascii="Palatino Linotype" w:hAnsi="Palatino Linotype"/>
                <w:color w:val="70AD47" w:themeColor="accent6"/>
                <w:sz w:val="11"/>
                <w:szCs w:val="11"/>
              </w:rPr>
              <w:t xml:space="preserve"> (</w:t>
            </w:r>
            <w:proofErr w:type="spellStart"/>
            <w:r w:rsidRPr="00911EAF">
              <w:rPr>
                <w:rFonts w:ascii="Palatino Linotype" w:hAnsi="Palatino Linotype"/>
                <w:color w:val="70AD47" w:themeColor="accent6"/>
                <w:sz w:val="11"/>
                <w:szCs w:val="11"/>
              </w:rPr>
              <w:t>Contributor</w:t>
            </w:r>
            <w:proofErr w:type="spellEnd"/>
            <w:r w:rsidRPr="00911EAF">
              <w:rPr>
                <w:rFonts w:ascii="Palatino Linotype" w:hAnsi="Palatino Linotype"/>
                <w:color w:val="70AD47" w:themeColor="accent6"/>
                <w:sz w:val="11"/>
                <w:szCs w:val="11"/>
              </w:rPr>
              <w:t xml:space="preserve"> Roles </w:t>
            </w:r>
            <w:proofErr w:type="spellStart"/>
            <w:r w:rsidRPr="00911EAF">
              <w:rPr>
                <w:rFonts w:ascii="Palatino Linotype" w:hAnsi="Palatino Linotype"/>
                <w:color w:val="70AD47" w:themeColor="accent6"/>
                <w:sz w:val="11"/>
                <w:szCs w:val="11"/>
              </w:rPr>
              <w:t>Taxonomy</w:t>
            </w:r>
            <w:proofErr w:type="spellEnd"/>
            <w:r w:rsidRPr="00911EAF">
              <w:rPr>
                <w:rFonts w:ascii="Palatino Linotype" w:hAnsi="Palatino Linotype"/>
                <w:color w:val="70AD47" w:themeColor="accent6"/>
                <w:sz w:val="11"/>
                <w:szCs w:val="11"/>
              </w:rPr>
              <w:t xml:space="preserve">, https://credit.niso.org), o bien, si la publicación no requiere esta información o se presenta otro tipo de aportación, deberá incluirse en la narrativa de la solicitud tomando como referencia preferentemente esta taxonomía. Asimismo, en su caso, deberá declararse el uso de Inteligencia Artificial generativa, siempre que afecte al contenido original de la aportación. </w:t>
            </w:r>
          </w:p>
        </w:tc>
      </w:tr>
      <w:tr w:rsidR="006E2065" w:rsidRPr="009278BF" w14:paraId="4AD22CE3" w14:textId="77777777" w:rsidTr="00040822">
        <w:trPr>
          <w:trHeight w:val="1839"/>
        </w:trPr>
        <w:tc>
          <w:tcPr>
            <w:tcW w:w="2410" w:type="dxa"/>
            <w:tcBorders>
              <w:top w:val="single" w:sz="4" w:space="0" w:color="auto"/>
              <w:bottom w:val="single" w:sz="4" w:space="0" w:color="auto"/>
            </w:tcBorders>
          </w:tcPr>
          <w:p w14:paraId="4E670A68" w14:textId="77777777" w:rsidR="006E2065" w:rsidRPr="00006E51" w:rsidRDefault="006E2065" w:rsidP="00040822">
            <w:pPr>
              <w:jc w:val="both"/>
              <w:rPr>
                <w:rFonts w:ascii="Palatino Linotype" w:hAnsi="Palatino Linotype"/>
                <w:color w:val="0070C0"/>
                <w:sz w:val="11"/>
                <w:szCs w:val="11"/>
              </w:rPr>
            </w:pPr>
            <w:r w:rsidRPr="00006E51">
              <w:rPr>
                <w:rFonts w:ascii="Palatino Linotype" w:hAnsi="Palatino Linotype"/>
                <w:color w:val="0070C0"/>
                <w:sz w:val="11"/>
                <w:szCs w:val="11"/>
              </w:rPr>
              <w:lastRenderedPageBreak/>
              <w:t xml:space="preserve">6. Todas las aportaciones deberán estar publicadas en los años que se someten a evaluación. No se tendrán en cuenta las publicaciones aceptadas o que se encuentren en proceso de edición y, por tanto, no efectivamente publicadas en esos años. La existencia de un identificador «DOI» (Digital </w:t>
            </w:r>
            <w:proofErr w:type="spellStart"/>
            <w:r w:rsidRPr="00006E51">
              <w:rPr>
                <w:rFonts w:ascii="Palatino Linotype" w:hAnsi="Palatino Linotype"/>
                <w:color w:val="0070C0"/>
                <w:sz w:val="11"/>
                <w:szCs w:val="11"/>
              </w:rPr>
              <w:t>Object</w:t>
            </w:r>
            <w:proofErr w:type="spellEnd"/>
            <w:r w:rsidRPr="00006E51">
              <w:rPr>
                <w:rFonts w:ascii="Palatino Linotype" w:hAnsi="Palatino Linotype"/>
                <w:color w:val="0070C0"/>
                <w:sz w:val="11"/>
                <w:szCs w:val="11"/>
              </w:rPr>
              <w:t xml:space="preserve"> </w:t>
            </w:r>
            <w:proofErr w:type="spellStart"/>
            <w:r w:rsidRPr="00006E51">
              <w:rPr>
                <w:rFonts w:ascii="Palatino Linotype" w:hAnsi="Palatino Linotype"/>
                <w:color w:val="0070C0"/>
                <w:sz w:val="11"/>
                <w:szCs w:val="11"/>
              </w:rPr>
              <w:t>Identifier</w:t>
            </w:r>
            <w:proofErr w:type="spellEnd"/>
            <w:r w:rsidRPr="00006E51">
              <w:rPr>
                <w:rFonts w:ascii="Palatino Linotype" w:hAnsi="Palatino Linotype"/>
                <w:color w:val="0070C0"/>
                <w:sz w:val="11"/>
                <w:szCs w:val="11"/>
              </w:rPr>
              <w:t xml:space="preserve">) asociado a una publicación con edición digital e impresa no significa que el artículo esté ya publicado en ese segundo formato, teniéndose por válidas y definitivas a estos efectos únicamente las fechas que figuren en el volumen impreso por poder existir diferencias en la datación de una y otra versión. </w:t>
            </w:r>
          </w:p>
          <w:p w14:paraId="6207063B" w14:textId="77777777" w:rsidR="006E2065" w:rsidRPr="00A83AC1" w:rsidRDefault="006E2065" w:rsidP="00040822">
            <w:pPr>
              <w:jc w:val="both"/>
              <w:rPr>
                <w:rFonts w:ascii="Palatino Linotype" w:hAnsi="Palatino Linotype"/>
                <w:color w:val="0070C0"/>
                <w:sz w:val="13"/>
                <w:szCs w:val="13"/>
              </w:rPr>
            </w:pPr>
          </w:p>
        </w:tc>
        <w:tc>
          <w:tcPr>
            <w:tcW w:w="6094" w:type="dxa"/>
            <w:tcBorders>
              <w:top w:val="single" w:sz="4" w:space="0" w:color="auto"/>
              <w:bottom w:val="single" w:sz="4" w:space="0" w:color="auto"/>
            </w:tcBorders>
          </w:tcPr>
          <w:p w14:paraId="4286E617" w14:textId="77777777" w:rsidR="006E2065" w:rsidRDefault="006E2065" w:rsidP="00040822">
            <w:pPr>
              <w:jc w:val="both"/>
              <w:rPr>
                <w:rFonts w:ascii="Palatino Linotype" w:hAnsi="Palatino Linotype"/>
                <w:color w:val="002060"/>
                <w:sz w:val="11"/>
                <w:szCs w:val="11"/>
              </w:rPr>
            </w:pPr>
            <w:r w:rsidRPr="002004AA">
              <w:rPr>
                <w:rFonts w:ascii="Palatino Linotype" w:hAnsi="Palatino Linotype"/>
                <w:color w:val="002060"/>
                <w:sz w:val="11"/>
                <w:szCs w:val="11"/>
              </w:rPr>
              <w:t>8.</w:t>
            </w:r>
            <w:r w:rsidRPr="002004AA">
              <w:rPr>
                <w:rFonts w:ascii="Palatino Linotype" w:hAnsi="Palatino Linotype"/>
                <w:color w:val="002060"/>
                <w:sz w:val="11"/>
                <w:szCs w:val="11"/>
              </w:rPr>
              <w:t> </w:t>
            </w:r>
            <w:r w:rsidRPr="00911EAF">
              <w:rPr>
                <w:rFonts w:ascii="Palatino Linotype" w:hAnsi="Palatino Linotype"/>
                <w:color w:val="FF0000"/>
                <w:sz w:val="11"/>
                <w:szCs w:val="11"/>
              </w:rPr>
              <w:t xml:space="preserve">Todas las aportaciones deberán estar publicadas </w:t>
            </w:r>
            <w:r w:rsidRPr="00911EAF">
              <w:rPr>
                <w:rFonts w:ascii="Palatino Linotype" w:hAnsi="Palatino Linotype"/>
                <w:color w:val="70AD47" w:themeColor="accent6"/>
                <w:sz w:val="11"/>
                <w:szCs w:val="11"/>
              </w:rPr>
              <w:t>o registradas, según la tipología a la que pertenezcan</w:t>
            </w:r>
            <w:r w:rsidRPr="002004AA">
              <w:rPr>
                <w:rFonts w:ascii="Palatino Linotype" w:hAnsi="Palatino Linotype"/>
                <w:color w:val="002060"/>
                <w:sz w:val="11"/>
                <w:szCs w:val="11"/>
              </w:rPr>
              <w:t xml:space="preserve">, </w:t>
            </w:r>
            <w:r w:rsidRPr="00911EAF">
              <w:rPr>
                <w:rFonts w:ascii="Palatino Linotype" w:hAnsi="Palatino Linotype"/>
                <w:color w:val="FF0000"/>
                <w:sz w:val="11"/>
                <w:szCs w:val="11"/>
              </w:rPr>
              <w:t>en los años que se someten a evaluación,</w:t>
            </w:r>
            <w:r w:rsidRPr="002004AA">
              <w:rPr>
                <w:rFonts w:ascii="Palatino Linotype" w:hAnsi="Palatino Linotype"/>
                <w:color w:val="002060"/>
                <w:sz w:val="11"/>
                <w:szCs w:val="11"/>
              </w:rPr>
              <w:t xml:space="preserve"> </w:t>
            </w:r>
            <w:r w:rsidRPr="00911EAF">
              <w:rPr>
                <w:rFonts w:ascii="Palatino Linotype" w:hAnsi="Palatino Linotype"/>
                <w:color w:val="70AD47" w:themeColor="accent6"/>
                <w:sz w:val="11"/>
                <w:szCs w:val="11"/>
              </w:rPr>
              <w:t>ya sea de forma definitiva o, en el caso de las revistas científicas, una vez aceptadas y publicadas en los nuevos sistemas conocidos como publicación continua (</w:t>
            </w:r>
            <w:proofErr w:type="spellStart"/>
            <w:r w:rsidRPr="00911EAF">
              <w:rPr>
                <w:rFonts w:ascii="Palatino Linotype" w:hAnsi="Palatino Linotype"/>
                <w:color w:val="70AD47" w:themeColor="accent6"/>
                <w:sz w:val="11"/>
                <w:szCs w:val="11"/>
              </w:rPr>
              <w:t>forthcoming</w:t>
            </w:r>
            <w:proofErr w:type="spellEnd"/>
            <w:r w:rsidRPr="00911EAF">
              <w:rPr>
                <w:rFonts w:ascii="Palatino Linotype" w:hAnsi="Palatino Linotype"/>
                <w:color w:val="70AD47" w:themeColor="accent6"/>
                <w:sz w:val="11"/>
                <w:szCs w:val="11"/>
              </w:rPr>
              <w:t xml:space="preserve">, online </w:t>
            </w:r>
            <w:proofErr w:type="spellStart"/>
            <w:r w:rsidRPr="00911EAF">
              <w:rPr>
                <w:rFonts w:ascii="Palatino Linotype" w:hAnsi="Palatino Linotype"/>
                <w:color w:val="70AD47" w:themeColor="accent6"/>
                <w:sz w:val="11"/>
                <w:szCs w:val="11"/>
              </w:rPr>
              <w:t>first</w:t>
            </w:r>
            <w:proofErr w:type="spellEnd"/>
            <w:r w:rsidRPr="00911EAF">
              <w:rPr>
                <w:rFonts w:ascii="Palatino Linotype" w:hAnsi="Palatino Linotype"/>
                <w:color w:val="70AD47" w:themeColor="accent6"/>
                <w:sz w:val="11"/>
                <w:szCs w:val="11"/>
              </w:rPr>
              <w:t xml:space="preserve">, in </w:t>
            </w:r>
            <w:proofErr w:type="spellStart"/>
            <w:r w:rsidRPr="00911EAF">
              <w:rPr>
                <w:rFonts w:ascii="Palatino Linotype" w:hAnsi="Palatino Linotype"/>
                <w:color w:val="70AD47" w:themeColor="accent6"/>
                <w:sz w:val="11"/>
                <w:szCs w:val="11"/>
              </w:rPr>
              <w:t>press</w:t>
            </w:r>
            <w:proofErr w:type="spellEnd"/>
            <w:r w:rsidRPr="00911EAF">
              <w:rPr>
                <w:rFonts w:ascii="Palatino Linotype" w:hAnsi="Palatino Linotype"/>
                <w:color w:val="70AD47" w:themeColor="accent6"/>
                <w:sz w:val="11"/>
                <w:szCs w:val="11"/>
              </w:rPr>
              <w:t xml:space="preserve">, etc.), con la obligatoriedad de presentar el identificador persistente (DOI, </w:t>
            </w:r>
            <w:proofErr w:type="spellStart"/>
            <w:r w:rsidRPr="00911EAF">
              <w:rPr>
                <w:rFonts w:ascii="Palatino Linotype" w:hAnsi="Palatino Linotype"/>
                <w:color w:val="70AD47" w:themeColor="accent6"/>
                <w:sz w:val="11"/>
                <w:szCs w:val="11"/>
              </w:rPr>
              <w:t>Handle</w:t>
            </w:r>
            <w:proofErr w:type="spellEnd"/>
            <w:r w:rsidRPr="00911EAF">
              <w:rPr>
                <w:rFonts w:ascii="Palatino Linotype" w:hAnsi="Palatino Linotype"/>
                <w:color w:val="70AD47" w:themeColor="accent6"/>
                <w:sz w:val="11"/>
                <w:szCs w:val="11"/>
              </w:rPr>
              <w:t>, ARK, SWHID o, en general, una URI/URL única permanente) de dicha publicación. En el caso de las contribuciones a programas de ordenador y de los modelos de aprendizaje automático deberán haber tenido lugar durante los años que se sometan a evaluación</w:t>
            </w:r>
            <w:r w:rsidRPr="00911EAF">
              <w:rPr>
                <w:rFonts w:ascii="Palatino Linotype" w:hAnsi="Palatino Linotype"/>
                <w:color w:val="FFC000"/>
                <w:sz w:val="11"/>
                <w:szCs w:val="11"/>
              </w:rPr>
              <w:t xml:space="preserve">. </w:t>
            </w:r>
          </w:p>
          <w:p w14:paraId="4C35E655" w14:textId="77777777" w:rsidR="006E2065" w:rsidRPr="002004AA" w:rsidRDefault="006E2065" w:rsidP="00040822">
            <w:pPr>
              <w:jc w:val="both"/>
              <w:rPr>
                <w:rFonts w:ascii="Palatino Linotype" w:hAnsi="Palatino Linotype"/>
                <w:color w:val="002060"/>
                <w:sz w:val="11"/>
                <w:szCs w:val="11"/>
              </w:rPr>
            </w:pPr>
          </w:p>
        </w:tc>
      </w:tr>
      <w:tr w:rsidR="006E2065" w:rsidRPr="009278BF" w14:paraId="520663EE" w14:textId="77777777" w:rsidTr="00040822">
        <w:trPr>
          <w:trHeight w:val="1930"/>
        </w:trPr>
        <w:tc>
          <w:tcPr>
            <w:tcW w:w="2410" w:type="dxa"/>
            <w:tcBorders>
              <w:top w:val="single" w:sz="4" w:space="0" w:color="auto"/>
              <w:bottom w:val="single" w:sz="4" w:space="0" w:color="auto"/>
            </w:tcBorders>
          </w:tcPr>
          <w:p w14:paraId="7C10CA6A" w14:textId="77777777" w:rsidR="006E2065" w:rsidRPr="00006E51" w:rsidRDefault="006E2065" w:rsidP="00040822">
            <w:pPr>
              <w:jc w:val="both"/>
              <w:rPr>
                <w:rFonts w:ascii="Palatino Linotype" w:hAnsi="Palatino Linotype"/>
                <w:color w:val="0070C0"/>
                <w:sz w:val="11"/>
                <w:szCs w:val="11"/>
              </w:rPr>
            </w:pPr>
            <w:r w:rsidRPr="00006E51">
              <w:rPr>
                <w:rFonts w:ascii="Palatino Linotype" w:hAnsi="Palatino Linotype"/>
                <w:color w:val="0070C0"/>
                <w:sz w:val="11"/>
                <w:szCs w:val="11"/>
              </w:rPr>
              <w:t xml:space="preserve">7. Las evaluaciones únicas solicitadas, en aplicación de lo establecido en la disposición transitoria tercera del Real Decreto 1086/1989, de 28 de agosto, se valorarán ajustando, de ser preciso, los criterios que se detallan a continuación al estado de la ciencia en España en los años en que se realizaron los trabajos. </w:t>
            </w:r>
          </w:p>
          <w:p w14:paraId="2B324F6D" w14:textId="77777777" w:rsidR="006E2065" w:rsidRDefault="006E2065" w:rsidP="00040822">
            <w:pPr>
              <w:jc w:val="both"/>
              <w:rPr>
                <w:rFonts w:ascii="Palatino Linotype" w:hAnsi="Palatino Linotype"/>
                <w:color w:val="0070C0"/>
                <w:sz w:val="13"/>
                <w:szCs w:val="13"/>
              </w:rPr>
            </w:pPr>
          </w:p>
        </w:tc>
        <w:tc>
          <w:tcPr>
            <w:tcW w:w="6094" w:type="dxa"/>
            <w:tcBorders>
              <w:top w:val="single" w:sz="4" w:space="0" w:color="auto"/>
              <w:bottom w:val="single" w:sz="4" w:space="0" w:color="auto"/>
            </w:tcBorders>
          </w:tcPr>
          <w:p w14:paraId="441DD972" w14:textId="77777777" w:rsidR="006E2065" w:rsidRDefault="006E2065" w:rsidP="00040822">
            <w:pPr>
              <w:jc w:val="both"/>
              <w:rPr>
                <w:rFonts w:ascii="Palatino Linotype" w:hAnsi="Palatino Linotype"/>
                <w:color w:val="002060"/>
                <w:sz w:val="11"/>
                <w:szCs w:val="11"/>
              </w:rPr>
            </w:pPr>
            <w:r w:rsidRPr="002004AA">
              <w:rPr>
                <w:rFonts w:ascii="Palatino Linotype" w:hAnsi="Palatino Linotype"/>
                <w:color w:val="002060"/>
                <w:sz w:val="11"/>
                <w:szCs w:val="11"/>
              </w:rPr>
              <w:t>7.</w:t>
            </w:r>
            <w:r w:rsidRPr="002004AA">
              <w:rPr>
                <w:rFonts w:ascii="Palatino Linotype" w:hAnsi="Palatino Linotype"/>
                <w:color w:val="002060"/>
                <w:sz w:val="11"/>
                <w:szCs w:val="11"/>
              </w:rPr>
              <w:t> </w:t>
            </w:r>
            <w:r w:rsidRPr="002004AA">
              <w:rPr>
                <w:rFonts w:ascii="Palatino Linotype" w:hAnsi="Palatino Linotype"/>
                <w:color w:val="002060"/>
                <w:sz w:val="11"/>
                <w:szCs w:val="11"/>
              </w:rPr>
              <w:t xml:space="preserve">En el caso de las publicaciones, su indexación en un determinado repertorio bibliográfico o base de datos puede servir como un argumento complementario en la defensa narrativa que se haga de la aportación, pero no así para obtener de forma automática una valoración positiva de esta, sin tener en cuenta la calidad intrínseca del contenido. </w:t>
            </w:r>
          </w:p>
          <w:p w14:paraId="482BC3E1" w14:textId="77777777" w:rsidR="006E2065" w:rsidRDefault="006E2065" w:rsidP="00040822">
            <w:pPr>
              <w:jc w:val="both"/>
              <w:rPr>
                <w:rFonts w:ascii="Palatino Linotype" w:hAnsi="Palatino Linotype"/>
                <w:color w:val="002060"/>
                <w:sz w:val="11"/>
                <w:szCs w:val="11"/>
              </w:rPr>
            </w:pPr>
          </w:p>
        </w:tc>
      </w:tr>
      <w:tr w:rsidR="006E2065" w:rsidRPr="009278BF" w14:paraId="31151F35" w14:textId="77777777" w:rsidTr="00040822">
        <w:trPr>
          <w:trHeight w:val="3529"/>
        </w:trPr>
        <w:tc>
          <w:tcPr>
            <w:tcW w:w="2410" w:type="dxa"/>
            <w:tcBorders>
              <w:top w:val="single" w:sz="4" w:space="0" w:color="auto"/>
              <w:bottom w:val="single" w:sz="4" w:space="0" w:color="auto"/>
            </w:tcBorders>
          </w:tcPr>
          <w:p w14:paraId="5A348F74" w14:textId="77777777" w:rsidR="006E2065" w:rsidRDefault="006E2065" w:rsidP="00040822">
            <w:pPr>
              <w:jc w:val="both"/>
              <w:rPr>
                <w:rFonts w:ascii="Palatino Linotype" w:hAnsi="Palatino Linotype"/>
                <w:color w:val="0070C0"/>
                <w:sz w:val="13"/>
                <w:szCs w:val="13"/>
              </w:rPr>
            </w:pPr>
          </w:p>
          <w:p w14:paraId="2D7047DB" w14:textId="77777777" w:rsidR="006E2065" w:rsidRDefault="006E2065" w:rsidP="00040822">
            <w:pPr>
              <w:jc w:val="both"/>
              <w:rPr>
                <w:rFonts w:ascii="Palatino Linotype" w:hAnsi="Palatino Linotype"/>
                <w:color w:val="0070C0"/>
                <w:sz w:val="13"/>
                <w:szCs w:val="13"/>
              </w:rPr>
            </w:pPr>
          </w:p>
          <w:p w14:paraId="478179EB" w14:textId="77777777" w:rsidR="006E2065" w:rsidRDefault="006E2065" w:rsidP="00040822">
            <w:pPr>
              <w:jc w:val="both"/>
              <w:rPr>
                <w:rFonts w:ascii="Palatino Linotype" w:hAnsi="Palatino Linotype"/>
                <w:color w:val="0070C0"/>
                <w:sz w:val="13"/>
                <w:szCs w:val="13"/>
              </w:rPr>
            </w:pPr>
          </w:p>
          <w:p w14:paraId="4D2F12A6" w14:textId="77777777" w:rsidR="006E2065" w:rsidRDefault="006E2065" w:rsidP="00040822">
            <w:pPr>
              <w:jc w:val="both"/>
              <w:rPr>
                <w:rFonts w:ascii="Palatino Linotype" w:hAnsi="Palatino Linotype"/>
                <w:color w:val="0070C0"/>
                <w:sz w:val="13"/>
                <w:szCs w:val="13"/>
              </w:rPr>
            </w:pPr>
          </w:p>
          <w:p w14:paraId="21EB41D3" w14:textId="77777777" w:rsidR="006E2065" w:rsidRDefault="006E2065" w:rsidP="00040822">
            <w:pPr>
              <w:jc w:val="both"/>
              <w:rPr>
                <w:rFonts w:ascii="Palatino Linotype" w:hAnsi="Palatino Linotype"/>
                <w:color w:val="0070C0"/>
                <w:sz w:val="13"/>
                <w:szCs w:val="13"/>
              </w:rPr>
            </w:pPr>
          </w:p>
          <w:p w14:paraId="5948F51F" w14:textId="77777777" w:rsidR="006E2065" w:rsidRDefault="006E2065" w:rsidP="00040822">
            <w:pPr>
              <w:jc w:val="both"/>
              <w:rPr>
                <w:rFonts w:ascii="Palatino Linotype" w:hAnsi="Palatino Linotype"/>
                <w:color w:val="0070C0"/>
                <w:sz w:val="13"/>
                <w:szCs w:val="13"/>
              </w:rPr>
            </w:pPr>
          </w:p>
          <w:p w14:paraId="5EF08C50" w14:textId="77777777" w:rsidR="006E2065" w:rsidRDefault="006E2065" w:rsidP="00040822">
            <w:pPr>
              <w:jc w:val="both"/>
              <w:rPr>
                <w:rFonts w:ascii="Palatino Linotype" w:hAnsi="Palatino Linotype"/>
                <w:color w:val="0070C0"/>
                <w:sz w:val="13"/>
                <w:szCs w:val="13"/>
              </w:rPr>
            </w:pPr>
          </w:p>
          <w:p w14:paraId="4D43C209" w14:textId="77777777" w:rsidR="006E2065" w:rsidRDefault="006E2065" w:rsidP="00040822">
            <w:pPr>
              <w:jc w:val="both"/>
              <w:rPr>
                <w:rFonts w:ascii="Palatino Linotype" w:hAnsi="Palatino Linotype"/>
                <w:color w:val="0070C0"/>
                <w:sz w:val="13"/>
                <w:szCs w:val="13"/>
              </w:rPr>
            </w:pPr>
          </w:p>
          <w:p w14:paraId="3B77BF77" w14:textId="77777777" w:rsidR="006E2065" w:rsidRDefault="006E2065" w:rsidP="00040822">
            <w:pPr>
              <w:jc w:val="both"/>
              <w:rPr>
                <w:rFonts w:ascii="Palatino Linotype" w:hAnsi="Palatino Linotype"/>
                <w:color w:val="0070C0"/>
                <w:sz w:val="13"/>
                <w:szCs w:val="13"/>
              </w:rPr>
            </w:pPr>
          </w:p>
          <w:p w14:paraId="7BF91D28" w14:textId="77777777" w:rsidR="006E2065" w:rsidRPr="00A83AC1" w:rsidRDefault="006E2065" w:rsidP="00040822">
            <w:pPr>
              <w:jc w:val="both"/>
              <w:rPr>
                <w:rFonts w:ascii="Palatino Linotype" w:hAnsi="Palatino Linotype"/>
                <w:color w:val="0070C0"/>
                <w:sz w:val="13"/>
                <w:szCs w:val="13"/>
              </w:rPr>
            </w:pPr>
            <w:r w:rsidRPr="00A83AC1">
              <w:rPr>
                <w:rFonts w:ascii="Palatino Linotype" w:hAnsi="Palatino Linotype"/>
                <w:color w:val="0070C0"/>
                <w:sz w:val="13"/>
                <w:szCs w:val="13"/>
              </w:rPr>
              <w:t xml:space="preserve">8. Como paso previo a su valoración, se establecerá si cada aportación es adecuada a la convocatoria, utiliza un medio de difusión apropiado y responde a una línea de investigación coherente. Ello no implica juicio alguno sobre su calidad intrínseca, sino tan solo constata que se trata de una aportación evaluable. </w:t>
            </w:r>
          </w:p>
        </w:tc>
        <w:tc>
          <w:tcPr>
            <w:tcW w:w="6094" w:type="dxa"/>
            <w:tcBorders>
              <w:top w:val="single" w:sz="4" w:space="0" w:color="auto"/>
              <w:bottom w:val="single" w:sz="4" w:space="0" w:color="auto"/>
            </w:tcBorders>
          </w:tcPr>
          <w:p w14:paraId="1EE07B13" w14:textId="77777777" w:rsidR="006E2065" w:rsidRDefault="006E2065" w:rsidP="00040822">
            <w:pPr>
              <w:jc w:val="both"/>
              <w:rPr>
                <w:rFonts w:ascii="Palatino Linotype" w:hAnsi="Palatino Linotype"/>
                <w:color w:val="002060"/>
                <w:sz w:val="11"/>
                <w:szCs w:val="11"/>
              </w:rPr>
            </w:pPr>
          </w:p>
          <w:p w14:paraId="24DE3EFA" w14:textId="77777777" w:rsidR="006E2065" w:rsidRDefault="006E2065" w:rsidP="00040822">
            <w:pPr>
              <w:jc w:val="both"/>
              <w:rPr>
                <w:rFonts w:ascii="Palatino Linotype" w:hAnsi="Palatino Linotype"/>
                <w:color w:val="002060"/>
                <w:sz w:val="11"/>
                <w:szCs w:val="11"/>
              </w:rPr>
            </w:pPr>
          </w:p>
          <w:p w14:paraId="7D22C3B3" w14:textId="77777777" w:rsidR="006E2065" w:rsidRDefault="006E2065" w:rsidP="00040822">
            <w:pPr>
              <w:jc w:val="both"/>
              <w:rPr>
                <w:rFonts w:ascii="Palatino Linotype" w:hAnsi="Palatino Linotype"/>
                <w:color w:val="002060"/>
                <w:sz w:val="11"/>
                <w:szCs w:val="11"/>
              </w:rPr>
            </w:pPr>
          </w:p>
          <w:p w14:paraId="39BAA3C9" w14:textId="77777777" w:rsidR="006E2065" w:rsidRDefault="006E2065" w:rsidP="00040822">
            <w:pPr>
              <w:jc w:val="both"/>
              <w:rPr>
                <w:rFonts w:ascii="Palatino Linotype" w:hAnsi="Palatino Linotype"/>
                <w:color w:val="002060"/>
                <w:sz w:val="11"/>
                <w:szCs w:val="11"/>
              </w:rPr>
            </w:pPr>
          </w:p>
          <w:p w14:paraId="482A364D" w14:textId="77777777" w:rsidR="006E2065" w:rsidRDefault="006E2065" w:rsidP="00040822">
            <w:pPr>
              <w:jc w:val="both"/>
              <w:rPr>
                <w:rFonts w:ascii="Palatino Linotype" w:hAnsi="Palatino Linotype"/>
                <w:color w:val="002060"/>
                <w:sz w:val="11"/>
                <w:szCs w:val="11"/>
              </w:rPr>
            </w:pPr>
          </w:p>
          <w:p w14:paraId="16721179" w14:textId="77777777" w:rsidR="006E2065" w:rsidRPr="007373B2" w:rsidRDefault="006E2065" w:rsidP="00040822">
            <w:pPr>
              <w:jc w:val="both"/>
              <w:rPr>
                <w:rFonts w:ascii="Palatino Linotype" w:hAnsi="Palatino Linotype"/>
                <w:color w:val="002060"/>
                <w:sz w:val="11"/>
                <w:szCs w:val="11"/>
              </w:rPr>
            </w:pPr>
          </w:p>
        </w:tc>
      </w:tr>
      <w:tr w:rsidR="006E2065" w:rsidRPr="009278BF" w14:paraId="5D724DA1" w14:textId="77777777" w:rsidTr="00040822">
        <w:trPr>
          <w:trHeight w:val="3529"/>
        </w:trPr>
        <w:tc>
          <w:tcPr>
            <w:tcW w:w="2410" w:type="dxa"/>
            <w:tcBorders>
              <w:top w:val="single" w:sz="4" w:space="0" w:color="auto"/>
            </w:tcBorders>
          </w:tcPr>
          <w:p w14:paraId="125AFC57" w14:textId="77777777" w:rsidR="006E2065" w:rsidRDefault="006E2065" w:rsidP="00040822">
            <w:pPr>
              <w:jc w:val="both"/>
              <w:rPr>
                <w:rFonts w:ascii="Palatino Linotype" w:hAnsi="Palatino Linotype"/>
                <w:color w:val="0070C0"/>
                <w:sz w:val="13"/>
                <w:szCs w:val="13"/>
              </w:rPr>
            </w:pPr>
            <w:r w:rsidRPr="00A83AC1">
              <w:rPr>
                <w:rFonts w:ascii="Palatino Linotype" w:hAnsi="Palatino Linotype"/>
                <w:color w:val="0070C0"/>
                <w:sz w:val="13"/>
                <w:szCs w:val="13"/>
              </w:rPr>
              <w:t>9. El mismo mérito no puede ser utilizado en sexenios de investigación y de transferencia. 10. Se entenderá por investigación multidisciplinar aquella que implica la utilización de los conocimientos de varias disciplinas</w:t>
            </w:r>
          </w:p>
        </w:tc>
        <w:tc>
          <w:tcPr>
            <w:tcW w:w="6094" w:type="dxa"/>
            <w:tcBorders>
              <w:top w:val="single" w:sz="4" w:space="0" w:color="auto"/>
            </w:tcBorders>
          </w:tcPr>
          <w:p w14:paraId="478F3F0A" w14:textId="77777777" w:rsidR="006E2065" w:rsidRDefault="006E2065" w:rsidP="00040822">
            <w:pPr>
              <w:jc w:val="both"/>
              <w:rPr>
                <w:rFonts w:ascii="Palatino Linotype" w:hAnsi="Palatino Linotype"/>
                <w:color w:val="002060"/>
                <w:sz w:val="11"/>
                <w:szCs w:val="11"/>
              </w:rPr>
            </w:pPr>
            <w:r w:rsidRPr="002004AA">
              <w:rPr>
                <w:rFonts w:ascii="Palatino Linotype" w:hAnsi="Palatino Linotype"/>
                <w:color w:val="002060"/>
                <w:sz w:val="11"/>
                <w:szCs w:val="11"/>
              </w:rPr>
              <w:t>9.</w:t>
            </w:r>
            <w:r w:rsidRPr="002004AA">
              <w:rPr>
                <w:rFonts w:ascii="Palatino Linotype" w:hAnsi="Palatino Linotype"/>
                <w:color w:val="002060"/>
                <w:sz w:val="11"/>
                <w:szCs w:val="11"/>
              </w:rPr>
              <w:t> </w:t>
            </w:r>
            <w:r w:rsidRPr="002004AA">
              <w:rPr>
                <w:rFonts w:ascii="Palatino Linotype" w:hAnsi="Palatino Linotype"/>
                <w:color w:val="002060"/>
                <w:sz w:val="11"/>
                <w:szCs w:val="11"/>
              </w:rPr>
              <w:t>Cada comité establecerá los baremos de aplicación en el proceso de evaluación, que ANECA hará públicos en todos los casos antes de la apertura de la convocatoria. En estos baremos se establecerán criterios específicos para los casos de reiterada publicación de trabajos en las mismas revistas o editoriales, o en aquellas pertenecientes o asociadas al mismo organismo en el que la persona solicitante realice su investigación, si ello no quedara suficientemente argumentado. No se considerarán aportaciones válidas los libros y capítulos de libros autopublicados o financiados por la persona solicitante sin el concurso de procesos de evaluación de los originales a través de los procedimientos comúnmente reconocidos. 10.</w:t>
            </w:r>
            <w:r w:rsidRPr="002004AA">
              <w:rPr>
                <w:rFonts w:ascii="Palatino Linotype" w:hAnsi="Palatino Linotype"/>
                <w:color w:val="002060"/>
                <w:sz w:val="11"/>
                <w:szCs w:val="11"/>
              </w:rPr>
              <w:t> </w:t>
            </w:r>
            <w:r w:rsidRPr="002004AA">
              <w:rPr>
                <w:rFonts w:ascii="Palatino Linotype" w:hAnsi="Palatino Linotype"/>
                <w:color w:val="002060"/>
                <w:sz w:val="11"/>
                <w:szCs w:val="11"/>
              </w:rPr>
              <w:t>A fin de facilitar la identificación de dimensiones, métricas y fuentes para avalar la relevancia y el impacto de las aportaciones presentadas en todos los campos se remite al apéndice de esta resolución.</w:t>
            </w:r>
          </w:p>
        </w:tc>
      </w:tr>
    </w:tbl>
    <w:p w14:paraId="2A45C1DB" w14:textId="77777777" w:rsidR="006E2065" w:rsidRDefault="006E2065"/>
    <w:sectPr w:rsidR="006E206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065"/>
    <w:rsid w:val="006E2065"/>
    <w:rsid w:val="009F66C5"/>
    <w:rsid w:val="00AB6DE5"/>
    <w:rsid w:val="00FB202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0A01BCCF"/>
  <w15:chartTrackingRefBased/>
  <w15:docId w15:val="{A3365360-0EC6-BB40-8178-EBD02CC67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2065"/>
    <w:rPr>
      <w:rFonts w:ascii="Times New Roman" w:eastAsia="Times New Roman" w:hAnsi="Times New Roman" w:cs="Times New Roman"/>
      <w:kern w:val="0"/>
      <w:lang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E2065"/>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1937</Words>
  <Characters>10659</Characters>
  <Application>Microsoft Office Word</Application>
  <DocSecurity>0</DocSecurity>
  <Lines>88</Lines>
  <Paragraphs>25</Paragraphs>
  <ScaleCrop>false</ScaleCrop>
  <Company/>
  <LinksUpToDate>false</LinksUpToDate>
  <CharactersWithSpaces>12571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Sánchez Santamaría</dc:creator>
  <cp:keywords/>
  <dc:description/>
  <cp:lastModifiedBy>José Sánchez Santamaría</cp:lastModifiedBy>
  <cp:revision>1</cp:revision>
  <dcterms:created xsi:type="dcterms:W3CDTF">2024-01-21T13:01:00Z</dcterms:created>
  <dcterms:modified xsi:type="dcterms:W3CDTF">2024-01-21T13:02:00Z</dcterms:modified>
</cp:coreProperties>
</file>