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C0C" w:rsidRPr="00F71D91" w:rsidRDefault="00415C0C" w:rsidP="006C5453">
      <w:pPr>
        <w:spacing w:after="0" w:line="240" w:lineRule="auto"/>
        <w:rPr>
          <w:rFonts w:ascii="Times New Roman" w:hAnsi="Times New Roman" w:cs="Times New Roman"/>
          <w:sz w:val="20"/>
          <w:szCs w:val="20"/>
        </w:rPr>
        <w:sectPr w:rsidR="00415C0C" w:rsidRPr="00F71D91" w:rsidSect="00A27FE5">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rsidR="00A742C9" w:rsidRPr="00B65C64" w:rsidRDefault="00B65C64" w:rsidP="006C5453">
      <w:pPr>
        <w:spacing w:after="0" w:line="240" w:lineRule="auto"/>
        <w:rPr>
          <w:rFonts w:ascii="Times New Roman" w:hAnsi="Times New Roman" w:cs="Times New Roman"/>
          <w:b/>
          <w:sz w:val="28"/>
          <w:szCs w:val="28"/>
          <w:lang w:val="en-GB"/>
        </w:rPr>
      </w:pPr>
      <w:r w:rsidRPr="00B65C64">
        <w:rPr>
          <w:rFonts w:ascii="Times New Roman" w:hAnsi="Times New Roman" w:cs="Times New Roman"/>
          <w:b/>
          <w:sz w:val="28"/>
          <w:szCs w:val="28"/>
          <w:lang w:val="en-GB"/>
        </w:rPr>
        <w:t>IMMEDIATE HYPERSENSITIVITY TO IODINATED CONTRAST MEDIA OR NON IONIC CONTRAST REDUCED BY CLINICAL HISTORY</w:t>
      </w:r>
    </w:p>
    <w:p w:rsidR="00B65C64" w:rsidRPr="00B65C64" w:rsidRDefault="00B65C64" w:rsidP="006C5453">
      <w:pPr>
        <w:autoSpaceDE w:val="0"/>
        <w:autoSpaceDN w:val="0"/>
        <w:adjustRightInd w:val="0"/>
        <w:spacing w:after="0" w:line="240" w:lineRule="auto"/>
        <w:rPr>
          <w:rFonts w:ascii="Times New Roman" w:hAnsi="Times New Roman" w:cs="Times New Roman"/>
          <w:bCs/>
          <w:szCs w:val="24"/>
          <w:lang w:val="en-GB"/>
        </w:rPr>
      </w:pPr>
      <w:r w:rsidRPr="00B65C64">
        <w:rPr>
          <w:rFonts w:ascii="Times New Roman" w:hAnsi="Times New Roman" w:cs="Times New Roman"/>
          <w:b/>
          <w:bCs/>
          <w:szCs w:val="24"/>
          <w:lang w:val="en-GB"/>
        </w:rPr>
        <w:t>Ana Paula Melo de Assis</w:t>
      </w:r>
      <w:r w:rsidRPr="00B65C64">
        <w:rPr>
          <w:rFonts w:ascii="Times New Roman" w:hAnsi="Times New Roman" w:cs="Times New Roman"/>
          <w:b/>
          <w:bCs/>
          <w:szCs w:val="24"/>
          <w:vertAlign w:val="superscript"/>
          <w:lang w:val="en-GB"/>
        </w:rPr>
        <w:t>1</w:t>
      </w:r>
      <w:r w:rsidRPr="00B65C64">
        <w:rPr>
          <w:rFonts w:ascii="Times New Roman" w:hAnsi="Times New Roman" w:cs="Times New Roman"/>
          <w:b/>
          <w:bCs/>
          <w:szCs w:val="24"/>
          <w:lang w:val="en-GB"/>
        </w:rPr>
        <w:t>, Mariana Rosa Canozzo</w:t>
      </w:r>
      <w:r w:rsidRPr="00B65C64">
        <w:rPr>
          <w:rFonts w:ascii="Times New Roman" w:hAnsi="Times New Roman" w:cs="Times New Roman"/>
          <w:b/>
          <w:bCs/>
          <w:szCs w:val="24"/>
          <w:vertAlign w:val="superscript"/>
          <w:lang w:val="en-GB"/>
        </w:rPr>
        <w:t>1</w:t>
      </w:r>
      <w:r w:rsidRPr="00B65C64">
        <w:rPr>
          <w:rFonts w:ascii="Times New Roman" w:hAnsi="Times New Roman" w:cs="Times New Roman"/>
          <w:b/>
          <w:bCs/>
          <w:szCs w:val="24"/>
          <w:lang w:val="en-GB"/>
        </w:rPr>
        <w:t>, Marcos Vinicius Melo de Assis</w:t>
      </w:r>
      <w:r w:rsidRPr="00B65C64">
        <w:rPr>
          <w:rFonts w:ascii="Times New Roman" w:hAnsi="Times New Roman" w:cs="Times New Roman"/>
          <w:b/>
          <w:bCs/>
          <w:szCs w:val="24"/>
          <w:vertAlign w:val="superscript"/>
          <w:lang w:val="en-GB"/>
        </w:rPr>
        <w:t>2</w:t>
      </w:r>
      <w:r w:rsidRPr="00B65C64">
        <w:rPr>
          <w:rFonts w:ascii="Times New Roman" w:hAnsi="Times New Roman" w:cs="Times New Roman"/>
          <w:b/>
          <w:bCs/>
          <w:szCs w:val="24"/>
          <w:lang w:val="en-GB"/>
        </w:rPr>
        <w:t>, Fabíola Garcia Praça</w:t>
      </w:r>
      <w:r w:rsidRPr="00B65C64">
        <w:rPr>
          <w:rFonts w:ascii="Times New Roman" w:hAnsi="Times New Roman" w:cs="Times New Roman"/>
          <w:b/>
          <w:bCs/>
          <w:szCs w:val="24"/>
          <w:vertAlign w:val="superscript"/>
          <w:lang w:val="en-GB"/>
        </w:rPr>
        <w:t>3</w:t>
      </w:r>
      <w:r w:rsidRPr="00B65C64">
        <w:rPr>
          <w:rFonts w:ascii="Times New Roman" w:hAnsi="Times New Roman" w:cs="Times New Roman"/>
          <w:b/>
          <w:bCs/>
          <w:szCs w:val="24"/>
          <w:lang w:val="en-GB"/>
        </w:rPr>
        <w:t xml:space="preserve">  Wanessa Silva Garcia Medina</w:t>
      </w:r>
      <w:r w:rsidRPr="00B65C64">
        <w:rPr>
          <w:rFonts w:ascii="Times New Roman" w:hAnsi="Times New Roman" w:cs="Times New Roman"/>
          <w:b/>
          <w:bCs/>
          <w:szCs w:val="24"/>
          <w:vertAlign w:val="superscript"/>
          <w:lang w:val="en-GB"/>
        </w:rPr>
        <w:t>*1</w:t>
      </w:r>
    </w:p>
    <w:p w:rsidR="00B65C64" w:rsidRPr="00B65C64" w:rsidRDefault="00B65C64" w:rsidP="006C5453">
      <w:pPr>
        <w:autoSpaceDE w:val="0"/>
        <w:autoSpaceDN w:val="0"/>
        <w:adjustRightInd w:val="0"/>
        <w:spacing w:after="0" w:line="240" w:lineRule="auto"/>
        <w:rPr>
          <w:rFonts w:ascii="Times New Roman" w:hAnsi="Times New Roman" w:cs="Times New Roman"/>
          <w:bCs/>
          <w:szCs w:val="24"/>
          <w:lang w:val="en-GB"/>
        </w:rPr>
      </w:pPr>
      <w:r w:rsidRPr="00B65C64">
        <w:rPr>
          <w:rFonts w:ascii="Times New Roman" w:hAnsi="Times New Roman" w:cs="Times New Roman"/>
          <w:bCs/>
          <w:szCs w:val="24"/>
          <w:vertAlign w:val="superscript"/>
          <w:lang w:val="en-GB"/>
        </w:rPr>
        <w:t>*1</w:t>
      </w:r>
      <w:r w:rsidRPr="00B65C64">
        <w:rPr>
          <w:rFonts w:ascii="Times New Roman" w:hAnsi="Times New Roman" w:cs="Times New Roman"/>
          <w:bCs/>
          <w:szCs w:val="24"/>
          <w:lang w:val="en-GB"/>
        </w:rPr>
        <w:t>Faculdades Integradas Padre Albino –FIPA, Rua dos Estudantes, 255, 15809-144, Catanduva, SP, Brazil;</w:t>
      </w:r>
    </w:p>
    <w:p w:rsidR="00B65C64" w:rsidRPr="00B65C64" w:rsidRDefault="00B65C64" w:rsidP="006C5453">
      <w:pPr>
        <w:autoSpaceDE w:val="0"/>
        <w:autoSpaceDN w:val="0"/>
        <w:adjustRightInd w:val="0"/>
        <w:spacing w:after="0" w:line="240" w:lineRule="auto"/>
        <w:rPr>
          <w:rFonts w:ascii="Times New Roman" w:hAnsi="Times New Roman" w:cs="Times New Roman"/>
          <w:bCs/>
          <w:szCs w:val="24"/>
          <w:lang w:val="en-GB"/>
        </w:rPr>
      </w:pPr>
      <w:r w:rsidRPr="00B65C64">
        <w:rPr>
          <w:rFonts w:ascii="Times New Roman" w:hAnsi="Times New Roman" w:cs="Times New Roman"/>
          <w:bCs/>
          <w:szCs w:val="24"/>
          <w:vertAlign w:val="superscript"/>
          <w:lang w:val="en-GB"/>
        </w:rPr>
        <w:t>2</w:t>
      </w:r>
      <w:r w:rsidRPr="00B65C64">
        <w:rPr>
          <w:rFonts w:ascii="Times New Roman" w:hAnsi="Times New Roman" w:cs="Times New Roman"/>
          <w:bCs/>
          <w:szCs w:val="24"/>
          <w:lang w:val="en-GB"/>
        </w:rPr>
        <w:t xml:space="preserve">MDA Diagnóstico por imagem-RuaTamandare, 734, Conj: 32,01525-000, São Paulo, </w:t>
      </w:r>
    </w:p>
    <w:p w:rsidR="00B65C64" w:rsidRPr="00B65C64" w:rsidRDefault="00B65C64" w:rsidP="006C5453">
      <w:pPr>
        <w:autoSpaceDE w:val="0"/>
        <w:autoSpaceDN w:val="0"/>
        <w:adjustRightInd w:val="0"/>
        <w:spacing w:after="0" w:line="240" w:lineRule="auto"/>
        <w:rPr>
          <w:rFonts w:ascii="Times New Roman" w:hAnsi="Times New Roman" w:cs="Times New Roman"/>
          <w:bCs/>
          <w:szCs w:val="24"/>
          <w:lang w:val="en-GB"/>
        </w:rPr>
      </w:pPr>
      <w:r w:rsidRPr="00B65C64">
        <w:rPr>
          <w:rFonts w:ascii="Times New Roman" w:hAnsi="Times New Roman" w:cs="Times New Roman"/>
          <w:bCs/>
          <w:szCs w:val="24"/>
          <w:lang w:val="en-GB"/>
        </w:rPr>
        <w:t>SP, , Brazil</w:t>
      </w:r>
    </w:p>
    <w:p w:rsidR="0097722D" w:rsidRPr="00B65C64" w:rsidRDefault="00B65C64" w:rsidP="006C5453">
      <w:pPr>
        <w:autoSpaceDE w:val="0"/>
        <w:autoSpaceDN w:val="0"/>
        <w:adjustRightInd w:val="0"/>
        <w:spacing w:after="0" w:line="240" w:lineRule="auto"/>
        <w:rPr>
          <w:rFonts w:asciiTheme="majorBidi" w:hAnsiTheme="majorBidi" w:cstheme="majorBidi"/>
          <w:color w:val="000000"/>
          <w:sz w:val="18"/>
          <w:szCs w:val="20"/>
        </w:rPr>
      </w:pPr>
      <w:r w:rsidRPr="00B65C64">
        <w:rPr>
          <w:rFonts w:ascii="Times New Roman" w:hAnsi="Times New Roman" w:cs="Times New Roman"/>
          <w:bCs/>
          <w:szCs w:val="24"/>
          <w:vertAlign w:val="superscript"/>
          <w:lang w:val="en-GB"/>
        </w:rPr>
        <w:t>3</w:t>
      </w:r>
      <w:r w:rsidRPr="00B65C64">
        <w:rPr>
          <w:rFonts w:ascii="Times New Roman" w:hAnsi="Times New Roman" w:cs="Times New Roman"/>
          <w:bCs/>
          <w:szCs w:val="24"/>
          <w:lang w:val="en-GB"/>
        </w:rPr>
        <w:t>Faculdade de Ciências Farmacêuticas de Ribeirão Preto, Universidade de São Paulo, Av. do Café, s/n, 14040–903, Ribeirão Preto, SP, Brazil</w:t>
      </w:r>
    </w:p>
    <w:p w:rsidR="00554B62" w:rsidRPr="00A046E4" w:rsidRDefault="00554B62" w:rsidP="006C5453">
      <w:pPr>
        <w:autoSpaceDE w:val="0"/>
        <w:autoSpaceDN w:val="0"/>
        <w:adjustRightInd w:val="0"/>
        <w:spacing w:after="0" w:line="240" w:lineRule="auto"/>
        <w:rPr>
          <w:rFonts w:asciiTheme="majorBidi" w:hAnsiTheme="majorBidi" w:cstheme="majorBidi"/>
          <w:color w:val="000000"/>
          <w:sz w:val="20"/>
          <w:szCs w:val="20"/>
        </w:rPr>
      </w:pPr>
    </w:p>
    <w:p w:rsidR="003F32D3" w:rsidRPr="008F0FD9" w:rsidRDefault="003F32D3" w:rsidP="006C5453">
      <w:pPr>
        <w:spacing w:after="0" w:line="240" w:lineRule="auto"/>
        <w:rPr>
          <w:rFonts w:asciiTheme="majorBidi" w:hAnsiTheme="majorBidi" w:cstheme="majorBidi"/>
          <w:color w:val="000000"/>
          <w:sz w:val="20"/>
          <w:szCs w:val="20"/>
        </w:rPr>
      </w:pPr>
    </w:p>
    <w:tbl>
      <w:tblPr>
        <w:tblW w:w="5000" w:type="pct"/>
        <w:tblLook w:val="04A0" w:firstRow="1" w:lastRow="0" w:firstColumn="1" w:lastColumn="0" w:noHBand="0" w:noVBand="1"/>
      </w:tblPr>
      <w:tblGrid>
        <w:gridCol w:w="2461"/>
        <w:gridCol w:w="7115"/>
      </w:tblGrid>
      <w:tr w:rsidR="003F32D3" w:rsidRPr="00FD43A3" w:rsidTr="00FB3F95">
        <w:trPr>
          <w:trHeight w:val="285"/>
        </w:trPr>
        <w:tc>
          <w:tcPr>
            <w:tcW w:w="1285" w:type="pct"/>
            <w:shd w:val="clear" w:color="auto" w:fill="auto"/>
            <w:vAlign w:val="center"/>
            <w:hideMark/>
          </w:tcPr>
          <w:p w:rsidR="003F32D3" w:rsidRPr="00FD43A3" w:rsidRDefault="003F32D3" w:rsidP="006C5453">
            <w:pPr>
              <w:spacing w:after="0" w:line="240" w:lineRule="auto"/>
              <w:rPr>
                <w:rFonts w:ascii="Times New Roman" w:eastAsia="Times New Roman" w:hAnsi="Times New Roman" w:cs="Times New Roman"/>
                <w:i/>
                <w:iCs/>
                <w:color w:val="000000"/>
                <w:sz w:val="20"/>
                <w:szCs w:val="20"/>
                <w:lang w:bidi="fa-IR"/>
              </w:rPr>
            </w:pPr>
          </w:p>
        </w:tc>
        <w:tc>
          <w:tcPr>
            <w:tcW w:w="3715" w:type="pct"/>
            <w:shd w:val="clear" w:color="auto" w:fill="auto"/>
            <w:vAlign w:val="center"/>
            <w:hideMark/>
          </w:tcPr>
          <w:p w:rsidR="003F32D3" w:rsidRPr="00FD43A3" w:rsidRDefault="003F32D3" w:rsidP="006C5453">
            <w:pPr>
              <w:spacing w:after="0" w:line="240" w:lineRule="auto"/>
              <w:rPr>
                <w:rFonts w:ascii="Times New Roman" w:eastAsia="Times New Roman" w:hAnsi="Times New Roman" w:cs="Times New Roman"/>
                <w:b/>
                <w:bCs/>
                <w:i/>
                <w:iCs/>
                <w:color w:val="000000"/>
                <w:lang w:bidi="fa-IR"/>
              </w:rPr>
            </w:pPr>
          </w:p>
        </w:tc>
      </w:tr>
      <w:tr w:rsidR="003F32D3" w:rsidRPr="00FD43A3" w:rsidTr="00FB3F95">
        <w:trPr>
          <w:trHeight w:val="285"/>
        </w:trPr>
        <w:tc>
          <w:tcPr>
            <w:tcW w:w="1285" w:type="pct"/>
            <w:shd w:val="clear" w:color="auto" w:fill="auto"/>
            <w:vAlign w:val="center"/>
            <w:hideMark/>
          </w:tcPr>
          <w:p w:rsidR="003F32D3" w:rsidRPr="00FD43A3" w:rsidRDefault="003F32D3" w:rsidP="006C5453">
            <w:pPr>
              <w:spacing w:after="0" w:line="240" w:lineRule="auto"/>
              <w:rPr>
                <w:rFonts w:ascii="Times New Roman" w:eastAsia="Times New Roman" w:hAnsi="Times New Roman" w:cs="Times New Roman"/>
                <w:i/>
                <w:iCs/>
                <w:color w:val="000000"/>
                <w:sz w:val="20"/>
                <w:szCs w:val="20"/>
                <w:lang w:bidi="fa-IR"/>
              </w:rPr>
            </w:pPr>
          </w:p>
        </w:tc>
        <w:tc>
          <w:tcPr>
            <w:tcW w:w="3715" w:type="pct"/>
            <w:shd w:val="clear" w:color="auto" w:fill="auto"/>
            <w:vAlign w:val="center"/>
            <w:hideMark/>
          </w:tcPr>
          <w:p w:rsidR="003F32D3" w:rsidRPr="00BC5D0F" w:rsidRDefault="003F32D3" w:rsidP="006C5453">
            <w:pPr>
              <w:spacing w:after="0" w:line="240" w:lineRule="auto"/>
              <w:rPr>
                <w:rFonts w:ascii="Times New Roman" w:eastAsia="Times New Roman" w:hAnsi="Times New Roman" w:cs="Times New Roman"/>
                <w:b/>
                <w:bCs/>
                <w:iCs/>
                <w:color w:val="000000"/>
                <w:sz w:val="24"/>
                <w:szCs w:val="24"/>
                <w:lang w:bidi="fa-IR"/>
              </w:rPr>
            </w:pPr>
            <w:r w:rsidRPr="00BC5D0F">
              <w:rPr>
                <w:rFonts w:ascii="Times New Roman" w:eastAsia="Times New Roman" w:hAnsi="Times New Roman" w:cs="Times New Roman"/>
                <w:b/>
                <w:bCs/>
                <w:iCs/>
                <w:color w:val="000000"/>
                <w:sz w:val="24"/>
                <w:szCs w:val="24"/>
                <w:lang w:bidi="fa-IR"/>
              </w:rPr>
              <w:t> </w:t>
            </w:r>
            <w:r w:rsidR="00BC5D0F" w:rsidRPr="00BC5D0F">
              <w:rPr>
                <w:rFonts w:ascii="Times New Roman" w:eastAsia="Times New Roman" w:hAnsi="Times New Roman" w:cs="Times New Roman"/>
                <w:b/>
                <w:bCs/>
                <w:i/>
                <w:iCs/>
                <w:color w:val="000000"/>
                <w:sz w:val="24"/>
                <w:szCs w:val="24"/>
                <w:lang w:bidi="fa-IR"/>
              </w:rPr>
              <w:t>Abstract</w:t>
            </w:r>
          </w:p>
        </w:tc>
      </w:tr>
      <w:tr w:rsidR="003F32D3" w:rsidRPr="00FD43A3" w:rsidTr="00FB3F95">
        <w:trPr>
          <w:trHeight w:val="1196"/>
        </w:trPr>
        <w:tc>
          <w:tcPr>
            <w:tcW w:w="1285" w:type="pct"/>
            <w:shd w:val="clear" w:color="auto" w:fill="auto"/>
            <w:hideMark/>
          </w:tcPr>
          <w:p w:rsidR="003F32D3" w:rsidRDefault="003F32D3" w:rsidP="006C5453">
            <w:pPr>
              <w:spacing w:after="0" w:line="240" w:lineRule="auto"/>
              <w:rPr>
                <w:rFonts w:ascii="Times New Roman" w:eastAsia="Times New Roman" w:hAnsi="Times New Roman" w:cs="Times New Roman"/>
                <w:b/>
                <w:bCs/>
                <w:i/>
                <w:iCs/>
                <w:color w:val="000000"/>
                <w:sz w:val="20"/>
                <w:szCs w:val="20"/>
                <w:lang w:bidi="fa-IR"/>
              </w:rPr>
            </w:pPr>
          </w:p>
          <w:p w:rsidR="003F32D3" w:rsidRPr="00FD43A3" w:rsidRDefault="003F32D3" w:rsidP="006C5453">
            <w:pPr>
              <w:spacing w:after="0" w:line="240" w:lineRule="auto"/>
              <w:rPr>
                <w:rFonts w:ascii="Times New Roman" w:eastAsia="Times New Roman" w:hAnsi="Times New Roman" w:cs="Times New Roman"/>
                <w:b/>
                <w:bCs/>
                <w:i/>
                <w:iCs/>
                <w:color w:val="000000"/>
                <w:sz w:val="20"/>
                <w:szCs w:val="20"/>
                <w:lang w:bidi="fa-IR"/>
              </w:rPr>
            </w:pPr>
            <w:r w:rsidRPr="00FD43A3">
              <w:rPr>
                <w:rFonts w:ascii="Times New Roman" w:eastAsia="Times New Roman" w:hAnsi="Times New Roman" w:cs="Times New Roman"/>
                <w:b/>
                <w:bCs/>
                <w:i/>
                <w:iCs/>
                <w:color w:val="000000"/>
                <w:sz w:val="20"/>
                <w:szCs w:val="20"/>
                <w:lang w:bidi="fa-IR"/>
              </w:rPr>
              <w:t>Keywords:</w:t>
            </w:r>
            <w:r w:rsidRPr="00FD43A3">
              <w:rPr>
                <w:rFonts w:ascii="Times New Roman" w:eastAsia="Times New Roman" w:hAnsi="Times New Roman" w:cs="Times New Roman"/>
                <w:b/>
                <w:bCs/>
                <w:i/>
                <w:iCs/>
                <w:color w:val="000000"/>
                <w:sz w:val="20"/>
                <w:szCs w:val="20"/>
                <w:lang w:bidi="fa-IR"/>
              </w:rPr>
              <w:br/>
            </w:r>
            <w:r w:rsidR="00B65C64" w:rsidRPr="00B65C64">
              <w:rPr>
                <w:rFonts w:asciiTheme="majorBidi" w:eastAsia="Times New Roman" w:hAnsiTheme="majorBidi" w:cstheme="majorBidi"/>
                <w:i/>
                <w:iCs/>
                <w:color w:val="000000"/>
                <w:sz w:val="20"/>
                <w:szCs w:val="20"/>
                <w:lang w:val="en-GB" w:bidi="fa-IR"/>
              </w:rPr>
              <w:t>hypersensitivity reaction, iodinated contrast media, non ionic contrast media, case report, clinical history</w:t>
            </w:r>
            <w:r w:rsidR="00B65C64">
              <w:rPr>
                <w:rFonts w:asciiTheme="majorBidi" w:eastAsia="Times New Roman" w:hAnsiTheme="majorBidi" w:cstheme="majorBidi"/>
                <w:i/>
                <w:iCs/>
                <w:color w:val="000000"/>
                <w:sz w:val="20"/>
                <w:szCs w:val="20"/>
                <w:lang w:val="en-GB" w:bidi="fa-IR"/>
              </w:rPr>
              <w:t>.</w:t>
            </w:r>
          </w:p>
        </w:tc>
        <w:tc>
          <w:tcPr>
            <w:tcW w:w="3715" w:type="pct"/>
            <w:shd w:val="clear" w:color="auto" w:fill="auto"/>
            <w:vAlign w:val="center"/>
            <w:hideMark/>
          </w:tcPr>
          <w:p w:rsidR="006C5453" w:rsidRDefault="00B65C64" w:rsidP="006C5453">
            <w:pPr>
              <w:spacing w:after="0" w:line="240" w:lineRule="auto"/>
              <w:contextualSpacing/>
              <w:jc w:val="both"/>
              <w:rPr>
                <w:rFonts w:ascii="Times New Roman" w:hAnsi="Times New Roman" w:cs="Times New Roman"/>
                <w:sz w:val="20"/>
                <w:szCs w:val="20"/>
              </w:rPr>
            </w:pPr>
            <w:r w:rsidRPr="00B65C64">
              <w:rPr>
                <w:rFonts w:ascii="Times New Roman" w:hAnsi="Times New Roman" w:cs="Times New Roman"/>
                <w:b/>
                <w:sz w:val="20"/>
                <w:szCs w:val="20"/>
              </w:rPr>
              <w:t>Introduction:</w:t>
            </w:r>
            <w:r>
              <w:rPr>
                <w:rFonts w:ascii="Times New Roman" w:hAnsi="Times New Roman" w:cs="Times New Roman"/>
                <w:b/>
                <w:sz w:val="20"/>
                <w:szCs w:val="20"/>
              </w:rPr>
              <w:t xml:space="preserve"> </w:t>
            </w:r>
            <w:r w:rsidRPr="00B65C64">
              <w:rPr>
                <w:rFonts w:ascii="Times New Roman" w:hAnsi="Times New Roman" w:cs="Times New Roman"/>
                <w:sz w:val="20"/>
                <w:szCs w:val="20"/>
              </w:rPr>
              <w:t xml:space="preserve">Diagnosis of immediate hypersensitivity reaction (HSR) for both iodinated contrast (ICM) and non ionic contrast media(NICM) is challenging based on clinical history and skin tests. </w:t>
            </w:r>
          </w:p>
          <w:p w:rsidR="00B65C64" w:rsidRPr="00B65C64" w:rsidRDefault="00B65C64" w:rsidP="006C5453">
            <w:pPr>
              <w:spacing w:after="0" w:line="240" w:lineRule="auto"/>
              <w:contextualSpacing/>
              <w:jc w:val="both"/>
              <w:rPr>
                <w:rFonts w:ascii="Times New Roman" w:hAnsi="Times New Roman" w:cs="Times New Roman"/>
                <w:sz w:val="20"/>
                <w:szCs w:val="20"/>
              </w:rPr>
            </w:pPr>
            <w:r w:rsidRPr="00B65C64">
              <w:rPr>
                <w:rFonts w:ascii="Times New Roman" w:hAnsi="Times New Roman" w:cs="Times New Roman"/>
                <w:b/>
                <w:sz w:val="20"/>
                <w:szCs w:val="20"/>
              </w:rPr>
              <w:t>Objective:</w:t>
            </w:r>
            <w:r w:rsidR="006C5453">
              <w:rPr>
                <w:rFonts w:ascii="Times New Roman" w:hAnsi="Times New Roman" w:cs="Times New Roman"/>
                <w:b/>
                <w:sz w:val="20"/>
                <w:szCs w:val="20"/>
              </w:rPr>
              <w:t xml:space="preserve"> </w:t>
            </w:r>
            <w:r w:rsidRPr="00B65C64">
              <w:rPr>
                <w:rFonts w:ascii="Times New Roman" w:hAnsi="Times New Roman" w:cs="Times New Roman"/>
                <w:sz w:val="20"/>
                <w:szCs w:val="20"/>
              </w:rPr>
              <w:t xml:space="preserve">The goal of this study was evaluate the negative predictive value for patients with suspected HSR to ICM and NICM doses. </w:t>
            </w:r>
          </w:p>
          <w:p w:rsid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b/>
                <w:sz w:val="20"/>
                <w:szCs w:val="20"/>
              </w:rPr>
              <w:t>Methods:</w:t>
            </w:r>
            <w:r>
              <w:rPr>
                <w:rFonts w:ascii="Times New Roman" w:hAnsi="Times New Roman" w:cs="Times New Roman"/>
                <w:b/>
                <w:sz w:val="20"/>
                <w:szCs w:val="20"/>
              </w:rPr>
              <w:t xml:space="preserve"> </w:t>
            </w:r>
            <w:r w:rsidRPr="00B65C64">
              <w:rPr>
                <w:rFonts w:ascii="Times New Roman" w:hAnsi="Times New Roman" w:cs="Times New Roman"/>
                <w:sz w:val="20"/>
                <w:szCs w:val="20"/>
              </w:rPr>
              <w:t>Standardized cases reports and clinical history of hundred and forty-one patients undergoing clinical therapy in Department of Radiology at Padre Albino Hospital from December 2015 to April 2016 were used as data collection tool to support this investigation.</w:t>
            </w:r>
          </w:p>
          <w:p w:rsid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b/>
                <w:sz w:val="20"/>
                <w:szCs w:val="20"/>
              </w:rPr>
              <w:t>Results:</w:t>
            </w:r>
            <w:r>
              <w:rPr>
                <w:rFonts w:ascii="Times New Roman" w:hAnsi="Times New Roman" w:cs="Times New Roman"/>
                <w:b/>
                <w:sz w:val="20"/>
                <w:szCs w:val="20"/>
              </w:rPr>
              <w:t xml:space="preserve"> </w:t>
            </w:r>
            <w:r w:rsidRPr="00B65C64">
              <w:rPr>
                <w:rFonts w:ascii="Times New Roman" w:hAnsi="Times New Roman" w:cs="Times New Roman"/>
                <w:sz w:val="20"/>
                <w:szCs w:val="20"/>
              </w:rPr>
              <w:t>Fourty-five from 141 patients investigated were challenged by ICM and only one patient had a positive challenge result (2.2%)which was a grade I reaction by the Ring and Messmer classification. Thirty from 45 patients evaluated were re-exposed to ICM during radiologic examination (28%) and none of them experienced a negativechallenge to ICM when a premedication or ICM replacement by NICM was applied. On the other hand, ninety six from 141 patients investigated were selected to challenge successfully NICM.</w:t>
            </w:r>
          </w:p>
          <w:p w:rsidR="003F32D3" w:rsidRPr="00B65C64" w:rsidRDefault="00B65C64" w:rsidP="006C5453">
            <w:pPr>
              <w:spacing w:after="0" w:line="240" w:lineRule="auto"/>
              <w:jc w:val="both"/>
              <w:rPr>
                <w:rFonts w:ascii="Times New Roman" w:eastAsia="Times New Roman" w:hAnsi="Times New Roman" w:cs="Times New Roman"/>
                <w:color w:val="000000"/>
                <w:sz w:val="20"/>
                <w:szCs w:val="20"/>
                <w:lang w:val="en-GB"/>
              </w:rPr>
            </w:pPr>
            <w:r w:rsidRPr="00B65C64">
              <w:rPr>
                <w:rFonts w:ascii="Times New Roman" w:hAnsi="Times New Roman" w:cs="Times New Roman"/>
                <w:b/>
                <w:sz w:val="20"/>
                <w:szCs w:val="20"/>
              </w:rPr>
              <w:t>Conclusions:</w:t>
            </w:r>
            <w:r>
              <w:rPr>
                <w:rFonts w:ascii="Times New Roman" w:hAnsi="Times New Roman" w:cs="Times New Roman"/>
                <w:b/>
                <w:sz w:val="20"/>
                <w:szCs w:val="20"/>
              </w:rPr>
              <w:t xml:space="preserve"> </w:t>
            </w:r>
            <w:r w:rsidRPr="00B65C64">
              <w:rPr>
                <w:rFonts w:ascii="Times New Roman" w:hAnsi="Times New Roman" w:cs="Times New Roman"/>
                <w:sz w:val="20"/>
                <w:szCs w:val="20"/>
              </w:rPr>
              <w:t>In our study few patients had documented clinical history of immediate response to ICM and they received a premedication before re-exposure to ICM or even received ICM replacement by NICM. In conclusion, our results showed that clinical decision based on patient clinical records resulted in a decrease of several immediate reactions incidence</w:t>
            </w:r>
            <w:r w:rsidR="003F32D3" w:rsidRPr="00B65C64">
              <w:rPr>
                <w:rFonts w:ascii="Times New Roman" w:eastAsia="Times New Roman" w:hAnsi="Times New Roman" w:cs="Times New Roman"/>
                <w:color w:val="000000"/>
                <w:sz w:val="20"/>
                <w:szCs w:val="20"/>
                <w:lang w:val="en-GB"/>
              </w:rPr>
              <w:t>.</w:t>
            </w:r>
          </w:p>
          <w:p w:rsidR="003F32D3" w:rsidRPr="00FD43A3" w:rsidRDefault="003F32D3" w:rsidP="006C5453">
            <w:pPr>
              <w:spacing w:after="0" w:line="240" w:lineRule="auto"/>
              <w:jc w:val="both"/>
              <w:rPr>
                <w:rFonts w:ascii="Times New Roman" w:eastAsia="Times New Roman" w:hAnsi="Times New Roman" w:cs="Times New Roman"/>
                <w:color w:val="000000"/>
                <w:sz w:val="20"/>
                <w:szCs w:val="20"/>
                <w:lang w:bidi="fa-IR"/>
              </w:rPr>
            </w:pPr>
          </w:p>
        </w:tc>
      </w:tr>
      <w:tr w:rsidR="003F32D3" w:rsidRPr="00FD43A3" w:rsidTr="00FB3F95">
        <w:trPr>
          <w:trHeight w:val="285"/>
        </w:trPr>
        <w:tc>
          <w:tcPr>
            <w:tcW w:w="1285" w:type="pct"/>
            <w:shd w:val="clear" w:color="auto" w:fill="auto"/>
            <w:vAlign w:val="center"/>
          </w:tcPr>
          <w:p w:rsidR="003F32D3" w:rsidRPr="00FD43A3" w:rsidRDefault="003F32D3" w:rsidP="006C5453">
            <w:pPr>
              <w:spacing w:after="0" w:line="240" w:lineRule="auto"/>
              <w:rPr>
                <w:rFonts w:ascii="Times New Roman" w:eastAsia="Times New Roman" w:hAnsi="Times New Roman" w:cs="Times New Roman"/>
                <w:i/>
                <w:iCs/>
                <w:color w:val="000000"/>
                <w:sz w:val="20"/>
                <w:szCs w:val="20"/>
                <w:lang w:bidi="fa-IR"/>
              </w:rPr>
            </w:pPr>
          </w:p>
        </w:tc>
        <w:tc>
          <w:tcPr>
            <w:tcW w:w="3715" w:type="pct"/>
            <w:shd w:val="clear" w:color="auto" w:fill="auto"/>
            <w:vAlign w:val="center"/>
            <w:hideMark/>
          </w:tcPr>
          <w:p w:rsidR="003F32D3" w:rsidRPr="00F07643" w:rsidRDefault="003F32D3" w:rsidP="006C5453">
            <w:pPr>
              <w:spacing w:after="0" w:line="240" w:lineRule="auto"/>
              <w:rPr>
                <w:rFonts w:ascii="AdvGulliv-R" w:eastAsia="Times New Roman" w:hAnsi="AdvGulliv-R" w:cs="Arial"/>
                <w:color w:val="000000"/>
                <w:sz w:val="18"/>
                <w:szCs w:val="18"/>
                <w:lang w:bidi="fa-IR"/>
              </w:rPr>
            </w:pPr>
          </w:p>
        </w:tc>
      </w:tr>
    </w:tbl>
    <w:p w:rsidR="00FB3F95" w:rsidRDefault="00FB3F95" w:rsidP="006C5453">
      <w:pPr>
        <w:spacing w:after="0" w:line="240" w:lineRule="auto"/>
        <w:rPr>
          <w:rFonts w:ascii="Times New Roman" w:hAnsi="Times New Roman" w:cs="Times New Roman"/>
          <w:color w:val="000000" w:themeColor="text1"/>
          <w:sz w:val="20"/>
          <w:szCs w:val="20"/>
        </w:rPr>
      </w:pPr>
    </w:p>
    <w:p w:rsidR="00FB3F95" w:rsidRPr="00FB3F95" w:rsidRDefault="00FB3F95" w:rsidP="006C5453">
      <w:pPr>
        <w:spacing w:after="0" w:line="240" w:lineRule="auto"/>
        <w:rPr>
          <w:rFonts w:ascii="Times New Roman" w:hAnsi="Times New Roman" w:cs="Times New Roman"/>
          <w:b/>
          <w:color w:val="000000" w:themeColor="text1"/>
          <w:sz w:val="24"/>
          <w:szCs w:val="24"/>
        </w:rPr>
      </w:pPr>
      <w:r w:rsidRPr="00FB3F95">
        <w:rPr>
          <w:rFonts w:ascii="Times New Roman" w:hAnsi="Times New Roman" w:cs="Times New Roman"/>
          <w:b/>
          <w:color w:val="000000" w:themeColor="text1"/>
          <w:sz w:val="24"/>
          <w:szCs w:val="24"/>
        </w:rPr>
        <w:t>Introduction</w:t>
      </w:r>
      <w:r w:rsidR="00B65C64">
        <w:rPr>
          <w:rFonts w:ascii="Times New Roman" w:hAnsi="Times New Roman" w:cs="Times New Roman"/>
          <w:b/>
          <w:color w:val="000000" w:themeColor="text1"/>
          <w:sz w:val="24"/>
          <w:szCs w:val="24"/>
        </w:rPr>
        <w:t xml:space="preserve"> </w:t>
      </w:r>
    </w:p>
    <w:p w:rsid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Iodinated contrast media (ICM) are most commonly prescribedas contrast media and are generally well tolerated. This was first applied in clinical practice at 1920s as sodium iodide but their used was limited by patient toxicity and poor radiographic contrast</w:t>
      </w:r>
      <w:r w:rsidRPr="00B65C64">
        <w:rPr>
          <w:rFonts w:ascii="Times New Roman" w:hAnsi="Times New Roman" w:cs="Times New Roman"/>
          <w:sz w:val="20"/>
          <w:szCs w:val="20"/>
          <w:vertAlign w:val="superscript"/>
        </w:rPr>
        <w:t>1</w:t>
      </w:r>
      <w:r w:rsidRPr="00B65C64">
        <w:rPr>
          <w:rFonts w:ascii="Times New Roman" w:hAnsi="Times New Roman" w:cs="Times New Roman"/>
          <w:sz w:val="20"/>
          <w:szCs w:val="20"/>
        </w:rPr>
        <w:t xml:space="preserve">.ICM are tri-iodinated benzene derivatives with different side chains, which can be classified into four groups according to their chemical structure and their osmolality. </w:t>
      </w:r>
      <w:r w:rsidRPr="00B65C64">
        <w:rPr>
          <w:rFonts w:ascii="Times New Roman" w:eastAsia="Times New Roman" w:hAnsi="Times New Roman" w:cs="Times New Roman"/>
          <w:sz w:val="20"/>
          <w:szCs w:val="20"/>
          <w:lang w:eastAsia="pt-BR"/>
        </w:rPr>
        <w:t>Along the years the technological advances resulted in ICM formulations based on ionic and non ionic monomeric</w:t>
      </w:r>
      <w:r w:rsidRPr="00B65C64">
        <w:rPr>
          <w:rFonts w:ascii="Times New Roman" w:hAnsi="Times New Roman" w:cs="Times New Roman"/>
          <w:sz w:val="20"/>
          <w:szCs w:val="20"/>
          <w:shd w:val="clear" w:color="auto" w:fill="FFFFFF"/>
        </w:rPr>
        <w:t>or dimeric</w:t>
      </w:r>
      <w:r w:rsidRPr="00B65C64">
        <w:rPr>
          <w:rFonts w:ascii="Times New Roman" w:hAnsi="Times New Roman" w:cs="Times New Roman"/>
          <w:sz w:val="20"/>
          <w:szCs w:val="20"/>
          <w:shd w:val="clear" w:color="auto" w:fill="FFFFFF"/>
          <w:vertAlign w:val="superscript"/>
        </w:rPr>
        <w:t>1</w:t>
      </w:r>
      <w:r w:rsidRPr="00B65C64">
        <w:rPr>
          <w:rFonts w:ascii="Times New Roman" w:hAnsi="Times New Roman" w:cs="Times New Roman"/>
          <w:sz w:val="20"/>
          <w:szCs w:val="20"/>
          <w:shd w:val="clear" w:color="auto" w:fill="FFFFFF"/>
        </w:rPr>
        <w:t xml:space="preserve"> (Table 1) allowing for more widespread use of ICM</w:t>
      </w:r>
      <w:r w:rsidRPr="00B65C64">
        <w:rPr>
          <w:rFonts w:ascii="Times New Roman" w:hAnsi="Times New Roman" w:cs="Times New Roman"/>
          <w:sz w:val="20"/>
          <w:szCs w:val="20"/>
          <w:shd w:val="clear" w:color="auto" w:fill="FFFFFF"/>
          <w:vertAlign w:val="superscript"/>
        </w:rPr>
        <w:t>2</w:t>
      </w:r>
      <w:r w:rsidRPr="00B65C64">
        <w:rPr>
          <w:rFonts w:ascii="Times New Roman" w:eastAsia="Times New Roman" w:hAnsi="Times New Roman" w:cs="Times New Roman"/>
          <w:sz w:val="20"/>
          <w:szCs w:val="20"/>
          <w:lang w:eastAsia="pt-BR"/>
        </w:rPr>
        <w:t xml:space="preserve">. </w:t>
      </w:r>
      <w:r w:rsidRPr="00B65C64">
        <w:rPr>
          <w:rFonts w:ascii="Times New Roman" w:hAnsi="Times New Roman" w:cs="Times New Roman"/>
          <w:sz w:val="20"/>
          <w:szCs w:val="20"/>
        </w:rPr>
        <w:t>In the last decade, more than 70 million computed tomography scans were performed in the United States</w:t>
      </w:r>
      <w:r w:rsidRPr="00B65C64">
        <w:rPr>
          <w:rFonts w:ascii="Times New Roman" w:hAnsi="Times New Roman" w:cs="Times New Roman"/>
          <w:sz w:val="20"/>
          <w:szCs w:val="20"/>
          <w:vertAlign w:val="superscript"/>
        </w:rPr>
        <w:t>3</w:t>
      </w:r>
      <w:r w:rsidRPr="00B65C64">
        <w:rPr>
          <w:rFonts w:ascii="Times New Roman" w:hAnsi="Times New Roman" w:cs="Times New Roman"/>
          <w:sz w:val="20"/>
          <w:szCs w:val="20"/>
        </w:rPr>
        <w:t xml:space="preserve">and ICM applicationwas estimated to be conducted at least 100 million times a year around the world. </w:t>
      </w:r>
    </w:p>
    <w:p w:rsidR="006C5453" w:rsidRPr="00B65C64" w:rsidRDefault="006C5453" w:rsidP="006C5453">
      <w:pPr>
        <w:spacing w:after="0" w:line="240" w:lineRule="auto"/>
        <w:jc w:val="both"/>
        <w:rPr>
          <w:rFonts w:ascii="Times New Roman" w:hAnsi="Times New Roman" w:cs="Times New Roman"/>
          <w:sz w:val="20"/>
          <w:szCs w:val="20"/>
        </w:rPr>
      </w:pPr>
    </w:p>
    <w:p w:rsidR="00B65C64" w:rsidRPr="00B65C64" w:rsidRDefault="00B65C64" w:rsidP="006C5453">
      <w:pPr>
        <w:spacing w:after="0" w:line="240" w:lineRule="auto"/>
        <w:jc w:val="center"/>
        <w:rPr>
          <w:rFonts w:ascii="Times New Roman" w:hAnsi="Times New Roman" w:cs="Times New Roman"/>
          <w:b/>
          <w:i/>
          <w:sz w:val="18"/>
          <w:szCs w:val="20"/>
        </w:rPr>
      </w:pPr>
      <w:r w:rsidRPr="00B65C64">
        <w:rPr>
          <w:rFonts w:ascii="Times New Roman" w:hAnsi="Times New Roman" w:cs="Times New Roman"/>
          <w:b/>
          <w:i/>
          <w:sz w:val="18"/>
          <w:szCs w:val="20"/>
        </w:rPr>
        <w:lastRenderedPageBreak/>
        <w:t>Table I. Commercially available monomeric and dimeric X-ray contrast media (adapted from Meth and Maibach, 2006)</w:t>
      </w:r>
      <w:r w:rsidRPr="00B65C64">
        <w:rPr>
          <w:rFonts w:ascii="Times New Roman" w:hAnsi="Times New Roman" w:cs="Times New Roman"/>
          <w:b/>
          <w:i/>
          <w:sz w:val="18"/>
          <w:szCs w:val="20"/>
          <w:vertAlign w:val="superscript"/>
        </w:rPr>
        <w:t>4</w:t>
      </w:r>
    </w:p>
    <w:tbl>
      <w:tblPr>
        <w:tblStyle w:val="TableGrid"/>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4322"/>
        <w:gridCol w:w="4322"/>
      </w:tblGrid>
      <w:tr w:rsidR="00B65C64" w:rsidRPr="00B65C64" w:rsidTr="00B65C64">
        <w:trPr>
          <w:jc w:val="center"/>
        </w:trPr>
        <w:tc>
          <w:tcPr>
            <w:tcW w:w="4322" w:type="dxa"/>
            <w:tcBorders>
              <w:bottom w:val="single" w:sz="4" w:space="0" w:color="auto"/>
            </w:tcBorders>
          </w:tcPr>
          <w:p w:rsidR="00B65C64" w:rsidRPr="00B65C64" w:rsidRDefault="00B65C64" w:rsidP="006C5453">
            <w:pPr>
              <w:rPr>
                <w:rFonts w:ascii="Times New Roman" w:hAnsi="Times New Roman"/>
                <w:b/>
              </w:rPr>
            </w:pPr>
            <w:r w:rsidRPr="00B65C64">
              <w:rPr>
                <w:rFonts w:ascii="Times New Roman" w:hAnsi="Times New Roman"/>
                <w:b/>
              </w:rPr>
              <w:t>Specifications</w:t>
            </w:r>
          </w:p>
        </w:tc>
        <w:tc>
          <w:tcPr>
            <w:tcW w:w="4322" w:type="dxa"/>
            <w:tcBorders>
              <w:bottom w:val="single" w:sz="4" w:space="0" w:color="auto"/>
            </w:tcBorders>
          </w:tcPr>
          <w:p w:rsidR="00B65C64" w:rsidRPr="00B65C64" w:rsidRDefault="00B65C64" w:rsidP="006C5453">
            <w:pPr>
              <w:rPr>
                <w:rFonts w:ascii="Times New Roman" w:hAnsi="Times New Roman"/>
                <w:b/>
              </w:rPr>
            </w:pPr>
            <w:r w:rsidRPr="00B65C64">
              <w:rPr>
                <w:rFonts w:ascii="Times New Roman" w:hAnsi="Times New Roman"/>
                <w:b/>
              </w:rPr>
              <w:t>Commercial name</w:t>
            </w:r>
          </w:p>
        </w:tc>
      </w:tr>
      <w:tr w:rsidR="00B65C64" w:rsidRPr="00B65C64" w:rsidTr="00B65C64">
        <w:trPr>
          <w:jc w:val="center"/>
        </w:trPr>
        <w:tc>
          <w:tcPr>
            <w:tcW w:w="8644" w:type="dxa"/>
            <w:gridSpan w:val="2"/>
            <w:tcBorders>
              <w:bottom w:val="nil"/>
            </w:tcBorders>
            <w:vAlign w:val="center"/>
          </w:tcPr>
          <w:p w:rsidR="00B65C64" w:rsidRPr="00B65C64" w:rsidRDefault="00B65C64" w:rsidP="006C5453">
            <w:pPr>
              <w:jc w:val="center"/>
              <w:rPr>
                <w:rFonts w:ascii="Times New Roman" w:hAnsi="Times New Roman"/>
                <w:b/>
              </w:rPr>
            </w:pPr>
            <w:r w:rsidRPr="00B65C64">
              <w:rPr>
                <w:rFonts w:ascii="Times New Roman" w:hAnsi="Times New Roman"/>
                <w:b/>
              </w:rPr>
              <w:t>Monomeric contrast media</w:t>
            </w:r>
          </w:p>
          <w:p w:rsidR="00B65C64" w:rsidRPr="00B65C64" w:rsidRDefault="00B65C64" w:rsidP="006C5453">
            <w:pPr>
              <w:jc w:val="center"/>
              <w:rPr>
                <w:rFonts w:ascii="Times New Roman" w:hAnsi="Times New Roman"/>
              </w:rPr>
            </w:pPr>
          </w:p>
        </w:tc>
      </w:tr>
      <w:tr w:rsidR="00B65C64" w:rsidRPr="00B65C64" w:rsidTr="00B65C64">
        <w:trPr>
          <w:jc w:val="center"/>
        </w:trPr>
        <w:tc>
          <w:tcPr>
            <w:tcW w:w="4322" w:type="dxa"/>
            <w:vMerge w:val="restart"/>
            <w:tcBorders>
              <w:top w:val="nil"/>
              <w:bottom w:val="nil"/>
            </w:tcBorders>
          </w:tcPr>
          <w:p w:rsidR="00B65C64" w:rsidRPr="00B65C64" w:rsidRDefault="00B65C64" w:rsidP="006C5453">
            <w:pPr>
              <w:rPr>
                <w:rFonts w:ascii="Times New Roman" w:hAnsi="Times New Roman"/>
                <w:i/>
              </w:rPr>
            </w:pPr>
            <w:r w:rsidRPr="00B65C64">
              <w:rPr>
                <w:rFonts w:ascii="Times New Roman" w:hAnsi="Times New Roman"/>
                <w:i/>
              </w:rPr>
              <w:t xml:space="preserve">Ionic monomers </w:t>
            </w:r>
          </w:p>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Meglumineiothalamate/Conray®</w:t>
            </w:r>
          </w:p>
        </w:tc>
      </w:tr>
      <w:tr w:rsidR="00B65C64" w:rsidRPr="00B65C64" w:rsidTr="00B65C64">
        <w:trPr>
          <w:jc w:val="center"/>
        </w:trPr>
        <w:tc>
          <w:tcPr>
            <w:tcW w:w="4322" w:type="dxa"/>
            <w:vMerge/>
            <w:tcBorders>
              <w:top w:val="nil"/>
              <w:bottom w:val="nil"/>
            </w:tcBorders>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Meglumineioxithalamate/Telebrix®</w:t>
            </w:r>
          </w:p>
        </w:tc>
      </w:tr>
      <w:tr w:rsidR="00B65C64" w:rsidRPr="00B65C64" w:rsidTr="00B65C64">
        <w:trPr>
          <w:jc w:val="center"/>
        </w:trPr>
        <w:tc>
          <w:tcPr>
            <w:tcW w:w="4322" w:type="dxa"/>
            <w:vMerge/>
            <w:tcBorders>
              <w:top w:val="nil"/>
              <w:bottom w:val="nil"/>
            </w:tcBorders>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Sodiumamidotrizoate/Urografin®Hypaque®</w:t>
            </w:r>
          </w:p>
          <w:p w:rsidR="00B65C64" w:rsidRPr="00B65C64" w:rsidRDefault="00B65C64" w:rsidP="006C5453">
            <w:pPr>
              <w:rPr>
                <w:rFonts w:ascii="Times New Roman" w:hAnsi="Times New Roman"/>
              </w:rPr>
            </w:pPr>
          </w:p>
        </w:tc>
      </w:tr>
      <w:tr w:rsidR="00B65C64" w:rsidRPr="00B65C64" w:rsidTr="00B65C64">
        <w:trPr>
          <w:jc w:val="center"/>
        </w:trPr>
        <w:tc>
          <w:tcPr>
            <w:tcW w:w="4322" w:type="dxa"/>
            <w:vMerge w:val="restart"/>
            <w:tcBorders>
              <w:top w:val="nil"/>
              <w:bottom w:val="nil"/>
            </w:tcBorders>
          </w:tcPr>
          <w:p w:rsidR="00B65C64" w:rsidRPr="00B65C64" w:rsidRDefault="00B65C64" w:rsidP="006C5453">
            <w:pPr>
              <w:rPr>
                <w:rFonts w:ascii="Times New Roman" w:hAnsi="Times New Roman"/>
                <w:i/>
              </w:rPr>
            </w:pPr>
            <w:r w:rsidRPr="00B65C64">
              <w:rPr>
                <w:rFonts w:ascii="Times New Roman" w:hAnsi="Times New Roman"/>
                <w:i/>
              </w:rPr>
              <w:t>Non-ionic monomers</w:t>
            </w:r>
          </w:p>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 xml:space="preserve">Iopamidol/Iopamiro® </w:t>
            </w:r>
          </w:p>
        </w:tc>
      </w:tr>
      <w:tr w:rsidR="00B65C64" w:rsidRPr="00B65C64" w:rsidTr="00B65C64">
        <w:trPr>
          <w:jc w:val="center"/>
        </w:trPr>
        <w:tc>
          <w:tcPr>
            <w:tcW w:w="4322" w:type="dxa"/>
            <w:vMerge/>
            <w:tcBorders>
              <w:top w:val="nil"/>
            </w:tcBorders>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Iobitridol/Xenetix®</w:t>
            </w:r>
          </w:p>
        </w:tc>
      </w:tr>
      <w:tr w:rsidR="00B65C64" w:rsidRPr="00B65C64" w:rsidTr="00B65C64">
        <w:trPr>
          <w:jc w:val="center"/>
        </w:trPr>
        <w:tc>
          <w:tcPr>
            <w:tcW w:w="4322" w:type="dxa"/>
            <w:vMerge/>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Iopromide/Ultravist®</w:t>
            </w:r>
          </w:p>
        </w:tc>
      </w:tr>
      <w:tr w:rsidR="00B65C64" w:rsidRPr="00B65C64" w:rsidTr="00B65C64">
        <w:trPr>
          <w:jc w:val="center"/>
        </w:trPr>
        <w:tc>
          <w:tcPr>
            <w:tcW w:w="4322" w:type="dxa"/>
            <w:vMerge/>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Ioversol/ Optiray®</w:t>
            </w:r>
          </w:p>
        </w:tc>
      </w:tr>
      <w:tr w:rsidR="00B65C64" w:rsidRPr="00B65C64" w:rsidTr="00B65C64">
        <w:trPr>
          <w:jc w:val="center"/>
        </w:trPr>
        <w:tc>
          <w:tcPr>
            <w:tcW w:w="4322" w:type="dxa"/>
            <w:vMerge/>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Iomeprol/Iomeron®</w:t>
            </w:r>
          </w:p>
        </w:tc>
      </w:tr>
      <w:tr w:rsidR="00B65C64" w:rsidRPr="00B65C64" w:rsidTr="00B65C64">
        <w:trPr>
          <w:jc w:val="center"/>
        </w:trPr>
        <w:tc>
          <w:tcPr>
            <w:tcW w:w="4322" w:type="dxa"/>
            <w:vMerge/>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Ioxitol/Oxilan®</w:t>
            </w:r>
          </w:p>
        </w:tc>
      </w:tr>
      <w:tr w:rsidR="00B65C64" w:rsidRPr="00B65C64" w:rsidTr="00B65C64">
        <w:trPr>
          <w:jc w:val="center"/>
        </w:trPr>
        <w:tc>
          <w:tcPr>
            <w:tcW w:w="4322" w:type="dxa"/>
            <w:vMerge/>
          </w:tcPr>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Iopentol/Imagopaque™</w:t>
            </w:r>
          </w:p>
        </w:tc>
      </w:tr>
      <w:tr w:rsidR="00B65C64" w:rsidRPr="00B65C64" w:rsidTr="00B65C64">
        <w:trPr>
          <w:jc w:val="center"/>
        </w:trPr>
        <w:tc>
          <w:tcPr>
            <w:tcW w:w="4322" w:type="dxa"/>
            <w:vMerge/>
            <w:tcBorders>
              <w:bottom w:val="single" w:sz="4" w:space="0" w:color="auto"/>
            </w:tcBorders>
          </w:tcPr>
          <w:p w:rsidR="00B65C64" w:rsidRPr="00B65C64" w:rsidRDefault="00B65C64" w:rsidP="006C5453">
            <w:pPr>
              <w:rPr>
                <w:rFonts w:ascii="Times New Roman" w:hAnsi="Times New Roman"/>
              </w:rPr>
            </w:pPr>
          </w:p>
        </w:tc>
        <w:tc>
          <w:tcPr>
            <w:tcW w:w="4322" w:type="dxa"/>
            <w:tcBorders>
              <w:top w:val="nil"/>
              <w:bottom w:val="single" w:sz="4" w:space="0" w:color="auto"/>
            </w:tcBorders>
          </w:tcPr>
          <w:p w:rsidR="00B65C64" w:rsidRPr="00B65C64" w:rsidRDefault="00B65C64" w:rsidP="006C5453">
            <w:pPr>
              <w:rPr>
                <w:rFonts w:ascii="Times New Roman" w:hAnsi="Times New Roman"/>
              </w:rPr>
            </w:pPr>
            <w:r w:rsidRPr="00B65C64">
              <w:rPr>
                <w:rFonts w:ascii="Times New Roman" w:hAnsi="Times New Roman"/>
              </w:rPr>
              <w:t>Iohexol/Omnipaque™</w:t>
            </w:r>
          </w:p>
        </w:tc>
      </w:tr>
      <w:tr w:rsidR="00B65C64" w:rsidRPr="00B65C64" w:rsidTr="00B65C64">
        <w:trPr>
          <w:jc w:val="center"/>
        </w:trPr>
        <w:tc>
          <w:tcPr>
            <w:tcW w:w="8644" w:type="dxa"/>
            <w:gridSpan w:val="2"/>
            <w:tcBorders>
              <w:bottom w:val="nil"/>
            </w:tcBorders>
            <w:vAlign w:val="center"/>
          </w:tcPr>
          <w:p w:rsidR="00B65C64" w:rsidRPr="00B65C64" w:rsidRDefault="00B65C64" w:rsidP="006C5453">
            <w:pPr>
              <w:jc w:val="center"/>
              <w:rPr>
                <w:rFonts w:ascii="Times New Roman" w:hAnsi="Times New Roman"/>
                <w:b/>
              </w:rPr>
            </w:pPr>
            <w:r w:rsidRPr="00B65C64">
              <w:rPr>
                <w:rFonts w:ascii="Times New Roman" w:hAnsi="Times New Roman"/>
                <w:b/>
              </w:rPr>
              <w:t>Dimeric contrast media</w:t>
            </w:r>
          </w:p>
          <w:p w:rsidR="00B65C64" w:rsidRPr="00B65C64" w:rsidRDefault="00B65C64" w:rsidP="006C5453">
            <w:pPr>
              <w:jc w:val="center"/>
              <w:rPr>
                <w:rFonts w:ascii="Times New Roman" w:hAnsi="Times New Roman"/>
              </w:rPr>
            </w:pPr>
          </w:p>
        </w:tc>
      </w:tr>
      <w:tr w:rsidR="00B65C64" w:rsidRPr="00B65C64" w:rsidTr="00B65C64">
        <w:trPr>
          <w:jc w:val="center"/>
        </w:trPr>
        <w:tc>
          <w:tcPr>
            <w:tcW w:w="4322" w:type="dxa"/>
            <w:tcBorders>
              <w:top w:val="nil"/>
              <w:bottom w:val="nil"/>
            </w:tcBorders>
          </w:tcPr>
          <w:p w:rsidR="00B65C64" w:rsidRPr="00B65C64" w:rsidRDefault="00B65C64" w:rsidP="006C5453">
            <w:pPr>
              <w:rPr>
                <w:rFonts w:ascii="Times New Roman" w:hAnsi="Times New Roman"/>
                <w:i/>
              </w:rPr>
            </w:pPr>
            <w:r w:rsidRPr="00B65C64">
              <w:rPr>
                <w:rFonts w:ascii="Times New Roman" w:hAnsi="Times New Roman"/>
                <w:i/>
              </w:rPr>
              <w:t>Ionic dimer</w:t>
            </w:r>
          </w:p>
          <w:p w:rsidR="00B65C64" w:rsidRPr="00B65C64" w:rsidRDefault="00B65C64" w:rsidP="006C5453">
            <w:pPr>
              <w:rPr>
                <w:rFonts w:ascii="Times New Roman" w:hAnsi="Times New Roman"/>
              </w:rPr>
            </w:pPr>
          </w:p>
        </w:tc>
        <w:tc>
          <w:tcPr>
            <w:tcW w:w="4322" w:type="dxa"/>
            <w:tcBorders>
              <w:top w:val="nil"/>
              <w:bottom w:val="nil"/>
            </w:tcBorders>
          </w:tcPr>
          <w:p w:rsidR="00B65C64" w:rsidRPr="00B65C64" w:rsidRDefault="00B65C64" w:rsidP="006C5453">
            <w:pPr>
              <w:rPr>
                <w:rFonts w:ascii="Times New Roman" w:hAnsi="Times New Roman"/>
              </w:rPr>
            </w:pPr>
            <w:r w:rsidRPr="00B65C64">
              <w:rPr>
                <w:rFonts w:ascii="Times New Roman" w:hAnsi="Times New Roman"/>
              </w:rPr>
              <w:t>Ioxaglate/Hexabrix®</w:t>
            </w:r>
          </w:p>
        </w:tc>
      </w:tr>
      <w:tr w:rsidR="00B65C64" w:rsidRPr="00B65C64" w:rsidTr="00B65C64">
        <w:trPr>
          <w:jc w:val="center"/>
        </w:trPr>
        <w:tc>
          <w:tcPr>
            <w:tcW w:w="4322" w:type="dxa"/>
            <w:tcBorders>
              <w:top w:val="nil"/>
              <w:bottom w:val="single" w:sz="4" w:space="0" w:color="auto"/>
            </w:tcBorders>
          </w:tcPr>
          <w:p w:rsidR="00B65C64" w:rsidRPr="00B65C64" w:rsidRDefault="00B65C64" w:rsidP="006C5453">
            <w:pPr>
              <w:rPr>
                <w:rFonts w:ascii="Times New Roman" w:hAnsi="Times New Roman"/>
                <w:i/>
              </w:rPr>
            </w:pPr>
            <w:r w:rsidRPr="00B65C64">
              <w:rPr>
                <w:rFonts w:ascii="Times New Roman" w:hAnsi="Times New Roman"/>
                <w:i/>
              </w:rPr>
              <w:t xml:space="preserve">Non-ionic dimers </w:t>
            </w:r>
          </w:p>
          <w:p w:rsidR="00B65C64" w:rsidRPr="00B65C64" w:rsidRDefault="00B65C64" w:rsidP="006C5453">
            <w:pPr>
              <w:rPr>
                <w:rFonts w:ascii="Times New Roman" w:hAnsi="Times New Roman"/>
                <w:i/>
              </w:rPr>
            </w:pPr>
          </w:p>
        </w:tc>
        <w:tc>
          <w:tcPr>
            <w:tcW w:w="4322" w:type="dxa"/>
            <w:tcBorders>
              <w:top w:val="nil"/>
              <w:bottom w:val="single" w:sz="4" w:space="0" w:color="auto"/>
            </w:tcBorders>
          </w:tcPr>
          <w:p w:rsidR="00B65C64" w:rsidRPr="00B65C64" w:rsidRDefault="00B65C64" w:rsidP="006C5453">
            <w:pPr>
              <w:rPr>
                <w:rFonts w:ascii="Times New Roman" w:hAnsi="Times New Roman"/>
              </w:rPr>
            </w:pPr>
            <w:r w:rsidRPr="00B65C64">
              <w:rPr>
                <w:rFonts w:ascii="Times New Roman" w:hAnsi="Times New Roman"/>
              </w:rPr>
              <w:t>Iotrolan/Isovist® , Iodixanol/ Visipaque®</w:t>
            </w:r>
          </w:p>
        </w:tc>
      </w:tr>
    </w:tbl>
    <w:p w:rsidR="00B65C64" w:rsidRPr="00B65C64" w:rsidRDefault="00B65C64" w:rsidP="006C5453">
      <w:pPr>
        <w:pStyle w:val="ListParagraph"/>
        <w:spacing w:after="0" w:line="240" w:lineRule="auto"/>
        <w:jc w:val="both"/>
        <w:rPr>
          <w:rFonts w:ascii="Times New Roman" w:hAnsi="Times New Roman" w:cs="Times New Roman"/>
          <w:b/>
          <w:sz w:val="20"/>
          <w:szCs w:val="20"/>
          <w:lang w:val="en-US"/>
        </w:rPr>
      </w:pPr>
    </w:p>
    <w:p w:rsidR="00B65C64" w:rsidRP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Severe reaction estimates (REs) to ICM was reported in the range of 0.01 to 0.2% while all adverse reaction (ADRs)were 1 to 12%</w:t>
      </w:r>
      <w:r w:rsidRPr="00B65C64">
        <w:rPr>
          <w:rFonts w:ascii="Times New Roman" w:hAnsi="Times New Roman" w:cs="Times New Roman"/>
          <w:sz w:val="20"/>
          <w:szCs w:val="20"/>
          <w:vertAlign w:val="superscript"/>
        </w:rPr>
        <w:t>1</w:t>
      </w:r>
      <w:r w:rsidRPr="00B65C64">
        <w:rPr>
          <w:rFonts w:ascii="Times New Roman" w:hAnsi="Times New Roman" w:cs="Times New Roman"/>
          <w:sz w:val="20"/>
          <w:szCs w:val="20"/>
        </w:rPr>
        <w:t>.ADRs to ICM have been associated with drug pharmacological action or unrelated to its pharmacological action which includes the hypersensitivity reactions (HSR)</w:t>
      </w:r>
      <w:r w:rsidRPr="00B65C64">
        <w:rPr>
          <w:rFonts w:ascii="Times New Roman" w:hAnsi="Times New Roman" w:cs="Times New Roman"/>
          <w:sz w:val="20"/>
          <w:szCs w:val="20"/>
          <w:vertAlign w:val="superscript"/>
        </w:rPr>
        <w:t>5</w:t>
      </w:r>
      <w:r w:rsidRPr="00B65C64">
        <w:rPr>
          <w:rFonts w:ascii="Times New Roman" w:hAnsi="Times New Roman" w:cs="Times New Roman"/>
          <w:sz w:val="20"/>
          <w:szCs w:val="20"/>
        </w:rPr>
        <w:t>.Furthermore, the risk of reactions has been usually less severe considering the replacement of ionic (high osmolality) to non ionic (low osmolality) contrast media</w:t>
      </w:r>
      <w:r w:rsidRPr="00B65C64">
        <w:rPr>
          <w:rFonts w:ascii="Times New Roman" w:hAnsi="Times New Roman" w:cs="Times New Roman"/>
          <w:sz w:val="20"/>
          <w:szCs w:val="20"/>
          <w:vertAlign w:val="superscript"/>
        </w:rPr>
        <w:t>6</w:t>
      </w:r>
      <w:r w:rsidRPr="00B65C64">
        <w:rPr>
          <w:rFonts w:ascii="Times New Roman" w:hAnsi="Times New Roman" w:cs="Times New Roman"/>
          <w:color w:val="808080" w:themeColor="background1" w:themeShade="80"/>
          <w:sz w:val="20"/>
          <w:szCs w:val="20"/>
        </w:rPr>
        <w:t xml:space="preserve">. </w:t>
      </w:r>
      <w:r w:rsidRPr="00B65C64">
        <w:rPr>
          <w:rFonts w:ascii="Times New Roman" w:hAnsi="Times New Roman" w:cs="Times New Roman"/>
          <w:sz w:val="20"/>
          <w:szCs w:val="20"/>
        </w:rPr>
        <w:t>The non-ionic iodine contrast medium (NICM) has a osmolality similar to that blood (290 mOsm/kg)</w:t>
      </w:r>
      <w:r w:rsidRPr="00B65C64">
        <w:rPr>
          <w:rFonts w:ascii="Times New Roman" w:hAnsi="Times New Roman" w:cs="Times New Roman"/>
          <w:sz w:val="20"/>
          <w:szCs w:val="20"/>
          <w:vertAlign w:val="superscript"/>
        </w:rPr>
        <w:t>4</w:t>
      </w:r>
      <w:r w:rsidRPr="00B65C64">
        <w:rPr>
          <w:rFonts w:ascii="Times New Roman" w:hAnsi="Times New Roman" w:cs="Times New Roman"/>
          <w:sz w:val="20"/>
          <w:szCs w:val="20"/>
        </w:rPr>
        <w:t xml:space="preserve"> anddespite the ability of low osmolality contrast agents to achievedan excellent safety / risk profile some cases of immediate (less than 1 hour of ICM application)or delayed (more than 1 hour of ICM application) HSR can occurs in about 1 to 3% of patients</w:t>
      </w:r>
      <w:r w:rsidRPr="00B65C64">
        <w:rPr>
          <w:rFonts w:ascii="Times New Roman" w:hAnsi="Times New Roman" w:cs="Times New Roman"/>
          <w:sz w:val="20"/>
          <w:szCs w:val="20"/>
          <w:vertAlign w:val="superscript"/>
        </w:rPr>
        <w:t>7</w:t>
      </w:r>
      <w:r w:rsidRPr="00B65C64">
        <w:rPr>
          <w:rFonts w:ascii="Times New Roman" w:hAnsi="Times New Roman" w:cs="Times New Roman"/>
          <w:sz w:val="20"/>
          <w:szCs w:val="20"/>
        </w:rPr>
        <w:t>.Immediate HSR has been more common with ionic ICM (in the range of 3.8 to12.7%) thanNICM (in the range of 0.7 to 3.1%)</w:t>
      </w:r>
      <w:r w:rsidRPr="00B65C64">
        <w:rPr>
          <w:rFonts w:ascii="Times New Roman" w:hAnsi="Times New Roman" w:cs="Times New Roman"/>
          <w:sz w:val="20"/>
          <w:szCs w:val="20"/>
          <w:vertAlign w:val="superscript"/>
        </w:rPr>
        <w:t>8-11</w:t>
      </w:r>
      <w:r w:rsidRPr="00B65C64">
        <w:rPr>
          <w:rFonts w:ascii="Times New Roman" w:hAnsi="Times New Roman" w:cs="Times New Roman"/>
          <w:sz w:val="20"/>
          <w:szCs w:val="20"/>
        </w:rPr>
        <w:t>. Due to the prevalent use of NICM the HSRs are now less known than in the past</w:t>
      </w:r>
      <w:r w:rsidRPr="00B65C64">
        <w:rPr>
          <w:rFonts w:ascii="Times New Roman" w:hAnsi="Times New Roman" w:cs="Times New Roman"/>
          <w:sz w:val="20"/>
          <w:szCs w:val="20"/>
          <w:vertAlign w:val="superscript"/>
        </w:rPr>
        <w:t>11</w:t>
      </w:r>
      <w:r w:rsidRPr="00B65C64">
        <w:rPr>
          <w:rFonts w:ascii="Times New Roman" w:hAnsi="Times New Roman" w:cs="Times New Roman"/>
          <w:sz w:val="20"/>
          <w:szCs w:val="20"/>
        </w:rPr>
        <w:t>. However, diagnosis of HSR to ICM is easily and sophisticated based on clinical history and skin tests</w:t>
      </w:r>
      <w:r w:rsidRPr="00B65C64">
        <w:rPr>
          <w:rFonts w:ascii="Times New Roman" w:hAnsi="Times New Roman" w:cs="Times New Roman"/>
          <w:sz w:val="20"/>
          <w:szCs w:val="20"/>
          <w:vertAlign w:val="superscript"/>
        </w:rPr>
        <w:t>12</w:t>
      </w:r>
      <w:r w:rsidRPr="00B65C64">
        <w:rPr>
          <w:rFonts w:ascii="Times New Roman" w:hAnsi="Times New Roman" w:cs="Times New Roman"/>
          <w:sz w:val="20"/>
          <w:szCs w:val="20"/>
        </w:rPr>
        <w:t>. Considering that the skin is the organ most affected in immediate and unchanged reactions</w:t>
      </w:r>
      <w:r w:rsidRPr="00B65C64">
        <w:rPr>
          <w:rFonts w:ascii="Times New Roman" w:hAnsi="Times New Roman" w:cs="Times New Roman"/>
          <w:sz w:val="20"/>
          <w:szCs w:val="20"/>
          <w:vertAlign w:val="superscript"/>
        </w:rPr>
        <w:t>13</w:t>
      </w:r>
      <w:r w:rsidRPr="00B65C64">
        <w:rPr>
          <w:rFonts w:ascii="Times New Roman" w:hAnsi="Times New Roman" w:cs="Times New Roman"/>
          <w:sz w:val="20"/>
          <w:szCs w:val="20"/>
        </w:rPr>
        <w:t>the skin reaction severity can be easily classified following Ring and Messmer</w:t>
      </w:r>
      <w:r w:rsidRPr="00B65C64">
        <w:rPr>
          <w:rFonts w:ascii="Times New Roman" w:hAnsi="Times New Roman" w:cs="Times New Roman"/>
          <w:sz w:val="20"/>
          <w:szCs w:val="20"/>
          <w:vertAlign w:val="superscript"/>
        </w:rPr>
        <w:t>14</w:t>
      </w:r>
      <w:r w:rsidRPr="00B65C64">
        <w:rPr>
          <w:rFonts w:ascii="Times New Roman" w:hAnsi="Times New Roman" w:cs="Times New Roman"/>
          <w:sz w:val="20"/>
          <w:szCs w:val="20"/>
        </w:rPr>
        <w:t xml:space="preserve"> or Brown</w:t>
      </w:r>
      <w:r w:rsidRPr="00B65C64">
        <w:rPr>
          <w:rFonts w:ascii="Times New Roman" w:hAnsi="Times New Roman" w:cs="Times New Roman"/>
          <w:sz w:val="20"/>
          <w:szCs w:val="20"/>
          <w:vertAlign w:val="superscript"/>
        </w:rPr>
        <w:t>15</w:t>
      </w:r>
      <w:r w:rsidRPr="00B65C64">
        <w:rPr>
          <w:rFonts w:ascii="Times New Roman" w:hAnsi="Times New Roman" w:cs="Times New Roman"/>
          <w:sz w:val="20"/>
          <w:szCs w:val="20"/>
        </w:rPr>
        <w:t>. The most common clinical manifestationsofimmediate reactions are erythema and urticaria, with or without angioedema, occurring in more than 70% of patients</w:t>
      </w:r>
      <w:r w:rsidRPr="00B65C64">
        <w:rPr>
          <w:rFonts w:ascii="Times New Roman" w:hAnsi="Times New Roman" w:cs="Times New Roman"/>
          <w:sz w:val="20"/>
          <w:szCs w:val="20"/>
          <w:vertAlign w:val="superscript"/>
        </w:rPr>
        <w:t>16</w:t>
      </w:r>
      <w:r w:rsidRPr="00B65C64">
        <w:rPr>
          <w:rFonts w:ascii="Times New Roman" w:hAnsi="Times New Roman" w:cs="Times New Roman"/>
          <w:sz w:val="20"/>
          <w:szCs w:val="20"/>
        </w:rPr>
        <w:t>. Severe symptoms are dyspnea, nausea, vomiting and hypotonia. In addition, the more severe cases can lead to anaphylactic shock and acute coronary syndrome (Kounis syndrome)</w:t>
      </w:r>
      <w:r w:rsidRPr="00B65C64">
        <w:rPr>
          <w:rFonts w:ascii="Times New Roman" w:hAnsi="Times New Roman" w:cs="Times New Roman"/>
          <w:sz w:val="20"/>
          <w:szCs w:val="20"/>
          <w:vertAlign w:val="superscript"/>
        </w:rPr>
        <w:t>17</w:t>
      </w:r>
      <w:r w:rsidRPr="00B65C64">
        <w:rPr>
          <w:rFonts w:ascii="Times New Roman" w:hAnsi="Times New Roman" w:cs="Times New Roman"/>
          <w:sz w:val="20"/>
          <w:szCs w:val="20"/>
        </w:rPr>
        <w:t>. On the other hand, non-immediate reactions occur within the first 3 days after ICM administration. They are classified as mild to moderate and usually dissolve within 7 days</w:t>
      </w:r>
      <w:r w:rsidRPr="00B65C64">
        <w:rPr>
          <w:rFonts w:ascii="Times New Roman" w:hAnsi="Times New Roman" w:cs="Times New Roman"/>
          <w:sz w:val="20"/>
          <w:szCs w:val="20"/>
          <w:vertAlign w:val="superscript"/>
        </w:rPr>
        <w:t>18-19</w:t>
      </w:r>
      <w:r w:rsidRPr="00B65C64">
        <w:rPr>
          <w:rFonts w:ascii="Times New Roman" w:hAnsi="Times New Roman" w:cs="Times New Roman"/>
          <w:sz w:val="20"/>
          <w:szCs w:val="20"/>
        </w:rPr>
        <w:t>. Maculopapular rash is the most common cutaneous clinical manifestation (30 to 90%) followed by late urticaria, with or without angioedema (40% to 60%). Contact dermatitis and spills of solid drugs have been also described. In patients who experience a non-reverse response, severe manifestations such as Stevens-Johnson syndrome, toxic epidermal necrolysis, acute generalized pustulitis, and vasculitis are rare</w:t>
      </w:r>
      <w:r w:rsidRPr="00B65C64">
        <w:rPr>
          <w:rFonts w:ascii="Times New Roman" w:hAnsi="Times New Roman" w:cs="Times New Roman"/>
          <w:sz w:val="20"/>
          <w:szCs w:val="20"/>
          <w:vertAlign w:val="superscript"/>
        </w:rPr>
        <w:t>20-21</w:t>
      </w:r>
      <w:r w:rsidRPr="00B65C64">
        <w:rPr>
          <w:rFonts w:ascii="Times New Roman" w:hAnsi="Times New Roman" w:cs="Times New Roman"/>
          <w:sz w:val="20"/>
          <w:szCs w:val="20"/>
        </w:rPr>
        <w:t>. Clinical manifestations of non-allergic reactions are facial redness, heat, dizziness and nausea that can may occur immediately after the administration ofICM and usually dissolve spontaneously.The safe contrast administration is dependent on several prerequisites based on adequate screening of patients prior to contrast administration and the use of precise nomenclature</w:t>
      </w:r>
      <w:r w:rsidRPr="00B65C64">
        <w:rPr>
          <w:rFonts w:ascii="Times New Roman" w:hAnsi="Times New Roman" w:cs="Times New Roman"/>
          <w:sz w:val="20"/>
          <w:szCs w:val="20"/>
          <w:vertAlign w:val="superscript"/>
        </w:rPr>
        <w:t>22</w:t>
      </w:r>
      <w:r w:rsidRPr="00B65C64">
        <w:rPr>
          <w:rFonts w:ascii="Times New Roman" w:hAnsi="Times New Roman" w:cs="Times New Roman"/>
          <w:b/>
          <w:sz w:val="20"/>
          <w:szCs w:val="20"/>
        </w:rPr>
        <w:t xml:space="preserve">. </w:t>
      </w:r>
      <w:r w:rsidRPr="00B65C64">
        <w:rPr>
          <w:rFonts w:ascii="Times New Roman" w:hAnsi="Times New Roman" w:cs="Times New Roman"/>
          <w:sz w:val="20"/>
          <w:szCs w:val="20"/>
        </w:rPr>
        <w:t>Incorrect or imprecise nomenclature to describe the past clinical patient history (HSR to ICM or allergy against elemental iodine) potentially places the patient at risk</w:t>
      </w:r>
      <w:r w:rsidRPr="00B65C64">
        <w:rPr>
          <w:rFonts w:ascii="Times New Roman" w:hAnsi="Times New Roman" w:cs="Times New Roman"/>
          <w:sz w:val="20"/>
          <w:szCs w:val="20"/>
          <w:vertAlign w:val="superscript"/>
        </w:rPr>
        <w:t>22</w:t>
      </w:r>
      <w:r w:rsidRPr="00B65C64">
        <w:rPr>
          <w:rFonts w:ascii="Times New Roman" w:hAnsi="Times New Roman" w:cs="Times New Roman"/>
          <w:sz w:val="20"/>
          <w:szCs w:val="20"/>
        </w:rPr>
        <w:t xml:space="preserve">. In this paper we analyzed the resulting clinical consequences actions topatients with an alleged “iodine allergy” to ICM application or oral iodinated medicine previously listed in the medical record. In addition we evaluateddecrease of the adverse effects to ICM due its replacement by NICM based on past clinical patient history of iodine allergy. </w:t>
      </w:r>
    </w:p>
    <w:p w:rsidR="00453E66" w:rsidRDefault="00453E66" w:rsidP="006C5453">
      <w:pPr>
        <w:spacing w:after="0" w:line="240" w:lineRule="auto"/>
        <w:jc w:val="both"/>
        <w:rPr>
          <w:rFonts w:ascii="Times New Roman" w:hAnsi="Times New Roman" w:cs="Times New Roman"/>
          <w:b/>
          <w:sz w:val="24"/>
          <w:szCs w:val="20"/>
        </w:rPr>
      </w:pPr>
    </w:p>
    <w:p w:rsidR="00B65C64" w:rsidRPr="00B65C64" w:rsidRDefault="00B65C64" w:rsidP="006C5453">
      <w:pPr>
        <w:spacing w:after="0" w:line="240" w:lineRule="auto"/>
        <w:jc w:val="both"/>
        <w:rPr>
          <w:rFonts w:ascii="Times New Roman" w:hAnsi="Times New Roman" w:cs="Times New Roman"/>
          <w:b/>
          <w:sz w:val="24"/>
          <w:szCs w:val="20"/>
        </w:rPr>
      </w:pPr>
      <w:r w:rsidRPr="00B65C64">
        <w:rPr>
          <w:rFonts w:ascii="Times New Roman" w:hAnsi="Times New Roman" w:cs="Times New Roman"/>
          <w:b/>
          <w:sz w:val="24"/>
          <w:szCs w:val="20"/>
        </w:rPr>
        <w:t xml:space="preserve">Patients And Methods </w:t>
      </w:r>
    </w:p>
    <w:p w:rsidR="00453E66" w:rsidRDefault="00453E66" w:rsidP="006C5453">
      <w:pPr>
        <w:spacing w:after="0" w:line="240" w:lineRule="auto"/>
        <w:jc w:val="both"/>
        <w:rPr>
          <w:rFonts w:ascii="Times New Roman" w:hAnsi="Times New Roman" w:cs="Times New Roman"/>
          <w:b/>
          <w:sz w:val="20"/>
          <w:szCs w:val="20"/>
        </w:rPr>
      </w:pPr>
    </w:p>
    <w:p w:rsidR="00B65C64" w:rsidRP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b/>
          <w:sz w:val="20"/>
          <w:szCs w:val="20"/>
        </w:rPr>
        <w:t>Investigated population and study design</w:t>
      </w:r>
    </w:p>
    <w:p w:rsidR="00B65C64" w:rsidRP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The radiologic information system (RIS database) at a radiology department within an academic medical center (Department of Radiology at Padre Albino Hospital) was searched to identify patients with a history of an iodine allergy to ICM intravenous or oral iodinated medicine applications or seafood allergy. The inclusion criteria were adult patients (&gt; 18 years old) with underlying diseases and risk factors described by past clinical history in which contrast-enhanced CT imaging was ordered between December 2015 and April 2016.The study included 141 patients in whom 51 had previously used ICM. Ninety six from 141 patients investigated were challenge by NICM (Group 1) while fourty-five from 141 patients investigated were challenged by ICM (Group 2) and 13 from these 45 patients evaluated were re-exposed to ICM during radiologic examination (29%). A local ethics committee approved this study (n°: 1.219.448). Epidemiologic baseline data were collected including age, sex, medical history, previous reactions to ICM, the administered contrast materials, type of radiological procedure, prophylactic actionsand finally the outcome  considering the whether a reaction ultimately occurred after CM administration.</w:t>
      </w:r>
    </w:p>
    <w:p w:rsidR="00453E66" w:rsidRDefault="00453E66" w:rsidP="006C5453">
      <w:pPr>
        <w:spacing w:after="0" w:line="240" w:lineRule="auto"/>
        <w:jc w:val="both"/>
        <w:rPr>
          <w:rFonts w:ascii="Times New Roman" w:hAnsi="Times New Roman" w:cs="Times New Roman"/>
          <w:b/>
          <w:sz w:val="20"/>
          <w:szCs w:val="20"/>
        </w:rPr>
      </w:pPr>
    </w:p>
    <w:p w:rsidR="00453E66" w:rsidRPr="00B65C64" w:rsidRDefault="00B65C64" w:rsidP="006C5453">
      <w:pPr>
        <w:spacing w:after="0" w:line="240" w:lineRule="auto"/>
        <w:jc w:val="both"/>
        <w:rPr>
          <w:rFonts w:ascii="Times New Roman" w:hAnsi="Times New Roman" w:cs="Times New Roman"/>
          <w:b/>
          <w:sz w:val="20"/>
          <w:szCs w:val="20"/>
        </w:rPr>
      </w:pPr>
      <w:r w:rsidRPr="00B65C64">
        <w:rPr>
          <w:rFonts w:ascii="Times New Roman" w:hAnsi="Times New Roman" w:cs="Times New Roman"/>
          <w:b/>
          <w:sz w:val="20"/>
          <w:szCs w:val="20"/>
        </w:rPr>
        <w:t>Statistics</w:t>
      </w:r>
    </w:p>
    <w:p w:rsid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Continuous variables were expressed as mean ± standard deviation (SD). Categorical variables were expressed by percentages. The Student’s t-test was used to compare quantitative variables. The values p&lt; 0.05were considered statistically significant. Statistical analysis was performed using theGraphPad prism 5 Software for Windows.</w:t>
      </w:r>
    </w:p>
    <w:p w:rsidR="00453E66" w:rsidRPr="00B65C64" w:rsidRDefault="00453E66" w:rsidP="006C5453">
      <w:pPr>
        <w:spacing w:after="0" w:line="240" w:lineRule="auto"/>
        <w:jc w:val="both"/>
        <w:rPr>
          <w:rFonts w:ascii="Times New Roman" w:hAnsi="Times New Roman" w:cs="Times New Roman"/>
          <w:sz w:val="20"/>
          <w:szCs w:val="20"/>
        </w:rPr>
      </w:pPr>
    </w:p>
    <w:p w:rsidR="00B65C64" w:rsidRPr="00B65C64" w:rsidRDefault="00B65C64" w:rsidP="006C5453">
      <w:pPr>
        <w:spacing w:after="0" w:line="240" w:lineRule="auto"/>
        <w:jc w:val="both"/>
        <w:rPr>
          <w:rFonts w:ascii="Times New Roman" w:hAnsi="Times New Roman" w:cs="Times New Roman"/>
          <w:b/>
          <w:sz w:val="24"/>
          <w:szCs w:val="20"/>
        </w:rPr>
      </w:pPr>
      <w:r w:rsidRPr="00B65C64">
        <w:rPr>
          <w:rFonts w:ascii="Times New Roman" w:hAnsi="Times New Roman" w:cs="Times New Roman"/>
          <w:b/>
          <w:sz w:val="24"/>
          <w:szCs w:val="20"/>
        </w:rPr>
        <w:t>Results And Discussion</w:t>
      </w:r>
    </w:p>
    <w:p w:rsidR="00453E66" w:rsidRDefault="00453E66" w:rsidP="006C5453">
      <w:pPr>
        <w:spacing w:after="0" w:line="240" w:lineRule="auto"/>
        <w:jc w:val="both"/>
        <w:rPr>
          <w:rFonts w:ascii="Times New Roman" w:hAnsi="Times New Roman" w:cs="Times New Roman"/>
          <w:b/>
          <w:sz w:val="20"/>
          <w:szCs w:val="20"/>
        </w:rPr>
      </w:pPr>
    </w:p>
    <w:p w:rsidR="00B65C64" w:rsidRPr="00B65C64" w:rsidRDefault="00B65C64" w:rsidP="006C5453">
      <w:pPr>
        <w:spacing w:after="0" w:line="240" w:lineRule="auto"/>
        <w:jc w:val="both"/>
        <w:rPr>
          <w:rFonts w:ascii="Times New Roman" w:hAnsi="Times New Roman" w:cs="Times New Roman"/>
          <w:b/>
          <w:sz w:val="20"/>
          <w:szCs w:val="20"/>
        </w:rPr>
      </w:pPr>
      <w:r w:rsidRPr="00B65C64">
        <w:rPr>
          <w:rFonts w:ascii="Times New Roman" w:hAnsi="Times New Roman" w:cs="Times New Roman"/>
          <w:b/>
          <w:sz w:val="20"/>
          <w:szCs w:val="20"/>
        </w:rPr>
        <w:t>Patient profiles</w:t>
      </w:r>
    </w:p>
    <w:p w:rsid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 xml:space="preserve">One hundred and forty one patients were studied in this work and separated into two distinct groups. The group 1 consisted of 96 patients with a documented history of the alleged “iodine allergy” and because of this the NICM or premedication were used, while the group 2 consisted of 45 patients that received ICMand 13 from these 45 patients were re-exposed to ICM (Figure 1-A). The proportion of men in the studied population was 41 and 49% for group 1 and 2 (Figure 1-B and C) and the mean age of the studied population was also similar for the two groups whichwere in the range of 50 years old (Figure 2). </w:t>
      </w:r>
    </w:p>
    <w:p w:rsidR="00453E66" w:rsidRPr="00B65C64" w:rsidRDefault="00453E66" w:rsidP="006C5453">
      <w:pPr>
        <w:spacing w:after="0" w:line="240" w:lineRule="auto"/>
        <w:jc w:val="both"/>
        <w:rPr>
          <w:rFonts w:ascii="Times New Roman" w:hAnsi="Times New Roman" w:cs="Times New Roman"/>
          <w:sz w:val="20"/>
          <w:szCs w:val="20"/>
        </w:rPr>
      </w:pPr>
    </w:p>
    <w:p w:rsidR="00B65C64" w:rsidRPr="00B65C64" w:rsidRDefault="00B65C64" w:rsidP="006C5453">
      <w:pPr>
        <w:spacing w:after="0" w:line="240" w:lineRule="auto"/>
        <w:jc w:val="center"/>
        <w:rPr>
          <w:rFonts w:ascii="Times New Roman" w:hAnsi="Times New Roman" w:cs="Times New Roman"/>
          <w:sz w:val="20"/>
          <w:szCs w:val="20"/>
        </w:rPr>
      </w:pPr>
      <w:r w:rsidRPr="00B65C64">
        <w:rPr>
          <w:rFonts w:ascii="Times New Roman" w:hAnsi="Times New Roman" w:cs="Times New Roman"/>
          <w:noProof/>
          <w:sz w:val="20"/>
          <w:szCs w:val="20"/>
        </w:rPr>
        <w:drawing>
          <wp:inline distT="0" distB="0" distL="0" distR="0">
            <wp:extent cx="5400040" cy="3093720"/>
            <wp:effectExtent l="19050" t="0" r="0" b="0"/>
            <wp:docPr id="3" name="Imagem 2" descr="Figure 1_tif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_tiff.tif"/>
                    <pic:cNvPicPr/>
                  </pic:nvPicPr>
                  <pic:blipFill>
                    <a:blip r:embed="rId14" cstate="print"/>
                    <a:stretch>
                      <a:fillRect/>
                    </a:stretch>
                  </pic:blipFill>
                  <pic:spPr>
                    <a:xfrm>
                      <a:off x="0" y="0"/>
                      <a:ext cx="5400040" cy="3093720"/>
                    </a:xfrm>
                    <a:prstGeom prst="rect">
                      <a:avLst/>
                    </a:prstGeom>
                  </pic:spPr>
                </pic:pic>
              </a:graphicData>
            </a:graphic>
          </wp:inline>
        </w:drawing>
      </w:r>
    </w:p>
    <w:p w:rsidR="00B65C64" w:rsidRPr="00B65C64" w:rsidRDefault="00B65C64" w:rsidP="006C5453">
      <w:pPr>
        <w:spacing w:after="0" w:line="240" w:lineRule="auto"/>
        <w:jc w:val="center"/>
        <w:rPr>
          <w:rFonts w:ascii="Times New Roman" w:hAnsi="Times New Roman" w:cs="Times New Roman"/>
          <w:b/>
          <w:i/>
          <w:sz w:val="18"/>
          <w:szCs w:val="20"/>
        </w:rPr>
      </w:pPr>
      <w:r w:rsidRPr="00B65C64">
        <w:rPr>
          <w:rFonts w:ascii="Times New Roman" w:hAnsi="Times New Roman" w:cs="Times New Roman"/>
          <w:b/>
          <w:i/>
          <w:sz w:val="18"/>
          <w:szCs w:val="20"/>
        </w:rPr>
        <w:t>Figure 1. Mean of population studied (A) and sex of population from group I (B) and group II</w:t>
      </w:r>
      <w:r w:rsidR="00453E66">
        <w:rPr>
          <w:rFonts w:ascii="Times New Roman" w:hAnsi="Times New Roman" w:cs="Times New Roman"/>
          <w:b/>
          <w:i/>
          <w:sz w:val="18"/>
          <w:szCs w:val="20"/>
        </w:rPr>
        <w:t xml:space="preserve"> (C)</w:t>
      </w:r>
    </w:p>
    <w:p w:rsidR="00B65C64" w:rsidRPr="00B65C64" w:rsidRDefault="00B65C64" w:rsidP="006C5453">
      <w:pPr>
        <w:spacing w:after="0" w:line="240" w:lineRule="auto"/>
        <w:jc w:val="center"/>
        <w:rPr>
          <w:rFonts w:ascii="Times New Roman" w:hAnsi="Times New Roman" w:cs="Times New Roman"/>
          <w:sz w:val="20"/>
          <w:szCs w:val="20"/>
        </w:rPr>
      </w:pPr>
      <w:r w:rsidRPr="00B65C64">
        <w:rPr>
          <w:rFonts w:ascii="Times New Roman" w:hAnsi="Times New Roman" w:cs="Times New Roman"/>
          <w:noProof/>
          <w:sz w:val="20"/>
          <w:szCs w:val="20"/>
        </w:rPr>
        <w:drawing>
          <wp:inline distT="0" distB="0" distL="0" distR="0">
            <wp:extent cx="5400040" cy="3255645"/>
            <wp:effectExtent l="19050" t="0" r="0" b="0"/>
            <wp:docPr id="4" name="Imagem 3" descr="Figure 2_tif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_tiff.tif"/>
                    <pic:cNvPicPr/>
                  </pic:nvPicPr>
                  <pic:blipFill>
                    <a:blip r:embed="rId15" cstate="print"/>
                    <a:stretch>
                      <a:fillRect/>
                    </a:stretch>
                  </pic:blipFill>
                  <pic:spPr>
                    <a:xfrm>
                      <a:off x="0" y="0"/>
                      <a:ext cx="5400040" cy="3255645"/>
                    </a:xfrm>
                    <a:prstGeom prst="rect">
                      <a:avLst/>
                    </a:prstGeom>
                  </pic:spPr>
                </pic:pic>
              </a:graphicData>
            </a:graphic>
          </wp:inline>
        </w:drawing>
      </w:r>
    </w:p>
    <w:p w:rsidR="00811B76" w:rsidRDefault="00811B76" w:rsidP="006C5453">
      <w:pPr>
        <w:spacing w:after="0" w:line="240" w:lineRule="auto"/>
        <w:jc w:val="both"/>
        <w:rPr>
          <w:rFonts w:ascii="Times New Roman" w:hAnsi="Times New Roman" w:cs="Times New Roman"/>
          <w:sz w:val="20"/>
          <w:szCs w:val="20"/>
        </w:rPr>
      </w:pPr>
    </w:p>
    <w:p w:rsidR="00B65C64" w:rsidRDefault="00B65C64" w:rsidP="006C5453">
      <w:pPr>
        <w:spacing w:after="0" w:line="240" w:lineRule="auto"/>
        <w:jc w:val="both"/>
        <w:rPr>
          <w:rFonts w:ascii="Times New Roman" w:hAnsi="Times New Roman" w:cs="Times New Roman"/>
          <w:color w:val="131413"/>
          <w:sz w:val="20"/>
          <w:szCs w:val="20"/>
        </w:rPr>
      </w:pPr>
      <w:r w:rsidRPr="00B65C64">
        <w:rPr>
          <w:rFonts w:ascii="Times New Roman" w:hAnsi="Times New Roman" w:cs="Times New Roman"/>
          <w:sz w:val="20"/>
          <w:szCs w:val="20"/>
        </w:rPr>
        <w:t xml:space="preserve">Figure 2. The mean age of the studied population in each group considering that Group 1 has composed by patients to received NICM and Group 2 that those to received ICM. Statistical analyses were done by GraphPad prism 5 Software for Windows using Student’s t-test, asterisks </w:t>
      </w:r>
      <w:r w:rsidRPr="00B65C64">
        <w:rPr>
          <w:rFonts w:ascii="Times New Roman" w:hAnsi="Times New Roman" w:cs="Times New Roman"/>
          <w:color w:val="131413"/>
          <w:sz w:val="20"/>
          <w:szCs w:val="20"/>
        </w:rPr>
        <w:t>asterisks show a significant difference p &lt; 0.05, **p &lt; 0.01, and ***p &lt; 0.001</w:t>
      </w:r>
    </w:p>
    <w:p w:rsidR="00811B76" w:rsidRPr="00B65C64" w:rsidRDefault="00811B76" w:rsidP="006C5453">
      <w:pPr>
        <w:spacing w:after="0" w:line="240" w:lineRule="auto"/>
        <w:jc w:val="both"/>
        <w:rPr>
          <w:rFonts w:ascii="Times New Roman" w:hAnsi="Times New Roman" w:cs="Times New Roman"/>
          <w:color w:val="131413"/>
          <w:sz w:val="20"/>
          <w:szCs w:val="20"/>
        </w:rPr>
      </w:pPr>
    </w:p>
    <w:p w:rsidR="00B65C64" w:rsidRP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b/>
          <w:sz w:val="20"/>
          <w:szCs w:val="20"/>
        </w:rPr>
        <w:t>Disease spectrum and prophylaxis</w:t>
      </w:r>
    </w:p>
    <w:p w:rsidR="00B65C64" w:rsidRPr="00B65C64" w:rsidRDefault="00B65C64" w:rsidP="006C5453">
      <w:pPr>
        <w:autoSpaceDE w:val="0"/>
        <w:autoSpaceDN w:val="0"/>
        <w:adjustRightInd w:val="0"/>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Several factors increase the risk of a contrast reaction such as age, sex, underlying medical conditions (asthma, heart diseases, dehydration, renal disease, diabetes), hematologic conditions and others</w:t>
      </w:r>
      <w:r w:rsidRPr="00B65C64">
        <w:rPr>
          <w:rFonts w:ascii="Times New Roman" w:hAnsi="Times New Roman" w:cs="Times New Roman"/>
          <w:sz w:val="20"/>
          <w:szCs w:val="20"/>
          <w:vertAlign w:val="superscript"/>
        </w:rPr>
        <w:t>23</w:t>
      </w:r>
      <w:r w:rsidRPr="00B65C64">
        <w:rPr>
          <w:rFonts w:ascii="Times New Roman" w:hAnsi="Times New Roman" w:cs="Times New Roman"/>
          <w:sz w:val="20"/>
          <w:szCs w:val="20"/>
        </w:rPr>
        <w:t>. Patients with declared shellfish allergies are more prone to ICM reaction considering the cross-reactivity between shellfish and ICM rather than by patients with declared inherent allergic tendency (asthama)</w:t>
      </w:r>
      <w:r w:rsidRPr="00B65C64">
        <w:rPr>
          <w:rFonts w:ascii="Times New Roman" w:hAnsi="Times New Roman" w:cs="Times New Roman"/>
          <w:sz w:val="20"/>
          <w:szCs w:val="20"/>
          <w:vertAlign w:val="superscript"/>
        </w:rPr>
        <w:t>23</w:t>
      </w:r>
      <w:r w:rsidRPr="00B65C64">
        <w:rPr>
          <w:rFonts w:ascii="Times New Roman" w:hAnsi="Times New Roman" w:cs="Times New Roman"/>
          <w:sz w:val="20"/>
          <w:szCs w:val="20"/>
        </w:rPr>
        <w:t>. In this study 96 patients from Group 1 received NICM of which only 38 patients (40%) had a compatible past clinical history of allergy to ICM and 2.2% allergy to sea foodconsequently the majority of patients had a compatible past clinical history of allergy to ICM and iodine allergy undeclared. In general, all patients from Group 2 received ICM of which 13patients (29%) had a compatible past clinical history of allergy to ICM and 4% allergy to sea food.</w:t>
      </w:r>
    </w:p>
    <w:p w:rsidR="00B65C64" w:rsidRDefault="00B65C64" w:rsidP="006C5453">
      <w:pPr>
        <w:autoSpaceDE w:val="0"/>
        <w:autoSpaceDN w:val="0"/>
        <w:adjustRightInd w:val="0"/>
        <w:spacing w:after="0" w:line="240" w:lineRule="auto"/>
        <w:jc w:val="both"/>
        <w:rPr>
          <w:rFonts w:ascii="Times New Roman" w:hAnsi="Times New Roman" w:cs="Times New Roman"/>
          <w:sz w:val="20"/>
          <w:szCs w:val="20"/>
        </w:rPr>
      </w:pPr>
    </w:p>
    <w:p w:rsidR="00B65C64" w:rsidRPr="00B65C64" w:rsidRDefault="00B65C64" w:rsidP="006C5453">
      <w:pPr>
        <w:autoSpaceDE w:val="0"/>
        <w:autoSpaceDN w:val="0"/>
        <w:adjustRightInd w:val="0"/>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Disease profiles of the studied population were documented and prominent results were observed for both condition: high blood pressure and renal failure (Figure 3). Almost all cases patients from group 1presented more cases of disease when compared to patients from group 2except for renal failure.</w:t>
      </w:r>
    </w:p>
    <w:p w:rsidR="00B65C64" w:rsidRPr="00B65C64" w:rsidRDefault="00B65C64" w:rsidP="006C5453">
      <w:pPr>
        <w:spacing w:after="0" w:line="240" w:lineRule="auto"/>
        <w:jc w:val="center"/>
        <w:rPr>
          <w:rFonts w:ascii="Times New Roman" w:hAnsi="Times New Roman" w:cs="Times New Roman"/>
          <w:sz w:val="20"/>
          <w:szCs w:val="20"/>
        </w:rPr>
      </w:pPr>
      <w:r w:rsidRPr="00B65C64">
        <w:rPr>
          <w:rFonts w:ascii="Times New Roman" w:hAnsi="Times New Roman" w:cs="Times New Roman"/>
          <w:noProof/>
          <w:sz w:val="20"/>
          <w:szCs w:val="20"/>
        </w:rPr>
        <w:drawing>
          <wp:inline distT="0" distB="0" distL="0" distR="0">
            <wp:extent cx="5398770" cy="4317365"/>
            <wp:effectExtent l="19050" t="0" r="0" b="0"/>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5398770" cy="4317365"/>
                    </a:xfrm>
                    <a:prstGeom prst="rect">
                      <a:avLst/>
                    </a:prstGeom>
                    <a:noFill/>
                    <a:ln w="9525">
                      <a:noFill/>
                      <a:miter lim="800000"/>
                      <a:headEnd/>
                      <a:tailEnd/>
                    </a:ln>
                  </pic:spPr>
                </pic:pic>
              </a:graphicData>
            </a:graphic>
          </wp:inline>
        </w:drawing>
      </w:r>
    </w:p>
    <w:p w:rsidR="00B65C64" w:rsidRDefault="00B65C64" w:rsidP="006C5453">
      <w:pPr>
        <w:spacing w:after="0" w:line="240" w:lineRule="auto"/>
        <w:jc w:val="center"/>
        <w:rPr>
          <w:rFonts w:ascii="Times New Roman" w:hAnsi="Times New Roman" w:cs="Times New Roman"/>
          <w:b/>
          <w:i/>
          <w:sz w:val="18"/>
          <w:szCs w:val="20"/>
        </w:rPr>
      </w:pPr>
      <w:r w:rsidRPr="00B65C64">
        <w:rPr>
          <w:rFonts w:ascii="Times New Roman" w:hAnsi="Times New Roman" w:cs="Times New Roman"/>
          <w:b/>
          <w:i/>
          <w:sz w:val="18"/>
          <w:szCs w:val="20"/>
        </w:rPr>
        <w:t>Figure 3. Disease profile of the studied population including group 2 (patients received ICM) and group 1</w:t>
      </w:r>
      <w:r w:rsidR="00811B76">
        <w:rPr>
          <w:rFonts w:ascii="Times New Roman" w:hAnsi="Times New Roman" w:cs="Times New Roman"/>
          <w:b/>
          <w:i/>
          <w:sz w:val="18"/>
          <w:szCs w:val="20"/>
        </w:rPr>
        <w:t xml:space="preserve"> (patients received NICM)</w:t>
      </w:r>
    </w:p>
    <w:p w:rsidR="00811B76" w:rsidRDefault="00811B76" w:rsidP="00811B76">
      <w:pPr>
        <w:spacing w:after="0" w:line="240" w:lineRule="auto"/>
        <w:contextualSpacing/>
        <w:jc w:val="both"/>
        <w:rPr>
          <w:rFonts w:ascii="Times New Roman" w:hAnsi="Times New Roman" w:cs="Times New Roman"/>
          <w:b/>
          <w:i/>
          <w:sz w:val="18"/>
          <w:szCs w:val="20"/>
        </w:rPr>
      </w:pPr>
    </w:p>
    <w:p w:rsidR="00B65C64" w:rsidRPr="00B65C64" w:rsidRDefault="00B65C64" w:rsidP="00811B76">
      <w:pPr>
        <w:spacing w:after="0" w:line="240" w:lineRule="auto"/>
        <w:contextualSpacing/>
        <w:jc w:val="both"/>
        <w:rPr>
          <w:rFonts w:ascii="Times New Roman" w:hAnsi="Times New Roman" w:cs="Times New Roman"/>
          <w:sz w:val="20"/>
          <w:szCs w:val="20"/>
        </w:rPr>
      </w:pPr>
      <w:r w:rsidRPr="00B65C64">
        <w:rPr>
          <w:rFonts w:ascii="Times New Roman" w:hAnsi="Times New Roman" w:cs="Times New Roman"/>
          <w:sz w:val="20"/>
          <w:szCs w:val="20"/>
        </w:rPr>
        <w:t>A spectrum of different prophylactic actions was performed in the group 2 prior to subsequent diagnostic imaging considering those patients with documented symptoms pertaining to the previous contrast reaction to ICM. Prophylaxis using anti-histaminic drugs as premedication were documented in approximately 35.4% of patients but up to 60 % of the examinations were performed without any prophylactic measures.Premedications are frequently used in practice clinical to those patients who require IC intravenous but had  documentedreaction. As a rule, the premedication protocols involving the use of some antihistaminics (diphenhydramine) and steroids(prednisone, hydrocortisone, methylprednisone)</w:t>
      </w:r>
      <w:r w:rsidRPr="00B65C64">
        <w:rPr>
          <w:rFonts w:ascii="Times New Roman" w:hAnsi="Times New Roman" w:cs="Times New Roman"/>
          <w:sz w:val="20"/>
          <w:szCs w:val="20"/>
          <w:vertAlign w:val="superscript"/>
        </w:rPr>
        <w:t>23</w:t>
      </w:r>
      <w:r w:rsidRPr="00B65C64">
        <w:rPr>
          <w:rFonts w:ascii="Times New Roman" w:hAnsi="Times New Roman" w:cs="Times New Roman"/>
          <w:sz w:val="20"/>
          <w:szCs w:val="20"/>
        </w:rPr>
        <w:t>.Premedication as a prophylactic method has advantages and disadvantages. If the patient has an actual allergy to ICM, it may be helpful. However, premedication protocols are lacking standardization, and even medications that are used for pre-medication can induce ADRs. Finally, advancement reactions may also occur during premedication</w:t>
      </w:r>
      <w:r w:rsidRPr="00B65C64">
        <w:rPr>
          <w:rFonts w:ascii="Times New Roman" w:hAnsi="Times New Roman" w:cs="Times New Roman"/>
          <w:sz w:val="20"/>
          <w:szCs w:val="20"/>
          <w:vertAlign w:val="superscript"/>
        </w:rPr>
        <w:t>24</w:t>
      </w:r>
      <w:r w:rsidRPr="00B65C64">
        <w:rPr>
          <w:rFonts w:ascii="Times New Roman" w:hAnsi="Times New Roman" w:cs="Times New Roman"/>
          <w:sz w:val="20"/>
          <w:szCs w:val="20"/>
        </w:rPr>
        <w:t>.</w:t>
      </w:r>
    </w:p>
    <w:p w:rsidR="00B65C64" w:rsidRPr="00B65C64" w:rsidRDefault="00B65C64" w:rsidP="006C5453">
      <w:pPr>
        <w:spacing w:after="0" w:line="240" w:lineRule="auto"/>
        <w:contextualSpacing/>
        <w:jc w:val="both"/>
        <w:rPr>
          <w:rFonts w:ascii="Times New Roman" w:hAnsi="Times New Roman" w:cs="Times New Roman"/>
          <w:sz w:val="20"/>
          <w:szCs w:val="20"/>
        </w:rPr>
      </w:pPr>
    </w:p>
    <w:p w:rsidR="00B65C64" w:rsidRP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b/>
          <w:sz w:val="20"/>
          <w:szCs w:val="20"/>
        </w:rPr>
        <w:t>Immediate hypersensitivity reaction</w:t>
      </w:r>
    </w:p>
    <w:p w:rsidR="00B65C64" w:rsidRPr="00B65C64" w:rsidRDefault="00B65C64" w:rsidP="006C5453">
      <w:pPr>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Most importantly to prevent immediate hypersentivity to ICM include clinical history of previous immediate reaction to ICM</w:t>
      </w:r>
      <w:r w:rsidRPr="00B65C64">
        <w:rPr>
          <w:rFonts w:ascii="Times New Roman" w:hAnsi="Times New Roman" w:cs="Times New Roman"/>
          <w:sz w:val="20"/>
          <w:szCs w:val="20"/>
          <w:vertAlign w:val="superscript"/>
        </w:rPr>
        <w:t>25</w:t>
      </w:r>
      <w:r w:rsidRPr="00B65C64">
        <w:rPr>
          <w:rFonts w:ascii="Times New Roman" w:hAnsi="Times New Roman" w:cs="Times New Roman"/>
          <w:sz w:val="20"/>
          <w:szCs w:val="20"/>
        </w:rPr>
        <w:t>. According to the literature, the term "iodine allergy" describes four different conditions such as allergy to ICM, allergy to disinfection, allergy to amiodarone and / or seafood (crustaceans or fish)</w:t>
      </w:r>
      <w:r w:rsidRPr="00B65C64">
        <w:rPr>
          <w:rFonts w:ascii="Times New Roman" w:hAnsi="Times New Roman" w:cs="Times New Roman"/>
          <w:sz w:val="20"/>
          <w:szCs w:val="20"/>
          <w:vertAlign w:val="superscript"/>
        </w:rPr>
        <w:t>26-29</w:t>
      </w:r>
      <w:r w:rsidRPr="00B65C64">
        <w:rPr>
          <w:rFonts w:ascii="Times New Roman" w:hAnsi="Times New Roman" w:cs="Times New Roman"/>
          <w:sz w:val="20"/>
          <w:szCs w:val="20"/>
        </w:rPr>
        <w:t xml:space="preserve">. Herein, the first question to be addressed was the analysis of the term and diagnosis of "iodine allergy" and it was evidenced an inexact, insufficient and imprecise documentation for diagnosis of iodine allergy. Only 4.3% of the patients (considering all studied groups) were documented to ICM allergy, antiseptic allergy and seafood allergy suggesting that using of precise term iodine allergy remained unexplained in the majority of studied patients.Hypersensitivity reactions after application of both ICM and NICM contrast were evaluated considering all patients studied and any patients from Group 1 experienced hypersensitivity reaction while only 01 patient from Group 2(2.2%)experienced a grade I reaction to ICM. Whereas this patient had never before used ICM and showed no indication of allergy in his medical records. Furthermore, all patients identified with past clinical historyof immediate hypersensitivity reaction to ICM or some iodine allergies and were re-exposed to ICM followedto premedication based on anti histaminic drug or an NICM showed a negative tested ICM during radiologic examination (28%). </w:t>
      </w:r>
    </w:p>
    <w:p w:rsidR="00B65C64" w:rsidRPr="00B65C64" w:rsidRDefault="00B65C64" w:rsidP="006C5453">
      <w:pPr>
        <w:spacing w:after="0" w:line="240" w:lineRule="auto"/>
        <w:contextualSpacing/>
        <w:jc w:val="both"/>
        <w:rPr>
          <w:rFonts w:ascii="Times New Roman" w:hAnsi="Times New Roman" w:cs="Times New Roman"/>
          <w:sz w:val="20"/>
          <w:szCs w:val="20"/>
        </w:rPr>
      </w:pPr>
    </w:p>
    <w:p w:rsidR="00B65C64" w:rsidRPr="00B65C64" w:rsidRDefault="00B65C64" w:rsidP="006C5453">
      <w:pPr>
        <w:spacing w:after="0" w:line="240" w:lineRule="auto"/>
        <w:jc w:val="both"/>
        <w:rPr>
          <w:rFonts w:ascii="Times New Roman" w:hAnsi="Times New Roman" w:cs="Times New Roman"/>
          <w:sz w:val="24"/>
          <w:szCs w:val="20"/>
        </w:rPr>
      </w:pPr>
      <w:r w:rsidRPr="00B65C64">
        <w:rPr>
          <w:rFonts w:ascii="Times New Roman" w:hAnsi="Times New Roman" w:cs="Times New Roman"/>
          <w:b/>
          <w:sz w:val="24"/>
          <w:szCs w:val="20"/>
        </w:rPr>
        <w:t>Conclusion</w:t>
      </w:r>
    </w:p>
    <w:p w:rsidR="00B65C64" w:rsidRPr="00B65C64" w:rsidRDefault="00B65C64" w:rsidP="006C5453">
      <w:pPr>
        <w:autoSpaceDE w:val="0"/>
        <w:autoSpaceDN w:val="0"/>
        <w:adjustRightInd w:val="0"/>
        <w:spacing w:after="0" w:line="240" w:lineRule="auto"/>
        <w:jc w:val="both"/>
        <w:rPr>
          <w:rFonts w:ascii="Times New Roman" w:hAnsi="Times New Roman" w:cs="Times New Roman"/>
          <w:sz w:val="20"/>
          <w:szCs w:val="20"/>
        </w:rPr>
      </w:pPr>
      <w:r w:rsidRPr="00B65C64">
        <w:rPr>
          <w:rFonts w:ascii="Times New Roman" w:hAnsi="Times New Roman" w:cs="Times New Roman"/>
          <w:sz w:val="20"/>
          <w:szCs w:val="20"/>
        </w:rPr>
        <w:t xml:space="preserve">Our study had several limitations. One limitation of our study was its retrospective nature. Because of different types of speech ("iodine energy", "iodine energy", "iodine", "iodine") it was difficult or impossible to identify all patients with this clinical history and diagnosis and the current analysis was limited to 141 cases.However, in our study, few patients had documented clinical history of immediate response to ICM and they received a premedication before re-exposure to ICM or even received ICM replacement by NICM. In conclusion, our results showed that clinical decision based on patient clinical records resulted in a decrease of several immediate reactions incidence. </w:t>
      </w:r>
    </w:p>
    <w:p w:rsidR="00B65C64" w:rsidRPr="00B65C64" w:rsidRDefault="00B65C64" w:rsidP="006C5453">
      <w:pPr>
        <w:autoSpaceDE w:val="0"/>
        <w:autoSpaceDN w:val="0"/>
        <w:adjustRightInd w:val="0"/>
        <w:spacing w:after="0" w:line="240" w:lineRule="auto"/>
        <w:rPr>
          <w:rFonts w:ascii="Times New Roman" w:hAnsi="Times New Roman" w:cs="Times New Roman"/>
          <w:sz w:val="20"/>
          <w:szCs w:val="20"/>
        </w:rPr>
      </w:pPr>
    </w:p>
    <w:p w:rsidR="00B65C64" w:rsidRPr="00811B76" w:rsidRDefault="00B65C64" w:rsidP="006C5453">
      <w:pPr>
        <w:autoSpaceDE w:val="0"/>
        <w:autoSpaceDN w:val="0"/>
        <w:adjustRightInd w:val="0"/>
        <w:spacing w:after="0" w:line="240" w:lineRule="auto"/>
        <w:rPr>
          <w:rFonts w:ascii="Times New Roman" w:hAnsi="Times New Roman" w:cs="Times New Roman"/>
          <w:b/>
          <w:bCs/>
          <w:sz w:val="24"/>
          <w:szCs w:val="20"/>
        </w:rPr>
      </w:pPr>
      <w:r w:rsidRPr="00B65C64">
        <w:rPr>
          <w:rFonts w:ascii="Times New Roman" w:hAnsi="Times New Roman" w:cs="Times New Roman"/>
          <w:b/>
          <w:bCs/>
          <w:sz w:val="24"/>
          <w:szCs w:val="20"/>
        </w:rPr>
        <w:t>Acknowledgement</w:t>
      </w:r>
    </w:p>
    <w:p w:rsidR="00FB3F95" w:rsidRPr="00B65C64" w:rsidRDefault="00B65C64" w:rsidP="006C545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B65C64">
        <w:rPr>
          <w:rFonts w:ascii="Times New Roman" w:hAnsi="Times New Roman" w:cs="Times New Roman"/>
          <w:sz w:val="20"/>
          <w:szCs w:val="20"/>
        </w:rPr>
        <w:t>This study was supported by FIPA (FaculdadesIntegradas Padre Albino, Brazil)</w:t>
      </w:r>
      <w:r w:rsidR="00FB3F95" w:rsidRPr="00B65C64">
        <w:rPr>
          <w:rFonts w:ascii="Times New Roman" w:hAnsi="Times New Roman"/>
          <w:color w:val="000000" w:themeColor="text1"/>
          <w:sz w:val="20"/>
          <w:szCs w:val="20"/>
        </w:rPr>
        <w:t>.</w:t>
      </w:r>
    </w:p>
    <w:p w:rsidR="00FB3F95" w:rsidRDefault="00FB3F95" w:rsidP="006C545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9A25A6" w:rsidRPr="00100098" w:rsidRDefault="00FB3F95" w:rsidP="006C5453">
      <w:pPr>
        <w:spacing w:after="0" w:line="240" w:lineRule="auto"/>
        <w:rPr>
          <w:rFonts w:ascii="Times New Roman" w:hAnsi="Times New Roman"/>
          <w:b/>
          <w:bCs/>
          <w:color w:val="000000" w:themeColor="text1"/>
          <w:sz w:val="24"/>
          <w:szCs w:val="24"/>
        </w:rPr>
      </w:pPr>
      <w:r w:rsidRPr="00E83201">
        <w:rPr>
          <w:rFonts w:ascii="Times New Roman" w:hAnsi="Times New Roman" w:cs="Times New Roman"/>
          <w:b/>
          <w:color w:val="000000" w:themeColor="text1"/>
          <w:sz w:val="24"/>
          <w:szCs w:val="24"/>
        </w:rPr>
        <w:t>References</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WENDY BOTTINOR, MD; PRITAM POLKAMPALLY, MD; ION JOVIN, MD. ADVERSE REACTIONS TO IODINATED CONTRAST MEDIA. INT J ANGIOL. 22(3): 149–154, 2003.</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 xml:space="preserve">GUIDELINE AMERICAN COLLEGE OF RADIOLOGY. ACR MANUAL ON CONTRAST MEDIA. 10, 2017. </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BERRINGTON DE GONZALEZ A, MAHESH M, KIM K PETAL. PROJECTED CANCER RISKS FROM COMPUTED TOMOGRAPHIC SCANS PERFORMED IN THE UNITED STATES IN 2007. ARCH INTERN MED.,169: 2071–2077, 2009.</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MARC J. METH AND HOWARD I. MAIBACH. CURRENT UNDERSTANDING OF CONTRAST MEDIA REACTIONS AND IMPLICATIONS FOR CLINICAL MANAGEMENT. DRUG SAFETY, 29 (2): 133-141, 2006</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 xml:space="preserve">M. J. TORRES, C. MAYORGA, J. A. CORNEJO-GARCIA, S. LOPEZ, P. CHAVES, C. RONDON, T. FERNANDEZ, M. BLANCA. MONITORING NON-IMMEDIATE ALLERGIC REACTIONS TO IODINE CONTRAST MEDIA. CLINICAL AND EXPERIMENTAL IMMUNOLOGY, 152: 233–238, 2008. </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 xml:space="preserve">V. KVEDARIENE P. MARTINS, L. ROUANET, P. DEMOLY. DIAGNOSIS OF IODINATED CONTRAST MEDIA HYPERSENSITIVITY: RESULTS OF A 6-YEAR PERIOD. CLINICAL AND EXPERIMENTAL ALLERGY, 36, 1072–1077, 2006. </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BROCKOW K. CONTRAST MEDIA HYPERSENSITIVITY–SCOPE OF THE PROBLEM. TOXICOLOGY, 209:189–92, 2005.</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DEWACHTER P, MOUTON-FAIVRE C, LAROCHE D, CLEMENT O. IMMEDIATE ALLERGY TO IODINATED CONTRAST AGENTS AND PREVENTION OF REACTIONS. REV MED INTERNE, 30:872–81, 2009.</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KIM M-H, LEE S-Y, LEE S-E ET AL. ANAPHYLAXIS TO IODINATED CONTRAST MEDIA: CLINICAL CHARACTERISTICS RELATED WITH DEVELOPMENT OF ANAPHYLACTIC SHOCK. PLOS ONE, 9:100154, 2014.</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YASUDA R, MUNECHIKA H. DELAYED ADVERSE REACTIONS TO NONIONIC MONOMERIC CONTRAST-ENHANCED MEDIA. INVEST RADIOL, 33:1–5, 1998.</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 xml:space="preserve">CHRISTIANSEN C. X-RAY CONTRAST MEDIA– AN OVERVIEW. TOXICOLOGY, 209: 185–7, 2005. </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SEGAL AJ, BUSH WH. AVOIDABLE ERRORS IN DEALING WITH ANAPHYLACTOID REACTIONS TO IODINATED CONTRAST MEDIA. INVEST RADIOL, 46:147–51, 2011</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ROSADO INGELMO A, DOÑA DIAZ I, CABAÑAS MORENO R, MOYA QUESADA MC, GARCÍA-AVILÉS C, GARCÍA NUÑEZ I, MARTÍNEZ TADEO JI, MIELGO BALLESTEROS R, ORTEGA-RODRÍGUEZ N, PADIAL VILCHEZ MA, SÁNCHEZ-MORILLAS L,VILA ALBELDA C, MORENO RODILLA E, TORRES JAÉN MJ. CLINICAL PRACTICE GUIDELINES FOR DIAGNOSIS AND MANAGEMENT OF HYPERSENSITIVITY REACTIONS TO CONTRAST MEDIA. J INVESTIG ALLERGOL CLIN IMMUNOL, 26(3): 144-155, 2016</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RING J, MESSMER K. INCIDENCE AND SEVERITY OF ANAPHYLACTOID REACTIONS TO COLLOID VOLUME SUBSTITUTES. LANCET,1(8009):466-9, 1977</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BROWN SG. CLINICAL FEATURES AND SEVERITY GRADING OF ANAPHYLAXIS. J ALLERGY CLIN IMMUNOL., 114:371-6, 2004.</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GRACIA BARA MT HLT, IRIARTES SOTÉS P, CRUZ GRANADOS MS, INFANTE HERRERO S. REACCIONES ALÉRGICAS INDUCIDAS POR FÁRMACOS POCO HABITUALES (I): DE MASA MOLECULAR BAJA O INORGÁNICOS. IN: I PAD, EDITOR. TRATADO DE ALERGOLOGÍA: ERGON, 1531-56, 2007.</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BOHM I. KOUNIS SYNDROME IN A PATIENT WITH ALLERGY TO IODINATED CONTRAST MEDIA. INT J CARDIOL.,151:102-3, 2011</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WEBB JA, STACUL F, THOMSEN HS, MORCOS SK, MEMBERS OF THE CONTRAST MEDIA SAFETY COMMITTEE OF THE EUROPEAN SOCIETY OF UROGENITAL RADIOLOGY. LATE ADVERSE REACTIONS TO INTRAVASCULAR IODINATED CONTRAST MEDIA. EUR RADIOL.,13:181-4, 2003</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BELLIN MF, STACUL F, WEBB JA, THOMSEN HS, MORCOS SK, ALMÉN T, ASPELIN P, CLEMENT O, HEINZ-PEER G, REIMER P, VAN DER MOLEN A; CONTRAST MEDIA SAFETY COMMITTEE OF EUROPEAN SOCIETY OF UROGENITAL RADIOLOGY (ESUR). LATE ADVERSE REACTIONS TO INTRAVASCULAR IODINE BASED CONTRAST MEDIA: AN UPDATE. EUR RADIOL.,21:2305-10, 2011</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BROCKOW K, CHRISTIANSEN C, KANNY G, CLÉMENT O, BARBAUD A, BIRCHER A, DEWACHTER P, GUÉANT JL, RODRIGUEZ GUÉANT RM, MOUTON-FAIVRE C, RING J, ROMANO A, SAINTE-LAUDY J, DEMOLY P, PICHLER WJ. MANAGEMENT OF HYPERSENSITIVITY REACTIONS TO IODINATED CONTRAST MEDIA. ALLERGY, 60:150-8, 2005</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GOMEZ E, ARIZA A, BLANCA-LOPEZ N, TORRES MJ. NONIMMEDIATE HYPERSENSITIVITY REACTIONS TO IODINATED CONTRAST MEDIA. CURR OPIN ALLERGY CLIN IMMUNOL,13:345-53, 2013.</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INGRID BÖHM, KNUD NAIR,  JOHN N. MORELLI3, PATRICIA SILVA HASEMBANK KELLER1, JOHANNES T. HEVERHAGEN. IODINATED CONTRAST MEDIA AND THE ALLEGED “IODINE ALLERGY”: AN INEXACT DIAGNOSIS LEADING TO INFERIOR RADIOLOGIC MANAGEMENT AND ADVERSE DRUG REACTIONS. FORTSCHR RÖNTGENSTR, 189(04): 326-332, 2017.</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JAGDISH SINGH AND ADITYA DAFTARY. IODINATED CONTRAST MEDIA AND THEIR ADVERSE REACTIONS. JOURNAL OF NUCLEAR MEDICINE TECHNOLOGY, 36 (2), 2008</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 xml:space="preserve">TRAMER MR, VON ELM E, LOUBEYRE P ET AL. PHARMACOLOGICAL PREVENTION OF SERIOUS ANAPHYLACTIC REACTIONS DUE TO IODINATED CONTRAST MEDIA: SYSTEMATIC REVIEW. BMJ, 333: 675, 2006. </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YASUDA R, MUNECHIKA H. DELAYED ADVERSE REACTIONS TO NONIONIC MONOMERIC CONTRAST-ENHANCED MEDIA. INVEST RADIOL, 33:1–5, 1998</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BEATY AD, LIEBERMAN PL, SLAVIN RG. SEAFOOD ALLERGY AND RADIOCONTRAST MEDIA: ARE PHYSICIANS PROPAGATING A MYTH AM J MED, 121: 158 E151–158, 2008.</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BAIG M, FARAG A, SAJID J ET AL. SHELLFISH ALLERGY AND RELATION TO IODINATED CONTRASTMEDIA:UNITEDKINGDOMSURVEY.WORLDJCARDIOL.,6:107–111, 2014</w:t>
      </w:r>
    </w:p>
    <w:p w:rsidR="00B65C64" w:rsidRPr="00B65C64" w:rsidRDefault="00B65C64" w:rsidP="006C5453">
      <w:pPr>
        <w:widowControl w:val="0"/>
        <w:numPr>
          <w:ilvl w:val="0"/>
          <w:numId w:val="3"/>
        </w:numPr>
        <w:overflowPunct w:val="0"/>
        <w:autoSpaceDE w:val="0"/>
        <w:autoSpaceDN w:val="0"/>
        <w:adjustRightInd w:val="0"/>
        <w:spacing w:after="0" w:line="240" w:lineRule="auto"/>
        <w:jc w:val="both"/>
        <w:rPr>
          <w:rFonts w:ascii="Times New Roman" w:eastAsia="PMingLiU" w:hAnsi="Times New Roman" w:cs="Times New Roman"/>
          <w:sz w:val="20"/>
          <w:szCs w:val="20"/>
        </w:rPr>
      </w:pPr>
      <w:r w:rsidRPr="00B65C64">
        <w:rPr>
          <w:rFonts w:ascii="Times New Roman" w:eastAsia="PMingLiU" w:hAnsi="Times New Roman" w:cs="Times New Roman"/>
          <w:sz w:val="20"/>
          <w:szCs w:val="20"/>
        </w:rPr>
        <w:t>BROUSE SD, PHILLIPS SM. AMIODARONE USE IN PATIENTS WITH DOCUMENTED ALLERGY TO IODINE-CONTAINING COMPOUNDS. PHARMACOTHERAPY,25: 429–434, 2005</w:t>
      </w:r>
    </w:p>
    <w:p w:rsidR="00FB3F95" w:rsidRPr="009A25A6" w:rsidRDefault="00B65C64" w:rsidP="006C5453">
      <w:pPr>
        <w:widowControl w:val="0"/>
        <w:numPr>
          <w:ilvl w:val="0"/>
          <w:numId w:val="3"/>
        </w:numPr>
        <w:overflowPunct w:val="0"/>
        <w:autoSpaceDE w:val="0"/>
        <w:autoSpaceDN w:val="0"/>
        <w:adjustRightInd w:val="0"/>
        <w:spacing w:after="0" w:line="240" w:lineRule="auto"/>
        <w:jc w:val="both"/>
        <w:rPr>
          <w:rFonts w:ascii="Times New Roman" w:hAnsi="Times New Roman"/>
          <w:color w:val="000000" w:themeColor="text1"/>
          <w:sz w:val="20"/>
          <w:szCs w:val="20"/>
        </w:rPr>
      </w:pPr>
      <w:r w:rsidRPr="00B65C64">
        <w:rPr>
          <w:rFonts w:ascii="Times New Roman" w:eastAsia="PMingLiU" w:hAnsi="Times New Roman" w:cs="Times New Roman"/>
          <w:sz w:val="20"/>
          <w:szCs w:val="20"/>
        </w:rPr>
        <w:t>LAKSHMANADOSS U, LINDSLEY J, GLICK D ET AL. INCIDENCE OF AMIODARONE HYPERSENSITIVITY IN PATIENTS WITH PREVIOUS ALLERGY TO IODINE OR IODINATED CONTRAST AGENTS. PHARMACOTHERAPY, 32: 618–622, 2012</w:t>
      </w:r>
    </w:p>
    <w:p w:rsidR="00FB3F95" w:rsidRDefault="00FB3F95" w:rsidP="006C5453">
      <w:pPr>
        <w:widowControl w:val="0"/>
        <w:overflowPunct w:val="0"/>
        <w:autoSpaceDE w:val="0"/>
        <w:autoSpaceDN w:val="0"/>
        <w:adjustRightInd w:val="0"/>
        <w:spacing w:after="0" w:line="240" w:lineRule="auto"/>
        <w:ind w:left="360"/>
        <w:jc w:val="both"/>
        <w:rPr>
          <w:rFonts w:ascii="Times New Roman" w:hAnsi="Times New Roman"/>
          <w:i/>
          <w:sz w:val="20"/>
          <w:szCs w:val="20"/>
        </w:rPr>
      </w:pPr>
    </w:p>
    <w:sectPr w:rsidR="00FB3F95" w:rsidSect="00A27FE5">
      <w:type w:val="continuous"/>
      <w:pgSz w:w="12240" w:h="15840"/>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12E2" w:rsidRDefault="002812E2" w:rsidP="00670B7E">
      <w:pPr>
        <w:spacing w:after="0" w:line="240" w:lineRule="auto"/>
      </w:pPr>
      <w:r>
        <w:separator/>
      </w:r>
    </w:p>
  </w:endnote>
  <w:endnote w:type="continuationSeparator" w:id="0">
    <w:p w:rsidR="002812E2" w:rsidRDefault="002812E2" w:rsidP="0067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dvGulliv-R">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56" w:rsidRDefault="00A215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7C7B" w:rsidRDefault="00DB7C7B" w:rsidP="00DB7C7B">
    <w:pPr>
      <w:pStyle w:val="Footer"/>
      <w:rPr>
        <w:noProof/>
        <w:color w:val="E36C0A" w:themeColor="accent6" w:themeShade="BF"/>
        <w:sz w:val="18"/>
        <w:szCs w:val="18"/>
      </w:rPr>
    </w:pPr>
    <w:r w:rsidRPr="00144E15">
      <w:rPr>
        <w:noProof/>
        <w:color w:val="E36C0A" w:themeColor="accent6" w:themeShade="BF"/>
        <w:sz w:val="18"/>
        <w:szCs w:val="18"/>
      </w:rPr>
      <w:t>© I</w:t>
    </w:r>
    <w:r w:rsidRPr="00144E15">
      <w:rPr>
        <w:noProof/>
        <w:color w:val="595959" w:themeColor="text1" w:themeTint="A6"/>
        <w:sz w:val="18"/>
        <w:szCs w:val="18"/>
      </w:rPr>
      <w:t xml:space="preserve">ndian </w:t>
    </w:r>
    <w:r w:rsidRPr="00144E15">
      <w:rPr>
        <w:noProof/>
        <w:color w:val="E36C0A" w:themeColor="accent6" w:themeShade="BF"/>
        <w:sz w:val="18"/>
        <w:szCs w:val="18"/>
      </w:rPr>
      <w:t>J</w:t>
    </w:r>
    <w:r w:rsidRPr="00144E15">
      <w:rPr>
        <w:noProof/>
        <w:color w:val="595959" w:themeColor="text1" w:themeTint="A6"/>
        <w:sz w:val="18"/>
        <w:szCs w:val="18"/>
      </w:rPr>
      <w:t xml:space="preserve">ournal of </w:t>
    </w:r>
    <w:r w:rsidRPr="00144E15">
      <w:rPr>
        <w:noProof/>
        <w:color w:val="E36C0A" w:themeColor="accent6" w:themeShade="BF"/>
        <w:sz w:val="18"/>
        <w:szCs w:val="18"/>
      </w:rPr>
      <w:t>M</w:t>
    </w:r>
    <w:r w:rsidRPr="00144E15">
      <w:rPr>
        <w:noProof/>
        <w:color w:val="595959" w:themeColor="text1" w:themeTint="A6"/>
        <w:sz w:val="18"/>
        <w:szCs w:val="18"/>
      </w:rPr>
      <w:t xml:space="preserve">edical </w:t>
    </w:r>
    <w:r w:rsidRPr="00144E15">
      <w:rPr>
        <w:noProof/>
        <w:color w:val="E36C0A" w:themeColor="accent6" w:themeShade="BF"/>
        <w:sz w:val="18"/>
        <w:szCs w:val="18"/>
      </w:rPr>
      <w:t>R</w:t>
    </w:r>
    <w:r w:rsidRPr="00144E15">
      <w:rPr>
        <w:noProof/>
        <w:color w:val="595959" w:themeColor="text1" w:themeTint="A6"/>
        <w:sz w:val="18"/>
        <w:szCs w:val="18"/>
      </w:rPr>
      <w:t xml:space="preserve">esearch and </w:t>
    </w:r>
    <w:r w:rsidRPr="00144E15">
      <w:rPr>
        <w:noProof/>
        <w:color w:val="E36C0A" w:themeColor="accent6" w:themeShade="BF"/>
        <w:sz w:val="18"/>
        <w:szCs w:val="18"/>
      </w:rPr>
      <w:t>P</w:t>
    </w:r>
    <w:r w:rsidRPr="00144E15">
      <w:rPr>
        <w:noProof/>
        <w:color w:val="595959" w:themeColor="text1" w:themeTint="A6"/>
        <w:sz w:val="18"/>
        <w:szCs w:val="18"/>
      </w:rPr>
      <w:t xml:space="preserve">harmaceutical </w:t>
    </w:r>
    <w:r w:rsidRPr="00144E15">
      <w:rPr>
        <w:noProof/>
        <w:color w:val="E36C0A" w:themeColor="accent6" w:themeShade="BF"/>
        <w:sz w:val="18"/>
        <w:szCs w:val="18"/>
      </w:rPr>
      <w:t>S</w:t>
    </w:r>
    <w:r w:rsidRPr="00144E15">
      <w:rPr>
        <w:noProof/>
        <w:color w:val="595959" w:themeColor="text1" w:themeTint="A6"/>
        <w:sz w:val="18"/>
        <w:szCs w:val="18"/>
      </w:rPr>
      <w:t xml:space="preserve">ciences            </w:t>
    </w:r>
    <w:r>
      <w:rPr>
        <w:noProof/>
        <w:color w:val="595959" w:themeColor="text1" w:themeTint="A6"/>
        <w:sz w:val="18"/>
        <w:szCs w:val="18"/>
      </w:rPr>
      <w:tab/>
    </w:r>
    <w:hyperlink r:id="rId1" w:history="1">
      <w:r w:rsidRPr="00B80220">
        <w:rPr>
          <w:rStyle w:val="Hyperlink"/>
          <w:noProof/>
          <w:sz w:val="18"/>
          <w:szCs w:val="18"/>
        </w:rPr>
        <w:t>http://www.ijmprs.com/</w:t>
      </w:r>
    </w:hyperlink>
  </w:p>
  <w:p w:rsidR="00DB7C7B" w:rsidRPr="00DB7C7B" w:rsidRDefault="00DB7C7B" w:rsidP="00DB7C7B">
    <w:pPr>
      <w:pStyle w:val="Footer"/>
      <w:jc w:val="right"/>
      <w:rPr>
        <w:color w:val="F79646" w:themeColor="accent6"/>
      </w:rPr>
    </w:pPr>
    <w:r w:rsidRPr="00DB7C7B">
      <w:rPr>
        <w:color w:val="F79646" w:themeColor="accent6"/>
      </w:rPr>
      <w:t xml:space="preserve"> [</w:t>
    </w:r>
    <w:sdt>
      <w:sdtPr>
        <w:rPr>
          <w:color w:val="F79646" w:themeColor="accent6"/>
        </w:rPr>
        <w:id w:val="-236321721"/>
        <w:docPartObj>
          <w:docPartGallery w:val="Page Numbers (Bottom of Page)"/>
          <w:docPartUnique/>
        </w:docPartObj>
      </w:sdtPr>
      <w:sdtEndPr>
        <w:rPr>
          <w:noProof/>
        </w:rPr>
      </w:sdtEndPr>
      <w:sdtContent>
        <w:r w:rsidR="001D2432" w:rsidRPr="00DB7C7B">
          <w:rPr>
            <w:color w:val="F79646" w:themeColor="accent6"/>
          </w:rPr>
          <w:fldChar w:fldCharType="begin"/>
        </w:r>
        <w:r w:rsidRPr="00DB7C7B">
          <w:rPr>
            <w:color w:val="F79646" w:themeColor="accent6"/>
          </w:rPr>
          <w:instrText xml:space="preserve"> PAGE   \* MERGEFORMAT </w:instrText>
        </w:r>
        <w:r w:rsidR="001D2432" w:rsidRPr="00DB7C7B">
          <w:rPr>
            <w:color w:val="F79646" w:themeColor="accent6"/>
          </w:rPr>
          <w:fldChar w:fldCharType="separate"/>
        </w:r>
        <w:r w:rsidR="002812E2">
          <w:rPr>
            <w:noProof/>
            <w:color w:val="F79646" w:themeColor="accent6"/>
          </w:rPr>
          <w:t>1</w:t>
        </w:r>
        <w:r w:rsidR="001D2432" w:rsidRPr="00DB7C7B">
          <w:rPr>
            <w:noProof/>
            <w:color w:val="F79646" w:themeColor="accent6"/>
          </w:rPr>
          <w:fldChar w:fldCharType="end"/>
        </w:r>
        <w:r w:rsidRPr="00DB7C7B">
          <w:rPr>
            <w:noProof/>
            <w:color w:val="F79646" w:themeColor="accent6"/>
          </w:rPr>
          <w:t>]</w:t>
        </w:r>
      </w:sdtContent>
    </w:sdt>
  </w:p>
  <w:p w:rsidR="00415C0C" w:rsidRPr="00DB7C7B" w:rsidRDefault="00415C0C" w:rsidP="00DB7C7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1556" w:rsidRDefault="00A215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12E2" w:rsidRDefault="002812E2" w:rsidP="00670B7E">
      <w:pPr>
        <w:spacing w:after="0" w:line="240" w:lineRule="auto"/>
      </w:pPr>
      <w:r>
        <w:separator/>
      </w:r>
    </w:p>
  </w:footnote>
  <w:footnote w:type="continuationSeparator" w:id="0">
    <w:p w:rsidR="002812E2" w:rsidRDefault="002812E2" w:rsidP="00670B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771" w:rsidRDefault="002812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5733" o:spid="_x0000_s2059" type="#_x0000_t136" style="position:absolute;margin-left:0;margin-top:0;width:532.95pt;height:228.4pt;rotation:315;z-index:-251649024;mso-position-horizontal:center;mso-position-horizontal-relative:margin;mso-position-vertical:center;mso-position-vertical-relative:margin" o:allowincell="f" fillcolor="#e36c0a [2409]" stroked="f">
          <v:fill opacity=".5"/>
          <v:textpath style="font-family:&quot;Calibri&quot;;font-size:1pt" string="IJMRPS"/>
          <w10:wrap anchorx="margin" anchory="margin"/>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margin-left:0;margin-top:0;width:467.9pt;height:467.9pt;z-index:-251653120;mso-position-horizontal:center;mso-position-horizontal-relative:margin;mso-position-vertical:center;mso-position-vertical-relative:margin" o:allowincell="f">
          <v:imagedata r:id="rId1" o:title="add_256"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32D3" w:rsidRDefault="003F32D3" w:rsidP="003F32D3">
    <w:pPr>
      <w:pStyle w:val="Header"/>
      <w:rPr>
        <w:noProof/>
        <w:color w:val="E36C0A" w:themeColor="accent6" w:themeShade="BF"/>
        <w:sz w:val="32"/>
        <w:szCs w:val="32"/>
      </w:rPr>
    </w:pPr>
    <w:r w:rsidRPr="003F32D3">
      <w:rPr>
        <w:noProof/>
        <w:color w:val="595959" w:themeColor="text1" w:themeTint="A6"/>
        <w:sz w:val="18"/>
        <w:szCs w:val="18"/>
      </w:rPr>
      <w:t>Open Access Journal</w:t>
    </w:r>
  </w:p>
  <w:p w:rsidR="00C65109" w:rsidRDefault="00B27420" w:rsidP="003F32D3">
    <w:pPr>
      <w:pStyle w:val="Header"/>
      <w:jc w:val="center"/>
      <w:rPr>
        <w:noProof/>
        <w:color w:val="595959" w:themeColor="text1" w:themeTint="A6"/>
        <w:sz w:val="32"/>
        <w:szCs w:val="32"/>
      </w:rPr>
    </w:pPr>
    <w:r w:rsidRPr="00BC5D0F">
      <w:rPr>
        <w:noProof/>
        <w:color w:val="E36C0A" w:themeColor="accent6" w:themeShade="BF"/>
        <w:sz w:val="40"/>
        <w:szCs w:val="40"/>
      </w:rPr>
      <w:t>I</w:t>
    </w:r>
    <w:r w:rsidRPr="003F32D3">
      <w:rPr>
        <w:noProof/>
        <w:color w:val="595959" w:themeColor="text1" w:themeTint="A6"/>
        <w:sz w:val="32"/>
        <w:szCs w:val="32"/>
      </w:rPr>
      <w:t xml:space="preserve">ndian </w:t>
    </w:r>
    <w:r w:rsidRPr="00BC5D0F">
      <w:rPr>
        <w:noProof/>
        <w:color w:val="E36C0A" w:themeColor="accent6" w:themeShade="BF"/>
        <w:sz w:val="40"/>
        <w:szCs w:val="40"/>
      </w:rPr>
      <w:t>J</w:t>
    </w:r>
    <w:r w:rsidRPr="003F32D3">
      <w:rPr>
        <w:noProof/>
        <w:color w:val="595959" w:themeColor="text1" w:themeTint="A6"/>
        <w:sz w:val="32"/>
        <w:szCs w:val="32"/>
      </w:rPr>
      <w:t xml:space="preserve">ournal of </w:t>
    </w:r>
    <w:r w:rsidRPr="00BC5D0F">
      <w:rPr>
        <w:noProof/>
        <w:color w:val="E36C0A" w:themeColor="accent6" w:themeShade="BF"/>
        <w:sz w:val="40"/>
        <w:szCs w:val="40"/>
      </w:rPr>
      <w:t>M</w:t>
    </w:r>
    <w:r w:rsidRPr="003F32D3">
      <w:rPr>
        <w:noProof/>
        <w:color w:val="595959" w:themeColor="text1" w:themeTint="A6"/>
        <w:sz w:val="32"/>
        <w:szCs w:val="32"/>
      </w:rPr>
      <w:t xml:space="preserve">edical </w:t>
    </w:r>
    <w:r w:rsidRPr="00BC5D0F">
      <w:rPr>
        <w:noProof/>
        <w:color w:val="E36C0A" w:themeColor="accent6" w:themeShade="BF"/>
        <w:sz w:val="40"/>
        <w:szCs w:val="40"/>
      </w:rPr>
      <w:t>R</w:t>
    </w:r>
    <w:r w:rsidRPr="003F32D3">
      <w:rPr>
        <w:noProof/>
        <w:color w:val="595959" w:themeColor="text1" w:themeTint="A6"/>
        <w:sz w:val="32"/>
        <w:szCs w:val="32"/>
      </w:rPr>
      <w:t xml:space="preserve">esearch and </w:t>
    </w:r>
    <w:r w:rsidRPr="00BC5D0F">
      <w:rPr>
        <w:noProof/>
        <w:color w:val="E36C0A" w:themeColor="accent6" w:themeShade="BF"/>
        <w:sz w:val="40"/>
        <w:szCs w:val="40"/>
      </w:rPr>
      <w:t>P</w:t>
    </w:r>
    <w:r w:rsidRPr="003F32D3">
      <w:rPr>
        <w:noProof/>
        <w:color w:val="595959" w:themeColor="text1" w:themeTint="A6"/>
        <w:sz w:val="32"/>
        <w:szCs w:val="32"/>
      </w:rPr>
      <w:t xml:space="preserve">harmaceutical </w:t>
    </w:r>
    <w:r w:rsidRPr="00BC5D0F">
      <w:rPr>
        <w:noProof/>
        <w:color w:val="E36C0A" w:themeColor="accent6" w:themeShade="BF"/>
        <w:sz w:val="40"/>
        <w:szCs w:val="40"/>
      </w:rPr>
      <w:t>S</w:t>
    </w:r>
    <w:r w:rsidRPr="003F32D3">
      <w:rPr>
        <w:noProof/>
        <w:color w:val="595959" w:themeColor="text1" w:themeTint="A6"/>
        <w:sz w:val="32"/>
        <w:szCs w:val="32"/>
      </w:rPr>
      <w:t>ciences</w:t>
    </w:r>
  </w:p>
  <w:p w:rsidR="003F32D3" w:rsidRDefault="00B65C64" w:rsidP="003F32D3">
    <w:pPr>
      <w:pStyle w:val="Header"/>
      <w:pBdr>
        <w:bottom w:val="dotDash" w:sz="12" w:space="1" w:color="F79646" w:themeColor="accent6"/>
      </w:pBdr>
      <w:rPr>
        <w:noProof/>
        <w:color w:val="595959" w:themeColor="text1" w:themeTint="A6"/>
        <w:sz w:val="24"/>
        <w:szCs w:val="24"/>
      </w:rPr>
    </w:pPr>
    <w:r>
      <w:rPr>
        <w:noProof/>
        <w:color w:val="595959" w:themeColor="text1" w:themeTint="A6"/>
        <w:sz w:val="24"/>
        <w:szCs w:val="24"/>
      </w:rPr>
      <w:t>November</w:t>
    </w:r>
    <w:r w:rsidR="00BC5D0F" w:rsidRPr="00557C6B">
      <w:rPr>
        <w:noProof/>
        <w:color w:val="595959" w:themeColor="text1" w:themeTint="A6"/>
        <w:sz w:val="24"/>
        <w:szCs w:val="24"/>
      </w:rPr>
      <w:t xml:space="preserve"> </w:t>
    </w:r>
    <w:r>
      <w:rPr>
        <w:noProof/>
        <w:color w:val="595959" w:themeColor="text1" w:themeTint="A6"/>
        <w:sz w:val="24"/>
        <w:szCs w:val="24"/>
      </w:rPr>
      <w:t>2017</w:t>
    </w:r>
    <w:r w:rsidR="0074691A" w:rsidRPr="00557C6B">
      <w:rPr>
        <w:noProof/>
        <w:color w:val="595959" w:themeColor="text1" w:themeTint="A6"/>
        <w:sz w:val="24"/>
        <w:szCs w:val="24"/>
      </w:rPr>
      <w:t>;</w:t>
    </w:r>
    <w:r>
      <w:rPr>
        <w:noProof/>
        <w:color w:val="595959" w:themeColor="text1" w:themeTint="A6"/>
        <w:sz w:val="24"/>
        <w:szCs w:val="24"/>
      </w:rPr>
      <w:t>4</w:t>
    </w:r>
    <w:r w:rsidR="0074691A" w:rsidRPr="00557C6B">
      <w:rPr>
        <w:noProof/>
        <w:color w:val="595959" w:themeColor="text1" w:themeTint="A6"/>
        <w:sz w:val="24"/>
        <w:szCs w:val="24"/>
      </w:rPr>
      <w:t>(</w:t>
    </w:r>
    <w:r>
      <w:rPr>
        <w:noProof/>
        <w:color w:val="595959" w:themeColor="text1" w:themeTint="A6"/>
        <w:sz w:val="24"/>
        <w:szCs w:val="24"/>
      </w:rPr>
      <w:t>11</w:t>
    </w:r>
    <w:r w:rsidR="0074691A" w:rsidRPr="00557C6B">
      <w:rPr>
        <w:noProof/>
        <w:color w:val="595959" w:themeColor="text1" w:themeTint="A6"/>
        <w:sz w:val="24"/>
        <w:szCs w:val="24"/>
      </w:rPr>
      <w:t>)</w:t>
    </w:r>
    <w:r w:rsidR="003F32D3" w:rsidRPr="00BC5D0F">
      <w:rPr>
        <w:noProof/>
        <w:color w:val="595959" w:themeColor="text1" w:themeTint="A6"/>
        <w:sz w:val="24"/>
        <w:szCs w:val="24"/>
      </w:rPr>
      <w:tab/>
    </w:r>
    <w:r w:rsidR="003F32D3" w:rsidRPr="00BC5D0F">
      <w:rPr>
        <w:noProof/>
        <w:color w:val="595959" w:themeColor="text1" w:themeTint="A6"/>
        <w:sz w:val="24"/>
        <w:szCs w:val="24"/>
      </w:rPr>
      <w:tab/>
      <w:t xml:space="preserve">ISSN: </w:t>
    </w:r>
    <w:r w:rsidR="00261780" w:rsidRPr="00261780">
      <w:rPr>
        <w:noProof/>
        <w:color w:val="595959" w:themeColor="text1" w:themeTint="A6"/>
        <w:sz w:val="24"/>
        <w:szCs w:val="24"/>
      </w:rPr>
      <w:t>ISSN: 2349-5340</w:t>
    </w:r>
  </w:p>
  <w:p w:rsidR="003F32D3" w:rsidRPr="006C5453" w:rsidRDefault="00166142" w:rsidP="00166142">
    <w:pPr>
      <w:pStyle w:val="Header"/>
      <w:pBdr>
        <w:bottom w:val="dotDash" w:sz="12" w:space="1" w:color="F79646" w:themeColor="accent6"/>
      </w:pBdr>
      <w:tabs>
        <w:tab w:val="left" w:pos="270"/>
      </w:tabs>
      <w:rPr>
        <w:noProof/>
        <w:color w:val="595959" w:themeColor="text1" w:themeTint="A6"/>
        <w:sz w:val="24"/>
        <w:szCs w:val="24"/>
      </w:rPr>
    </w:pPr>
    <w:r>
      <w:rPr>
        <w:noProof/>
        <w:color w:val="595959" w:themeColor="text1" w:themeTint="A6"/>
        <w:sz w:val="24"/>
        <w:szCs w:val="24"/>
      </w:rPr>
      <w:t xml:space="preserve">DOI: </w:t>
    </w:r>
    <w:r w:rsidR="00A21556" w:rsidRPr="00A21556">
      <w:rPr>
        <w:noProof/>
        <w:color w:val="595959" w:themeColor="text1" w:themeTint="A6"/>
        <w:sz w:val="24"/>
        <w:szCs w:val="24"/>
      </w:rPr>
      <w:t>10.5281/zenodo.1043785</w:t>
    </w:r>
    <w:bookmarkStart w:id="0" w:name="_GoBack"/>
    <w:bookmarkEnd w:id="0"/>
    <w:r>
      <w:rPr>
        <w:noProof/>
        <w:color w:val="595959" w:themeColor="text1" w:themeTint="A6"/>
        <w:sz w:val="24"/>
        <w:szCs w:val="24"/>
      </w:rPr>
      <w:tab/>
    </w:r>
    <w:r>
      <w:rPr>
        <w:noProof/>
        <w:color w:val="595959" w:themeColor="text1" w:themeTint="A6"/>
        <w:sz w:val="24"/>
        <w:szCs w:val="24"/>
      </w:rPr>
      <w:tab/>
    </w:r>
    <w:r w:rsidR="0084502B">
      <w:rPr>
        <w:noProof/>
        <w:color w:val="595959" w:themeColor="text1" w:themeTint="A6"/>
        <w:sz w:val="24"/>
        <w:szCs w:val="24"/>
      </w:rPr>
      <w:t>Impact Factor</w:t>
    </w:r>
    <w:r w:rsidR="00564E5B" w:rsidRPr="00564E5B">
      <w:rPr>
        <w:noProof/>
        <w:color w:val="595959" w:themeColor="text1" w:themeTint="A6"/>
        <w:sz w:val="24"/>
        <w:szCs w:val="24"/>
      </w:rPr>
      <w:t xml:space="preserve">: </w:t>
    </w:r>
    <w:r w:rsidR="00670133" w:rsidRPr="00670133">
      <w:rPr>
        <w:noProof/>
        <w:color w:val="595959" w:themeColor="text1" w:themeTint="A6"/>
        <w:sz w:val="24"/>
        <w:szCs w:val="24"/>
      </w:rPr>
      <w:t>3.052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771" w:rsidRDefault="002812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5732" o:spid="_x0000_s2058" type="#_x0000_t136" style="position:absolute;margin-left:0;margin-top:0;width:532.95pt;height:228.4pt;rotation:315;z-index:-251651072;mso-position-horizontal:center;mso-position-horizontal-relative:margin;mso-position-vertical:center;mso-position-vertical-relative:margin" o:allowincell="f" fillcolor="#e36c0a [2409]" stroked="f">
          <v:fill opacity=".5"/>
          <v:textpath style="font-family:&quot;Calibri&quot;;font-size:1pt" string="IJMRPS"/>
          <w10:wrap anchorx="margin" anchory="margin"/>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position:absolute;margin-left:0;margin-top:0;width:467.9pt;height:467.9pt;z-index:-251654144;mso-position-horizontal:center;mso-position-horizontal-relative:margin;mso-position-vertical:center;mso-position-vertical-relative:margin" o:allowincell="f">
          <v:imagedata r:id="rId1" o:title="add_256"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281F21"/>
    <w:multiLevelType w:val="hybridMultilevel"/>
    <w:tmpl w:val="D6562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0C7A7E"/>
    <w:multiLevelType w:val="hybridMultilevel"/>
    <w:tmpl w:val="FF9E119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AC91F06"/>
    <w:multiLevelType w:val="hybridMultilevel"/>
    <w:tmpl w:val="A4AC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savePreviewPicture/>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F4DD8"/>
    <w:rsid w:val="00001E27"/>
    <w:rsid w:val="000028A1"/>
    <w:rsid w:val="0000293E"/>
    <w:rsid w:val="00002ED7"/>
    <w:rsid w:val="0000313B"/>
    <w:rsid w:val="00003838"/>
    <w:rsid w:val="00004372"/>
    <w:rsid w:val="00005396"/>
    <w:rsid w:val="00005523"/>
    <w:rsid w:val="0000614B"/>
    <w:rsid w:val="00006E19"/>
    <w:rsid w:val="00006E5C"/>
    <w:rsid w:val="000104BF"/>
    <w:rsid w:val="00010D8F"/>
    <w:rsid w:val="0001103C"/>
    <w:rsid w:val="0001164E"/>
    <w:rsid w:val="0001168C"/>
    <w:rsid w:val="00011C72"/>
    <w:rsid w:val="000124F3"/>
    <w:rsid w:val="00012AD3"/>
    <w:rsid w:val="00016235"/>
    <w:rsid w:val="00017077"/>
    <w:rsid w:val="000179D7"/>
    <w:rsid w:val="00020888"/>
    <w:rsid w:val="00023A4D"/>
    <w:rsid w:val="00025028"/>
    <w:rsid w:val="0002534D"/>
    <w:rsid w:val="000261C8"/>
    <w:rsid w:val="00026628"/>
    <w:rsid w:val="00026759"/>
    <w:rsid w:val="00027623"/>
    <w:rsid w:val="00031A4A"/>
    <w:rsid w:val="00032642"/>
    <w:rsid w:val="00034F17"/>
    <w:rsid w:val="000353D2"/>
    <w:rsid w:val="00035762"/>
    <w:rsid w:val="00035A32"/>
    <w:rsid w:val="00036217"/>
    <w:rsid w:val="0003685C"/>
    <w:rsid w:val="000409B4"/>
    <w:rsid w:val="00040CCE"/>
    <w:rsid w:val="000415F6"/>
    <w:rsid w:val="00041C67"/>
    <w:rsid w:val="0004367D"/>
    <w:rsid w:val="00043A5C"/>
    <w:rsid w:val="00045762"/>
    <w:rsid w:val="00045D3D"/>
    <w:rsid w:val="0004665F"/>
    <w:rsid w:val="00050192"/>
    <w:rsid w:val="00050B53"/>
    <w:rsid w:val="000520D7"/>
    <w:rsid w:val="00052821"/>
    <w:rsid w:val="000533E9"/>
    <w:rsid w:val="0005395C"/>
    <w:rsid w:val="00054A51"/>
    <w:rsid w:val="00054ED1"/>
    <w:rsid w:val="00055321"/>
    <w:rsid w:val="00055D4C"/>
    <w:rsid w:val="000571B1"/>
    <w:rsid w:val="0005727D"/>
    <w:rsid w:val="000574C6"/>
    <w:rsid w:val="00061449"/>
    <w:rsid w:val="0006248A"/>
    <w:rsid w:val="00063054"/>
    <w:rsid w:val="000632B5"/>
    <w:rsid w:val="000640A0"/>
    <w:rsid w:val="00065274"/>
    <w:rsid w:val="0006528D"/>
    <w:rsid w:val="00067457"/>
    <w:rsid w:val="000675DA"/>
    <w:rsid w:val="0007182D"/>
    <w:rsid w:val="00072EE2"/>
    <w:rsid w:val="00074030"/>
    <w:rsid w:val="00074ABA"/>
    <w:rsid w:val="00074EA1"/>
    <w:rsid w:val="00076631"/>
    <w:rsid w:val="000768E3"/>
    <w:rsid w:val="0007706C"/>
    <w:rsid w:val="000805A8"/>
    <w:rsid w:val="00082220"/>
    <w:rsid w:val="000825FA"/>
    <w:rsid w:val="00082A0D"/>
    <w:rsid w:val="0008515B"/>
    <w:rsid w:val="00085ABC"/>
    <w:rsid w:val="00087B20"/>
    <w:rsid w:val="000914E6"/>
    <w:rsid w:val="000941D7"/>
    <w:rsid w:val="0009602E"/>
    <w:rsid w:val="00096F41"/>
    <w:rsid w:val="00097F37"/>
    <w:rsid w:val="000A012D"/>
    <w:rsid w:val="000A4109"/>
    <w:rsid w:val="000A4502"/>
    <w:rsid w:val="000A541F"/>
    <w:rsid w:val="000A56DE"/>
    <w:rsid w:val="000A7363"/>
    <w:rsid w:val="000B096A"/>
    <w:rsid w:val="000B11C2"/>
    <w:rsid w:val="000B15DA"/>
    <w:rsid w:val="000B20F7"/>
    <w:rsid w:val="000B2E4B"/>
    <w:rsid w:val="000B36E4"/>
    <w:rsid w:val="000B3848"/>
    <w:rsid w:val="000B3B00"/>
    <w:rsid w:val="000B4C92"/>
    <w:rsid w:val="000B6383"/>
    <w:rsid w:val="000B64E3"/>
    <w:rsid w:val="000B6580"/>
    <w:rsid w:val="000B7AB1"/>
    <w:rsid w:val="000C06BD"/>
    <w:rsid w:val="000C118E"/>
    <w:rsid w:val="000C1E21"/>
    <w:rsid w:val="000D0B4C"/>
    <w:rsid w:val="000D181E"/>
    <w:rsid w:val="000D254D"/>
    <w:rsid w:val="000D3608"/>
    <w:rsid w:val="000D4227"/>
    <w:rsid w:val="000D4CE7"/>
    <w:rsid w:val="000D4E95"/>
    <w:rsid w:val="000D6CDE"/>
    <w:rsid w:val="000E0181"/>
    <w:rsid w:val="000E11AF"/>
    <w:rsid w:val="000E16BE"/>
    <w:rsid w:val="000E2FD3"/>
    <w:rsid w:val="000E3610"/>
    <w:rsid w:val="000E4982"/>
    <w:rsid w:val="000E4AB9"/>
    <w:rsid w:val="000E4C8B"/>
    <w:rsid w:val="000E6490"/>
    <w:rsid w:val="000E70EE"/>
    <w:rsid w:val="000E744A"/>
    <w:rsid w:val="000F23C9"/>
    <w:rsid w:val="000F3DBB"/>
    <w:rsid w:val="000F48CE"/>
    <w:rsid w:val="000F54A9"/>
    <w:rsid w:val="000F6DF4"/>
    <w:rsid w:val="000F7583"/>
    <w:rsid w:val="000F7F5B"/>
    <w:rsid w:val="00100098"/>
    <w:rsid w:val="001003DE"/>
    <w:rsid w:val="00103679"/>
    <w:rsid w:val="001047D6"/>
    <w:rsid w:val="00104AD3"/>
    <w:rsid w:val="00104FCA"/>
    <w:rsid w:val="00105A7E"/>
    <w:rsid w:val="00106901"/>
    <w:rsid w:val="00106B1A"/>
    <w:rsid w:val="00111C40"/>
    <w:rsid w:val="0011216D"/>
    <w:rsid w:val="00113086"/>
    <w:rsid w:val="00113F44"/>
    <w:rsid w:val="00115460"/>
    <w:rsid w:val="0011563F"/>
    <w:rsid w:val="00116122"/>
    <w:rsid w:val="0011726B"/>
    <w:rsid w:val="00120217"/>
    <w:rsid w:val="00122AA6"/>
    <w:rsid w:val="00127C67"/>
    <w:rsid w:val="00127DE1"/>
    <w:rsid w:val="00130466"/>
    <w:rsid w:val="00132221"/>
    <w:rsid w:val="00133F84"/>
    <w:rsid w:val="0013623D"/>
    <w:rsid w:val="001367E6"/>
    <w:rsid w:val="00136E3F"/>
    <w:rsid w:val="00137E7F"/>
    <w:rsid w:val="00140D1D"/>
    <w:rsid w:val="0014303C"/>
    <w:rsid w:val="00143C81"/>
    <w:rsid w:val="00144810"/>
    <w:rsid w:val="0014498D"/>
    <w:rsid w:val="00144CC8"/>
    <w:rsid w:val="0014536F"/>
    <w:rsid w:val="00146BB6"/>
    <w:rsid w:val="00146F19"/>
    <w:rsid w:val="001474F4"/>
    <w:rsid w:val="001476BF"/>
    <w:rsid w:val="00147FBD"/>
    <w:rsid w:val="00150561"/>
    <w:rsid w:val="001508FD"/>
    <w:rsid w:val="00150F9E"/>
    <w:rsid w:val="00153E43"/>
    <w:rsid w:val="00155649"/>
    <w:rsid w:val="0015568C"/>
    <w:rsid w:val="00155D6D"/>
    <w:rsid w:val="00156ACD"/>
    <w:rsid w:val="001631E8"/>
    <w:rsid w:val="0016531B"/>
    <w:rsid w:val="001653D4"/>
    <w:rsid w:val="00166142"/>
    <w:rsid w:val="00166254"/>
    <w:rsid w:val="00166BE1"/>
    <w:rsid w:val="001673BF"/>
    <w:rsid w:val="001678CB"/>
    <w:rsid w:val="0016793F"/>
    <w:rsid w:val="00167B59"/>
    <w:rsid w:val="00170F46"/>
    <w:rsid w:val="001711B4"/>
    <w:rsid w:val="00171858"/>
    <w:rsid w:val="00171E90"/>
    <w:rsid w:val="001721BE"/>
    <w:rsid w:val="001727D2"/>
    <w:rsid w:val="0017752D"/>
    <w:rsid w:val="00180CFE"/>
    <w:rsid w:val="00181FC3"/>
    <w:rsid w:val="00181FEC"/>
    <w:rsid w:val="0018308F"/>
    <w:rsid w:val="00183556"/>
    <w:rsid w:val="00183FEA"/>
    <w:rsid w:val="001876BA"/>
    <w:rsid w:val="001900E8"/>
    <w:rsid w:val="00190CB5"/>
    <w:rsid w:val="00192413"/>
    <w:rsid w:val="001947D7"/>
    <w:rsid w:val="00194953"/>
    <w:rsid w:val="0019663D"/>
    <w:rsid w:val="001A40C0"/>
    <w:rsid w:val="001A4635"/>
    <w:rsid w:val="001A46DE"/>
    <w:rsid w:val="001A4955"/>
    <w:rsid w:val="001A4A0E"/>
    <w:rsid w:val="001A6DE1"/>
    <w:rsid w:val="001A70E0"/>
    <w:rsid w:val="001A78BD"/>
    <w:rsid w:val="001A79FA"/>
    <w:rsid w:val="001A7F1E"/>
    <w:rsid w:val="001B0378"/>
    <w:rsid w:val="001B093E"/>
    <w:rsid w:val="001B1454"/>
    <w:rsid w:val="001B2ED6"/>
    <w:rsid w:val="001B4BD4"/>
    <w:rsid w:val="001B5656"/>
    <w:rsid w:val="001B6BDF"/>
    <w:rsid w:val="001B7B2B"/>
    <w:rsid w:val="001B7FD2"/>
    <w:rsid w:val="001C00CE"/>
    <w:rsid w:val="001C1DD6"/>
    <w:rsid w:val="001C3B61"/>
    <w:rsid w:val="001C5542"/>
    <w:rsid w:val="001C56D7"/>
    <w:rsid w:val="001C5974"/>
    <w:rsid w:val="001C60DF"/>
    <w:rsid w:val="001C61A0"/>
    <w:rsid w:val="001D0552"/>
    <w:rsid w:val="001D2432"/>
    <w:rsid w:val="001D47A4"/>
    <w:rsid w:val="001D4904"/>
    <w:rsid w:val="001D76C2"/>
    <w:rsid w:val="001D7FE9"/>
    <w:rsid w:val="001E075C"/>
    <w:rsid w:val="001E1A91"/>
    <w:rsid w:val="001E2D3F"/>
    <w:rsid w:val="001E2E4E"/>
    <w:rsid w:val="001E413F"/>
    <w:rsid w:val="001E5132"/>
    <w:rsid w:val="001F077F"/>
    <w:rsid w:val="001F4847"/>
    <w:rsid w:val="001F5632"/>
    <w:rsid w:val="001F770F"/>
    <w:rsid w:val="00200C06"/>
    <w:rsid w:val="00201813"/>
    <w:rsid w:val="0020458A"/>
    <w:rsid w:val="00204F1D"/>
    <w:rsid w:val="002056D2"/>
    <w:rsid w:val="00206083"/>
    <w:rsid w:val="002063AE"/>
    <w:rsid w:val="00207385"/>
    <w:rsid w:val="00207D3D"/>
    <w:rsid w:val="0021068A"/>
    <w:rsid w:val="0021224F"/>
    <w:rsid w:val="00213C58"/>
    <w:rsid w:val="0021480F"/>
    <w:rsid w:val="0021488B"/>
    <w:rsid w:val="00214F3C"/>
    <w:rsid w:val="00214F45"/>
    <w:rsid w:val="00216CC4"/>
    <w:rsid w:val="00221514"/>
    <w:rsid w:val="00221FF7"/>
    <w:rsid w:val="00223106"/>
    <w:rsid w:val="002243C1"/>
    <w:rsid w:val="0022508A"/>
    <w:rsid w:val="00225620"/>
    <w:rsid w:val="0022605E"/>
    <w:rsid w:val="00226D76"/>
    <w:rsid w:val="00227360"/>
    <w:rsid w:val="0023065E"/>
    <w:rsid w:val="00232576"/>
    <w:rsid w:val="00233ED2"/>
    <w:rsid w:val="00234CE3"/>
    <w:rsid w:val="00234EC5"/>
    <w:rsid w:val="002352B6"/>
    <w:rsid w:val="002355F7"/>
    <w:rsid w:val="002378E1"/>
    <w:rsid w:val="00241202"/>
    <w:rsid w:val="00246108"/>
    <w:rsid w:val="00253329"/>
    <w:rsid w:val="00253F9C"/>
    <w:rsid w:val="002543AF"/>
    <w:rsid w:val="002615FC"/>
    <w:rsid w:val="00261780"/>
    <w:rsid w:val="002629D6"/>
    <w:rsid w:val="00263F1F"/>
    <w:rsid w:val="002648B1"/>
    <w:rsid w:val="00264E6E"/>
    <w:rsid w:val="00265546"/>
    <w:rsid w:val="00267665"/>
    <w:rsid w:val="002678D6"/>
    <w:rsid w:val="002704C8"/>
    <w:rsid w:val="00272F86"/>
    <w:rsid w:val="00273027"/>
    <w:rsid w:val="00275738"/>
    <w:rsid w:val="00276AF0"/>
    <w:rsid w:val="00276D02"/>
    <w:rsid w:val="0027713B"/>
    <w:rsid w:val="00277B7B"/>
    <w:rsid w:val="00280651"/>
    <w:rsid w:val="00280FA9"/>
    <w:rsid w:val="002812E2"/>
    <w:rsid w:val="0028264D"/>
    <w:rsid w:val="00282FD0"/>
    <w:rsid w:val="00284E9D"/>
    <w:rsid w:val="00285FA9"/>
    <w:rsid w:val="0028677F"/>
    <w:rsid w:val="002872AC"/>
    <w:rsid w:val="00287D65"/>
    <w:rsid w:val="00287EE0"/>
    <w:rsid w:val="00290947"/>
    <w:rsid w:val="00290D1D"/>
    <w:rsid w:val="00291D59"/>
    <w:rsid w:val="00293850"/>
    <w:rsid w:val="00294255"/>
    <w:rsid w:val="00295A53"/>
    <w:rsid w:val="00295CD3"/>
    <w:rsid w:val="00297059"/>
    <w:rsid w:val="00297166"/>
    <w:rsid w:val="00297873"/>
    <w:rsid w:val="0029799A"/>
    <w:rsid w:val="002A0FFA"/>
    <w:rsid w:val="002A1272"/>
    <w:rsid w:val="002A1E98"/>
    <w:rsid w:val="002A2DFE"/>
    <w:rsid w:val="002A37F1"/>
    <w:rsid w:val="002A3C43"/>
    <w:rsid w:val="002A48D6"/>
    <w:rsid w:val="002A4E0B"/>
    <w:rsid w:val="002A5EAE"/>
    <w:rsid w:val="002B0672"/>
    <w:rsid w:val="002B2795"/>
    <w:rsid w:val="002B3F08"/>
    <w:rsid w:val="002B4A78"/>
    <w:rsid w:val="002B6997"/>
    <w:rsid w:val="002B778E"/>
    <w:rsid w:val="002B7E28"/>
    <w:rsid w:val="002C04D7"/>
    <w:rsid w:val="002C15B2"/>
    <w:rsid w:val="002C4948"/>
    <w:rsid w:val="002C5571"/>
    <w:rsid w:val="002C5576"/>
    <w:rsid w:val="002C6FCA"/>
    <w:rsid w:val="002D031D"/>
    <w:rsid w:val="002D03A6"/>
    <w:rsid w:val="002D12B5"/>
    <w:rsid w:val="002D1620"/>
    <w:rsid w:val="002D1D31"/>
    <w:rsid w:val="002D23D2"/>
    <w:rsid w:val="002D23F6"/>
    <w:rsid w:val="002D5353"/>
    <w:rsid w:val="002D7DE9"/>
    <w:rsid w:val="002D7F7A"/>
    <w:rsid w:val="002E0168"/>
    <w:rsid w:val="002E1112"/>
    <w:rsid w:val="002E199C"/>
    <w:rsid w:val="002E308B"/>
    <w:rsid w:val="002E31B8"/>
    <w:rsid w:val="002E345F"/>
    <w:rsid w:val="002E3766"/>
    <w:rsid w:val="002E48EF"/>
    <w:rsid w:val="002E5458"/>
    <w:rsid w:val="002E5E14"/>
    <w:rsid w:val="002F01EB"/>
    <w:rsid w:val="002F32A2"/>
    <w:rsid w:val="002F6F2B"/>
    <w:rsid w:val="002F7215"/>
    <w:rsid w:val="002F7EB1"/>
    <w:rsid w:val="00300851"/>
    <w:rsid w:val="00300EF0"/>
    <w:rsid w:val="0030253D"/>
    <w:rsid w:val="00302CD2"/>
    <w:rsid w:val="003032E7"/>
    <w:rsid w:val="00303BB7"/>
    <w:rsid w:val="00304034"/>
    <w:rsid w:val="00304B40"/>
    <w:rsid w:val="00304E23"/>
    <w:rsid w:val="00304FD9"/>
    <w:rsid w:val="00306FDC"/>
    <w:rsid w:val="00307786"/>
    <w:rsid w:val="00307970"/>
    <w:rsid w:val="00312179"/>
    <w:rsid w:val="00312CB6"/>
    <w:rsid w:val="003131AA"/>
    <w:rsid w:val="00314803"/>
    <w:rsid w:val="00317ABC"/>
    <w:rsid w:val="00320702"/>
    <w:rsid w:val="0032270E"/>
    <w:rsid w:val="00323B83"/>
    <w:rsid w:val="00324B4B"/>
    <w:rsid w:val="00324EDF"/>
    <w:rsid w:val="003256B2"/>
    <w:rsid w:val="0032696B"/>
    <w:rsid w:val="003278ED"/>
    <w:rsid w:val="00327E03"/>
    <w:rsid w:val="003306F5"/>
    <w:rsid w:val="00330C06"/>
    <w:rsid w:val="003317C2"/>
    <w:rsid w:val="00333009"/>
    <w:rsid w:val="003331B8"/>
    <w:rsid w:val="003335AB"/>
    <w:rsid w:val="0033447B"/>
    <w:rsid w:val="003344D2"/>
    <w:rsid w:val="00334705"/>
    <w:rsid w:val="00335D95"/>
    <w:rsid w:val="00336EAD"/>
    <w:rsid w:val="0034026F"/>
    <w:rsid w:val="0034100A"/>
    <w:rsid w:val="003428A0"/>
    <w:rsid w:val="0034293B"/>
    <w:rsid w:val="00344BFF"/>
    <w:rsid w:val="00345279"/>
    <w:rsid w:val="00350CBA"/>
    <w:rsid w:val="00351A6E"/>
    <w:rsid w:val="003521C7"/>
    <w:rsid w:val="00355315"/>
    <w:rsid w:val="00355E63"/>
    <w:rsid w:val="00356EFF"/>
    <w:rsid w:val="0035761A"/>
    <w:rsid w:val="003609A4"/>
    <w:rsid w:val="0036138E"/>
    <w:rsid w:val="0036139E"/>
    <w:rsid w:val="003614AD"/>
    <w:rsid w:val="00363CE9"/>
    <w:rsid w:val="0036455B"/>
    <w:rsid w:val="00364736"/>
    <w:rsid w:val="00366A2C"/>
    <w:rsid w:val="00366B4D"/>
    <w:rsid w:val="00367625"/>
    <w:rsid w:val="00367930"/>
    <w:rsid w:val="00367DD9"/>
    <w:rsid w:val="0037039E"/>
    <w:rsid w:val="00370BC4"/>
    <w:rsid w:val="00371A5A"/>
    <w:rsid w:val="003732EE"/>
    <w:rsid w:val="003820A2"/>
    <w:rsid w:val="003828B9"/>
    <w:rsid w:val="003830A7"/>
    <w:rsid w:val="00384464"/>
    <w:rsid w:val="00384EB6"/>
    <w:rsid w:val="00385747"/>
    <w:rsid w:val="00386E01"/>
    <w:rsid w:val="00386F41"/>
    <w:rsid w:val="00390741"/>
    <w:rsid w:val="00395A67"/>
    <w:rsid w:val="0039705F"/>
    <w:rsid w:val="00397B13"/>
    <w:rsid w:val="00397BBA"/>
    <w:rsid w:val="003A184F"/>
    <w:rsid w:val="003A3164"/>
    <w:rsid w:val="003A471F"/>
    <w:rsid w:val="003A4F90"/>
    <w:rsid w:val="003A5A89"/>
    <w:rsid w:val="003A5BA6"/>
    <w:rsid w:val="003A73B4"/>
    <w:rsid w:val="003B0882"/>
    <w:rsid w:val="003B0BB8"/>
    <w:rsid w:val="003B0D33"/>
    <w:rsid w:val="003B1217"/>
    <w:rsid w:val="003B13A6"/>
    <w:rsid w:val="003B182C"/>
    <w:rsid w:val="003B1A80"/>
    <w:rsid w:val="003B1E1D"/>
    <w:rsid w:val="003B3751"/>
    <w:rsid w:val="003B403B"/>
    <w:rsid w:val="003B5567"/>
    <w:rsid w:val="003B5BB1"/>
    <w:rsid w:val="003C0A4B"/>
    <w:rsid w:val="003C2843"/>
    <w:rsid w:val="003C28C9"/>
    <w:rsid w:val="003C2A57"/>
    <w:rsid w:val="003C319D"/>
    <w:rsid w:val="003C353A"/>
    <w:rsid w:val="003C46C0"/>
    <w:rsid w:val="003C6D70"/>
    <w:rsid w:val="003C7462"/>
    <w:rsid w:val="003D07D7"/>
    <w:rsid w:val="003D363E"/>
    <w:rsid w:val="003D3CCD"/>
    <w:rsid w:val="003D4D3C"/>
    <w:rsid w:val="003D4ED7"/>
    <w:rsid w:val="003D648A"/>
    <w:rsid w:val="003D7475"/>
    <w:rsid w:val="003D7932"/>
    <w:rsid w:val="003E1115"/>
    <w:rsid w:val="003E16DC"/>
    <w:rsid w:val="003E1850"/>
    <w:rsid w:val="003E1FE8"/>
    <w:rsid w:val="003E405C"/>
    <w:rsid w:val="003E4576"/>
    <w:rsid w:val="003E60F6"/>
    <w:rsid w:val="003E7F73"/>
    <w:rsid w:val="003F16DC"/>
    <w:rsid w:val="003F2C7E"/>
    <w:rsid w:val="003F3140"/>
    <w:rsid w:val="003F32D3"/>
    <w:rsid w:val="003F3AC1"/>
    <w:rsid w:val="003F3BDA"/>
    <w:rsid w:val="003F4DD8"/>
    <w:rsid w:val="003F5BE2"/>
    <w:rsid w:val="003F7D9E"/>
    <w:rsid w:val="00401D1E"/>
    <w:rsid w:val="00401E7E"/>
    <w:rsid w:val="0040394D"/>
    <w:rsid w:val="0040434E"/>
    <w:rsid w:val="00404773"/>
    <w:rsid w:val="004048C4"/>
    <w:rsid w:val="0040499B"/>
    <w:rsid w:val="00405DDC"/>
    <w:rsid w:val="00406A95"/>
    <w:rsid w:val="004116E1"/>
    <w:rsid w:val="00412C0F"/>
    <w:rsid w:val="00412DA7"/>
    <w:rsid w:val="00413252"/>
    <w:rsid w:val="00414077"/>
    <w:rsid w:val="004158B6"/>
    <w:rsid w:val="00415C0C"/>
    <w:rsid w:val="00420558"/>
    <w:rsid w:val="00420BC3"/>
    <w:rsid w:val="00420D18"/>
    <w:rsid w:val="00420F3A"/>
    <w:rsid w:val="0042142C"/>
    <w:rsid w:val="004219D8"/>
    <w:rsid w:val="004220DD"/>
    <w:rsid w:val="00425B52"/>
    <w:rsid w:val="00427648"/>
    <w:rsid w:val="00431D16"/>
    <w:rsid w:val="0043384D"/>
    <w:rsid w:val="00434B36"/>
    <w:rsid w:val="004351F7"/>
    <w:rsid w:val="00435D2E"/>
    <w:rsid w:val="004360F9"/>
    <w:rsid w:val="004368C8"/>
    <w:rsid w:val="004425C7"/>
    <w:rsid w:val="004431A5"/>
    <w:rsid w:val="004433A6"/>
    <w:rsid w:val="00443EBA"/>
    <w:rsid w:val="00444D2A"/>
    <w:rsid w:val="0044525B"/>
    <w:rsid w:val="0044617F"/>
    <w:rsid w:val="004461F5"/>
    <w:rsid w:val="0044635A"/>
    <w:rsid w:val="00453E66"/>
    <w:rsid w:val="00454AEB"/>
    <w:rsid w:val="00455AEA"/>
    <w:rsid w:val="00456AA1"/>
    <w:rsid w:val="004573CA"/>
    <w:rsid w:val="00460F52"/>
    <w:rsid w:val="004612AC"/>
    <w:rsid w:val="004636DD"/>
    <w:rsid w:val="0046561A"/>
    <w:rsid w:val="00466411"/>
    <w:rsid w:val="00466ED2"/>
    <w:rsid w:val="00467633"/>
    <w:rsid w:val="00470715"/>
    <w:rsid w:val="0047477E"/>
    <w:rsid w:val="00475EA0"/>
    <w:rsid w:val="0048179D"/>
    <w:rsid w:val="004852B9"/>
    <w:rsid w:val="00487713"/>
    <w:rsid w:val="004929EC"/>
    <w:rsid w:val="00492F63"/>
    <w:rsid w:val="004944AE"/>
    <w:rsid w:val="00497AC3"/>
    <w:rsid w:val="004A0FFD"/>
    <w:rsid w:val="004A1267"/>
    <w:rsid w:val="004A179B"/>
    <w:rsid w:val="004A1FD2"/>
    <w:rsid w:val="004A249E"/>
    <w:rsid w:val="004A2A84"/>
    <w:rsid w:val="004A35A1"/>
    <w:rsid w:val="004A44FC"/>
    <w:rsid w:val="004A639A"/>
    <w:rsid w:val="004A6B06"/>
    <w:rsid w:val="004A6C42"/>
    <w:rsid w:val="004A6C7C"/>
    <w:rsid w:val="004A6D21"/>
    <w:rsid w:val="004A7617"/>
    <w:rsid w:val="004B11B9"/>
    <w:rsid w:val="004B2BA1"/>
    <w:rsid w:val="004B4400"/>
    <w:rsid w:val="004B4967"/>
    <w:rsid w:val="004C135F"/>
    <w:rsid w:val="004C14F9"/>
    <w:rsid w:val="004C1A71"/>
    <w:rsid w:val="004C2D08"/>
    <w:rsid w:val="004C4071"/>
    <w:rsid w:val="004C4ED2"/>
    <w:rsid w:val="004C6AD0"/>
    <w:rsid w:val="004C6B1C"/>
    <w:rsid w:val="004C73A1"/>
    <w:rsid w:val="004D0731"/>
    <w:rsid w:val="004D1F70"/>
    <w:rsid w:val="004D25B4"/>
    <w:rsid w:val="004D41B9"/>
    <w:rsid w:val="004D77F2"/>
    <w:rsid w:val="004D7891"/>
    <w:rsid w:val="004D78C8"/>
    <w:rsid w:val="004D7EFF"/>
    <w:rsid w:val="004E057E"/>
    <w:rsid w:val="004E13BE"/>
    <w:rsid w:val="004E7BE3"/>
    <w:rsid w:val="004E7CBE"/>
    <w:rsid w:val="004F0389"/>
    <w:rsid w:val="004F0A55"/>
    <w:rsid w:val="004F12EB"/>
    <w:rsid w:val="004F1642"/>
    <w:rsid w:val="004F1925"/>
    <w:rsid w:val="004F3B8E"/>
    <w:rsid w:val="004F57BE"/>
    <w:rsid w:val="004F5F84"/>
    <w:rsid w:val="005000CC"/>
    <w:rsid w:val="00500F44"/>
    <w:rsid w:val="00501E65"/>
    <w:rsid w:val="005022C4"/>
    <w:rsid w:val="0050339D"/>
    <w:rsid w:val="005049E1"/>
    <w:rsid w:val="00505812"/>
    <w:rsid w:val="00506D2C"/>
    <w:rsid w:val="005070E1"/>
    <w:rsid w:val="005077B4"/>
    <w:rsid w:val="00510302"/>
    <w:rsid w:val="0051173D"/>
    <w:rsid w:val="0051216D"/>
    <w:rsid w:val="0051269D"/>
    <w:rsid w:val="00513CA3"/>
    <w:rsid w:val="0051516E"/>
    <w:rsid w:val="00515F24"/>
    <w:rsid w:val="005169DB"/>
    <w:rsid w:val="00517D29"/>
    <w:rsid w:val="005205A4"/>
    <w:rsid w:val="00520AE3"/>
    <w:rsid w:val="0052641C"/>
    <w:rsid w:val="005270A2"/>
    <w:rsid w:val="005278AC"/>
    <w:rsid w:val="005300DA"/>
    <w:rsid w:val="00530EB5"/>
    <w:rsid w:val="005317EA"/>
    <w:rsid w:val="0053226E"/>
    <w:rsid w:val="00534312"/>
    <w:rsid w:val="00536822"/>
    <w:rsid w:val="00536A04"/>
    <w:rsid w:val="00537D73"/>
    <w:rsid w:val="00542F35"/>
    <w:rsid w:val="00543D4B"/>
    <w:rsid w:val="00544A7E"/>
    <w:rsid w:val="00545D0B"/>
    <w:rsid w:val="00545F4B"/>
    <w:rsid w:val="005460AA"/>
    <w:rsid w:val="00547B08"/>
    <w:rsid w:val="00547B2D"/>
    <w:rsid w:val="005506E1"/>
    <w:rsid w:val="00552187"/>
    <w:rsid w:val="00553D07"/>
    <w:rsid w:val="00554B62"/>
    <w:rsid w:val="005551CA"/>
    <w:rsid w:val="0055602B"/>
    <w:rsid w:val="0055712A"/>
    <w:rsid w:val="00557C6B"/>
    <w:rsid w:val="00564E5B"/>
    <w:rsid w:val="005652B0"/>
    <w:rsid w:val="005709F3"/>
    <w:rsid w:val="00571EEF"/>
    <w:rsid w:val="00572BA0"/>
    <w:rsid w:val="00573941"/>
    <w:rsid w:val="005748F9"/>
    <w:rsid w:val="00575E50"/>
    <w:rsid w:val="00577177"/>
    <w:rsid w:val="00577574"/>
    <w:rsid w:val="00580F37"/>
    <w:rsid w:val="0058157B"/>
    <w:rsid w:val="00582FD9"/>
    <w:rsid w:val="005863D5"/>
    <w:rsid w:val="005870AE"/>
    <w:rsid w:val="0058733C"/>
    <w:rsid w:val="005906F0"/>
    <w:rsid w:val="005927E7"/>
    <w:rsid w:val="005932DB"/>
    <w:rsid w:val="00593790"/>
    <w:rsid w:val="005953CD"/>
    <w:rsid w:val="0059715D"/>
    <w:rsid w:val="00597378"/>
    <w:rsid w:val="005A1CB7"/>
    <w:rsid w:val="005A2E33"/>
    <w:rsid w:val="005A2E8E"/>
    <w:rsid w:val="005A3F55"/>
    <w:rsid w:val="005A4789"/>
    <w:rsid w:val="005A4876"/>
    <w:rsid w:val="005A49F8"/>
    <w:rsid w:val="005B0698"/>
    <w:rsid w:val="005B130B"/>
    <w:rsid w:val="005B1624"/>
    <w:rsid w:val="005B3591"/>
    <w:rsid w:val="005B383A"/>
    <w:rsid w:val="005B3FDD"/>
    <w:rsid w:val="005B4D6F"/>
    <w:rsid w:val="005B5944"/>
    <w:rsid w:val="005B5B5D"/>
    <w:rsid w:val="005B6394"/>
    <w:rsid w:val="005B7A82"/>
    <w:rsid w:val="005C002B"/>
    <w:rsid w:val="005C0182"/>
    <w:rsid w:val="005C08AC"/>
    <w:rsid w:val="005C0C28"/>
    <w:rsid w:val="005C13ED"/>
    <w:rsid w:val="005C16BD"/>
    <w:rsid w:val="005C5A18"/>
    <w:rsid w:val="005C639B"/>
    <w:rsid w:val="005C6AA8"/>
    <w:rsid w:val="005C74CB"/>
    <w:rsid w:val="005D0E8E"/>
    <w:rsid w:val="005D188B"/>
    <w:rsid w:val="005D1C10"/>
    <w:rsid w:val="005D2267"/>
    <w:rsid w:val="005D3A7B"/>
    <w:rsid w:val="005D3C5F"/>
    <w:rsid w:val="005D618D"/>
    <w:rsid w:val="005D63F5"/>
    <w:rsid w:val="005D7544"/>
    <w:rsid w:val="005D7770"/>
    <w:rsid w:val="005E1A36"/>
    <w:rsid w:val="005E2C0E"/>
    <w:rsid w:val="005E4556"/>
    <w:rsid w:val="005E4CA5"/>
    <w:rsid w:val="005E59B6"/>
    <w:rsid w:val="005E7B32"/>
    <w:rsid w:val="005F01E2"/>
    <w:rsid w:val="005F089A"/>
    <w:rsid w:val="005F15AC"/>
    <w:rsid w:val="005F17E1"/>
    <w:rsid w:val="005F1E7B"/>
    <w:rsid w:val="005F1EF8"/>
    <w:rsid w:val="005F32B9"/>
    <w:rsid w:val="005F5069"/>
    <w:rsid w:val="005F5A22"/>
    <w:rsid w:val="005F5B33"/>
    <w:rsid w:val="005F5E01"/>
    <w:rsid w:val="005F5F1F"/>
    <w:rsid w:val="0060010D"/>
    <w:rsid w:val="006004F5"/>
    <w:rsid w:val="006011B4"/>
    <w:rsid w:val="006029B1"/>
    <w:rsid w:val="006038BC"/>
    <w:rsid w:val="00612CAC"/>
    <w:rsid w:val="00612E55"/>
    <w:rsid w:val="0061394B"/>
    <w:rsid w:val="0061452F"/>
    <w:rsid w:val="006168CE"/>
    <w:rsid w:val="00616919"/>
    <w:rsid w:val="006171CE"/>
    <w:rsid w:val="00617969"/>
    <w:rsid w:val="006204E2"/>
    <w:rsid w:val="00622289"/>
    <w:rsid w:val="00625107"/>
    <w:rsid w:val="00625733"/>
    <w:rsid w:val="0062707E"/>
    <w:rsid w:val="006279D2"/>
    <w:rsid w:val="00630CD2"/>
    <w:rsid w:val="00632213"/>
    <w:rsid w:val="006335C1"/>
    <w:rsid w:val="0063436D"/>
    <w:rsid w:val="00637CB6"/>
    <w:rsid w:val="00640A1C"/>
    <w:rsid w:val="006420CC"/>
    <w:rsid w:val="0064321F"/>
    <w:rsid w:val="00643A6D"/>
    <w:rsid w:val="00643B82"/>
    <w:rsid w:val="00651D52"/>
    <w:rsid w:val="00651E38"/>
    <w:rsid w:val="00651F11"/>
    <w:rsid w:val="00652085"/>
    <w:rsid w:val="006532E1"/>
    <w:rsid w:val="00653CFA"/>
    <w:rsid w:val="00655BFC"/>
    <w:rsid w:val="0066017C"/>
    <w:rsid w:val="00660918"/>
    <w:rsid w:val="00660F5E"/>
    <w:rsid w:val="0066206E"/>
    <w:rsid w:val="00663EE5"/>
    <w:rsid w:val="00664B7A"/>
    <w:rsid w:val="00664C3F"/>
    <w:rsid w:val="00665E3C"/>
    <w:rsid w:val="0066786E"/>
    <w:rsid w:val="00667C78"/>
    <w:rsid w:val="00670133"/>
    <w:rsid w:val="00670B7E"/>
    <w:rsid w:val="00670DB0"/>
    <w:rsid w:val="00671631"/>
    <w:rsid w:val="00672CFF"/>
    <w:rsid w:val="00672DBD"/>
    <w:rsid w:val="006752CE"/>
    <w:rsid w:val="006767AD"/>
    <w:rsid w:val="00676804"/>
    <w:rsid w:val="0068047E"/>
    <w:rsid w:val="00680AFF"/>
    <w:rsid w:val="00682E55"/>
    <w:rsid w:val="00682F84"/>
    <w:rsid w:val="00682FB0"/>
    <w:rsid w:val="00683623"/>
    <w:rsid w:val="00683C0C"/>
    <w:rsid w:val="00684011"/>
    <w:rsid w:val="00684DBE"/>
    <w:rsid w:val="00685324"/>
    <w:rsid w:val="00685E31"/>
    <w:rsid w:val="0069088E"/>
    <w:rsid w:val="006918CB"/>
    <w:rsid w:val="00693F50"/>
    <w:rsid w:val="00695065"/>
    <w:rsid w:val="006971EB"/>
    <w:rsid w:val="006A0BE9"/>
    <w:rsid w:val="006A1384"/>
    <w:rsid w:val="006A2A3D"/>
    <w:rsid w:val="006A3294"/>
    <w:rsid w:val="006A3E3F"/>
    <w:rsid w:val="006A4513"/>
    <w:rsid w:val="006A4882"/>
    <w:rsid w:val="006A55C3"/>
    <w:rsid w:val="006A6268"/>
    <w:rsid w:val="006A6797"/>
    <w:rsid w:val="006A6D07"/>
    <w:rsid w:val="006B0221"/>
    <w:rsid w:val="006B3108"/>
    <w:rsid w:val="006B4967"/>
    <w:rsid w:val="006B5150"/>
    <w:rsid w:val="006B657A"/>
    <w:rsid w:val="006B6D66"/>
    <w:rsid w:val="006B7A6C"/>
    <w:rsid w:val="006C2533"/>
    <w:rsid w:val="006C3634"/>
    <w:rsid w:val="006C46DC"/>
    <w:rsid w:val="006C5208"/>
    <w:rsid w:val="006C5453"/>
    <w:rsid w:val="006C5ECB"/>
    <w:rsid w:val="006C6386"/>
    <w:rsid w:val="006C7158"/>
    <w:rsid w:val="006D01D7"/>
    <w:rsid w:val="006D02C1"/>
    <w:rsid w:val="006D1C42"/>
    <w:rsid w:val="006D257E"/>
    <w:rsid w:val="006D41F8"/>
    <w:rsid w:val="006D4969"/>
    <w:rsid w:val="006D4AD3"/>
    <w:rsid w:val="006D4DF1"/>
    <w:rsid w:val="006D528C"/>
    <w:rsid w:val="006D5AEF"/>
    <w:rsid w:val="006D5B86"/>
    <w:rsid w:val="006E1C76"/>
    <w:rsid w:val="006E3C1E"/>
    <w:rsid w:val="006E3C86"/>
    <w:rsid w:val="006E3E3B"/>
    <w:rsid w:val="006E4072"/>
    <w:rsid w:val="006E41B3"/>
    <w:rsid w:val="006E4471"/>
    <w:rsid w:val="006E6BC3"/>
    <w:rsid w:val="006E7689"/>
    <w:rsid w:val="006F191D"/>
    <w:rsid w:val="006F3348"/>
    <w:rsid w:val="006F380A"/>
    <w:rsid w:val="006F3D54"/>
    <w:rsid w:val="006F4E63"/>
    <w:rsid w:val="006F57E4"/>
    <w:rsid w:val="00700D2B"/>
    <w:rsid w:val="00701C93"/>
    <w:rsid w:val="007057E7"/>
    <w:rsid w:val="00705C57"/>
    <w:rsid w:val="0070719C"/>
    <w:rsid w:val="007107ED"/>
    <w:rsid w:val="00712B93"/>
    <w:rsid w:val="0072049A"/>
    <w:rsid w:val="00722404"/>
    <w:rsid w:val="007225C6"/>
    <w:rsid w:val="00722D79"/>
    <w:rsid w:val="007242B8"/>
    <w:rsid w:val="007250BB"/>
    <w:rsid w:val="007251B4"/>
    <w:rsid w:val="007255F1"/>
    <w:rsid w:val="007266CA"/>
    <w:rsid w:val="00726860"/>
    <w:rsid w:val="00734A65"/>
    <w:rsid w:val="007360DB"/>
    <w:rsid w:val="00736D39"/>
    <w:rsid w:val="00736E67"/>
    <w:rsid w:val="00740049"/>
    <w:rsid w:val="00740437"/>
    <w:rsid w:val="00742133"/>
    <w:rsid w:val="007427C4"/>
    <w:rsid w:val="007434A3"/>
    <w:rsid w:val="00744153"/>
    <w:rsid w:val="007468D8"/>
    <w:rsid w:val="0074691A"/>
    <w:rsid w:val="00746F9D"/>
    <w:rsid w:val="007526C3"/>
    <w:rsid w:val="007534CF"/>
    <w:rsid w:val="007546C9"/>
    <w:rsid w:val="00755943"/>
    <w:rsid w:val="0075683C"/>
    <w:rsid w:val="0075725B"/>
    <w:rsid w:val="00757E4E"/>
    <w:rsid w:val="00760AC6"/>
    <w:rsid w:val="0076276E"/>
    <w:rsid w:val="00762C57"/>
    <w:rsid w:val="0076674A"/>
    <w:rsid w:val="007670C6"/>
    <w:rsid w:val="00771626"/>
    <w:rsid w:val="0077176F"/>
    <w:rsid w:val="00771BB7"/>
    <w:rsid w:val="007721E5"/>
    <w:rsid w:val="00773017"/>
    <w:rsid w:val="00775CFF"/>
    <w:rsid w:val="0077787D"/>
    <w:rsid w:val="00780DBB"/>
    <w:rsid w:val="007814CF"/>
    <w:rsid w:val="00781B91"/>
    <w:rsid w:val="00782C6C"/>
    <w:rsid w:val="0078382B"/>
    <w:rsid w:val="0078393C"/>
    <w:rsid w:val="00783D60"/>
    <w:rsid w:val="00783E7B"/>
    <w:rsid w:val="00784903"/>
    <w:rsid w:val="007858F3"/>
    <w:rsid w:val="00787896"/>
    <w:rsid w:val="007878D0"/>
    <w:rsid w:val="007909B5"/>
    <w:rsid w:val="00791A38"/>
    <w:rsid w:val="00791DC2"/>
    <w:rsid w:val="00792AD3"/>
    <w:rsid w:val="00792AEE"/>
    <w:rsid w:val="00793A02"/>
    <w:rsid w:val="007944FA"/>
    <w:rsid w:val="00795C2B"/>
    <w:rsid w:val="00796148"/>
    <w:rsid w:val="00796E61"/>
    <w:rsid w:val="007979E4"/>
    <w:rsid w:val="007A2179"/>
    <w:rsid w:val="007A2939"/>
    <w:rsid w:val="007A3EA9"/>
    <w:rsid w:val="007A412C"/>
    <w:rsid w:val="007A5E25"/>
    <w:rsid w:val="007A5ED6"/>
    <w:rsid w:val="007A6759"/>
    <w:rsid w:val="007A679A"/>
    <w:rsid w:val="007A7725"/>
    <w:rsid w:val="007B2C01"/>
    <w:rsid w:val="007B5B77"/>
    <w:rsid w:val="007B60D1"/>
    <w:rsid w:val="007B65D8"/>
    <w:rsid w:val="007B72C4"/>
    <w:rsid w:val="007C0CF8"/>
    <w:rsid w:val="007C5562"/>
    <w:rsid w:val="007C6193"/>
    <w:rsid w:val="007C623C"/>
    <w:rsid w:val="007C63E6"/>
    <w:rsid w:val="007D41B5"/>
    <w:rsid w:val="007D466E"/>
    <w:rsid w:val="007D5409"/>
    <w:rsid w:val="007D5510"/>
    <w:rsid w:val="007D5936"/>
    <w:rsid w:val="007D786C"/>
    <w:rsid w:val="007D7B41"/>
    <w:rsid w:val="007E39BC"/>
    <w:rsid w:val="007E437F"/>
    <w:rsid w:val="007E4E65"/>
    <w:rsid w:val="007E53C0"/>
    <w:rsid w:val="007E6373"/>
    <w:rsid w:val="007E70ED"/>
    <w:rsid w:val="007E7D92"/>
    <w:rsid w:val="007E7EE1"/>
    <w:rsid w:val="007F149F"/>
    <w:rsid w:val="007F41FE"/>
    <w:rsid w:val="007F6C14"/>
    <w:rsid w:val="007F6FE8"/>
    <w:rsid w:val="007F7044"/>
    <w:rsid w:val="0080257B"/>
    <w:rsid w:val="00802BC2"/>
    <w:rsid w:val="0080389A"/>
    <w:rsid w:val="00805469"/>
    <w:rsid w:val="0080579B"/>
    <w:rsid w:val="0080650D"/>
    <w:rsid w:val="00807943"/>
    <w:rsid w:val="00807A17"/>
    <w:rsid w:val="00811B76"/>
    <w:rsid w:val="00811FD3"/>
    <w:rsid w:val="0081394C"/>
    <w:rsid w:val="00817085"/>
    <w:rsid w:val="00817ED3"/>
    <w:rsid w:val="00817F56"/>
    <w:rsid w:val="00821A6E"/>
    <w:rsid w:val="00823C98"/>
    <w:rsid w:val="00823CA2"/>
    <w:rsid w:val="00824EF0"/>
    <w:rsid w:val="00827EB5"/>
    <w:rsid w:val="008300A7"/>
    <w:rsid w:val="00830B01"/>
    <w:rsid w:val="00830DAF"/>
    <w:rsid w:val="008324DD"/>
    <w:rsid w:val="00833613"/>
    <w:rsid w:val="00833ADA"/>
    <w:rsid w:val="00840185"/>
    <w:rsid w:val="0084150A"/>
    <w:rsid w:val="0084198B"/>
    <w:rsid w:val="008425CF"/>
    <w:rsid w:val="00842A44"/>
    <w:rsid w:val="008437F8"/>
    <w:rsid w:val="00844641"/>
    <w:rsid w:val="00844DD2"/>
    <w:rsid w:val="0084502B"/>
    <w:rsid w:val="00845117"/>
    <w:rsid w:val="0084533B"/>
    <w:rsid w:val="008454B9"/>
    <w:rsid w:val="008464D6"/>
    <w:rsid w:val="008478CE"/>
    <w:rsid w:val="008521DC"/>
    <w:rsid w:val="00852645"/>
    <w:rsid w:val="008535F3"/>
    <w:rsid w:val="00854192"/>
    <w:rsid w:val="008552E2"/>
    <w:rsid w:val="00863199"/>
    <w:rsid w:val="00864CE1"/>
    <w:rsid w:val="00865FA4"/>
    <w:rsid w:val="00867F51"/>
    <w:rsid w:val="00870A06"/>
    <w:rsid w:val="00872DFF"/>
    <w:rsid w:val="008738DD"/>
    <w:rsid w:val="00874BD4"/>
    <w:rsid w:val="008752B7"/>
    <w:rsid w:val="008754D2"/>
    <w:rsid w:val="00875F83"/>
    <w:rsid w:val="00876360"/>
    <w:rsid w:val="00876C2F"/>
    <w:rsid w:val="00877671"/>
    <w:rsid w:val="008812CF"/>
    <w:rsid w:val="00882709"/>
    <w:rsid w:val="00882930"/>
    <w:rsid w:val="00885853"/>
    <w:rsid w:val="00886323"/>
    <w:rsid w:val="00887803"/>
    <w:rsid w:val="00890D18"/>
    <w:rsid w:val="0089328A"/>
    <w:rsid w:val="008941A1"/>
    <w:rsid w:val="008953AE"/>
    <w:rsid w:val="00895E30"/>
    <w:rsid w:val="00895E91"/>
    <w:rsid w:val="00896042"/>
    <w:rsid w:val="00896B34"/>
    <w:rsid w:val="008A06A4"/>
    <w:rsid w:val="008A2440"/>
    <w:rsid w:val="008A3243"/>
    <w:rsid w:val="008A3CB0"/>
    <w:rsid w:val="008A5540"/>
    <w:rsid w:val="008A7741"/>
    <w:rsid w:val="008A77B2"/>
    <w:rsid w:val="008B2097"/>
    <w:rsid w:val="008B3513"/>
    <w:rsid w:val="008B506A"/>
    <w:rsid w:val="008B5E86"/>
    <w:rsid w:val="008B7B51"/>
    <w:rsid w:val="008C0AB2"/>
    <w:rsid w:val="008C13F4"/>
    <w:rsid w:val="008C1535"/>
    <w:rsid w:val="008C17D9"/>
    <w:rsid w:val="008C2C2F"/>
    <w:rsid w:val="008C591F"/>
    <w:rsid w:val="008C5CB0"/>
    <w:rsid w:val="008D0016"/>
    <w:rsid w:val="008D145E"/>
    <w:rsid w:val="008D221A"/>
    <w:rsid w:val="008D3EF7"/>
    <w:rsid w:val="008D4268"/>
    <w:rsid w:val="008D5A0A"/>
    <w:rsid w:val="008D5A40"/>
    <w:rsid w:val="008D5C45"/>
    <w:rsid w:val="008D66DB"/>
    <w:rsid w:val="008D68FD"/>
    <w:rsid w:val="008D7203"/>
    <w:rsid w:val="008D733E"/>
    <w:rsid w:val="008D77CD"/>
    <w:rsid w:val="008D7E89"/>
    <w:rsid w:val="008E08FF"/>
    <w:rsid w:val="008E1CEA"/>
    <w:rsid w:val="008E2760"/>
    <w:rsid w:val="008E33AA"/>
    <w:rsid w:val="008E5C7F"/>
    <w:rsid w:val="008E6165"/>
    <w:rsid w:val="008E6377"/>
    <w:rsid w:val="008E6E18"/>
    <w:rsid w:val="008E7D79"/>
    <w:rsid w:val="008F1EA6"/>
    <w:rsid w:val="008F211E"/>
    <w:rsid w:val="008F3024"/>
    <w:rsid w:val="008F3363"/>
    <w:rsid w:val="008F4EEB"/>
    <w:rsid w:val="008F570D"/>
    <w:rsid w:val="008F6315"/>
    <w:rsid w:val="00900A29"/>
    <w:rsid w:val="00901F46"/>
    <w:rsid w:val="009020DE"/>
    <w:rsid w:val="00902EC1"/>
    <w:rsid w:val="009043B0"/>
    <w:rsid w:val="009050CE"/>
    <w:rsid w:val="00905CCE"/>
    <w:rsid w:val="009062FF"/>
    <w:rsid w:val="00906874"/>
    <w:rsid w:val="009075F4"/>
    <w:rsid w:val="0091003A"/>
    <w:rsid w:val="009100BC"/>
    <w:rsid w:val="009107BC"/>
    <w:rsid w:val="00910BCF"/>
    <w:rsid w:val="00913990"/>
    <w:rsid w:val="0091499F"/>
    <w:rsid w:val="009153E9"/>
    <w:rsid w:val="009164E2"/>
    <w:rsid w:val="00917026"/>
    <w:rsid w:val="009201FE"/>
    <w:rsid w:val="00924EA7"/>
    <w:rsid w:val="0092509B"/>
    <w:rsid w:val="00925669"/>
    <w:rsid w:val="009261B7"/>
    <w:rsid w:val="00926B13"/>
    <w:rsid w:val="0092736C"/>
    <w:rsid w:val="00927A92"/>
    <w:rsid w:val="00927B79"/>
    <w:rsid w:val="009301F8"/>
    <w:rsid w:val="009317F3"/>
    <w:rsid w:val="00931FE3"/>
    <w:rsid w:val="0093242A"/>
    <w:rsid w:val="00934CD6"/>
    <w:rsid w:val="00936FD6"/>
    <w:rsid w:val="00941CB7"/>
    <w:rsid w:val="00941CE7"/>
    <w:rsid w:val="00942D2A"/>
    <w:rsid w:val="00944310"/>
    <w:rsid w:val="00944DFA"/>
    <w:rsid w:val="00946007"/>
    <w:rsid w:val="00951518"/>
    <w:rsid w:val="009534AF"/>
    <w:rsid w:val="0095475D"/>
    <w:rsid w:val="00954FA4"/>
    <w:rsid w:val="0095666C"/>
    <w:rsid w:val="00961A53"/>
    <w:rsid w:val="0096269F"/>
    <w:rsid w:val="009626A6"/>
    <w:rsid w:val="0096432E"/>
    <w:rsid w:val="00964783"/>
    <w:rsid w:val="00965F97"/>
    <w:rsid w:val="009666BB"/>
    <w:rsid w:val="00967E51"/>
    <w:rsid w:val="00967EDF"/>
    <w:rsid w:val="009700D4"/>
    <w:rsid w:val="0097118F"/>
    <w:rsid w:val="00971B0F"/>
    <w:rsid w:val="00972162"/>
    <w:rsid w:val="009762B7"/>
    <w:rsid w:val="0097722D"/>
    <w:rsid w:val="009778F9"/>
    <w:rsid w:val="00980018"/>
    <w:rsid w:val="009804BB"/>
    <w:rsid w:val="00982E7E"/>
    <w:rsid w:val="009837CA"/>
    <w:rsid w:val="00983E1B"/>
    <w:rsid w:val="009840FB"/>
    <w:rsid w:val="00984346"/>
    <w:rsid w:val="00985671"/>
    <w:rsid w:val="00986421"/>
    <w:rsid w:val="0098658D"/>
    <w:rsid w:val="00986E23"/>
    <w:rsid w:val="009874A1"/>
    <w:rsid w:val="009877F9"/>
    <w:rsid w:val="009879BC"/>
    <w:rsid w:val="00990DE8"/>
    <w:rsid w:val="00991903"/>
    <w:rsid w:val="009935C1"/>
    <w:rsid w:val="00994A3C"/>
    <w:rsid w:val="00994B95"/>
    <w:rsid w:val="00997494"/>
    <w:rsid w:val="00997A42"/>
    <w:rsid w:val="009A1AD7"/>
    <w:rsid w:val="009A25A6"/>
    <w:rsid w:val="009A319A"/>
    <w:rsid w:val="009A387A"/>
    <w:rsid w:val="009A4249"/>
    <w:rsid w:val="009A6617"/>
    <w:rsid w:val="009B23C7"/>
    <w:rsid w:val="009B408B"/>
    <w:rsid w:val="009B677F"/>
    <w:rsid w:val="009C00D1"/>
    <w:rsid w:val="009C10A5"/>
    <w:rsid w:val="009C1AE8"/>
    <w:rsid w:val="009C2A4C"/>
    <w:rsid w:val="009C2E9F"/>
    <w:rsid w:val="009C3321"/>
    <w:rsid w:val="009C38DB"/>
    <w:rsid w:val="009C51EF"/>
    <w:rsid w:val="009C5582"/>
    <w:rsid w:val="009C60BA"/>
    <w:rsid w:val="009D061B"/>
    <w:rsid w:val="009D0731"/>
    <w:rsid w:val="009D1E46"/>
    <w:rsid w:val="009D2DE4"/>
    <w:rsid w:val="009D51D1"/>
    <w:rsid w:val="009D5F20"/>
    <w:rsid w:val="009D77A9"/>
    <w:rsid w:val="009E0C79"/>
    <w:rsid w:val="009E0D9D"/>
    <w:rsid w:val="009E0F8D"/>
    <w:rsid w:val="009E3643"/>
    <w:rsid w:val="009E3CED"/>
    <w:rsid w:val="009E4A6C"/>
    <w:rsid w:val="009E555C"/>
    <w:rsid w:val="009E675B"/>
    <w:rsid w:val="009F25E3"/>
    <w:rsid w:val="009F2C92"/>
    <w:rsid w:val="009F32CD"/>
    <w:rsid w:val="009F3853"/>
    <w:rsid w:val="009F3D78"/>
    <w:rsid w:val="009F4787"/>
    <w:rsid w:val="009F53A6"/>
    <w:rsid w:val="009F7222"/>
    <w:rsid w:val="009F764E"/>
    <w:rsid w:val="00A00066"/>
    <w:rsid w:val="00A017C3"/>
    <w:rsid w:val="00A01A01"/>
    <w:rsid w:val="00A034E6"/>
    <w:rsid w:val="00A0364D"/>
    <w:rsid w:val="00A046E4"/>
    <w:rsid w:val="00A04F99"/>
    <w:rsid w:val="00A05C1C"/>
    <w:rsid w:val="00A06198"/>
    <w:rsid w:val="00A06479"/>
    <w:rsid w:val="00A07527"/>
    <w:rsid w:val="00A1048D"/>
    <w:rsid w:val="00A10AED"/>
    <w:rsid w:val="00A1305C"/>
    <w:rsid w:val="00A1463E"/>
    <w:rsid w:val="00A1588A"/>
    <w:rsid w:val="00A15D6E"/>
    <w:rsid w:val="00A16402"/>
    <w:rsid w:val="00A169EF"/>
    <w:rsid w:val="00A17157"/>
    <w:rsid w:val="00A17CD8"/>
    <w:rsid w:val="00A20053"/>
    <w:rsid w:val="00A21556"/>
    <w:rsid w:val="00A21D1D"/>
    <w:rsid w:val="00A2210F"/>
    <w:rsid w:val="00A22A50"/>
    <w:rsid w:val="00A22D51"/>
    <w:rsid w:val="00A24A88"/>
    <w:rsid w:val="00A25B00"/>
    <w:rsid w:val="00A26738"/>
    <w:rsid w:val="00A27FE5"/>
    <w:rsid w:val="00A300E3"/>
    <w:rsid w:val="00A309BF"/>
    <w:rsid w:val="00A33C09"/>
    <w:rsid w:val="00A33D55"/>
    <w:rsid w:val="00A34D14"/>
    <w:rsid w:val="00A36C74"/>
    <w:rsid w:val="00A375D8"/>
    <w:rsid w:val="00A3768C"/>
    <w:rsid w:val="00A40072"/>
    <w:rsid w:val="00A40939"/>
    <w:rsid w:val="00A41CEA"/>
    <w:rsid w:val="00A4245E"/>
    <w:rsid w:val="00A4324F"/>
    <w:rsid w:val="00A437EA"/>
    <w:rsid w:val="00A442A7"/>
    <w:rsid w:val="00A455BE"/>
    <w:rsid w:val="00A4584D"/>
    <w:rsid w:val="00A45D6B"/>
    <w:rsid w:val="00A45E68"/>
    <w:rsid w:val="00A45F3C"/>
    <w:rsid w:val="00A462C4"/>
    <w:rsid w:val="00A46714"/>
    <w:rsid w:val="00A475F1"/>
    <w:rsid w:val="00A5337E"/>
    <w:rsid w:val="00A53A94"/>
    <w:rsid w:val="00A54A71"/>
    <w:rsid w:val="00A55E0F"/>
    <w:rsid w:val="00A563DE"/>
    <w:rsid w:val="00A571AC"/>
    <w:rsid w:val="00A57B33"/>
    <w:rsid w:val="00A6011C"/>
    <w:rsid w:val="00A60B8C"/>
    <w:rsid w:val="00A60E3F"/>
    <w:rsid w:val="00A614DA"/>
    <w:rsid w:val="00A61F02"/>
    <w:rsid w:val="00A631C1"/>
    <w:rsid w:val="00A63EB7"/>
    <w:rsid w:val="00A64152"/>
    <w:rsid w:val="00A64702"/>
    <w:rsid w:val="00A6512F"/>
    <w:rsid w:val="00A655BB"/>
    <w:rsid w:val="00A65DF8"/>
    <w:rsid w:val="00A71EDC"/>
    <w:rsid w:val="00A742C9"/>
    <w:rsid w:val="00A744C3"/>
    <w:rsid w:val="00A74A6E"/>
    <w:rsid w:val="00A75F19"/>
    <w:rsid w:val="00A75FC2"/>
    <w:rsid w:val="00A76733"/>
    <w:rsid w:val="00A77679"/>
    <w:rsid w:val="00A77A9F"/>
    <w:rsid w:val="00A77E2B"/>
    <w:rsid w:val="00A80EB8"/>
    <w:rsid w:val="00A81AAE"/>
    <w:rsid w:val="00A82525"/>
    <w:rsid w:val="00A82C13"/>
    <w:rsid w:val="00A8437B"/>
    <w:rsid w:val="00A84472"/>
    <w:rsid w:val="00A8532B"/>
    <w:rsid w:val="00A85D11"/>
    <w:rsid w:val="00A874C6"/>
    <w:rsid w:val="00A8759D"/>
    <w:rsid w:val="00A9131E"/>
    <w:rsid w:val="00A914E9"/>
    <w:rsid w:val="00A91E2C"/>
    <w:rsid w:val="00A92586"/>
    <w:rsid w:val="00A95240"/>
    <w:rsid w:val="00A95E1F"/>
    <w:rsid w:val="00A96083"/>
    <w:rsid w:val="00A96592"/>
    <w:rsid w:val="00AA1658"/>
    <w:rsid w:val="00AA247A"/>
    <w:rsid w:val="00AA4AC6"/>
    <w:rsid w:val="00AA5E63"/>
    <w:rsid w:val="00AA60E9"/>
    <w:rsid w:val="00AA689C"/>
    <w:rsid w:val="00AA6F54"/>
    <w:rsid w:val="00AB01EF"/>
    <w:rsid w:val="00AB0D42"/>
    <w:rsid w:val="00AC0167"/>
    <w:rsid w:val="00AC0185"/>
    <w:rsid w:val="00AC0556"/>
    <w:rsid w:val="00AC0B44"/>
    <w:rsid w:val="00AC24FA"/>
    <w:rsid w:val="00AC3315"/>
    <w:rsid w:val="00AC3E46"/>
    <w:rsid w:val="00AC6108"/>
    <w:rsid w:val="00AC661E"/>
    <w:rsid w:val="00AC701D"/>
    <w:rsid w:val="00AC79AF"/>
    <w:rsid w:val="00AD12BB"/>
    <w:rsid w:val="00AD19EA"/>
    <w:rsid w:val="00AD3E6E"/>
    <w:rsid w:val="00AD5906"/>
    <w:rsid w:val="00AD5A4E"/>
    <w:rsid w:val="00AD60A8"/>
    <w:rsid w:val="00AD6B70"/>
    <w:rsid w:val="00AD72D1"/>
    <w:rsid w:val="00AD736C"/>
    <w:rsid w:val="00AE19A2"/>
    <w:rsid w:val="00AE239A"/>
    <w:rsid w:val="00AE2A42"/>
    <w:rsid w:val="00AE2DE7"/>
    <w:rsid w:val="00AE35D6"/>
    <w:rsid w:val="00AE40D9"/>
    <w:rsid w:val="00AE6C32"/>
    <w:rsid w:val="00AE6DFC"/>
    <w:rsid w:val="00AF1041"/>
    <w:rsid w:val="00AF4678"/>
    <w:rsid w:val="00AF4CC3"/>
    <w:rsid w:val="00AF5402"/>
    <w:rsid w:val="00AF581D"/>
    <w:rsid w:val="00AF64E3"/>
    <w:rsid w:val="00B0202D"/>
    <w:rsid w:val="00B049F7"/>
    <w:rsid w:val="00B04F40"/>
    <w:rsid w:val="00B06194"/>
    <w:rsid w:val="00B10771"/>
    <w:rsid w:val="00B132FA"/>
    <w:rsid w:val="00B14212"/>
    <w:rsid w:val="00B1695D"/>
    <w:rsid w:val="00B22620"/>
    <w:rsid w:val="00B256D0"/>
    <w:rsid w:val="00B25822"/>
    <w:rsid w:val="00B25A2C"/>
    <w:rsid w:val="00B25B6B"/>
    <w:rsid w:val="00B2623E"/>
    <w:rsid w:val="00B2696B"/>
    <w:rsid w:val="00B27023"/>
    <w:rsid w:val="00B27420"/>
    <w:rsid w:val="00B2793E"/>
    <w:rsid w:val="00B306B0"/>
    <w:rsid w:val="00B31E3F"/>
    <w:rsid w:val="00B344F3"/>
    <w:rsid w:val="00B34C72"/>
    <w:rsid w:val="00B36A63"/>
    <w:rsid w:val="00B37086"/>
    <w:rsid w:val="00B373BB"/>
    <w:rsid w:val="00B37A83"/>
    <w:rsid w:val="00B400CB"/>
    <w:rsid w:val="00B40178"/>
    <w:rsid w:val="00B42D79"/>
    <w:rsid w:val="00B434FB"/>
    <w:rsid w:val="00B446F2"/>
    <w:rsid w:val="00B47335"/>
    <w:rsid w:val="00B476FA"/>
    <w:rsid w:val="00B47E1F"/>
    <w:rsid w:val="00B500BA"/>
    <w:rsid w:val="00B53004"/>
    <w:rsid w:val="00B54A93"/>
    <w:rsid w:val="00B54F7A"/>
    <w:rsid w:val="00B55B9F"/>
    <w:rsid w:val="00B60265"/>
    <w:rsid w:val="00B61055"/>
    <w:rsid w:val="00B62035"/>
    <w:rsid w:val="00B62271"/>
    <w:rsid w:val="00B645AC"/>
    <w:rsid w:val="00B6510D"/>
    <w:rsid w:val="00B653E6"/>
    <w:rsid w:val="00B65C64"/>
    <w:rsid w:val="00B66298"/>
    <w:rsid w:val="00B663F6"/>
    <w:rsid w:val="00B66AA1"/>
    <w:rsid w:val="00B670DC"/>
    <w:rsid w:val="00B67D96"/>
    <w:rsid w:val="00B67DA0"/>
    <w:rsid w:val="00B67E6E"/>
    <w:rsid w:val="00B70B0D"/>
    <w:rsid w:val="00B70C0C"/>
    <w:rsid w:val="00B71DBB"/>
    <w:rsid w:val="00B760AD"/>
    <w:rsid w:val="00B80213"/>
    <w:rsid w:val="00B82897"/>
    <w:rsid w:val="00B833EE"/>
    <w:rsid w:val="00B855BD"/>
    <w:rsid w:val="00B900EC"/>
    <w:rsid w:val="00B90E5D"/>
    <w:rsid w:val="00B9294E"/>
    <w:rsid w:val="00B92A96"/>
    <w:rsid w:val="00B94D57"/>
    <w:rsid w:val="00B96B2A"/>
    <w:rsid w:val="00BA0C58"/>
    <w:rsid w:val="00BA0D0A"/>
    <w:rsid w:val="00BA20E3"/>
    <w:rsid w:val="00BA22A8"/>
    <w:rsid w:val="00BA2D92"/>
    <w:rsid w:val="00BA6378"/>
    <w:rsid w:val="00BA67C5"/>
    <w:rsid w:val="00BA7684"/>
    <w:rsid w:val="00BA7C64"/>
    <w:rsid w:val="00BB0164"/>
    <w:rsid w:val="00BB141E"/>
    <w:rsid w:val="00BB79FA"/>
    <w:rsid w:val="00BC0234"/>
    <w:rsid w:val="00BC0A20"/>
    <w:rsid w:val="00BC2E3F"/>
    <w:rsid w:val="00BC2F91"/>
    <w:rsid w:val="00BC3617"/>
    <w:rsid w:val="00BC370A"/>
    <w:rsid w:val="00BC38E2"/>
    <w:rsid w:val="00BC3E10"/>
    <w:rsid w:val="00BC5D0F"/>
    <w:rsid w:val="00BC5DD7"/>
    <w:rsid w:val="00BC69B8"/>
    <w:rsid w:val="00BC71A8"/>
    <w:rsid w:val="00BC763E"/>
    <w:rsid w:val="00BC77B3"/>
    <w:rsid w:val="00BC7EDC"/>
    <w:rsid w:val="00BD5155"/>
    <w:rsid w:val="00BD6AD8"/>
    <w:rsid w:val="00BE1242"/>
    <w:rsid w:val="00BE150C"/>
    <w:rsid w:val="00BE2659"/>
    <w:rsid w:val="00BE2929"/>
    <w:rsid w:val="00BE308F"/>
    <w:rsid w:val="00BE3C97"/>
    <w:rsid w:val="00BE4B68"/>
    <w:rsid w:val="00BE50E8"/>
    <w:rsid w:val="00BE5F94"/>
    <w:rsid w:val="00BE612B"/>
    <w:rsid w:val="00BE6558"/>
    <w:rsid w:val="00BE6588"/>
    <w:rsid w:val="00BE793B"/>
    <w:rsid w:val="00BE7AB3"/>
    <w:rsid w:val="00BF01B7"/>
    <w:rsid w:val="00BF286E"/>
    <w:rsid w:val="00BF618E"/>
    <w:rsid w:val="00BF72C2"/>
    <w:rsid w:val="00BF7B04"/>
    <w:rsid w:val="00C00311"/>
    <w:rsid w:val="00C0054A"/>
    <w:rsid w:val="00C02DD6"/>
    <w:rsid w:val="00C03085"/>
    <w:rsid w:val="00C048FC"/>
    <w:rsid w:val="00C05535"/>
    <w:rsid w:val="00C13469"/>
    <w:rsid w:val="00C134CE"/>
    <w:rsid w:val="00C13A8E"/>
    <w:rsid w:val="00C13CFE"/>
    <w:rsid w:val="00C155A5"/>
    <w:rsid w:val="00C16033"/>
    <w:rsid w:val="00C17B46"/>
    <w:rsid w:val="00C17DC0"/>
    <w:rsid w:val="00C208FA"/>
    <w:rsid w:val="00C22AB8"/>
    <w:rsid w:val="00C2785B"/>
    <w:rsid w:val="00C27976"/>
    <w:rsid w:val="00C317EC"/>
    <w:rsid w:val="00C3392C"/>
    <w:rsid w:val="00C35125"/>
    <w:rsid w:val="00C35CC4"/>
    <w:rsid w:val="00C35EDC"/>
    <w:rsid w:val="00C36066"/>
    <w:rsid w:val="00C3698D"/>
    <w:rsid w:val="00C36BB7"/>
    <w:rsid w:val="00C370C2"/>
    <w:rsid w:val="00C41450"/>
    <w:rsid w:val="00C41FDF"/>
    <w:rsid w:val="00C4347C"/>
    <w:rsid w:val="00C44FF6"/>
    <w:rsid w:val="00C451B1"/>
    <w:rsid w:val="00C45978"/>
    <w:rsid w:val="00C45ABD"/>
    <w:rsid w:val="00C5072D"/>
    <w:rsid w:val="00C5186E"/>
    <w:rsid w:val="00C51C09"/>
    <w:rsid w:val="00C5239D"/>
    <w:rsid w:val="00C52E4E"/>
    <w:rsid w:val="00C536C1"/>
    <w:rsid w:val="00C536DD"/>
    <w:rsid w:val="00C56964"/>
    <w:rsid w:val="00C60E21"/>
    <w:rsid w:val="00C61F2F"/>
    <w:rsid w:val="00C621FC"/>
    <w:rsid w:val="00C623D5"/>
    <w:rsid w:val="00C62B1D"/>
    <w:rsid w:val="00C6342B"/>
    <w:rsid w:val="00C64951"/>
    <w:rsid w:val="00C64EDE"/>
    <w:rsid w:val="00C650C6"/>
    <w:rsid w:val="00C65109"/>
    <w:rsid w:val="00C656E1"/>
    <w:rsid w:val="00C65C11"/>
    <w:rsid w:val="00C67158"/>
    <w:rsid w:val="00C67840"/>
    <w:rsid w:val="00C70359"/>
    <w:rsid w:val="00C70DB6"/>
    <w:rsid w:val="00C71270"/>
    <w:rsid w:val="00C740E8"/>
    <w:rsid w:val="00C746C6"/>
    <w:rsid w:val="00C7475D"/>
    <w:rsid w:val="00C7597B"/>
    <w:rsid w:val="00C75ED6"/>
    <w:rsid w:val="00C75FB2"/>
    <w:rsid w:val="00C81CD2"/>
    <w:rsid w:val="00C82581"/>
    <w:rsid w:val="00C86BFF"/>
    <w:rsid w:val="00C87503"/>
    <w:rsid w:val="00C87BE4"/>
    <w:rsid w:val="00C9040B"/>
    <w:rsid w:val="00C96909"/>
    <w:rsid w:val="00C96E99"/>
    <w:rsid w:val="00C97262"/>
    <w:rsid w:val="00C9742B"/>
    <w:rsid w:val="00C97AB2"/>
    <w:rsid w:val="00CA04D1"/>
    <w:rsid w:val="00CA0A0B"/>
    <w:rsid w:val="00CA4740"/>
    <w:rsid w:val="00CA4FD5"/>
    <w:rsid w:val="00CA5272"/>
    <w:rsid w:val="00CA5F48"/>
    <w:rsid w:val="00CA7302"/>
    <w:rsid w:val="00CA7312"/>
    <w:rsid w:val="00CA7B3B"/>
    <w:rsid w:val="00CB0335"/>
    <w:rsid w:val="00CB18E0"/>
    <w:rsid w:val="00CB35C8"/>
    <w:rsid w:val="00CB5CA4"/>
    <w:rsid w:val="00CB5D22"/>
    <w:rsid w:val="00CB6E3F"/>
    <w:rsid w:val="00CC3DAC"/>
    <w:rsid w:val="00CC42BA"/>
    <w:rsid w:val="00CC6495"/>
    <w:rsid w:val="00CC6CA5"/>
    <w:rsid w:val="00CC6F0B"/>
    <w:rsid w:val="00CD02ED"/>
    <w:rsid w:val="00CD206A"/>
    <w:rsid w:val="00CD2A42"/>
    <w:rsid w:val="00CD3666"/>
    <w:rsid w:val="00CD4008"/>
    <w:rsid w:val="00CD4CD6"/>
    <w:rsid w:val="00CD4D74"/>
    <w:rsid w:val="00CD5191"/>
    <w:rsid w:val="00CD62A8"/>
    <w:rsid w:val="00CD79A8"/>
    <w:rsid w:val="00CE1740"/>
    <w:rsid w:val="00CE2B1B"/>
    <w:rsid w:val="00CE378D"/>
    <w:rsid w:val="00CE3A9B"/>
    <w:rsid w:val="00CE4E7F"/>
    <w:rsid w:val="00CE5030"/>
    <w:rsid w:val="00CE5184"/>
    <w:rsid w:val="00CE6D94"/>
    <w:rsid w:val="00CE7612"/>
    <w:rsid w:val="00CE77F3"/>
    <w:rsid w:val="00CE7A34"/>
    <w:rsid w:val="00CE7FEC"/>
    <w:rsid w:val="00CF0902"/>
    <w:rsid w:val="00CF0C20"/>
    <w:rsid w:val="00CF3106"/>
    <w:rsid w:val="00CF46EB"/>
    <w:rsid w:val="00CF4BFA"/>
    <w:rsid w:val="00CF508A"/>
    <w:rsid w:val="00CF54B3"/>
    <w:rsid w:val="00CF65EB"/>
    <w:rsid w:val="00CF7379"/>
    <w:rsid w:val="00D029B1"/>
    <w:rsid w:val="00D043C8"/>
    <w:rsid w:val="00D07267"/>
    <w:rsid w:val="00D07ADF"/>
    <w:rsid w:val="00D10356"/>
    <w:rsid w:val="00D103D0"/>
    <w:rsid w:val="00D114D0"/>
    <w:rsid w:val="00D12699"/>
    <w:rsid w:val="00D129BC"/>
    <w:rsid w:val="00D15753"/>
    <w:rsid w:val="00D176E1"/>
    <w:rsid w:val="00D17823"/>
    <w:rsid w:val="00D21982"/>
    <w:rsid w:val="00D21D32"/>
    <w:rsid w:val="00D222CA"/>
    <w:rsid w:val="00D223B2"/>
    <w:rsid w:val="00D22E20"/>
    <w:rsid w:val="00D22E9A"/>
    <w:rsid w:val="00D23AB9"/>
    <w:rsid w:val="00D23BB2"/>
    <w:rsid w:val="00D266F1"/>
    <w:rsid w:val="00D26BAB"/>
    <w:rsid w:val="00D26CD8"/>
    <w:rsid w:val="00D2708C"/>
    <w:rsid w:val="00D27F9D"/>
    <w:rsid w:val="00D3124C"/>
    <w:rsid w:val="00D3130A"/>
    <w:rsid w:val="00D32E38"/>
    <w:rsid w:val="00D33257"/>
    <w:rsid w:val="00D33E44"/>
    <w:rsid w:val="00D34131"/>
    <w:rsid w:val="00D34588"/>
    <w:rsid w:val="00D349C7"/>
    <w:rsid w:val="00D34AEE"/>
    <w:rsid w:val="00D34EB3"/>
    <w:rsid w:val="00D36D44"/>
    <w:rsid w:val="00D3758B"/>
    <w:rsid w:val="00D37FF2"/>
    <w:rsid w:val="00D415CA"/>
    <w:rsid w:val="00D41D7C"/>
    <w:rsid w:val="00D41F61"/>
    <w:rsid w:val="00D436B0"/>
    <w:rsid w:val="00D4461D"/>
    <w:rsid w:val="00D462C9"/>
    <w:rsid w:val="00D46357"/>
    <w:rsid w:val="00D516CE"/>
    <w:rsid w:val="00D51998"/>
    <w:rsid w:val="00D52B5F"/>
    <w:rsid w:val="00D538CE"/>
    <w:rsid w:val="00D53B06"/>
    <w:rsid w:val="00D543B2"/>
    <w:rsid w:val="00D54400"/>
    <w:rsid w:val="00D5556F"/>
    <w:rsid w:val="00D55D1F"/>
    <w:rsid w:val="00D562AC"/>
    <w:rsid w:val="00D568E2"/>
    <w:rsid w:val="00D56DAD"/>
    <w:rsid w:val="00D6197B"/>
    <w:rsid w:val="00D61D12"/>
    <w:rsid w:val="00D634C7"/>
    <w:rsid w:val="00D63543"/>
    <w:rsid w:val="00D63B8A"/>
    <w:rsid w:val="00D63FE4"/>
    <w:rsid w:val="00D64454"/>
    <w:rsid w:val="00D646D7"/>
    <w:rsid w:val="00D65771"/>
    <w:rsid w:val="00D65CCB"/>
    <w:rsid w:val="00D70689"/>
    <w:rsid w:val="00D70D0B"/>
    <w:rsid w:val="00D751B6"/>
    <w:rsid w:val="00D82236"/>
    <w:rsid w:val="00D85AD5"/>
    <w:rsid w:val="00D9273F"/>
    <w:rsid w:val="00D928EB"/>
    <w:rsid w:val="00D95028"/>
    <w:rsid w:val="00D9513A"/>
    <w:rsid w:val="00D95809"/>
    <w:rsid w:val="00DA19B0"/>
    <w:rsid w:val="00DA2336"/>
    <w:rsid w:val="00DA2BFC"/>
    <w:rsid w:val="00DA3495"/>
    <w:rsid w:val="00DA4782"/>
    <w:rsid w:val="00DA4FC0"/>
    <w:rsid w:val="00DA6790"/>
    <w:rsid w:val="00DB0A62"/>
    <w:rsid w:val="00DB275D"/>
    <w:rsid w:val="00DB2D0E"/>
    <w:rsid w:val="00DB30E0"/>
    <w:rsid w:val="00DB3E16"/>
    <w:rsid w:val="00DB4825"/>
    <w:rsid w:val="00DB606D"/>
    <w:rsid w:val="00DB6B67"/>
    <w:rsid w:val="00DB74F4"/>
    <w:rsid w:val="00DB7C7B"/>
    <w:rsid w:val="00DC06DB"/>
    <w:rsid w:val="00DC1126"/>
    <w:rsid w:val="00DC2A51"/>
    <w:rsid w:val="00DC3855"/>
    <w:rsid w:val="00DC47CE"/>
    <w:rsid w:val="00DC6BF3"/>
    <w:rsid w:val="00DC785C"/>
    <w:rsid w:val="00DD3305"/>
    <w:rsid w:val="00DD566F"/>
    <w:rsid w:val="00DE00DF"/>
    <w:rsid w:val="00DE0F26"/>
    <w:rsid w:val="00DE1D4D"/>
    <w:rsid w:val="00DE24B9"/>
    <w:rsid w:val="00DE4D10"/>
    <w:rsid w:val="00DE4E99"/>
    <w:rsid w:val="00DE5066"/>
    <w:rsid w:val="00DE57FA"/>
    <w:rsid w:val="00DE5E92"/>
    <w:rsid w:val="00DE63DA"/>
    <w:rsid w:val="00DE71B6"/>
    <w:rsid w:val="00DE7346"/>
    <w:rsid w:val="00DF14D5"/>
    <w:rsid w:val="00DF5261"/>
    <w:rsid w:val="00DF655E"/>
    <w:rsid w:val="00DF6582"/>
    <w:rsid w:val="00DF687C"/>
    <w:rsid w:val="00E00400"/>
    <w:rsid w:val="00E00618"/>
    <w:rsid w:val="00E00AD1"/>
    <w:rsid w:val="00E01CD8"/>
    <w:rsid w:val="00E04293"/>
    <w:rsid w:val="00E04801"/>
    <w:rsid w:val="00E04A85"/>
    <w:rsid w:val="00E05577"/>
    <w:rsid w:val="00E057A6"/>
    <w:rsid w:val="00E06002"/>
    <w:rsid w:val="00E06703"/>
    <w:rsid w:val="00E074BE"/>
    <w:rsid w:val="00E0753A"/>
    <w:rsid w:val="00E07ABB"/>
    <w:rsid w:val="00E104C8"/>
    <w:rsid w:val="00E11AE7"/>
    <w:rsid w:val="00E123A5"/>
    <w:rsid w:val="00E13C5A"/>
    <w:rsid w:val="00E14353"/>
    <w:rsid w:val="00E14774"/>
    <w:rsid w:val="00E1565A"/>
    <w:rsid w:val="00E16120"/>
    <w:rsid w:val="00E16154"/>
    <w:rsid w:val="00E16E26"/>
    <w:rsid w:val="00E20920"/>
    <w:rsid w:val="00E210A5"/>
    <w:rsid w:val="00E21639"/>
    <w:rsid w:val="00E236E2"/>
    <w:rsid w:val="00E237D3"/>
    <w:rsid w:val="00E23A93"/>
    <w:rsid w:val="00E2575C"/>
    <w:rsid w:val="00E26793"/>
    <w:rsid w:val="00E27B4E"/>
    <w:rsid w:val="00E27C37"/>
    <w:rsid w:val="00E27E56"/>
    <w:rsid w:val="00E303EC"/>
    <w:rsid w:val="00E30532"/>
    <w:rsid w:val="00E30816"/>
    <w:rsid w:val="00E31272"/>
    <w:rsid w:val="00E31E01"/>
    <w:rsid w:val="00E323EA"/>
    <w:rsid w:val="00E324FE"/>
    <w:rsid w:val="00E32A60"/>
    <w:rsid w:val="00E32A8D"/>
    <w:rsid w:val="00E349A2"/>
    <w:rsid w:val="00E34B99"/>
    <w:rsid w:val="00E3632B"/>
    <w:rsid w:val="00E3636F"/>
    <w:rsid w:val="00E369C1"/>
    <w:rsid w:val="00E36E2D"/>
    <w:rsid w:val="00E37C3C"/>
    <w:rsid w:val="00E37DBB"/>
    <w:rsid w:val="00E4044C"/>
    <w:rsid w:val="00E40EC4"/>
    <w:rsid w:val="00E4134C"/>
    <w:rsid w:val="00E42412"/>
    <w:rsid w:val="00E425BC"/>
    <w:rsid w:val="00E4327B"/>
    <w:rsid w:val="00E43312"/>
    <w:rsid w:val="00E45E01"/>
    <w:rsid w:val="00E46A05"/>
    <w:rsid w:val="00E46ED1"/>
    <w:rsid w:val="00E47D5B"/>
    <w:rsid w:val="00E5048E"/>
    <w:rsid w:val="00E51538"/>
    <w:rsid w:val="00E533C5"/>
    <w:rsid w:val="00E53521"/>
    <w:rsid w:val="00E538DD"/>
    <w:rsid w:val="00E552DA"/>
    <w:rsid w:val="00E55683"/>
    <w:rsid w:val="00E57482"/>
    <w:rsid w:val="00E60CA0"/>
    <w:rsid w:val="00E62136"/>
    <w:rsid w:val="00E6269F"/>
    <w:rsid w:val="00E671A7"/>
    <w:rsid w:val="00E67FF1"/>
    <w:rsid w:val="00E7040E"/>
    <w:rsid w:val="00E71864"/>
    <w:rsid w:val="00E721E4"/>
    <w:rsid w:val="00E723C2"/>
    <w:rsid w:val="00E735CF"/>
    <w:rsid w:val="00E756B6"/>
    <w:rsid w:val="00E7586B"/>
    <w:rsid w:val="00E75ED6"/>
    <w:rsid w:val="00E7619E"/>
    <w:rsid w:val="00E77356"/>
    <w:rsid w:val="00E77367"/>
    <w:rsid w:val="00E77EA1"/>
    <w:rsid w:val="00E8029D"/>
    <w:rsid w:val="00E808CA"/>
    <w:rsid w:val="00E816F9"/>
    <w:rsid w:val="00E82657"/>
    <w:rsid w:val="00E83201"/>
    <w:rsid w:val="00E8340E"/>
    <w:rsid w:val="00E85FCE"/>
    <w:rsid w:val="00E8660A"/>
    <w:rsid w:val="00E86E0C"/>
    <w:rsid w:val="00E902B6"/>
    <w:rsid w:val="00E91B38"/>
    <w:rsid w:val="00E937C2"/>
    <w:rsid w:val="00E947B8"/>
    <w:rsid w:val="00E94E74"/>
    <w:rsid w:val="00E95C1F"/>
    <w:rsid w:val="00E96254"/>
    <w:rsid w:val="00E975B4"/>
    <w:rsid w:val="00EA25F6"/>
    <w:rsid w:val="00EA472F"/>
    <w:rsid w:val="00EA5DFA"/>
    <w:rsid w:val="00EA65E4"/>
    <w:rsid w:val="00EB13A0"/>
    <w:rsid w:val="00EB1B76"/>
    <w:rsid w:val="00EB2537"/>
    <w:rsid w:val="00EB2D0C"/>
    <w:rsid w:val="00EB405E"/>
    <w:rsid w:val="00EB4E6C"/>
    <w:rsid w:val="00EB72E8"/>
    <w:rsid w:val="00EC10DE"/>
    <w:rsid w:val="00EC1BD2"/>
    <w:rsid w:val="00EC1C4F"/>
    <w:rsid w:val="00EC3920"/>
    <w:rsid w:val="00EC3B74"/>
    <w:rsid w:val="00EC4DF4"/>
    <w:rsid w:val="00EC5DD2"/>
    <w:rsid w:val="00EC6D69"/>
    <w:rsid w:val="00EC7055"/>
    <w:rsid w:val="00EC789F"/>
    <w:rsid w:val="00EC7EAA"/>
    <w:rsid w:val="00ED001D"/>
    <w:rsid w:val="00ED0DA6"/>
    <w:rsid w:val="00ED0DEC"/>
    <w:rsid w:val="00ED1342"/>
    <w:rsid w:val="00ED2385"/>
    <w:rsid w:val="00ED3003"/>
    <w:rsid w:val="00ED3AD5"/>
    <w:rsid w:val="00ED3B80"/>
    <w:rsid w:val="00ED3CAF"/>
    <w:rsid w:val="00ED4B84"/>
    <w:rsid w:val="00ED5AE7"/>
    <w:rsid w:val="00ED65D4"/>
    <w:rsid w:val="00ED7972"/>
    <w:rsid w:val="00EE1D2F"/>
    <w:rsid w:val="00EE22C0"/>
    <w:rsid w:val="00EE3B65"/>
    <w:rsid w:val="00EE3DB7"/>
    <w:rsid w:val="00EE414F"/>
    <w:rsid w:val="00EE4A3D"/>
    <w:rsid w:val="00EE55E9"/>
    <w:rsid w:val="00EF065D"/>
    <w:rsid w:val="00EF1B48"/>
    <w:rsid w:val="00EF1DDC"/>
    <w:rsid w:val="00EF3AB7"/>
    <w:rsid w:val="00EF3DE3"/>
    <w:rsid w:val="00EF75B4"/>
    <w:rsid w:val="00EF793E"/>
    <w:rsid w:val="00F015B4"/>
    <w:rsid w:val="00F0224D"/>
    <w:rsid w:val="00F032C2"/>
    <w:rsid w:val="00F040CC"/>
    <w:rsid w:val="00F048DB"/>
    <w:rsid w:val="00F059B4"/>
    <w:rsid w:val="00F1025E"/>
    <w:rsid w:val="00F116FB"/>
    <w:rsid w:val="00F11A98"/>
    <w:rsid w:val="00F1379B"/>
    <w:rsid w:val="00F13F0B"/>
    <w:rsid w:val="00F266BE"/>
    <w:rsid w:val="00F2712E"/>
    <w:rsid w:val="00F31503"/>
    <w:rsid w:val="00F316EB"/>
    <w:rsid w:val="00F32707"/>
    <w:rsid w:val="00F33749"/>
    <w:rsid w:val="00F34973"/>
    <w:rsid w:val="00F35ADE"/>
    <w:rsid w:val="00F36649"/>
    <w:rsid w:val="00F37B09"/>
    <w:rsid w:val="00F41EEA"/>
    <w:rsid w:val="00F428EE"/>
    <w:rsid w:val="00F42B64"/>
    <w:rsid w:val="00F44F03"/>
    <w:rsid w:val="00F46059"/>
    <w:rsid w:val="00F4721C"/>
    <w:rsid w:val="00F47873"/>
    <w:rsid w:val="00F50616"/>
    <w:rsid w:val="00F525B5"/>
    <w:rsid w:val="00F54D6F"/>
    <w:rsid w:val="00F54FB5"/>
    <w:rsid w:val="00F6294C"/>
    <w:rsid w:val="00F65EC7"/>
    <w:rsid w:val="00F66747"/>
    <w:rsid w:val="00F66E98"/>
    <w:rsid w:val="00F67491"/>
    <w:rsid w:val="00F67B73"/>
    <w:rsid w:val="00F70522"/>
    <w:rsid w:val="00F70AEB"/>
    <w:rsid w:val="00F7132F"/>
    <w:rsid w:val="00F71D91"/>
    <w:rsid w:val="00F72A72"/>
    <w:rsid w:val="00F758FA"/>
    <w:rsid w:val="00F7661B"/>
    <w:rsid w:val="00F768AE"/>
    <w:rsid w:val="00F769CD"/>
    <w:rsid w:val="00F76C84"/>
    <w:rsid w:val="00F76CA5"/>
    <w:rsid w:val="00F80719"/>
    <w:rsid w:val="00F80A78"/>
    <w:rsid w:val="00F83041"/>
    <w:rsid w:val="00F8380D"/>
    <w:rsid w:val="00F85464"/>
    <w:rsid w:val="00F85D4F"/>
    <w:rsid w:val="00F85DA4"/>
    <w:rsid w:val="00F879EC"/>
    <w:rsid w:val="00F906A8"/>
    <w:rsid w:val="00F90907"/>
    <w:rsid w:val="00F92A35"/>
    <w:rsid w:val="00F92C61"/>
    <w:rsid w:val="00F94AAB"/>
    <w:rsid w:val="00F94F30"/>
    <w:rsid w:val="00F9527D"/>
    <w:rsid w:val="00F96C1B"/>
    <w:rsid w:val="00FA1C81"/>
    <w:rsid w:val="00FA4341"/>
    <w:rsid w:val="00FA7DD6"/>
    <w:rsid w:val="00FB0828"/>
    <w:rsid w:val="00FB2FA9"/>
    <w:rsid w:val="00FB3F95"/>
    <w:rsid w:val="00FB56FE"/>
    <w:rsid w:val="00FB5DB4"/>
    <w:rsid w:val="00FB6A9F"/>
    <w:rsid w:val="00FB6DD6"/>
    <w:rsid w:val="00FB7D6B"/>
    <w:rsid w:val="00FC0943"/>
    <w:rsid w:val="00FC3D94"/>
    <w:rsid w:val="00FC4810"/>
    <w:rsid w:val="00FD1B44"/>
    <w:rsid w:val="00FD2D0D"/>
    <w:rsid w:val="00FD3A72"/>
    <w:rsid w:val="00FD5201"/>
    <w:rsid w:val="00FD5EE4"/>
    <w:rsid w:val="00FD6476"/>
    <w:rsid w:val="00FD6C86"/>
    <w:rsid w:val="00FD7495"/>
    <w:rsid w:val="00FE05C5"/>
    <w:rsid w:val="00FE396F"/>
    <w:rsid w:val="00FE528E"/>
    <w:rsid w:val="00FE5941"/>
    <w:rsid w:val="00FE7B05"/>
    <w:rsid w:val="00FF06BA"/>
    <w:rsid w:val="00FF0A9B"/>
    <w:rsid w:val="00FF10B6"/>
    <w:rsid w:val="00FF2BF2"/>
    <w:rsid w:val="00FF38A5"/>
    <w:rsid w:val="00FF47CB"/>
    <w:rsid w:val="00FF4E93"/>
    <w:rsid w:val="00FF57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15:docId w15:val="{6E1E39B3-7F8E-411C-9391-3B9B29C02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52E2"/>
  </w:style>
  <w:style w:type="paragraph" w:styleId="Heading5">
    <w:name w:val="heading 5"/>
    <w:basedOn w:val="Normal"/>
    <w:next w:val="Normal"/>
    <w:link w:val="Heading5Char"/>
    <w:qFormat/>
    <w:rsid w:val="00FB3F95"/>
    <w:pPr>
      <w:autoSpaceDE w:val="0"/>
      <w:autoSpaceDN w:val="0"/>
      <w:spacing w:before="240" w:after="60" w:line="240" w:lineRule="auto"/>
      <w:ind w:left="1872" w:hanging="720"/>
      <w:outlineLvl w:val="4"/>
    </w:pPr>
    <w:rPr>
      <w:rFonts w:ascii="Times New Roman" w:eastAsia="PMingLiU" w:hAnsi="Times New Roman" w:cs="Times New Roman"/>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4D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4DD8"/>
    <w:rPr>
      <w:rFonts w:ascii="Tahoma" w:hAnsi="Tahoma" w:cs="Tahoma"/>
      <w:sz w:val="16"/>
      <w:szCs w:val="16"/>
    </w:rPr>
  </w:style>
  <w:style w:type="character" w:styleId="Strong">
    <w:name w:val="Strong"/>
    <w:basedOn w:val="DefaultParagraphFont"/>
    <w:uiPriority w:val="22"/>
    <w:qFormat/>
    <w:rsid w:val="003F4DD8"/>
    <w:rPr>
      <w:b/>
      <w:bCs/>
    </w:rPr>
  </w:style>
  <w:style w:type="paragraph" w:styleId="Header">
    <w:name w:val="header"/>
    <w:basedOn w:val="Normal"/>
    <w:link w:val="HeaderChar"/>
    <w:uiPriority w:val="99"/>
    <w:unhideWhenUsed/>
    <w:rsid w:val="00670B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0B7E"/>
  </w:style>
  <w:style w:type="paragraph" w:styleId="Footer">
    <w:name w:val="footer"/>
    <w:basedOn w:val="Normal"/>
    <w:link w:val="FooterChar"/>
    <w:uiPriority w:val="99"/>
    <w:unhideWhenUsed/>
    <w:rsid w:val="00670B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0B7E"/>
  </w:style>
  <w:style w:type="character" w:styleId="Hyperlink">
    <w:name w:val="Hyperlink"/>
    <w:basedOn w:val="DefaultParagraphFont"/>
    <w:uiPriority w:val="99"/>
    <w:unhideWhenUsed/>
    <w:rsid w:val="00F70AEB"/>
    <w:rPr>
      <w:color w:val="0000FF" w:themeColor="hyperlink"/>
      <w:u w:val="single"/>
    </w:rPr>
  </w:style>
  <w:style w:type="paragraph" w:styleId="ListParagraph">
    <w:name w:val="List Paragraph"/>
    <w:basedOn w:val="Normal"/>
    <w:uiPriority w:val="34"/>
    <w:qFormat/>
    <w:rsid w:val="00DA2BFC"/>
    <w:pPr>
      <w:ind w:left="720"/>
      <w:contextualSpacing/>
    </w:pPr>
    <w:rPr>
      <w:rFonts w:eastAsiaTheme="minorEastAsia"/>
      <w:lang w:val="en-IN" w:eastAsia="en-IN"/>
    </w:rPr>
  </w:style>
  <w:style w:type="paragraph" w:styleId="NoSpacing">
    <w:name w:val="No Spacing"/>
    <w:uiPriority w:val="1"/>
    <w:qFormat/>
    <w:rsid w:val="00DA2BFC"/>
    <w:pPr>
      <w:spacing w:after="0" w:line="240" w:lineRule="auto"/>
    </w:pPr>
    <w:rPr>
      <w:rFonts w:eastAsiaTheme="minorEastAsia"/>
      <w:lang w:val="en-IN" w:eastAsia="en-IN"/>
    </w:rPr>
  </w:style>
  <w:style w:type="character" w:customStyle="1" w:styleId="apple-converted-space">
    <w:name w:val="apple-converted-space"/>
    <w:basedOn w:val="DefaultParagraphFont"/>
    <w:rsid w:val="00F71D91"/>
  </w:style>
  <w:style w:type="character" w:customStyle="1" w:styleId="Heading5Char">
    <w:name w:val="Heading 5 Char"/>
    <w:basedOn w:val="DefaultParagraphFont"/>
    <w:link w:val="Heading5"/>
    <w:rsid w:val="00FB3F95"/>
    <w:rPr>
      <w:rFonts w:ascii="Times New Roman" w:eastAsia="PMingLiU" w:hAnsi="Times New Roman" w:cs="Times New Roman"/>
      <w:sz w:val="18"/>
      <w:szCs w:val="18"/>
    </w:rPr>
  </w:style>
  <w:style w:type="table" w:styleId="TableGrid">
    <w:name w:val="Table Grid"/>
    <w:basedOn w:val="TableNormal"/>
    <w:uiPriority w:val="59"/>
    <w:rsid w:val="00FB3F9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3092662">
      <w:bodyDiv w:val="1"/>
      <w:marLeft w:val="0"/>
      <w:marRight w:val="0"/>
      <w:marTop w:val="0"/>
      <w:marBottom w:val="0"/>
      <w:divBdr>
        <w:top w:val="none" w:sz="0" w:space="0" w:color="auto"/>
        <w:left w:val="none" w:sz="0" w:space="0" w:color="auto"/>
        <w:bottom w:val="none" w:sz="0" w:space="0" w:color="auto"/>
        <w:right w:val="none" w:sz="0" w:space="0" w:color="auto"/>
      </w:divBdr>
    </w:div>
    <w:div w:id="774249770">
      <w:bodyDiv w:val="1"/>
      <w:marLeft w:val="0"/>
      <w:marRight w:val="0"/>
      <w:marTop w:val="0"/>
      <w:marBottom w:val="0"/>
      <w:divBdr>
        <w:top w:val="none" w:sz="0" w:space="0" w:color="auto"/>
        <w:left w:val="none" w:sz="0" w:space="0" w:color="auto"/>
        <w:bottom w:val="none" w:sz="0" w:space="0" w:color="auto"/>
        <w:right w:val="none" w:sz="0" w:space="0" w:color="auto"/>
      </w:divBdr>
      <w:divsChild>
        <w:div w:id="254479754">
          <w:marLeft w:val="0"/>
          <w:marRight w:val="0"/>
          <w:marTop w:val="0"/>
          <w:marBottom w:val="0"/>
          <w:divBdr>
            <w:top w:val="none" w:sz="0" w:space="0" w:color="auto"/>
            <w:left w:val="none" w:sz="0" w:space="0" w:color="auto"/>
            <w:bottom w:val="none" w:sz="0" w:space="0" w:color="auto"/>
            <w:right w:val="none" w:sz="0" w:space="0" w:color="auto"/>
          </w:divBdr>
        </w:div>
        <w:div w:id="1681157103">
          <w:marLeft w:val="0"/>
          <w:marRight w:val="0"/>
          <w:marTop w:val="0"/>
          <w:marBottom w:val="0"/>
          <w:divBdr>
            <w:top w:val="none" w:sz="0" w:space="0" w:color="auto"/>
            <w:left w:val="none" w:sz="0" w:space="0" w:color="auto"/>
            <w:bottom w:val="none" w:sz="0" w:space="0" w:color="auto"/>
            <w:right w:val="none" w:sz="0" w:space="0" w:color="auto"/>
          </w:divBdr>
        </w:div>
        <w:div w:id="1338313823">
          <w:marLeft w:val="0"/>
          <w:marRight w:val="0"/>
          <w:marTop w:val="0"/>
          <w:marBottom w:val="0"/>
          <w:divBdr>
            <w:top w:val="none" w:sz="0" w:space="0" w:color="auto"/>
            <w:left w:val="none" w:sz="0" w:space="0" w:color="auto"/>
            <w:bottom w:val="none" w:sz="0" w:space="0" w:color="auto"/>
            <w:right w:val="none" w:sz="0" w:space="0" w:color="auto"/>
          </w:divBdr>
        </w:div>
        <w:div w:id="792749258">
          <w:marLeft w:val="0"/>
          <w:marRight w:val="0"/>
          <w:marTop w:val="0"/>
          <w:marBottom w:val="0"/>
          <w:divBdr>
            <w:top w:val="none" w:sz="0" w:space="0" w:color="auto"/>
            <w:left w:val="none" w:sz="0" w:space="0" w:color="auto"/>
            <w:bottom w:val="none" w:sz="0" w:space="0" w:color="auto"/>
            <w:right w:val="none" w:sz="0" w:space="0" w:color="auto"/>
          </w:divBdr>
        </w:div>
        <w:div w:id="1085608033">
          <w:marLeft w:val="0"/>
          <w:marRight w:val="0"/>
          <w:marTop w:val="0"/>
          <w:marBottom w:val="0"/>
          <w:divBdr>
            <w:top w:val="none" w:sz="0" w:space="0" w:color="auto"/>
            <w:left w:val="none" w:sz="0" w:space="0" w:color="auto"/>
            <w:bottom w:val="none" w:sz="0" w:space="0" w:color="auto"/>
            <w:right w:val="none" w:sz="0" w:space="0" w:color="auto"/>
          </w:divBdr>
        </w:div>
        <w:div w:id="1912275068">
          <w:marLeft w:val="0"/>
          <w:marRight w:val="0"/>
          <w:marTop w:val="0"/>
          <w:marBottom w:val="0"/>
          <w:divBdr>
            <w:top w:val="none" w:sz="0" w:space="0" w:color="auto"/>
            <w:left w:val="none" w:sz="0" w:space="0" w:color="auto"/>
            <w:bottom w:val="none" w:sz="0" w:space="0" w:color="auto"/>
            <w:right w:val="none" w:sz="0" w:space="0" w:color="auto"/>
          </w:divBdr>
        </w:div>
        <w:div w:id="250549109">
          <w:marLeft w:val="0"/>
          <w:marRight w:val="0"/>
          <w:marTop w:val="0"/>
          <w:marBottom w:val="0"/>
          <w:divBdr>
            <w:top w:val="none" w:sz="0" w:space="0" w:color="auto"/>
            <w:left w:val="none" w:sz="0" w:space="0" w:color="auto"/>
            <w:bottom w:val="none" w:sz="0" w:space="0" w:color="auto"/>
            <w:right w:val="none" w:sz="0" w:space="0" w:color="auto"/>
          </w:divBdr>
        </w:div>
        <w:div w:id="1856073294">
          <w:marLeft w:val="0"/>
          <w:marRight w:val="0"/>
          <w:marTop w:val="0"/>
          <w:marBottom w:val="0"/>
          <w:divBdr>
            <w:top w:val="none" w:sz="0" w:space="0" w:color="auto"/>
            <w:left w:val="none" w:sz="0" w:space="0" w:color="auto"/>
            <w:bottom w:val="none" w:sz="0" w:space="0" w:color="auto"/>
            <w:right w:val="none" w:sz="0" w:space="0" w:color="auto"/>
          </w:divBdr>
        </w:div>
        <w:div w:id="1632393637">
          <w:marLeft w:val="0"/>
          <w:marRight w:val="0"/>
          <w:marTop w:val="0"/>
          <w:marBottom w:val="0"/>
          <w:divBdr>
            <w:top w:val="none" w:sz="0" w:space="0" w:color="auto"/>
            <w:left w:val="none" w:sz="0" w:space="0" w:color="auto"/>
            <w:bottom w:val="none" w:sz="0" w:space="0" w:color="auto"/>
            <w:right w:val="none" w:sz="0" w:space="0" w:color="auto"/>
          </w:divBdr>
        </w:div>
      </w:divsChild>
    </w:div>
    <w:div w:id="856501140">
      <w:bodyDiv w:val="1"/>
      <w:marLeft w:val="0"/>
      <w:marRight w:val="0"/>
      <w:marTop w:val="0"/>
      <w:marBottom w:val="0"/>
      <w:divBdr>
        <w:top w:val="none" w:sz="0" w:space="0" w:color="auto"/>
        <w:left w:val="none" w:sz="0" w:space="0" w:color="auto"/>
        <w:bottom w:val="none" w:sz="0" w:space="0" w:color="auto"/>
        <w:right w:val="none" w:sz="0" w:space="0" w:color="auto"/>
      </w:divBdr>
    </w:div>
    <w:div w:id="2039233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tiff"/><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tiff"/></Relationships>
</file>

<file path=word/_rels/footer2.xml.rels><?xml version="1.0" encoding="UTF-8" standalone="yes"?>
<Relationships xmlns="http://schemas.openxmlformats.org/package/2006/relationships"><Relationship Id="rId1" Type="http://schemas.openxmlformats.org/officeDocument/2006/relationships/hyperlink" Target="http://www.ijmpr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262130-D38F-4FF3-B33E-B06CFE923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2881</Words>
  <Characters>16428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IMMEDIATE HYPERSENSITIVITY TO IODINATED CONTRAST MEDIA OR NON IONIC CONTRAST REDUCED BY CLINICAL HISTORY</dc:title>
  <dc:creator>admin</dc:creator>
  <cp:lastModifiedBy>Rampyari</cp:lastModifiedBy>
  <cp:revision>7</cp:revision>
  <cp:lastPrinted>2014-05-27T06:14:00Z</cp:lastPrinted>
  <dcterms:created xsi:type="dcterms:W3CDTF">2017-11-06T09:51:00Z</dcterms:created>
  <dcterms:modified xsi:type="dcterms:W3CDTF">2017-11-08T09:44:00Z</dcterms:modified>
</cp:coreProperties>
</file>