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76"/>
        <w:gridCol w:w="11787"/>
      </w:tblGrid>
      <w:tr w:rsidR="005B1AC2" w14:paraId="02780F85" w14:textId="77777777" w:rsidTr="00D13E53">
        <w:tblPrEx>
          <w:tblCellMar>
            <w:top w:w="0" w:type="dxa"/>
            <w:left w:w="0" w:type="dxa"/>
            <w:bottom w:w="0" w:type="dxa"/>
            <w:right w:w="0" w:type="dxa"/>
          </w:tblCellMar>
        </w:tblPrEx>
        <w:tc>
          <w:tcPr>
            <w:tcW w:w="0" w:type="auto"/>
            <w:shd w:val="clear" w:color="auto" w:fill="E7E6E6" w:themeFill="background2"/>
          </w:tcPr>
          <w:p w14:paraId="31C25D90" w14:textId="77777777" w:rsidR="005B1AC2" w:rsidRPr="00D13E53" w:rsidRDefault="00000000" w:rsidP="00D13E53">
            <w:pPr>
              <w:pStyle w:val="TableCell"/>
              <w:jc w:val="center"/>
              <w:rPr>
                <w:b/>
                <w:bCs/>
              </w:rPr>
            </w:pPr>
            <w:r w:rsidRPr="00D13E53">
              <w:rPr>
                <w:b/>
                <w:bCs/>
              </w:rPr>
              <w:t>Name</w:t>
            </w:r>
          </w:p>
        </w:tc>
        <w:tc>
          <w:tcPr>
            <w:tcW w:w="0" w:type="auto"/>
            <w:shd w:val="clear" w:color="auto" w:fill="E7E6E6" w:themeFill="background2"/>
          </w:tcPr>
          <w:p w14:paraId="088C1E6E" w14:textId="77777777" w:rsidR="005B1AC2" w:rsidRPr="00D13E53" w:rsidRDefault="00000000" w:rsidP="00D13E53">
            <w:pPr>
              <w:pStyle w:val="TableCell"/>
              <w:jc w:val="center"/>
              <w:rPr>
                <w:b/>
                <w:bCs/>
              </w:rPr>
            </w:pPr>
            <w:r w:rsidRPr="00D13E53">
              <w:rPr>
                <w:b/>
                <w:bCs/>
              </w:rPr>
              <w:t>Definition</w:t>
            </w:r>
          </w:p>
        </w:tc>
      </w:tr>
      <w:tr w:rsidR="005B1AC2" w14:paraId="1A087DC6" w14:textId="77777777" w:rsidTr="00D13E53">
        <w:tblPrEx>
          <w:tblCellMar>
            <w:top w:w="0" w:type="dxa"/>
            <w:left w:w="0" w:type="dxa"/>
            <w:bottom w:w="0" w:type="dxa"/>
            <w:right w:w="0" w:type="dxa"/>
          </w:tblCellMar>
        </w:tblPrEx>
        <w:tc>
          <w:tcPr>
            <w:tcW w:w="0" w:type="auto"/>
          </w:tcPr>
          <w:p w14:paraId="52F82593" w14:textId="77777777" w:rsidR="005B1AC2" w:rsidRDefault="00000000">
            <w:pPr>
              <w:pStyle w:val="TableCell"/>
            </w:pPr>
            <w:r>
              <w:t>Years</w:t>
            </w:r>
          </w:p>
        </w:tc>
        <w:tc>
          <w:tcPr>
            <w:tcW w:w="0" w:type="auto"/>
          </w:tcPr>
          <w:p w14:paraId="14C66474" w14:textId="61990160" w:rsidR="005B1AC2" w:rsidRDefault="00000000">
            <w:pPr>
              <w:pStyle w:val="TableCell"/>
            </w:pPr>
            <w:r>
              <w:t>Year from which the data come from. From 2011 to 2022.</w:t>
            </w:r>
          </w:p>
        </w:tc>
      </w:tr>
      <w:tr w:rsidR="005B1AC2" w14:paraId="5745023B" w14:textId="77777777" w:rsidTr="00D13E53">
        <w:tblPrEx>
          <w:tblCellMar>
            <w:top w:w="0" w:type="dxa"/>
            <w:left w:w="0" w:type="dxa"/>
            <w:bottom w:w="0" w:type="dxa"/>
            <w:right w:w="0" w:type="dxa"/>
          </w:tblCellMar>
        </w:tblPrEx>
        <w:tc>
          <w:tcPr>
            <w:tcW w:w="0" w:type="auto"/>
          </w:tcPr>
          <w:p w14:paraId="52CDE148" w14:textId="77777777" w:rsidR="005B1AC2" w:rsidRDefault="00000000">
            <w:pPr>
              <w:pStyle w:val="TableCell"/>
            </w:pPr>
            <w:r>
              <w:t>Revenues</w:t>
            </w:r>
          </w:p>
        </w:tc>
        <w:tc>
          <w:tcPr>
            <w:tcW w:w="0" w:type="auto"/>
          </w:tcPr>
          <w:p w14:paraId="3F486484" w14:textId="77777777" w:rsidR="005B1AC2" w:rsidRDefault="00000000">
            <w:pPr>
              <w:pStyle w:val="TableCell"/>
            </w:pPr>
            <w:r>
              <w:t>Amount of revenue recognized from goods sold, services rendered, insurance premiums, or other activities that constitute an earning process. Includes, but is not limited to, investment and interest income before deduction of interest expense when recognized as a component of revenue, and sales and trading gain (loss).</w:t>
            </w:r>
          </w:p>
        </w:tc>
      </w:tr>
      <w:tr w:rsidR="005B1AC2" w14:paraId="2859A23A" w14:textId="77777777" w:rsidTr="00D13E53">
        <w:tblPrEx>
          <w:tblCellMar>
            <w:top w:w="0" w:type="dxa"/>
            <w:left w:w="0" w:type="dxa"/>
            <w:bottom w:w="0" w:type="dxa"/>
            <w:right w:w="0" w:type="dxa"/>
          </w:tblCellMar>
        </w:tblPrEx>
        <w:tc>
          <w:tcPr>
            <w:tcW w:w="0" w:type="auto"/>
          </w:tcPr>
          <w:p w14:paraId="0D7368F4" w14:textId="77777777" w:rsidR="005B1AC2" w:rsidRDefault="00000000">
            <w:pPr>
              <w:pStyle w:val="TableCell"/>
            </w:pPr>
            <w:r>
              <w:t>Cost of revenues</w:t>
            </w:r>
          </w:p>
        </w:tc>
        <w:tc>
          <w:tcPr>
            <w:tcW w:w="0" w:type="auto"/>
          </w:tcPr>
          <w:p w14:paraId="1F8E121D" w14:textId="039B625A" w:rsidR="005B1AC2" w:rsidRDefault="00000000">
            <w:pPr>
              <w:pStyle w:val="TableCell"/>
            </w:pPr>
            <w:r>
              <w:t xml:space="preserve">The aggregate cost of goods produced and </w:t>
            </w:r>
            <w:r w:rsidR="00D13E53">
              <w:t>sold</w:t>
            </w:r>
            <w:r>
              <w:t xml:space="preserve"> and services rendered during the reporting period. Expenses directly associated with the acquisition, licensing and production of content (such as payroll and related personnel expenses, costs associated with obtaining rights to music included in our content, overall deals with talent, miscellaneous production related costs and participations and residuals), streaming delivery costs and other operations costs make up the remainder of cost of revenues.</w:t>
            </w:r>
          </w:p>
        </w:tc>
      </w:tr>
      <w:tr w:rsidR="005B1AC2" w14:paraId="7F2F92B5" w14:textId="77777777" w:rsidTr="00D13E53">
        <w:tblPrEx>
          <w:tblCellMar>
            <w:top w:w="0" w:type="dxa"/>
            <w:left w:w="0" w:type="dxa"/>
            <w:bottom w:w="0" w:type="dxa"/>
            <w:right w:w="0" w:type="dxa"/>
          </w:tblCellMar>
        </w:tblPrEx>
        <w:tc>
          <w:tcPr>
            <w:tcW w:w="0" w:type="auto"/>
          </w:tcPr>
          <w:p w14:paraId="11B14DAF" w14:textId="77777777" w:rsidR="005B1AC2" w:rsidRDefault="00000000">
            <w:pPr>
              <w:pStyle w:val="TableCell"/>
            </w:pPr>
            <w:r>
              <w:t>Marketing</w:t>
            </w:r>
          </w:p>
        </w:tc>
        <w:tc>
          <w:tcPr>
            <w:tcW w:w="0" w:type="auto"/>
          </w:tcPr>
          <w:p w14:paraId="59FDF868" w14:textId="77777777" w:rsidR="005B1AC2" w:rsidRDefault="00000000">
            <w:pPr>
              <w:pStyle w:val="TableCell"/>
            </w:pPr>
            <w:r>
              <w:t>Marketing Expense. Expenditures for planning and executing the conception, pricing, promotion, and distribution of ideas, goods, and services. Costs of public relations and corporate promotions are typically considered to be marketing costs.</w:t>
            </w:r>
          </w:p>
        </w:tc>
      </w:tr>
      <w:tr w:rsidR="005B1AC2" w14:paraId="18403776" w14:textId="77777777" w:rsidTr="00D13E53">
        <w:tblPrEx>
          <w:tblCellMar>
            <w:top w:w="0" w:type="dxa"/>
            <w:left w:w="0" w:type="dxa"/>
            <w:bottom w:w="0" w:type="dxa"/>
            <w:right w:w="0" w:type="dxa"/>
          </w:tblCellMar>
        </w:tblPrEx>
        <w:tc>
          <w:tcPr>
            <w:tcW w:w="0" w:type="auto"/>
          </w:tcPr>
          <w:p w14:paraId="5F1C1D4B" w14:textId="77777777" w:rsidR="005B1AC2" w:rsidRDefault="00000000">
            <w:pPr>
              <w:pStyle w:val="TableCell"/>
            </w:pPr>
            <w:r>
              <w:t>Technology and development</w:t>
            </w:r>
          </w:p>
        </w:tc>
        <w:tc>
          <w:tcPr>
            <w:tcW w:w="0" w:type="auto"/>
          </w:tcPr>
          <w:p w14:paraId="549CA3AE" w14:textId="77777777" w:rsidR="005B1AC2" w:rsidRDefault="00000000">
            <w:pPr>
              <w:pStyle w:val="TableCell"/>
            </w:pPr>
            <w:r>
              <w:t>Research and Development Expense. The aggregate costs incurred (1) in a planned search or critical investigation aimed at discovery of new knowledge with the hope that such knowledge will be useful in developing a new product or service, a new process or technique, or in bringing about a significant improvement to an existing product or process; or (2) to translate research findings or other knowledge into a plan or design for a new product or process or for a significant improvement to an existing product or process whether intended for sale or the entity's use, during the reporting period charged to research and development projects, including the costs of developing computer software up to the point in time of achieving technological feasibility, and costs allocated in accounting for a business combination to in-process projects deemed to have no alternative future use.</w:t>
            </w:r>
          </w:p>
        </w:tc>
      </w:tr>
      <w:tr w:rsidR="005B1AC2" w14:paraId="14843C60" w14:textId="77777777" w:rsidTr="00D13E53">
        <w:tblPrEx>
          <w:tblCellMar>
            <w:top w:w="0" w:type="dxa"/>
            <w:left w:w="0" w:type="dxa"/>
            <w:bottom w:w="0" w:type="dxa"/>
            <w:right w:w="0" w:type="dxa"/>
          </w:tblCellMar>
        </w:tblPrEx>
        <w:tc>
          <w:tcPr>
            <w:tcW w:w="0" w:type="auto"/>
          </w:tcPr>
          <w:p w14:paraId="729C56E5" w14:textId="77777777" w:rsidR="005B1AC2" w:rsidRDefault="00000000">
            <w:pPr>
              <w:pStyle w:val="TableCell"/>
            </w:pPr>
            <w:r>
              <w:t>General and administrative</w:t>
            </w:r>
          </w:p>
        </w:tc>
        <w:tc>
          <w:tcPr>
            <w:tcW w:w="0" w:type="auto"/>
          </w:tcPr>
          <w:p w14:paraId="72BE95C3" w14:textId="77777777" w:rsidR="005B1AC2" w:rsidRDefault="00000000">
            <w:pPr>
              <w:pStyle w:val="TableCell"/>
            </w:pPr>
            <w:r>
              <w:t>General and Administrative Expense. The aggregate total of expenses of managing and administering the affairs of an entity, including affiliates of the reporting entity, which are not directly or indirectly associated with the manufacture, sale or creation of a product or product line.</w:t>
            </w:r>
          </w:p>
        </w:tc>
      </w:tr>
      <w:tr w:rsidR="005B1AC2" w14:paraId="3266EF69" w14:textId="77777777" w:rsidTr="00D13E53">
        <w:tblPrEx>
          <w:tblCellMar>
            <w:top w:w="0" w:type="dxa"/>
            <w:left w:w="0" w:type="dxa"/>
            <w:bottom w:w="0" w:type="dxa"/>
            <w:right w:w="0" w:type="dxa"/>
          </w:tblCellMar>
        </w:tblPrEx>
        <w:tc>
          <w:tcPr>
            <w:tcW w:w="0" w:type="auto"/>
          </w:tcPr>
          <w:p w14:paraId="300CDCF5" w14:textId="77777777" w:rsidR="005B1AC2" w:rsidRDefault="00000000">
            <w:pPr>
              <w:pStyle w:val="TableCell"/>
            </w:pPr>
            <w:r>
              <w:t>Operating Income</w:t>
            </w:r>
          </w:p>
        </w:tc>
        <w:tc>
          <w:tcPr>
            <w:tcW w:w="0" w:type="auto"/>
          </w:tcPr>
          <w:p w14:paraId="788571AD" w14:textId="77777777" w:rsidR="005B1AC2" w:rsidRDefault="00000000">
            <w:pPr>
              <w:pStyle w:val="TableCell"/>
            </w:pPr>
            <w:r>
              <w:t>The net result for the period of deducting operating expenses from operating revenues.</w:t>
            </w:r>
          </w:p>
        </w:tc>
      </w:tr>
      <w:tr w:rsidR="005B1AC2" w14:paraId="143332F4" w14:textId="77777777" w:rsidTr="00D13E53">
        <w:tblPrEx>
          <w:tblCellMar>
            <w:top w:w="0" w:type="dxa"/>
            <w:left w:w="0" w:type="dxa"/>
            <w:bottom w:w="0" w:type="dxa"/>
            <w:right w:w="0" w:type="dxa"/>
          </w:tblCellMar>
        </w:tblPrEx>
        <w:tc>
          <w:tcPr>
            <w:tcW w:w="0" w:type="auto"/>
          </w:tcPr>
          <w:p w14:paraId="31FB68D6" w14:textId="77777777" w:rsidR="005B1AC2" w:rsidRDefault="00000000">
            <w:pPr>
              <w:pStyle w:val="TableCell"/>
            </w:pPr>
            <w:r>
              <w:t>Interest Expense</w:t>
            </w:r>
          </w:p>
        </w:tc>
        <w:tc>
          <w:tcPr>
            <w:tcW w:w="0" w:type="auto"/>
          </w:tcPr>
          <w:p w14:paraId="14F19D7B" w14:textId="77777777" w:rsidR="005B1AC2" w:rsidRDefault="00000000">
            <w:pPr>
              <w:pStyle w:val="TableCell"/>
            </w:pPr>
            <w:r>
              <w:t>Amount of the cost of borrowed funds accounted for as interest expense.</w:t>
            </w:r>
          </w:p>
        </w:tc>
      </w:tr>
      <w:tr w:rsidR="005B1AC2" w14:paraId="0AB0B07E" w14:textId="77777777" w:rsidTr="00D13E53">
        <w:tblPrEx>
          <w:tblCellMar>
            <w:top w:w="0" w:type="dxa"/>
            <w:left w:w="0" w:type="dxa"/>
            <w:bottom w:w="0" w:type="dxa"/>
            <w:right w:w="0" w:type="dxa"/>
          </w:tblCellMar>
        </w:tblPrEx>
        <w:tc>
          <w:tcPr>
            <w:tcW w:w="0" w:type="auto"/>
          </w:tcPr>
          <w:p w14:paraId="0B36881F" w14:textId="77777777" w:rsidR="005B1AC2" w:rsidRDefault="00000000">
            <w:pPr>
              <w:pStyle w:val="TableCell"/>
            </w:pPr>
            <w:r>
              <w:t>Interest and other income (expense)</w:t>
            </w:r>
          </w:p>
        </w:tc>
        <w:tc>
          <w:tcPr>
            <w:tcW w:w="0" w:type="auto"/>
          </w:tcPr>
          <w:p w14:paraId="4610B9B2" w14:textId="77777777" w:rsidR="005B1AC2" w:rsidRDefault="00000000">
            <w:pPr>
              <w:pStyle w:val="TableCell"/>
            </w:pPr>
            <w:r>
              <w:t>Nonoperating Income (Expense). The aggregate amount of income or expense from ancillary business-related activities (that is to say, excluding major activities considered part of the normal operations of the business).</w:t>
            </w:r>
          </w:p>
        </w:tc>
      </w:tr>
      <w:tr w:rsidR="005B1AC2" w14:paraId="509E9F50" w14:textId="77777777" w:rsidTr="00D13E53">
        <w:tblPrEx>
          <w:tblCellMar>
            <w:top w:w="0" w:type="dxa"/>
            <w:left w:w="0" w:type="dxa"/>
            <w:bottom w:w="0" w:type="dxa"/>
            <w:right w:w="0" w:type="dxa"/>
          </w:tblCellMar>
        </w:tblPrEx>
        <w:tc>
          <w:tcPr>
            <w:tcW w:w="0" w:type="auto"/>
          </w:tcPr>
          <w:p w14:paraId="376F888C" w14:textId="77777777" w:rsidR="005B1AC2" w:rsidRDefault="00000000">
            <w:pPr>
              <w:pStyle w:val="TableCell"/>
            </w:pPr>
            <w:r>
              <w:t>Income before income taxes</w:t>
            </w:r>
          </w:p>
        </w:tc>
        <w:tc>
          <w:tcPr>
            <w:tcW w:w="0" w:type="auto"/>
          </w:tcPr>
          <w:p w14:paraId="4CD6343B" w14:textId="77777777" w:rsidR="005B1AC2" w:rsidRDefault="00000000">
            <w:pPr>
              <w:pStyle w:val="TableCell"/>
            </w:pPr>
            <w:r>
              <w:t>Income (Loss) from Continuing Operations before Income Taxes, Noncontrolling Interest. Amount of income (loss) from continuing operations, including income (loss) from equity method investments, before deduction of income tax expense (benefit), and income (loss) attributable to noncontrolling interest.</w:t>
            </w:r>
          </w:p>
        </w:tc>
      </w:tr>
      <w:tr w:rsidR="005B1AC2" w14:paraId="5888D136" w14:textId="77777777" w:rsidTr="00D13E53">
        <w:tblPrEx>
          <w:tblCellMar>
            <w:top w:w="0" w:type="dxa"/>
            <w:left w:w="0" w:type="dxa"/>
            <w:bottom w:w="0" w:type="dxa"/>
            <w:right w:w="0" w:type="dxa"/>
          </w:tblCellMar>
        </w:tblPrEx>
        <w:tc>
          <w:tcPr>
            <w:tcW w:w="0" w:type="auto"/>
          </w:tcPr>
          <w:p w14:paraId="70529EC5" w14:textId="77777777" w:rsidR="005B1AC2" w:rsidRDefault="00000000">
            <w:pPr>
              <w:pStyle w:val="TableCell"/>
            </w:pPr>
            <w:r>
              <w:t>Provision for (benefit from) income taxes</w:t>
            </w:r>
          </w:p>
        </w:tc>
        <w:tc>
          <w:tcPr>
            <w:tcW w:w="0" w:type="auto"/>
          </w:tcPr>
          <w:p w14:paraId="2CA1DC2F" w14:textId="77777777" w:rsidR="005B1AC2" w:rsidRDefault="00000000">
            <w:pPr>
              <w:pStyle w:val="TableCell"/>
            </w:pPr>
            <w:r>
              <w:t>Amount of current income tax expense (benefit) and deferred income tax expense (benefit) pertaining to continuing operations.</w:t>
            </w:r>
          </w:p>
        </w:tc>
      </w:tr>
      <w:tr w:rsidR="005B1AC2" w14:paraId="2A1F60FC" w14:textId="77777777" w:rsidTr="00D13E53">
        <w:tblPrEx>
          <w:tblCellMar>
            <w:top w:w="0" w:type="dxa"/>
            <w:left w:w="0" w:type="dxa"/>
            <w:bottom w:w="0" w:type="dxa"/>
            <w:right w:w="0" w:type="dxa"/>
          </w:tblCellMar>
        </w:tblPrEx>
        <w:tc>
          <w:tcPr>
            <w:tcW w:w="0" w:type="auto"/>
          </w:tcPr>
          <w:p w14:paraId="13CEF22A" w14:textId="77777777" w:rsidR="005B1AC2" w:rsidRDefault="00000000">
            <w:pPr>
              <w:pStyle w:val="TableCell"/>
            </w:pPr>
            <w:r>
              <w:t>Net income</w:t>
            </w:r>
          </w:p>
        </w:tc>
        <w:tc>
          <w:tcPr>
            <w:tcW w:w="0" w:type="auto"/>
          </w:tcPr>
          <w:p w14:paraId="052CFE2B" w14:textId="77777777" w:rsidR="005B1AC2" w:rsidRDefault="00000000">
            <w:pPr>
              <w:pStyle w:val="TableCell"/>
            </w:pPr>
            <w:r>
              <w:t>The portion of profit or loss for the period, net of income taxes, which is attributable to the parent.</w:t>
            </w:r>
          </w:p>
        </w:tc>
      </w:tr>
      <w:tr w:rsidR="005B1AC2" w14:paraId="68D28FB6" w14:textId="77777777" w:rsidTr="00D13E53">
        <w:tblPrEx>
          <w:tblCellMar>
            <w:top w:w="0" w:type="dxa"/>
            <w:left w:w="0" w:type="dxa"/>
            <w:bottom w:w="0" w:type="dxa"/>
            <w:right w:w="0" w:type="dxa"/>
          </w:tblCellMar>
        </w:tblPrEx>
        <w:tc>
          <w:tcPr>
            <w:tcW w:w="0" w:type="auto"/>
          </w:tcPr>
          <w:p w14:paraId="10D86137" w14:textId="77777777" w:rsidR="005B1AC2" w:rsidRDefault="00000000">
            <w:pPr>
              <w:pStyle w:val="TableCell"/>
            </w:pPr>
            <w:r>
              <w:t>Average monthly revenue per paying membership</w:t>
            </w:r>
          </w:p>
        </w:tc>
        <w:tc>
          <w:tcPr>
            <w:tcW w:w="0" w:type="auto"/>
          </w:tcPr>
          <w:p w14:paraId="58164143" w14:textId="77777777" w:rsidR="005B1AC2" w:rsidRDefault="00000000">
            <w:pPr>
              <w:pStyle w:val="TableCell"/>
            </w:pPr>
            <w:r>
              <w:t>Average amount of revenue generated by the company per paying subscriber on a monthly basis</w:t>
            </w:r>
          </w:p>
        </w:tc>
      </w:tr>
      <w:tr w:rsidR="005B1AC2" w14:paraId="7F48B3B8" w14:textId="77777777" w:rsidTr="00D13E53">
        <w:tblPrEx>
          <w:tblCellMar>
            <w:top w:w="0" w:type="dxa"/>
            <w:left w:w="0" w:type="dxa"/>
            <w:bottom w:w="0" w:type="dxa"/>
            <w:right w:w="0" w:type="dxa"/>
          </w:tblCellMar>
        </w:tblPrEx>
        <w:tc>
          <w:tcPr>
            <w:tcW w:w="0" w:type="auto"/>
          </w:tcPr>
          <w:p w14:paraId="78CF5CB5" w14:textId="77777777" w:rsidR="005B1AC2" w:rsidRDefault="00000000">
            <w:pPr>
              <w:pStyle w:val="TableCell"/>
            </w:pPr>
            <w:r>
              <w:t>Additions to streaming content assets</w:t>
            </w:r>
          </w:p>
        </w:tc>
        <w:tc>
          <w:tcPr>
            <w:tcW w:w="0" w:type="auto"/>
          </w:tcPr>
          <w:p w14:paraId="4624727B" w14:textId="77777777" w:rsidR="005B1AC2" w:rsidRDefault="00000000">
            <w:pPr>
              <w:pStyle w:val="TableCell"/>
            </w:pPr>
            <w:r>
              <w:t>The Company acquires, licenses and produces content, including original programming, in order to offer members unlimited viewing of video entertainment. The content licenses are for a fixed fee and specific windows of availability. Payment terms for certain content licenses and the production of content require more upfront cash payments relative to the amortization expense.</w:t>
            </w:r>
          </w:p>
        </w:tc>
      </w:tr>
      <w:tr w:rsidR="005B1AC2" w14:paraId="3F4E2B34" w14:textId="77777777" w:rsidTr="00D13E53">
        <w:tblPrEx>
          <w:tblCellMar>
            <w:top w:w="0" w:type="dxa"/>
            <w:left w:w="0" w:type="dxa"/>
            <w:bottom w:w="0" w:type="dxa"/>
            <w:right w:w="0" w:type="dxa"/>
          </w:tblCellMar>
        </w:tblPrEx>
        <w:tc>
          <w:tcPr>
            <w:tcW w:w="0" w:type="auto"/>
          </w:tcPr>
          <w:p w14:paraId="23238E49" w14:textId="77777777" w:rsidR="005B1AC2" w:rsidRDefault="00000000">
            <w:pPr>
              <w:pStyle w:val="TableCell"/>
            </w:pPr>
            <w:r>
              <w:t>Change in streaming content liabilities</w:t>
            </w:r>
          </w:p>
        </w:tc>
        <w:tc>
          <w:tcPr>
            <w:tcW w:w="0" w:type="auto"/>
          </w:tcPr>
          <w:p w14:paraId="2616447D" w14:textId="77777777" w:rsidR="005B1AC2" w:rsidRDefault="00000000">
            <w:pPr>
              <w:pStyle w:val="TableCell"/>
            </w:pPr>
            <w:r>
              <w:t>Once a title becomes available, a content liability is recorded on the Consolidated Balance Sheets. Certain agreements include the obligation to license rights for unknown future titles, the ultimate quantity and/or fees for which are not yet determinable as of the reporting date. Traditional film output deals, or certain TV series license agreements where the number of seasons to be aired is unknown, are examples of these types of agreements.</w:t>
            </w:r>
          </w:p>
        </w:tc>
      </w:tr>
      <w:tr w:rsidR="005B1AC2" w14:paraId="7125088A" w14:textId="77777777" w:rsidTr="00D13E53">
        <w:tblPrEx>
          <w:tblCellMar>
            <w:top w:w="0" w:type="dxa"/>
            <w:left w:w="0" w:type="dxa"/>
            <w:bottom w:w="0" w:type="dxa"/>
            <w:right w:w="0" w:type="dxa"/>
          </w:tblCellMar>
        </w:tblPrEx>
        <w:tc>
          <w:tcPr>
            <w:tcW w:w="0" w:type="auto"/>
          </w:tcPr>
          <w:p w14:paraId="34DC41C8" w14:textId="77777777" w:rsidR="005B1AC2" w:rsidRDefault="00000000">
            <w:pPr>
              <w:pStyle w:val="TableCell"/>
            </w:pPr>
            <w:r>
              <w:t>Amortization of streaming content assets</w:t>
            </w:r>
          </w:p>
        </w:tc>
        <w:tc>
          <w:tcPr>
            <w:tcW w:w="0" w:type="auto"/>
          </w:tcPr>
          <w:p w14:paraId="00D471F9" w14:textId="4E70DF78" w:rsidR="005B1AC2" w:rsidRDefault="00D13E53">
            <w:pPr>
              <w:pStyle w:val="TableCell"/>
            </w:pPr>
            <w:r w:rsidRPr="00D13E53">
              <w:t>The amortization is on an accelerated basis, as we typically expect more upfront viewing, and film amortization is more accelerated than TV series amortization. On average, over 90% of a licensed or produced content asset is expected to be amortized within four years after its month of first availability. We review factors that impact the amortization of the content assets on a regular basis. Our estimates related to these factors require considerable management judgment.</w:t>
            </w:r>
          </w:p>
        </w:tc>
      </w:tr>
      <w:tr w:rsidR="005B1AC2" w14:paraId="3A75DDA5" w14:textId="77777777" w:rsidTr="00D13E53">
        <w:tblPrEx>
          <w:tblCellMar>
            <w:top w:w="0" w:type="dxa"/>
            <w:left w:w="0" w:type="dxa"/>
            <w:bottom w:w="0" w:type="dxa"/>
            <w:right w:w="0" w:type="dxa"/>
          </w:tblCellMar>
        </w:tblPrEx>
        <w:tc>
          <w:tcPr>
            <w:tcW w:w="0" w:type="auto"/>
          </w:tcPr>
          <w:p w14:paraId="34C580FC" w14:textId="77777777" w:rsidR="005B1AC2" w:rsidRDefault="00000000">
            <w:pPr>
              <w:pStyle w:val="TableCell"/>
            </w:pPr>
            <w:r>
              <w:t>Depreciation and amortization of property, equipment and intangibles</w:t>
            </w:r>
          </w:p>
        </w:tc>
        <w:tc>
          <w:tcPr>
            <w:tcW w:w="0" w:type="auto"/>
          </w:tcPr>
          <w:p w14:paraId="17F20350" w14:textId="77777777" w:rsidR="005B1AC2" w:rsidRDefault="00000000">
            <w:pPr>
              <w:pStyle w:val="TableCell"/>
            </w:pPr>
            <w:r>
              <w:t>The aggregate expense recognized in the current period that allocates the cost of tangible assets, intangible assets, or depleting assets to periods that benefit from use of the assets.</w:t>
            </w:r>
          </w:p>
        </w:tc>
      </w:tr>
      <w:tr w:rsidR="005B1AC2" w14:paraId="3A0C5D1D" w14:textId="77777777" w:rsidTr="00D13E53">
        <w:tblPrEx>
          <w:tblCellMar>
            <w:top w:w="0" w:type="dxa"/>
            <w:left w:w="0" w:type="dxa"/>
            <w:bottom w:w="0" w:type="dxa"/>
            <w:right w:w="0" w:type="dxa"/>
          </w:tblCellMar>
        </w:tblPrEx>
        <w:tc>
          <w:tcPr>
            <w:tcW w:w="0" w:type="auto"/>
          </w:tcPr>
          <w:p w14:paraId="56C4C4A7" w14:textId="77777777" w:rsidR="005B1AC2" w:rsidRDefault="00000000">
            <w:pPr>
              <w:pStyle w:val="TableCell"/>
            </w:pPr>
            <w:r>
              <w:t>Stock-based compensation expense</w:t>
            </w:r>
          </w:p>
        </w:tc>
        <w:tc>
          <w:tcPr>
            <w:tcW w:w="0" w:type="auto"/>
          </w:tcPr>
          <w:p w14:paraId="55B91FF8" w14:textId="77777777" w:rsidR="005B1AC2" w:rsidRDefault="00000000">
            <w:pPr>
              <w:pStyle w:val="TableCell"/>
            </w:pPr>
            <w:r>
              <w:t>Amount of noncash expense for share-based payment arrangement. **The cost incurred by a company when it grants its employees or executives stock options, restricted stock units (RSUs), or other equity-based incentives as part of their compensation package</w:t>
            </w:r>
          </w:p>
        </w:tc>
      </w:tr>
      <w:tr w:rsidR="005B1AC2" w14:paraId="0B0F124A" w14:textId="77777777" w:rsidTr="00D13E53">
        <w:tblPrEx>
          <w:tblCellMar>
            <w:top w:w="0" w:type="dxa"/>
            <w:left w:w="0" w:type="dxa"/>
            <w:bottom w:w="0" w:type="dxa"/>
            <w:right w:w="0" w:type="dxa"/>
          </w:tblCellMar>
        </w:tblPrEx>
        <w:tc>
          <w:tcPr>
            <w:tcW w:w="0" w:type="auto"/>
          </w:tcPr>
          <w:p w14:paraId="075CEA38" w14:textId="77777777" w:rsidR="005B1AC2" w:rsidRDefault="00000000">
            <w:pPr>
              <w:pStyle w:val="TableCell"/>
            </w:pPr>
            <w:r>
              <w:t>Other non-cash items</w:t>
            </w:r>
          </w:p>
        </w:tc>
        <w:tc>
          <w:tcPr>
            <w:tcW w:w="0" w:type="auto"/>
          </w:tcPr>
          <w:p w14:paraId="1292212A" w14:textId="77777777" w:rsidR="005B1AC2" w:rsidRDefault="00000000">
            <w:pPr>
              <w:pStyle w:val="TableCell"/>
            </w:pPr>
            <w:r>
              <w:t>Amount of income (expense) included in net income that results in no cash inflow (outflow), classified as other. **Various income or expense items that impact net income but do not result in a direct cash flow</w:t>
            </w:r>
          </w:p>
        </w:tc>
      </w:tr>
      <w:tr w:rsidR="005B1AC2" w14:paraId="6ED1534D" w14:textId="77777777" w:rsidTr="00D13E53">
        <w:tblPrEx>
          <w:tblCellMar>
            <w:top w:w="0" w:type="dxa"/>
            <w:left w:w="0" w:type="dxa"/>
            <w:bottom w:w="0" w:type="dxa"/>
            <w:right w:w="0" w:type="dxa"/>
          </w:tblCellMar>
        </w:tblPrEx>
        <w:tc>
          <w:tcPr>
            <w:tcW w:w="0" w:type="auto"/>
          </w:tcPr>
          <w:p w14:paraId="5C3D660A" w14:textId="77777777" w:rsidR="005B1AC2" w:rsidRDefault="00000000">
            <w:pPr>
              <w:pStyle w:val="TableCell"/>
            </w:pPr>
            <w:r>
              <w:t>Deferred taxes</w:t>
            </w:r>
          </w:p>
        </w:tc>
        <w:tc>
          <w:tcPr>
            <w:tcW w:w="0" w:type="auto"/>
          </w:tcPr>
          <w:p w14:paraId="3A808093" w14:textId="77777777" w:rsidR="005B1AC2" w:rsidRDefault="00000000">
            <w:pPr>
              <w:pStyle w:val="TableCell"/>
            </w:pPr>
            <w:r>
              <w:t xml:space="preserve">Deferred income taxes. **Postponing the recognition and payment of income taxes to future periods. The value of some assets may be different for financial reporting and for tax purposes. The difference in value </w:t>
            </w:r>
          </w:p>
        </w:tc>
      </w:tr>
      <w:tr w:rsidR="005B1AC2" w14:paraId="3CE44C2C" w14:textId="77777777" w:rsidTr="00D13E53">
        <w:tblPrEx>
          <w:tblCellMar>
            <w:top w:w="0" w:type="dxa"/>
            <w:left w:w="0" w:type="dxa"/>
            <w:bottom w:w="0" w:type="dxa"/>
            <w:right w:w="0" w:type="dxa"/>
          </w:tblCellMar>
        </w:tblPrEx>
        <w:tc>
          <w:tcPr>
            <w:tcW w:w="0" w:type="auto"/>
          </w:tcPr>
          <w:p w14:paraId="6F75B13F" w14:textId="77777777" w:rsidR="005B1AC2" w:rsidRDefault="00000000">
            <w:pPr>
              <w:pStyle w:val="TableCell"/>
            </w:pPr>
            <w:r>
              <w:t>Net cash (used in) provided by operating activities</w:t>
            </w:r>
          </w:p>
        </w:tc>
        <w:tc>
          <w:tcPr>
            <w:tcW w:w="0" w:type="auto"/>
          </w:tcPr>
          <w:p w14:paraId="111DBCE5" w14:textId="77777777" w:rsidR="005B1AC2" w:rsidRDefault="00000000">
            <w:pPr>
              <w:pStyle w:val="TableCell"/>
            </w:pPr>
            <w:r>
              <w:t>Amount of cash inflow (outflow) from operating activities, including discontinued operations. Operating activity cash flows include transactions, adjustments, and changes in value not defined as investing or financing activities.</w:t>
            </w:r>
          </w:p>
        </w:tc>
      </w:tr>
      <w:tr w:rsidR="005B1AC2" w14:paraId="20B69AC7" w14:textId="77777777" w:rsidTr="00D13E53">
        <w:tblPrEx>
          <w:tblCellMar>
            <w:top w:w="0" w:type="dxa"/>
            <w:left w:w="0" w:type="dxa"/>
            <w:bottom w:w="0" w:type="dxa"/>
            <w:right w:w="0" w:type="dxa"/>
          </w:tblCellMar>
        </w:tblPrEx>
        <w:tc>
          <w:tcPr>
            <w:tcW w:w="0" w:type="auto"/>
          </w:tcPr>
          <w:p w14:paraId="1D4B098E" w14:textId="77777777" w:rsidR="005B1AC2" w:rsidRDefault="00000000">
            <w:pPr>
              <w:pStyle w:val="TableCell"/>
            </w:pPr>
            <w:r>
              <w:lastRenderedPageBreak/>
              <w:t>Purchases of property and equipment</w:t>
            </w:r>
          </w:p>
        </w:tc>
        <w:tc>
          <w:tcPr>
            <w:tcW w:w="0" w:type="auto"/>
          </w:tcPr>
          <w:p w14:paraId="62BA50B2" w14:textId="77777777" w:rsidR="005B1AC2" w:rsidRDefault="00000000">
            <w:pPr>
              <w:pStyle w:val="TableCell"/>
            </w:pPr>
            <w:r>
              <w:t>The cash outflow associated with the acquisition of long-lived, physical assets that are used in the normal conduct of business to produce goods and services and not intended for resale; includes cash outflows to pay for construction of self-constructed assets.</w:t>
            </w:r>
          </w:p>
        </w:tc>
      </w:tr>
      <w:tr w:rsidR="005B1AC2" w14:paraId="73A3CFAD" w14:textId="77777777" w:rsidTr="00D13E53">
        <w:tblPrEx>
          <w:tblCellMar>
            <w:top w:w="0" w:type="dxa"/>
            <w:left w:w="0" w:type="dxa"/>
            <w:bottom w:w="0" w:type="dxa"/>
            <w:right w:w="0" w:type="dxa"/>
          </w:tblCellMar>
        </w:tblPrEx>
        <w:tc>
          <w:tcPr>
            <w:tcW w:w="0" w:type="auto"/>
          </w:tcPr>
          <w:p w14:paraId="185C7D2B" w14:textId="77777777" w:rsidR="005B1AC2" w:rsidRDefault="00000000">
            <w:pPr>
              <w:pStyle w:val="TableCell"/>
            </w:pPr>
            <w:r>
              <w:t>Other assets</w:t>
            </w:r>
          </w:p>
        </w:tc>
        <w:tc>
          <w:tcPr>
            <w:tcW w:w="0" w:type="auto"/>
          </w:tcPr>
          <w:p w14:paraId="2F3A88EE" w14:textId="77777777" w:rsidR="005B1AC2" w:rsidRDefault="00000000">
            <w:pPr>
              <w:pStyle w:val="TableCell"/>
            </w:pPr>
            <w:r>
              <w:t>Amount of cash (inflow) outflow from investing activities classified as other. Payments for (Proceeds from) Other Investing Activities</w:t>
            </w:r>
          </w:p>
        </w:tc>
      </w:tr>
      <w:tr w:rsidR="005B1AC2" w14:paraId="1C9453BA" w14:textId="77777777" w:rsidTr="00D13E53">
        <w:tblPrEx>
          <w:tblCellMar>
            <w:top w:w="0" w:type="dxa"/>
            <w:left w:w="0" w:type="dxa"/>
            <w:bottom w:w="0" w:type="dxa"/>
            <w:right w:w="0" w:type="dxa"/>
          </w:tblCellMar>
        </w:tblPrEx>
        <w:tc>
          <w:tcPr>
            <w:tcW w:w="0" w:type="auto"/>
          </w:tcPr>
          <w:p w14:paraId="6E63090B" w14:textId="77777777" w:rsidR="005B1AC2" w:rsidRDefault="00000000">
            <w:pPr>
              <w:pStyle w:val="TableCell"/>
            </w:pPr>
            <w:r>
              <w:t>Purchases of short-term investments</w:t>
            </w:r>
          </w:p>
        </w:tc>
        <w:tc>
          <w:tcPr>
            <w:tcW w:w="0" w:type="auto"/>
          </w:tcPr>
          <w:p w14:paraId="685EEC18" w14:textId="77777777" w:rsidR="005B1AC2" w:rsidRDefault="00000000">
            <w:pPr>
              <w:pStyle w:val="TableCell"/>
            </w:pPr>
            <w:r>
              <w:t>The cash outflow for securities or other assets acquired, which qualify for treatment as an investing activity and are to be liquidated, if necessary, within the current operating cycle. Includes cash flows from securities classified as trading securities that were acquired for reasons other than sale in the short-term.</w:t>
            </w:r>
          </w:p>
        </w:tc>
      </w:tr>
      <w:tr w:rsidR="005B1AC2" w14:paraId="212A40F8" w14:textId="77777777" w:rsidTr="00D13E53">
        <w:tblPrEx>
          <w:tblCellMar>
            <w:top w:w="0" w:type="dxa"/>
            <w:left w:w="0" w:type="dxa"/>
            <w:bottom w:w="0" w:type="dxa"/>
            <w:right w:w="0" w:type="dxa"/>
          </w:tblCellMar>
        </w:tblPrEx>
        <w:tc>
          <w:tcPr>
            <w:tcW w:w="0" w:type="auto"/>
          </w:tcPr>
          <w:p w14:paraId="015CB57B" w14:textId="77777777" w:rsidR="005B1AC2" w:rsidRDefault="00000000">
            <w:pPr>
              <w:pStyle w:val="TableCell"/>
            </w:pPr>
            <w:r>
              <w:t>Net cash provided by (used in) investing activities</w:t>
            </w:r>
          </w:p>
        </w:tc>
        <w:tc>
          <w:tcPr>
            <w:tcW w:w="0" w:type="auto"/>
          </w:tcPr>
          <w:p w14:paraId="5CAAD7EB" w14:textId="77777777" w:rsidR="005B1AC2" w:rsidRDefault="00000000">
            <w:pPr>
              <w:pStyle w:val="TableCell"/>
            </w:pPr>
            <w:r>
              <w:t>Amount of cash inflow (outflow) from investing activities, including discontinued operations. Investing activity cash flows include making and collecting loans and acquiring and disposing of debt or equity instruments and property, plant, and equipment and other productive assets.</w:t>
            </w:r>
          </w:p>
        </w:tc>
      </w:tr>
      <w:tr w:rsidR="005B1AC2" w14:paraId="60B45A2A" w14:textId="77777777" w:rsidTr="00D13E53">
        <w:tblPrEx>
          <w:tblCellMar>
            <w:top w:w="0" w:type="dxa"/>
            <w:left w:w="0" w:type="dxa"/>
            <w:bottom w:w="0" w:type="dxa"/>
            <w:right w:w="0" w:type="dxa"/>
          </w:tblCellMar>
        </w:tblPrEx>
        <w:tc>
          <w:tcPr>
            <w:tcW w:w="0" w:type="auto"/>
          </w:tcPr>
          <w:p w14:paraId="6D0B2CED" w14:textId="77777777" w:rsidR="005B1AC2" w:rsidRDefault="00000000">
            <w:pPr>
              <w:pStyle w:val="TableCell"/>
            </w:pPr>
            <w:r>
              <w:t>Net cash provided by (used in) financing activities</w:t>
            </w:r>
          </w:p>
        </w:tc>
        <w:tc>
          <w:tcPr>
            <w:tcW w:w="0" w:type="auto"/>
          </w:tcPr>
          <w:p w14:paraId="60C78133" w14:textId="77777777" w:rsidR="005B1AC2" w:rsidRDefault="00000000">
            <w:pPr>
              <w:pStyle w:val="TableCell"/>
            </w:pPr>
            <w:r>
              <w:t>Amount of cash inflow (outflow) from financing activities, including discontinued operations. Financing activity cash flows include obtaining resources from owners and providing them with a return on, and a return of, their investment; borrowing money and repaying amounts borrowed, or settling the obligation; and obtaining and paying for other resources obtained from creditors on long-term credit.</w:t>
            </w:r>
          </w:p>
        </w:tc>
      </w:tr>
      <w:tr w:rsidR="005B1AC2" w14:paraId="22C97132" w14:textId="77777777" w:rsidTr="00D13E53">
        <w:tblPrEx>
          <w:tblCellMar>
            <w:top w:w="0" w:type="dxa"/>
            <w:left w:w="0" w:type="dxa"/>
            <w:bottom w:w="0" w:type="dxa"/>
            <w:right w:w="0" w:type="dxa"/>
          </w:tblCellMar>
        </w:tblPrEx>
        <w:tc>
          <w:tcPr>
            <w:tcW w:w="0" w:type="auto"/>
          </w:tcPr>
          <w:p w14:paraId="01F3F8E5" w14:textId="77777777" w:rsidR="005B1AC2" w:rsidRDefault="00000000">
            <w:pPr>
              <w:pStyle w:val="TableCell"/>
            </w:pPr>
            <w:r>
              <w:t>Cash and cash equivalents, end of year</w:t>
            </w:r>
          </w:p>
        </w:tc>
        <w:tc>
          <w:tcPr>
            <w:tcW w:w="0" w:type="auto"/>
          </w:tcPr>
          <w:p w14:paraId="07A0116F" w14:textId="77777777" w:rsidR="005B1AC2" w:rsidRDefault="00000000">
            <w:pPr>
              <w:pStyle w:val="TableCell"/>
            </w:pPr>
            <w:r>
              <w:t>Amount of cash and cash equivalents, and cash and cash equivalents restricted to withdrawal or usage. Excludes amount for disposal group and discontinued operations. Cash includes, but is not limited to, currency on hand, demand deposits with banks or financial institutions, and other accounts with general characteristics of demand deposits. Cash equivalents include, but are not limited to, short-term, highly liquid investments that are both readily convertible to known amounts of cash and so near their maturity that they present insignificant risk of changes in value because of changes in interest rates.</w:t>
            </w:r>
          </w:p>
        </w:tc>
      </w:tr>
      <w:tr w:rsidR="005B1AC2" w14:paraId="06DEDD24" w14:textId="77777777" w:rsidTr="00D13E53">
        <w:tblPrEx>
          <w:tblCellMar>
            <w:top w:w="0" w:type="dxa"/>
            <w:left w:w="0" w:type="dxa"/>
            <w:bottom w:w="0" w:type="dxa"/>
            <w:right w:w="0" w:type="dxa"/>
          </w:tblCellMar>
        </w:tblPrEx>
        <w:tc>
          <w:tcPr>
            <w:tcW w:w="0" w:type="auto"/>
          </w:tcPr>
          <w:p w14:paraId="25085988" w14:textId="77777777" w:rsidR="005B1AC2" w:rsidRDefault="00000000">
            <w:pPr>
              <w:pStyle w:val="TableCell"/>
            </w:pPr>
            <w:r>
              <w:t>Paid Subscriptions</w:t>
            </w:r>
          </w:p>
        </w:tc>
        <w:tc>
          <w:tcPr>
            <w:tcW w:w="0" w:type="auto"/>
          </w:tcPr>
          <w:p w14:paraId="4C5F80D9" w14:textId="77777777" w:rsidR="005B1AC2" w:rsidRDefault="00000000">
            <w:pPr>
              <w:pStyle w:val="TableCell"/>
            </w:pPr>
            <w:r>
              <w:t>A membership that has the right to receive Netflix service following sign-up and a method of payment being provided, and that is not part of a free trial or certain other promotions that may be offered by the Company to new or rejoining members. Certain members have the option to add extra member sub accounts. These extra member sub accounts are not included in paid memberships. Data at the end of the period.</w:t>
            </w:r>
          </w:p>
        </w:tc>
      </w:tr>
      <w:tr w:rsidR="005B1AC2" w14:paraId="61C8BDBF" w14:textId="77777777" w:rsidTr="00D13E53">
        <w:tblPrEx>
          <w:tblCellMar>
            <w:top w:w="0" w:type="dxa"/>
            <w:left w:w="0" w:type="dxa"/>
            <w:bottom w:w="0" w:type="dxa"/>
            <w:right w:w="0" w:type="dxa"/>
          </w:tblCellMar>
        </w:tblPrEx>
        <w:tc>
          <w:tcPr>
            <w:tcW w:w="0" w:type="auto"/>
          </w:tcPr>
          <w:p w14:paraId="2ED650D9" w14:textId="77777777" w:rsidR="005B1AC2" w:rsidRDefault="00000000">
            <w:pPr>
              <w:pStyle w:val="TableCell"/>
            </w:pPr>
            <w:r>
              <w:t>Total Users</w:t>
            </w:r>
          </w:p>
        </w:tc>
        <w:tc>
          <w:tcPr>
            <w:tcW w:w="0" w:type="auto"/>
          </w:tcPr>
          <w:p w14:paraId="6EE85318" w14:textId="77777777" w:rsidR="005B1AC2" w:rsidRDefault="00000000">
            <w:pPr>
              <w:pStyle w:val="TableCell"/>
            </w:pPr>
            <w:r>
              <w:t>Total members include those who are on a free-trial as long as a method of payment has been provided</w:t>
            </w:r>
          </w:p>
        </w:tc>
      </w:tr>
      <w:tr w:rsidR="005B1AC2" w14:paraId="51751942" w14:textId="77777777" w:rsidTr="00D13E53">
        <w:tblPrEx>
          <w:tblCellMar>
            <w:top w:w="0" w:type="dxa"/>
            <w:left w:w="0" w:type="dxa"/>
            <w:bottom w:w="0" w:type="dxa"/>
            <w:right w:w="0" w:type="dxa"/>
          </w:tblCellMar>
        </w:tblPrEx>
        <w:tc>
          <w:tcPr>
            <w:tcW w:w="0" w:type="auto"/>
          </w:tcPr>
          <w:p w14:paraId="6D24364E" w14:textId="77777777" w:rsidR="005B1AC2" w:rsidRDefault="00000000">
            <w:pPr>
              <w:pStyle w:val="TableCell"/>
            </w:pPr>
            <w:r>
              <w:t>Total Joining Users</w:t>
            </w:r>
          </w:p>
        </w:tc>
        <w:tc>
          <w:tcPr>
            <w:tcW w:w="0" w:type="auto"/>
          </w:tcPr>
          <w:p w14:paraId="21443A16" w14:textId="502C8E8C" w:rsidR="005B1AC2" w:rsidRDefault="00000000">
            <w:pPr>
              <w:pStyle w:val="TableCell"/>
            </w:pPr>
            <w:r>
              <w:t xml:space="preserve">**Difference from year to year in total users at the end of the period. Some </w:t>
            </w:r>
            <w:r w:rsidR="00D13E53">
              <w:t>values were estimated using interpolation. Data created by the authors using reported data.</w:t>
            </w:r>
          </w:p>
        </w:tc>
      </w:tr>
      <w:tr w:rsidR="005B1AC2" w14:paraId="4004E808" w14:textId="77777777" w:rsidTr="00D13E53">
        <w:tblPrEx>
          <w:tblCellMar>
            <w:top w:w="0" w:type="dxa"/>
            <w:left w:w="0" w:type="dxa"/>
            <w:bottom w:w="0" w:type="dxa"/>
            <w:right w:w="0" w:type="dxa"/>
          </w:tblCellMar>
        </w:tblPrEx>
        <w:tc>
          <w:tcPr>
            <w:tcW w:w="0" w:type="auto"/>
          </w:tcPr>
          <w:p w14:paraId="1456ECD2" w14:textId="77777777" w:rsidR="005B1AC2" w:rsidRDefault="00000000">
            <w:pPr>
              <w:pStyle w:val="TableCell"/>
            </w:pPr>
            <w:r>
              <w:t>Total Joining Paid Users</w:t>
            </w:r>
          </w:p>
        </w:tc>
        <w:tc>
          <w:tcPr>
            <w:tcW w:w="0" w:type="auto"/>
          </w:tcPr>
          <w:p w14:paraId="65C7E0B8" w14:textId="5586FA71" w:rsidR="005B1AC2" w:rsidRDefault="00000000">
            <w:pPr>
              <w:pStyle w:val="TableCell"/>
            </w:pPr>
            <w:r>
              <w:t xml:space="preserve">**Difference from year to year in paid subscriptions at the end of the period. </w:t>
            </w:r>
            <w:r w:rsidR="00D13E53">
              <w:t>Data created by the authors using reported data.</w:t>
            </w:r>
          </w:p>
        </w:tc>
      </w:tr>
    </w:tbl>
    <w:p w14:paraId="1746580C" w14:textId="77777777" w:rsidR="00000000" w:rsidRDefault="00000000"/>
    <w:p w14:paraId="6F0F0834" w14:textId="28EE7EB9" w:rsidR="00D13E53" w:rsidRDefault="00D13E53">
      <w:r>
        <w:t>Description of financial data gathered from 10-K reports by Netflix. Comments by the authors of the paper are marked with the symbol “**”.</w:t>
      </w:r>
    </w:p>
    <w:sectPr w:rsidR="00D13E53">
      <w:headerReference w:type="default" r:id="rId7"/>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CE03F" w14:textId="77777777" w:rsidR="007C59BB" w:rsidRDefault="007C59BB">
      <w:r>
        <w:separator/>
      </w:r>
    </w:p>
  </w:endnote>
  <w:endnote w:type="continuationSeparator" w:id="0">
    <w:p w14:paraId="0F7B1E4B" w14:textId="77777777" w:rsidR="007C59BB" w:rsidRDefault="007C5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43E3C" w14:textId="77777777" w:rsidR="00000000" w:rsidRDefault="00000000">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4E753" w14:textId="77777777" w:rsidR="007C59BB" w:rsidRDefault="007C59BB">
      <w:r>
        <w:separator/>
      </w:r>
    </w:p>
  </w:footnote>
  <w:footnote w:type="continuationSeparator" w:id="0">
    <w:p w14:paraId="23572750" w14:textId="77777777" w:rsidR="007C59BB" w:rsidRDefault="007C59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78273" w14:textId="77777777" w:rsidR="00000000"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EE4FDB"/>
    <w:multiLevelType w:val="hybridMultilevel"/>
    <w:tmpl w:val="8D06A992"/>
    <w:lvl w:ilvl="0" w:tplc="DE48F43E">
      <w:start w:val="1"/>
      <w:numFmt w:val="bullet"/>
      <w:lvlText w:val="●"/>
      <w:lvlJc w:val="left"/>
      <w:pPr>
        <w:ind w:left="720" w:hanging="360"/>
      </w:pPr>
    </w:lvl>
    <w:lvl w:ilvl="1" w:tplc="906E6F9C">
      <w:start w:val="1"/>
      <w:numFmt w:val="bullet"/>
      <w:lvlText w:val="○"/>
      <w:lvlJc w:val="left"/>
      <w:pPr>
        <w:ind w:left="1440" w:hanging="360"/>
      </w:pPr>
    </w:lvl>
    <w:lvl w:ilvl="2" w:tplc="412E16F6">
      <w:start w:val="1"/>
      <w:numFmt w:val="bullet"/>
      <w:lvlText w:val="■"/>
      <w:lvlJc w:val="left"/>
      <w:pPr>
        <w:ind w:left="2160" w:hanging="360"/>
      </w:pPr>
    </w:lvl>
    <w:lvl w:ilvl="3" w:tplc="1DE2D1DE">
      <w:start w:val="1"/>
      <w:numFmt w:val="bullet"/>
      <w:lvlText w:val="●"/>
      <w:lvlJc w:val="left"/>
      <w:pPr>
        <w:ind w:left="2880" w:hanging="360"/>
      </w:pPr>
    </w:lvl>
    <w:lvl w:ilvl="4" w:tplc="E9E48C3E">
      <w:start w:val="1"/>
      <w:numFmt w:val="bullet"/>
      <w:lvlText w:val="○"/>
      <w:lvlJc w:val="left"/>
      <w:pPr>
        <w:ind w:left="3600" w:hanging="360"/>
      </w:pPr>
    </w:lvl>
    <w:lvl w:ilvl="5" w:tplc="899CAB88">
      <w:start w:val="1"/>
      <w:numFmt w:val="bullet"/>
      <w:lvlText w:val="■"/>
      <w:lvlJc w:val="left"/>
      <w:pPr>
        <w:ind w:left="4320" w:hanging="360"/>
      </w:pPr>
    </w:lvl>
    <w:lvl w:ilvl="6" w:tplc="F2ECEC80">
      <w:start w:val="1"/>
      <w:numFmt w:val="bullet"/>
      <w:lvlText w:val="●"/>
      <w:lvlJc w:val="left"/>
      <w:pPr>
        <w:ind w:left="5040" w:hanging="360"/>
      </w:pPr>
    </w:lvl>
    <w:lvl w:ilvl="7" w:tplc="6D70D41A">
      <w:start w:val="1"/>
      <w:numFmt w:val="bullet"/>
      <w:lvlText w:val="●"/>
      <w:lvlJc w:val="left"/>
      <w:pPr>
        <w:ind w:left="5760" w:hanging="360"/>
      </w:pPr>
    </w:lvl>
    <w:lvl w:ilvl="8" w:tplc="99B41F18">
      <w:start w:val="1"/>
      <w:numFmt w:val="bullet"/>
      <w:lvlText w:val="●"/>
      <w:lvlJc w:val="left"/>
      <w:pPr>
        <w:ind w:left="6480" w:hanging="360"/>
      </w:pPr>
    </w:lvl>
  </w:abstractNum>
  <w:num w:numId="1" w16cid:durableId="1353606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B1AC2"/>
    <w:rsid w:val="005B1AC2"/>
    <w:rsid w:val="007C59BB"/>
    <w:rsid w:val="00D13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78AA5"/>
  <w15:docId w15:val="{9DA206A6-D185-4246-936B-95CBB286D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120"/>
      <w:outlineLvl w:val="0"/>
    </w:pPr>
    <w:rPr>
      <w:b/>
      <w:i/>
      <w:color w:val="FF0000"/>
      <w:sz w:val="28"/>
      <w:szCs w:val="28"/>
    </w:rPr>
  </w:style>
  <w:style w:type="paragraph" w:styleId="Heading2">
    <w:name w:val="heading 2"/>
    <w:uiPriority w:val="9"/>
    <w:semiHidden/>
    <w:unhideWhenUsed/>
    <w:qFormat/>
    <w:pPr>
      <w:spacing w:before="240" w:after="120"/>
      <w:outlineLvl w:val="1"/>
    </w:pPr>
    <w:rPr>
      <w:b/>
      <w:sz w:val="26"/>
      <w:szCs w:val="26"/>
      <w:u w:val="double" w:color="FF0000"/>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TableCell">
    <w:name w:val="TableCell"/>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1434</Words>
  <Characters>8178</Characters>
  <Application>Microsoft Office Word</Application>
  <DocSecurity>0</DocSecurity>
  <Lines>68</Lines>
  <Paragraphs>19</Paragraphs>
  <ScaleCrop>false</ScaleCrop>
  <Company/>
  <LinksUpToDate>false</LinksUpToDate>
  <CharactersWithSpaces>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Document</dc:title>
  <dc:creator>ConvertCsv.com CSV to Word</dc:creator>
  <dc:description>CSV to Word</dc:description>
  <cp:lastModifiedBy>Gabi Tuc</cp:lastModifiedBy>
  <cp:revision>2</cp:revision>
  <dcterms:created xsi:type="dcterms:W3CDTF">2023-08-03T14:49:00Z</dcterms:created>
  <dcterms:modified xsi:type="dcterms:W3CDTF">2023-08-03T12:56:00Z</dcterms:modified>
</cp:coreProperties>
</file>