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FE8C26" w14:textId="77777777" w:rsidR="00D1033E" w:rsidRDefault="00D1033E" w:rsidP="00EB729A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noProof/>
          <w:sz w:val="32"/>
          <w:szCs w:val="32"/>
          <w:lang w:val="en-CA" w:eastAsia="en-CA"/>
        </w:rPr>
        <w:drawing>
          <wp:inline distT="0" distB="0" distL="0" distR="0" wp14:anchorId="5C18BBB0" wp14:editId="3BE5324B">
            <wp:extent cx="998855" cy="473075"/>
            <wp:effectExtent l="0" t="0" r="0" b="3175"/>
            <wp:docPr id="5" name="Picture 5" descr="C:\Users\bmarsden\Desktop\SGC Phase 3 Templates\logos\SGC_PB_correct_font_new_rever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marsden\Desktop\SGC Phase 3 Templates\logos\SGC_PB_correct_font_new_revers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37FEB" w14:textId="60EA71F1" w:rsidR="006E0C30" w:rsidRDefault="00D1033E" w:rsidP="00EB729A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PRMT7</w:t>
      </w:r>
      <w:r w:rsidRPr="007F061C">
        <w:rPr>
          <w:b/>
          <w:sz w:val="32"/>
          <w:szCs w:val="32"/>
        </w:rPr>
        <w:t xml:space="preserve"> </w:t>
      </w:r>
      <w:r w:rsidR="00F47D5E">
        <w:rPr>
          <w:b/>
          <w:sz w:val="32"/>
          <w:szCs w:val="32"/>
        </w:rPr>
        <w:t>cellular assay</w:t>
      </w:r>
      <w:r w:rsidR="009F2E17">
        <w:rPr>
          <w:b/>
          <w:sz w:val="32"/>
          <w:szCs w:val="32"/>
        </w:rPr>
        <w:t>-</w:t>
      </w:r>
      <w:r w:rsidR="00F47D5E">
        <w:rPr>
          <w:b/>
          <w:sz w:val="32"/>
          <w:szCs w:val="32"/>
        </w:rPr>
        <w:t>m</w:t>
      </w:r>
      <w:r w:rsidR="009F2E17">
        <w:rPr>
          <w:b/>
          <w:sz w:val="32"/>
          <w:szCs w:val="32"/>
        </w:rPr>
        <w:t>ethods</w:t>
      </w:r>
    </w:p>
    <w:p w14:paraId="3911A2F2" w14:textId="699FFE63" w:rsidR="00D1033E" w:rsidRPr="009F2E17" w:rsidRDefault="009F2E17" w:rsidP="00EB729A">
      <w:pPr>
        <w:jc w:val="both"/>
        <w:rPr>
          <w:b/>
          <w:bCs/>
        </w:rPr>
      </w:pPr>
      <w:r w:rsidRPr="009F2E17">
        <w:rPr>
          <w:b/>
          <w:bCs/>
        </w:rPr>
        <w:t>Magdalena Szewczyk</w:t>
      </w:r>
    </w:p>
    <w:p w14:paraId="20D300D3" w14:textId="77777777" w:rsidR="009F2E17" w:rsidRDefault="009F2E17" w:rsidP="003040FC">
      <w:pPr>
        <w:jc w:val="both"/>
      </w:pPr>
    </w:p>
    <w:p w14:paraId="4F1A2A0C" w14:textId="0C151D4C" w:rsidR="003040FC" w:rsidRDefault="003040FC" w:rsidP="003040FC">
      <w:pPr>
        <w:jc w:val="both"/>
        <w:rPr>
          <w:rFonts w:ascii="Times" w:hAnsi="Times" w:cs="Times"/>
          <w:color w:val="222222"/>
          <w:sz w:val="27"/>
          <w:szCs w:val="27"/>
          <w:shd w:val="clear" w:color="auto" w:fill="FFFFFF"/>
        </w:rPr>
      </w:pPr>
      <w:r>
        <w:t>C</w:t>
      </w:r>
      <w:r w:rsidRPr="009A07D6">
        <w:t xml:space="preserve">ells were grown in 12-well plates in DMEM supplemented with 10% FBS, penicillin (100 units/mL) and streptomycin (100 µg/mL). </w:t>
      </w:r>
      <w:r>
        <w:t xml:space="preserve">For knock-down (KD) experiments </w:t>
      </w:r>
      <w:r w:rsidRPr="009A07D6">
        <w:t>40% confluent cells were transfected</w:t>
      </w:r>
      <w:r>
        <w:t xml:space="preserve"> with</w:t>
      </w:r>
      <w:r w:rsidRPr="009A07D6">
        <w:t xml:space="preserve"> 15 nM of either control siRNA or siRNA against PRMT7 (Dharmacon) using</w:t>
      </w:r>
      <w:r w:rsidRPr="009A07D6">
        <w:rPr>
          <w:shd w:val="clear" w:color="auto" w:fill="FFFFFF"/>
        </w:rPr>
        <w:t xml:space="preserve"> Lipofectamine™ RNAiMAX</w:t>
      </w:r>
      <w:r w:rsidRPr="009A07D6">
        <w:t xml:space="preserve">, following manufacturer instructions. Cells were </w:t>
      </w:r>
      <w:r>
        <w:t>harvested</w:t>
      </w:r>
      <w:r w:rsidRPr="009A07D6">
        <w:t xml:space="preserve"> after 3 days</w:t>
      </w:r>
      <w:r>
        <w:t>. For the inhibition experiment,</w:t>
      </w:r>
      <w:r>
        <w:rPr>
          <w:b/>
        </w:rPr>
        <w:t xml:space="preserve"> </w:t>
      </w:r>
      <w:r w:rsidRPr="004928FD">
        <w:t>40% confluent</w:t>
      </w:r>
      <w:r>
        <w:t xml:space="preserve"> C2C12</w:t>
      </w:r>
      <w:r w:rsidRPr="004928FD">
        <w:t xml:space="preserve"> cells </w:t>
      </w:r>
      <w:r>
        <w:t>were</w:t>
      </w:r>
      <w:r w:rsidRPr="004928FD">
        <w:t xml:space="preserve"> treated with different concentrations of </w:t>
      </w:r>
      <w:r>
        <w:t>SGC3027, SGC3027N,</w:t>
      </w:r>
      <w:r w:rsidRPr="004928FD">
        <w:t xml:space="preserve"> or DMSO control for 48 h. Cells </w:t>
      </w:r>
      <w:r>
        <w:t>were</w:t>
      </w:r>
      <w:r w:rsidRPr="004928FD">
        <w:t xml:space="preserve"> lysed</w:t>
      </w:r>
      <w:r w:rsidRPr="009A07D6">
        <w:rPr>
          <w:color w:val="000000" w:themeColor="text1"/>
        </w:rPr>
        <w:t xml:space="preserve"> </w:t>
      </w:r>
      <w:r w:rsidRPr="004D1676">
        <w:rPr>
          <w:color w:val="000000" w:themeColor="text1"/>
        </w:rPr>
        <w:t>in 100 µL of total lysis buffer (20 mM Tris-HCl pH 8, 150 mM NaCl, 1 mM EDTA, 10 mM MgCl</w:t>
      </w:r>
      <w:r w:rsidRPr="004D1676">
        <w:rPr>
          <w:color w:val="000000" w:themeColor="text1"/>
          <w:vertAlign w:val="subscript"/>
        </w:rPr>
        <w:t>2</w:t>
      </w:r>
      <w:r w:rsidRPr="004D1676">
        <w:rPr>
          <w:color w:val="000000" w:themeColor="text1"/>
        </w:rPr>
        <w:t xml:space="preserve">, 0.5% TritonX-100, 12.5 U/mL benzonase (Sigma), complete EDTA-free protease inhibitor cocktail (Roche)). After 3 min incubation at RT, SDS </w:t>
      </w:r>
      <w:r>
        <w:rPr>
          <w:color w:val="000000" w:themeColor="text1"/>
        </w:rPr>
        <w:t>was</w:t>
      </w:r>
      <w:r w:rsidRPr="004D1676">
        <w:rPr>
          <w:color w:val="000000" w:themeColor="text1"/>
        </w:rPr>
        <w:t xml:space="preserve"> added to </w:t>
      </w:r>
      <w:r>
        <w:rPr>
          <w:color w:val="000000" w:themeColor="text1"/>
        </w:rPr>
        <w:t xml:space="preserve">the </w:t>
      </w:r>
      <w:r w:rsidRPr="004D1676">
        <w:rPr>
          <w:color w:val="000000" w:themeColor="text1"/>
        </w:rPr>
        <w:t>final 1% con</w:t>
      </w:r>
      <w:r>
        <w:rPr>
          <w:color w:val="000000" w:themeColor="text1"/>
        </w:rPr>
        <w:t>centration. Total cell lysates we</w:t>
      </w:r>
      <w:r w:rsidRPr="004D1676">
        <w:rPr>
          <w:color w:val="000000" w:themeColor="text1"/>
        </w:rPr>
        <w:t xml:space="preserve">re resolved in 4-12% Bis-Tris Protein Gels (Invitrogen) with MOPS buffer (Invitrogen) and transferred in for 1.5h (80 V) onto PVDF membrane (Millipore) in Tris-Glycine transfer buffer containing 20% MeOH and 0.05% SDS. Blots </w:t>
      </w:r>
      <w:r>
        <w:rPr>
          <w:color w:val="000000" w:themeColor="text1"/>
        </w:rPr>
        <w:t>we</w:t>
      </w:r>
      <w:r w:rsidRPr="004D1676">
        <w:rPr>
          <w:color w:val="000000" w:themeColor="text1"/>
        </w:rPr>
        <w:t xml:space="preserve">re blocked for 1 h </w:t>
      </w:r>
      <w:r w:rsidRPr="009A07D6">
        <w:rPr>
          <w:color w:val="000000" w:themeColor="text1"/>
        </w:rPr>
        <w:t xml:space="preserve">in blocking buffer (5% milk in TBST: 0.1% Tween 20 PBS) and incubated with primary antibodies: </w:t>
      </w:r>
      <w:r>
        <w:rPr>
          <w:color w:val="000000" w:themeColor="text1"/>
        </w:rPr>
        <w:t xml:space="preserve">anti-HSP70 </w:t>
      </w:r>
      <w:r w:rsidRPr="00EB729A">
        <w:rPr>
          <w:color w:val="000000" w:themeColor="text1"/>
        </w:rPr>
        <w:t>(</w:t>
      </w:r>
      <w:r>
        <w:rPr>
          <w:color w:val="222222"/>
          <w:shd w:val="clear" w:color="auto" w:fill="FFFFFF"/>
        </w:rPr>
        <w:t xml:space="preserve">1:2000, </w:t>
      </w:r>
      <w:r w:rsidRPr="00EB729A">
        <w:rPr>
          <w:color w:val="222222"/>
          <w:shd w:val="clear" w:color="auto" w:fill="FFFFFF"/>
        </w:rPr>
        <w:t>Enzo</w:t>
      </w:r>
      <w:r>
        <w:rPr>
          <w:color w:val="222222"/>
          <w:shd w:val="clear" w:color="auto" w:fill="FFFFFF"/>
        </w:rPr>
        <w:t xml:space="preserve">, </w:t>
      </w:r>
      <w:r w:rsidRPr="00EB729A">
        <w:rPr>
          <w:color w:val="222222"/>
          <w:shd w:val="clear" w:color="auto" w:fill="FFFFFF"/>
        </w:rPr>
        <w:t>#ADI-SPA-820</w:t>
      </w:r>
      <w:r w:rsidRPr="00EB729A">
        <w:rPr>
          <w:color w:val="000000" w:themeColor="text1"/>
        </w:rPr>
        <w:t>),</w:t>
      </w:r>
      <w:r>
        <w:rPr>
          <w:color w:val="000000" w:themeColor="text1"/>
        </w:rPr>
        <w:t xml:space="preserve"> </w:t>
      </w:r>
      <w:r>
        <w:t xml:space="preserve">anti-Rme1 (1:1000, CST, #8015), </w:t>
      </w:r>
      <w:r w:rsidRPr="009A07D6">
        <w:t>anti-PRMT7 (1:1000, Abcam, #ab179822</w:t>
      </w:r>
      <w:r>
        <w:t>),</w:t>
      </w:r>
      <w:r w:rsidRPr="009A07D6">
        <w:t xml:space="preserve"> anti-β-actin (#ab3280,Abcam, 1:3000) </w:t>
      </w:r>
      <w:r w:rsidRPr="009A07D6">
        <w:rPr>
          <w:color w:val="000000" w:themeColor="text1"/>
        </w:rPr>
        <w:t xml:space="preserve">in blocking buffer overnight at 4 ºC. After five washes with 0.1% TBST, the blots were incubated with goat anti-rabbit (IR800 conjugated, LiCor #926-32211) and donkey anti-mouse (IR 680, LiCor #926-68072) antibodies (1:5000) in Odyssey Blocking Buffer (LiCor) for 30 min at RT and washed five times with TBST. </w:t>
      </w:r>
      <w:r w:rsidRPr="009A07D6">
        <w:t>The signal was read on an Odyssey scanner (LiCor) at 800 nm and 700 nm.</w:t>
      </w:r>
      <w:r>
        <w:t xml:space="preserve"> </w:t>
      </w:r>
      <w:r>
        <w:rPr>
          <w:rFonts w:ascii="Times" w:hAnsi="Times" w:cs="Times"/>
          <w:color w:val="222222"/>
          <w:sz w:val="27"/>
          <w:szCs w:val="27"/>
          <w:shd w:val="clear" w:color="auto" w:fill="FFFFFF"/>
        </w:rPr>
        <w:t>The IC</w:t>
      </w:r>
      <w:r>
        <w:rPr>
          <w:rFonts w:ascii="Times" w:hAnsi="Times" w:cs="Times"/>
          <w:color w:val="222222"/>
          <w:sz w:val="20"/>
          <w:szCs w:val="20"/>
          <w:shd w:val="clear" w:color="auto" w:fill="FFFFFF"/>
          <w:vertAlign w:val="subscript"/>
        </w:rPr>
        <w:t>50</w:t>
      </w:r>
      <w:r>
        <w:rPr>
          <w:rFonts w:ascii="Times" w:hAnsi="Times" w:cs="Times"/>
          <w:color w:val="222222"/>
          <w:sz w:val="27"/>
          <w:szCs w:val="27"/>
          <w:shd w:val="clear" w:color="auto" w:fill="FFFFFF"/>
        </w:rPr>
        <w:t> values were determined using GraphPad Prism 7 software.</w:t>
      </w:r>
    </w:p>
    <w:p w14:paraId="2111A45C" w14:textId="15EEE5C5" w:rsidR="009F2E17" w:rsidRDefault="009F2E17" w:rsidP="003040FC">
      <w:pPr>
        <w:jc w:val="both"/>
        <w:rPr>
          <w:rFonts w:ascii="Times" w:hAnsi="Times" w:cs="Times"/>
          <w:color w:val="222222"/>
          <w:sz w:val="27"/>
          <w:szCs w:val="27"/>
          <w:shd w:val="clear" w:color="auto" w:fill="FFFFFF"/>
        </w:rPr>
      </w:pPr>
    </w:p>
    <w:p w14:paraId="08F175E2" w14:textId="3244253C" w:rsidR="009F2E17" w:rsidRDefault="009F2E17" w:rsidP="003040FC">
      <w:pPr>
        <w:jc w:val="both"/>
        <w:rPr>
          <w:rFonts w:ascii="Times" w:hAnsi="Times" w:cs="Times"/>
          <w:color w:val="222222"/>
          <w:sz w:val="27"/>
          <w:szCs w:val="27"/>
          <w:shd w:val="clear" w:color="auto" w:fill="FFFFFF"/>
        </w:rPr>
      </w:pPr>
    </w:p>
    <w:p w14:paraId="7B55493B" w14:textId="11E765DB" w:rsidR="009F2E17" w:rsidRDefault="009F2E17" w:rsidP="003040FC">
      <w:pPr>
        <w:jc w:val="both"/>
        <w:rPr>
          <w:rFonts w:ascii="Times" w:hAnsi="Times" w:cs="Times"/>
          <w:color w:val="222222"/>
          <w:sz w:val="27"/>
          <w:szCs w:val="27"/>
          <w:shd w:val="clear" w:color="auto" w:fill="FFFFFF"/>
        </w:rPr>
      </w:pPr>
    </w:p>
    <w:p w14:paraId="753B3B20" w14:textId="7C584025" w:rsidR="009F2E17" w:rsidRDefault="009F2E17" w:rsidP="003040FC">
      <w:pPr>
        <w:jc w:val="both"/>
        <w:rPr>
          <w:rFonts w:ascii="Times" w:hAnsi="Times" w:cs="Times"/>
          <w:color w:val="222222"/>
          <w:sz w:val="27"/>
          <w:szCs w:val="27"/>
          <w:shd w:val="clear" w:color="auto" w:fill="FFFFFF"/>
        </w:rPr>
      </w:pPr>
    </w:p>
    <w:p w14:paraId="60A1BFA7" w14:textId="38425F62" w:rsidR="009F2E17" w:rsidRDefault="009F2E17" w:rsidP="003040FC">
      <w:pPr>
        <w:jc w:val="both"/>
        <w:rPr>
          <w:rFonts w:ascii="Times" w:hAnsi="Times" w:cs="Times"/>
          <w:color w:val="222222"/>
          <w:sz w:val="27"/>
          <w:szCs w:val="27"/>
          <w:shd w:val="clear" w:color="auto" w:fill="FFFFFF"/>
        </w:rPr>
      </w:pPr>
    </w:p>
    <w:p w14:paraId="6551F3CA" w14:textId="14026746" w:rsidR="009F2E17" w:rsidRDefault="009F2E17" w:rsidP="003040FC">
      <w:pPr>
        <w:jc w:val="both"/>
        <w:rPr>
          <w:rFonts w:ascii="Times" w:hAnsi="Times" w:cs="Times"/>
          <w:color w:val="222222"/>
          <w:sz w:val="27"/>
          <w:szCs w:val="27"/>
          <w:shd w:val="clear" w:color="auto" w:fill="FFFFFF"/>
        </w:rPr>
      </w:pPr>
    </w:p>
    <w:p w14:paraId="3B40A892" w14:textId="3A8FAF19" w:rsidR="009F2E17" w:rsidRDefault="009F2E17" w:rsidP="003040FC">
      <w:pPr>
        <w:jc w:val="both"/>
        <w:rPr>
          <w:rFonts w:ascii="Times" w:hAnsi="Times" w:cs="Times"/>
          <w:color w:val="222222"/>
          <w:sz w:val="27"/>
          <w:szCs w:val="27"/>
          <w:shd w:val="clear" w:color="auto" w:fill="FFFFFF"/>
        </w:rPr>
      </w:pPr>
    </w:p>
    <w:p w14:paraId="353D258E" w14:textId="05D67967" w:rsidR="009F2E17" w:rsidRDefault="009F2E17" w:rsidP="003040FC">
      <w:pPr>
        <w:jc w:val="both"/>
        <w:rPr>
          <w:rFonts w:ascii="Times" w:hAnsi="Times" w:cs="Times"/>
          <w:color w:val="222222"/>
          <w:sz w:val="27"/>
          <w:szCs w:val="27"/>
          <w:shd w:val="clear" w:color="auto" w:fill="FFFFFF"/>
        </w:rPr>
      </w:pPr>
    </w:p>
    <w:p w14:paraId="0FFC1C78" w14:textId="55DCD5F9" w:rsidR="009F2E17" w:rsidRDefault="009F2E17" w:rsidP="003040FC">
      <w:pPr>
        <w:jc w:val="both"/>
        <w:rPr>
          <w:rFonts w:ascii="Times" w:hAnsi="Times" w:cs="Times"/>
          <w:color w:val="222222"/>
          <w:sz w:val="27"/>
          <w:szCs w:val="27"/>
          <w:shd w:val="clear" w:color="auto" w:fill="FFFFFF"/>
        </w:rPr>
      </w:pPr>
    </w:p>
    <w:p w14:paraId="14099C02" w14:textId="77777777" w:rsidR="009F2E17" w:rsidRPr="002D3424" w:rsidRDefault="009F2E17" w:rsidP="003040FC">
      <w:pPr>
        <w:jc w:val="both"/>
      </w:pPr>
    </w:p>
    <w:p w14:paraId="39CBEBB9" w14:textId="36C4D031" w:rsidR="003040FC" w:rsidRDefault="009F2E17" w:rsidP="003040FC">
      <w:pPr>
        <w:autoSpaceDE w:val="0"/>
        <w:autoSpaceDN w:val="0"/>
        <w:adjustRightInd w:val="0"/>
        <w:jc w:val="both"/>
      </w:pPr>
      <w:r w:rsidRPr="00EB729A">
        <w:rPr>
          <w:noProof/>
        </w:rPr>
        <w:lastRenderedPageBreak/>
        <w:drawing>
          <wp:inline distT="0" distB="0" distL="0" distR="0" wp14:anchorId="3773CAB5" wp14:editId="0149ECFB">
            <wp:extent cx="5486400" cy="1565910"/>
            <wp:effectExtent l="0" t="0" r="0" b="0"/>
            <wp:docPr id="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34DBBA00-0DFA-4E3E-96EC-9C63CFC821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34DBBA00-0DFA-4E3E-96EC-9C63CFC821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ED81F" w14:textId="77777777" w:rsidR="003040FC" w:rsidRPr="00EB729A" w:rsidRDefault="003040FC" w:rsidP="003040FC">
      <w:pPr>
        <w:autoSpaceDE w:val="0"/>
        <w:autoSpaceDN w:val="0"/>
        <w:adjustRightInd w:val="0"/>
        <w:jc w:val="both"/>
      </w:pPr>
    </w:p>
    <w:p w14:paraId="30219A33" w14:textId="03E24E03" w:rsidR="00EB729A" w:rsidRPr="009F2E17" w:rsidRDefault="00EB729A" w:rsidP="009F2E17">
      <w:pPr>
        <w:autoSpaceDE w:val="0"/>
        <w:autoSpaceDN w:val="0"/>
        <w:adjustRightInd w:val="0"/>
        <w:jc w:val="both"/>
        <w:rPr>
          <w:color w:val="2121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56C8779" wp14:editId="1AFE0A09">
            <wp:simplePos x="0" y="0"/>
            <wp:positionH relativeFrom="column">
              <wp:posOffset>-431800</wp:posOffset>
            </wp:positionH>
            <wp:positionV relativeFrom="paragraph">
              <wp:posOffset>1483360</wp:posOffset>
            </wp:positionV>
            <wp:extent cx="6210300" cy="2663190"/>
            <wp:effectExtent l="0" t="0" r="0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66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729A">
        <w:rPr>
          <w:rFonts w:ascii="Times" w:hAnsi="Times" w:cs="Times"/>
          <w:b/>
          <w:bCs/>
          <w:color w:val="222222"/>
          <w:shd w:val="clear" w:color="auto" w:fill="FFFFFF"/>
        </w:rPr>
        <w:t>Fig</w:t>
      </w:r>
      <w:r>
        <w:rPr>
          <w:rFonts w:ascii="Times" w:hAnsi="Times" w:cs="Times"/>
          <w:b/>
          <w:bCs/>
          <w:color w:val="222222"/>
          <w:shd w:val="clear" w:color="auto" w:fill="FFFFFF"/>
        </w:rPr>
        <w:t>.</w:t>
      </w:r>
      <w:r w:rsidRPr="00EB729A">
        <w:rPr>
          <w:rFonts w:ascii="Times" w:hAnsi="Times" w:cs="Times"/>
          <w:b/>
          <w:bCs/>
          <w:color w:val="222222"/>
          <w:shd w:val="clear" w:color="auto" w:fill="FFFFFF"/>
        </w:rPr>
        <w:t xml:space="preserve"> 2</w:t>
      </w:r>
      <w:r w:rsidRPr="00EB729A">
        <w:rPr>
          <w:rFonts w:ascii="Times" w:hAnsi="Times" w:cs="Times"/>
          <w:b/>
          <w:bCs/>
          <w:i/>
          <w:iCs/>
          <w:color w:val="222222"/>
          <w:shd w:val="clear" w:color="auto" w:fill="FFFFFF"/>
        </w:rPr>
        <w:t>. PRMT7</w:t>
      </w:r>
      <w:r w:rsidRPr="00EB729A">
        <w:rPr>
          <w:rFonts w:ascii="Times" w:hAnsi="Times" w:cs="Times"/>
          <w:b/>
          <w:bCs/>
          <w:color w:val="222222"/>
          <w:shd w:val="clear" w:color="auto" w:fill="FFFFFF"/>
        </w:rPr>
        <w:t> (P7) knockout (KO) or knockdown (KD) reduces HSP70 methylation in various cell lines.</w:t>
      </w:r>
      <w:r>
        <w:rPr>
          <w:rFonts w:ascii="Times" w:hAnsi="Times" w:cs="Times"/>
          <w:color w:val="222222"/>
          <w:shd w:val="clear" w:color="auto" w:fill="FFFFFF"/>
        </w:rPr>
        <w:t xml:space="preserve"> Western blot analysis of HSP70 monomethylation. 94A, 21B—HCT116 CRISPR </w:t>
      </w:r>
      <w:r>
        <w:rPr>
          <w:rFonts w:ascii="Times" w:hAnsi="Times" w:cs="Times"/>
          <w:i/>
          <w:iCs/>
          <w:color w:val="222222"/>
          <w:shd w:val="clear" w:color="auto" w:fill="FFFFFF"/>
        </w:rPr>
        <w:t>PRMT7</w:t>
      </w:r>
      <w:r>
        <w:rPr>
          <w:rFonts w:ascii="Times" w:hAnsi="Times" w:cs="Times"/>
          <w:color w:val="222222"/>
          <w:shd w:val="clear" w:color="auto" w:fill="FFFFFF"/>
        </w:rPr>
        <w:t> KO clones; P parental C2C12; C-C2C12 expressing control guide RNA; 32 C2C12 CRISPR clone expressing PRMT7 catalytic mutant (delY35,</w:t>
      </w:r>
      <w:r w:rsidR="009F2E17">
        <w:rPr>
          <w:rFonts w:ascii="Times" w:hAnsi="Times" w:cs="Times"/>
          <w:color w:val="222222"/>
          <w:shd w:val="clear" w:color="auto" w:fill="FFFFFF"/>
        </w:rPr>
        <w:t xml:space="preserve"> </w:t>
      </w:r>
      <w:r>
        <w:rPr>
          <w:rFonts w:ascii="Times" w:hAnsi="Times" w:cs="Times"/>
          <w:color w:val="222222"/>
          <w:shd w:val="clear" w:color="auto" w:fill="FFFFFF"/>
        </w:rPr>
        <w:t>A35S); 4,57,74—C2C12 CRISPR </w:t>
      </w:r>
      <w:r>
        <w:rPr>
          <w:rFonts w:ascii="Times" w:hAnsi="Times" w:cs="Times"/>
          <w:i/>
          <w:iCs/>
          <w:color w:val="222222"/>
          <w:shd w:val="clear" w:color="auto" w:fill="FFFFFF"/>
        </w:rPr>
        <w:t>Prmt7</w:t>
      </w:r>
      <w:r>
        <w:rPr>
          <w:rFonts w:ascii="Times" w:hAnsi="Times" w:cs="Times"/>
          <w:color w:val="222222"/>
          <w:shd w:val="clear" w:color="auto" w:fill="FFFFFF"/>
        </w:rPr>
        <w:t> KO clones. </w:t>
      </w:r>
      <w:r>
        <w:rPr>
          <w:rFonts w:ascii="Times" w:hAnsi="Times" w:cs="Times"/>
          <w:i/>
          <w:iCs/>
          <w:color w:val="222222"/>
          <w:shd w:val="clear" w:color="auto" w:fill="FFFFFF"/>
        </w:rPr>
        <w:t>PRMT7</w:t>
      </w:r>
      <w:r>
        <w:rPr>
          <w:rFonts w:ascii="Times" w:hAnsi="Times" w:cs="Times"/>
          <w:color w:val="222222"/>
          <w:shd w:val="clear" w:color="auto" w:fill="FFFFFF"/>
        </w:rPr>
        <w:t> was knocked down in HEK293T</w:t>
      </w:r>
      <w:r w:rsidR="009F2E17">
        <w:rPr>
          <w:rFonts w:ascii="Times" w:hAnsi="Times" w:cs="Times"/>
          <w:color w:val="222222"/>
          <w:shd w:val="clear" w:color="auto" w:fill="FFFFFF"/>
        </w:rPr>
        <w:t xml:space="preserve"> </w:t>
      </w:r>
      <w:r>
        <w:rPr>
          <w:rFonts w:ascii="Times" w:hAnsi="Times" w:cs="Times"/>
          <w:color w:val="222222"/>
          <w:shd w:val="clear" w:color="auto" w:fill="FFFFFF"/>
        </w:rPr>
        <w:t xml:space="preserve">and MCF7 cells </w:t>
      </w:r>
      <w:r w:rsidR="009F2E17">
        <w:rPr>
          <w:rFonts w:ascii="Times" w:hAnsi="Times" w:cs="Times"/>
          <w:color w:val="222222"/>
          <w:shd w:val="clear" w:color="auto" w:fill="FFFFFF"/>
        </w:rPr>
        <w:t>using si</w:t>
      </w:r>
      <w:r>
        <w:rPr>
          <w:rFonts w:ascii="Times" w:hAnsi="Times" w:cs="Times"/>
          <w:color w:val="222222"/>
          <w:shd w:val="clear" w:color="auto" w:fill="FFFFFF"/>
        </w:rPr>
        <w:t>RNA</w:t>
      </w:r>
      <w:r w:rsidR="009F2E17">
        <w:rPr>
          <w:rFonts w:ascii="Times" w:hAnsi="Times" w:cs="Times"/>
          <w:color w:val="222222"/>
          <w:shd w:val="clear" w:color="auto" w:fill="FFFFFF"/>
        </w:rPr>
        <w:t xml:space="preserve">. </w:t>
      </w:r>
      <w:r>
        <w:rPr>
          <w:rFonts w:ascii="Times" w:hAnsi="Times" w:cs="Times"/>
          <w:color w:val="222222"/>
          <w:shd w:val="clear" w:color="auto" w:fill="FFFFFF"/>
        </w:rPr>
        <w:t>Con</w:t>
      </w:r>
      <w:r w:rsidR="009F2E17">
        <w:rPr>
          <w:rFonts w:ascii="Times" w:hAnsi="Times" w:cs="Times"/>
          <w:color w:val="222222"/>
          <w:shd w:val="clear" w:color="auto" w:fill="FFFFFF"/>
        </w:rPr>
        <w:t xml:space="preserve"> - </w:t>
      </w:r>
      <w:r>
        <w:rPr>
          <w:rFonts w:ascii="Times" w:hAnsi="Times" w:cs="Times"/>
          <w:color w:val="222222"/>
          <w:shd w:val="clear" w:color="auto" w:fill="FFFFFF"/>
        </w:rPr>
        <w:t>control,</w:t>
      </w:r>
      <w:r w:rsidR="009F2E17">
        <w:rPr>
          <w:rFonts w:ascii="Times" w:hAnsi="Times" w:cs="Times"/>
          <w:color w:val="222222"/>
          <w:shd w:val="clear" w:color="auto" w:fill="FFFFFF"/>
        </w:rPr>
        <w:t xml:space="preserve"> </w:t>
      </w:r>
      <w:r>
        <w:rPr>
          <w:rFonts w:ascii="Times" w:hAnsi="Times" w:cs="Times"/>
          <w:color w:val="222222"/>
          <w:shd w:val="clear" w:color="auto" w:fill="FFFFFF"/>
        </w:rPr>
        <w:t>P7KD</w:t>
      </w:r>
      <w:r w:rsidR="009F2E17">
        <w:rPr>
          <w:rFonts w:ascii="Times" w:hAnsi="Times" w:cs="Times"/>
          <w:color w:val="222222"/>
          <w:shd w:val="clear" w:color="auto" w:fill="FFFFFF"/>
        </w:rPr>
        <w:t xml:space="preserve"> - </w:t>
      </w:r>
      <w:r>
        <w:rPr>
          <w:rFonts w:ascii="Times" w:hAnsi="Times" w:cs="Times"/>
          <w:i/>
          <w:iCs/>
          <w:color w:val="222222"/>
          <w:shd w:val="clear" w:color="auto" w:fill="FFFFFF"/>
        </w:rPr>
        <w:t>PRMT7</w:t>
      </w:r>
      <w:r w:rsidR="009F2E17">
        <w:rPr>
          <w:rFonts w:ascii="Times" w:hAnsi="Times" w:cs="Times"/>
          <w:i/>
          <w:iCs/>
          <w:color w:val="222222"/>
          <w:shd w:val="clear" w:color="auto" w:fill="FFFFFF"/>
        </w:rPr>
        <w:t xml:space="preserve"> </w:t>
      </w:r>
      <w:r>
        <w:rPr>
          <w:rFonts w:ascii="Times" w:hAnsi="Times" w:cs="Times"/>
          <w:color w:val="222222"/>
          <w:shd w:val="clear" w:color="auto" w:fill="FFFFFF"/>
        </w:rPr>
        <w:t>knockdown.</w:t>
      </w:r>
      <w:r w:rsidR="009F2E17">
        <w:rPr>
          <w:rFonts w:ascii="Times" w:hAnsi="Times" w:cs="Times"/>
          <w:color w:val="222222"/>
          <w:shd w:val="clear" w:color="auto" w:fill="FFFFFF"/>
        </w:rPr>
        <w:t xml:space="preserve"> </w:t>
      </w:r>
      <w:r>
        <w:rPr>
          <w:rFonts w:ascii="Times" w:hAnsi="Times" w:cs="Times"/>
          <w:color w:val="222222"/>
          <w:shd w:val="clear" w:color="auto" w:fill="FFFFFF"/>
        </w:rPr>
        <w:t>Modified from PIMID:</w:t>
      </w:r>
      <w:r w:rsidRPr="00EB729A">
        <w:rPr>
          <w:rStyle w:val="Strong"/>
          <w:b w:val="0"/>
          <w:bCs w:val="0"/>
          <w:color w:val="212121"/>
        </w:rPr>
        <w:t>32409666</w:t>
      </w:r>
      <w:r>
        <w:rPr>
          <w:rStyle w:val="Strong"/>
          <w:b w:val="0"/>
          <w:bCs w:val="0"/>
          <w:color w:val="212121"/>
        </w:rPr>
        <w:t>. (Shawna Organ, Magdalena Szewczyk)</w:t>
      </w:r>
    </w:p>
    <w:p w14:paraId="289331F8" w14:textId="68E94E57" w:rsidR="00EB729A" w:rsidRDefault="00EB729A" w:rsidP="00EB729A">
      <w:pPr>
        <w:autoSpaceDE w:val="0"/>
        <w:autoSpaceDN w:val="0"/>
        <w:adjustRightInd w:val="0"/>
        <w:jc w:val="both"/>
      </w:pPr>
    </w:p>
    <w:p w14:paraId="53D0714D" w14:textId="77777777" w:rsidR="00EB729A" w:rsidRDefault="00EB729A" w:rsidP="00EB729A">
      <w:pPr>
        <w:autoSpaceDE w:val="0"/>
        <w:autoSpaceDN w:val="0"/>
        <w:adjustRightInd w:val="0"/>
        <w:jc w:val="both"/>
        <w:rPr>
          <w:b/>
          <w:bCs/>
          <w:color w:val="222222"/>
          <w:shd w:val="clear" w:color="auto" w:fill="FFFFFF"/>
        </w:rPr>
      </w:pPr>
    </w:p>
    <w:p w14:paraId="3DA3E326" w14:textId="487F3992" w:rsidR="00EB729A" w:rsidRPr="00EB729A" w:rsidRDefault="00EB729A" w:rsidP="00EB729A">
      <w:pPr>
        <w:autoSpaceDE w:val="0"/>
        <w:autoSpaceDN w:val="0"/>
        <w:adjustRightInd w:val="0"/>
        <w:jc w:val="both"/>
      </w:pPr>
      <w:r w:rsidRPr="00EB729A">
        <w:rPr>
          <w:b/>
          <w:bCs/>
          <w:color w:val="222222"/>
          <w:shd w:val="clear" w:color="auto" w:fill="FFFFFF"/>
        </w:rPr>
        <w:t>Fig.3.</w:t>
      </w:r>
      <w:r>
        <w:rPr>
          <w:color w:val="222222"/>
          <w:shd w:val="clear" w:color="auto" w:fill="FFFFFF"/>
        </w:rPr>
        <w:t xml:space="preserve"> </w:t>
      </w:r>
      <w:r w:rsidRPr="00EB729A">
        <w:rPr>
          <w:b/>
          <w:bCs/>
          <w:color w:val="222222"/>
          <w:shd w:val="clear" w:color="auto" w:fill="FFFFFF"/>
        </w:rPr>
        <w:t xml:space="preserve">SGC3027 </w:t>
      </w:r>
      <w:r>
        <w:rPr>
          <w:b/>
          <w:bCs/>
          <w:color w:val="222222"/>
          <w:shd w:val="clear" w:color="auto" w:fill="FFFFFF"/>
        </w:rPr>
        <w:t xml:space="preserve">but not negative control compound SGC3027N </w:t>
      </w:r>
      <w:r w:rsidRPr="00EB729A">
        <w:rPr>
          <w:b/>
          <w:bCs/>
          <w:color w:val="222222"/>
          <w:shd w:val="clear" w:color="auto" w:fill="FFFFFF"/>
        </w:rPr>
        <w:t>inhibits PRMT7-dependent HSP70 monomethylation in C2C12 cells</w:t>
      </w:r>
      <w:r>
        <w:rPr>
          <w:b/>
          <w:bCs/>
          <w:color w:val="222222"/>
          <w:shd w:val="clear" w:color="auto" w:fill="FFFFFF"/>
        </w:rPr>
        <w:t xml:space="preserve"> in a dose-dependent manner</w:t>
      </w:r>
      <w:r w:rsidRPr="00EB729A">
        <w:rPr>
          <w:b/>
          <w:bCs/>
          <w:color w:val="222222"/>
          <w:shd w:val="clear" w:color="auto" w:fill="FFFFFF"/>
        </w:rPr>
        <w:t>.</w:t>
      </w:r>
      <w:r w:rsidRPr="00EB729A">
        <w:rPr>
          <w:color w:val="222222"/>
          <w:shd w:val="clear" w:color="auto" w:fill="FFFFFF"/>
        </w:rPr>
        <w:t xml:space="preserve"> Cells were treated with the compound for 2 days. </w:t>
      </w:r>
      <w:r>
        <w:rPr>
          <w:b/>
          <w:bCs/>
          <w:color w:val="222222"/>
          <w:shd w:val="clear" w:color="auto" w:fill="FFFFFF"/>
        </w:rPr>
        <w:t>A.</w:t>
      </w:r>
      <w:r w:rsidRPr="00EB729A">
        <w:rPr>
          <w:color w:val="222222"/>
          <w:shd w:val="clear" w:color="auto" w:fill="FFFFFF"/>
        </w:rPr>
        <w:t> A representative blot for</w:t>
      </w:r>
      <w:r>
        <w:rPr>
          <w:color w:val="222222"/>
          <w:shd w:val="clear" w:color="auto" w:fill="FFFFFF"/>
        </w:rPr>
        <w:t xml:space="preserve"> SGC3027 and</w:t>
      </w:r>
      <w:r w:rsidRPr="00EB729A">
        <w:rPr>
          <w:color w:val="222222"/>
          <w:shd w:val="clear" w:color="auto" w:fill="FFFFFF"/>
        </w:rPr>
        <w:t xml:space="preserve"> SGC3027N effects on HSP70 methylation. Rme1—arginine monomethylation. </w:t>
      </w:r>
    </w:p>
    <w:p w14:paraId="3EA455F9" w14:textId="3F2C544E" w:rsidR="00EB729A" w:rsidRDefault="00EB729A" w:rsidP="00EB729A">
      <w:pPr>
        <w:autoSpaceDE w:val="0"/>
        <w:autoSpaceDN w:val="0"/>
        <w:adjustRightInd w:val="0"/>
        <w:jc w:val="both"/>
      </w:pPr>
      <w:r>
        <w:rPr>
          <w:b/>
          <w:bCs/>
          <w:color w:val="222222"/>
          <w:shd w:val="clear" w:color="auto" w:fill="FFFFFF"/>
        </w:rPr>
        <w:t>B</w:t>
      </w:r>
      <w:r w:rsidRPr="00EB729A">
        <w:rPr>
          <w:color w:val="222222"/>
          <w:shd w:val="clear" w:color="auto" w:fill="FFFFFF"/>
        </w:rPr>
        <w:t> Quantification of SGC3027 and SGC3027N effects on HSP70 monomethylation in C2C12 cells. The graphs represent non-linear fits of Rme1 signal intensities normalized to intensities of HSP70. SGC3027: </w:t>
      </w:r>
      <w:r w:rsidRPr="00EB729A">
        <w:rPr>
          <w:i/>
          <w:iCs/>
          <w:color w:val="222222"/>
          <w:shd w:val="clear" w:color="auto" w:fill="FFFFFF"/>
        </w:rPr>
        <w:t>n</w:t>
      </w:r>
      <w:r w:rsidRPr="00EB729A">
        <w:rPr>
          <w:color w:val="222222"/>
          <w:shd w:val="clear" w:color="auto" w:fill="FFFFFF"/>
        </w:rPr>
        <w:t> = 11, four separate experiments, IC</w:t>
      </w:r>
      <w:r w:rsidRPr="00EB729A">
        <w:rPr>
          <w:color w:val="222222"/>
          <w:shd w:val="clear" w:color="auto" w:fill="FFFFFF"/>
          <w:vertAlign w:val="subscript"/>
        </w:rPr>
        <w:t>50</w:t>
      </w:r>
      <w:r w:rsidRPr="00EB729A">
        <w:rPr>
          <w:color w:val="222222"/>
          <w:shd w:val="clear" w:color="auto" w:fill="FFFFFF"/>
        </w:rPr>
        <w:t> = 2.4 ± 0.1 µM; SGC3027N: </w:t>
      </w:r>
      <w:r w:rsidRPr="00EB729A">
        <w:rPr>
          <w:i/>
          <w:iCs/>
          <w:color w:val="222222"/>
          <w:shd w:val="clear" w:color="auto" w:fill="FFFFFF"/>
        </w:rPr>
        <w:t>n</w:t>
      </w:r>
      <w:r w:rsidRPr="00EB729A">
        <w:rPr>
          <w:color w:val="222222"/>
          <w:shd w:val="clear" w:color="auto" w:fill="FFFFFF"/>
        </w:rPr>
        <w:t> = 4 technical replicates, IC</w:t>
      </w:r>
      <w:r w:rsidRPr="00EB729A">
        <w:rPr>
          <w:color w:val="222222"/>
          <w:shd w:val="clear" w:color="auto" w:fill="FFFFFF"/>
          <w:vertAlign w:val="subscript"/>
        </w:rPr>
        <w:t>50</w:t>
      </w:r>
      <w:r w:rsidRPr="00EB729A">
        <w:rPr>
          <w:color w:val="222222"/>
          <w:shd w:val="clear" w:color="auto" w:fill="FFFFFF"/>
        </w:rPr>
        <w:t> &gt; 40 µM (mean ± SEM). </w:t>
      </w:r>
      <w:r>
        <w:rPr>
          <w:rFonts w:ascii="Times" w:hAnsi="Times" w:cs="Times"/>
          <w:color w:val="222222"/>
          <w:shd w:val="clear" w:color="auto" w:fill="FFFFFF"/>
        </w:rPr>
        <w:t>Modified from PIMID:</w:t>
      </w:r>
      <w:r w:rsidRPr="00EB729A">
        <w:rPr>
          <w:rStyle w:val="Strong"/>
          <w:b w:val="0"/>
          <w:bCs w:val="0"/>
          <w:color w:val="212121"/>
        </w:rPr>
        <w:t>32409666</w:t>
      </w:r>
      <w:r>
        <w:rPr>
          <w:rStyle w:val="Strong"/>
          <w:b w:val="0"/>
          <w:bCs w:val="0"/>
          <w:color w:val="212121"/>
        </w:rPr>
        <w:t>. (Magdalena Szewczyk)</w:t>
      </w:r>
    </w:p>
    <w:sectPr w:rsidR="00EB729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8006ED"/>
    <w:multiLevelType w:val="multilevel"/>
    <w:tmpl w:val="A9B87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E94AEF"/>
    <w:multiLevelType w:val="multilevel"/>
    <w:tmpl w:val="E368C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C857041"/>
    <w:multiLevelType w:val="hybridMultilevel"/>
    <w:tmpl w:val="1A9E86B6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D164314"/>
    <w:multiLevelType w:val="multilevel"/>
    <w:tmpl w:val="4D701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452444"/>
    <w:multiLevelType w:val="multilevel"/>
    <w:tmpl w:val="D5B63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UzMzM3NDUysjAxNjZT0lEKTi0uzszPAykwrgUAYops3CwAAAA="/>
  </w:docVars>
  <w:rsids>
    <w:rsidRoot w:val="00D1033E"/>
    <w:rsid w:val="003040FC"/>
    <w:rsid w:val="0034377C"/>
    <w:rsid w:val="006E0C30"/>
    <w:rsid w:val="00763003"/>
    <w:rsid w:val="008212F4"/>
    <w:rsid w:val="008D16A3"/>
    <w:rsid w:val="009F2E17"/>
    <w:rsid w:val="00AF5E7A"/>
    <w:rsid w:val="00CC7AF2"/>
    <w:rsid w:val="00CF3118"/>
    <w:rsid w:val="00D1033E"/>
    <w:rsid w:val="00E027E6"/>
    <w:rsid w:val="00EB729A"/>
    <w:rsid w:val="00F47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E8DC33"/>
  <w15:docId w15:val="{4F816FAF-5099-4F59-B796-4EC3907A3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03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03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33E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D1033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styleId="Strong">
    <w:name w:val="Strong"/>
    <w:basedOn w:val="DefaultParagraphFont"/>
    <w:uiPriority w:val="22"/>
    <w:qFormat/>
    <w:rsid w:val="00EB72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25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454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Shawna Organ</dc:creator>
  <cp:lastModifiedBy>Magdalena Szewczyk</cp:lastModifiedBy>
  <cp:revision>6</cp:revision>
  <dcterms:created xsi:type="dcterms:W3CDTF">2020-06-05T18:16:00Z</dcterms:created>
  <dcterms:modified xsi:type="dcterms:W3CDTF">2020-06-05T18:32:00Z</dcterms:modified>
</cp:coreProperties>
</file>