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B947D" w14:textId="77777777" w:rsidR="00E32673" w:rsidRPr="000B69F9" w:rsidRDefault="000F1651" w:rsidP="000B69F9">
      <w:pPr>
        <w:pStyle w:val="Heading1"/>
        <w:numPr>
          <w:ilvl w:val="0"/>
          <w:numId w:val="0"/>
        </w:numPr>
        <w:ind w:left="1134" w:hanging="1134"/>
        <w:rPr>
          <w:lang w:val="en-GB"/>
        </w:rPr>
      </w:pPr>
      <w:bookmarkStart w:id="0" w:name="_GoBack"/>
      <w:bookmarkEnd w:id="0"/>
      <w:r>
        <w:rPr>
          <w:lang w:val="en-GB"/>
        </w:rPr>
        <w:t>Important note</w:t>
      </w:r>
    </w:p>
    <w:p w14:paraId="0DDC21BB" w14:textId="77777777" w:rsidR="004E7BE0" w:rsidRDefault="004E7BE0" w:rsidP="004E7BE0">
      <w:pPr>
        <w:pStyle w:val="Standard-fett-Zwischenberschrift"/>
        <w:rPr>
          <w:lang w:val="en-GB"/>
        </w:rPr>
      </w:pPr>
      <w:r>
        <w:rPr>
          <w:lang w:val="en-GB"/>
        </w:rPr>
        <w:t>Background</w:t>
      </w:r>
    </w:p>
    <w:p w14:paraId="5106BDC0" w14:textId="77777777" w:rsidR="004E7BE0" w:rsidRDefault="004E7BE0" w:rsidP="000B69F9">
      <w:pPr>
        <w:rPr>
          <w:lang w:val="en-GB"/>
        </w:rPr>
      </w:pPr>
      <w:r w:rsidRPr="004E7BE0">
        <w:rPr>
          <w:lang w:val="en-GB"/>
        </w:rPr>
        <w:t>Th</w:t>
      </w:r>
      <w:r>
        <w:rPr>
          <w:lang w:val="en-GB"/>
        </w:rPr>
        <w:t xml:space="preserve">e ACC-HUMANsteady model (programmed in </w:t>
      </w:r>
      <w:r w:rsidRPr="004E7BE0">
        <w:rPr>
          <w:lang w:val="en-GB"/>
        </w:rPr>
        <w:t>Visual Basic for Applications</w:t>
      </w:r>
      <w:r>
        <w:rPr>
          <w:lang w:val="en-GB"/>
        </w:rPr>
        <w:t xml:space="preserve">) has been used both in </w:t>
      </w:r>
      <w:r w:rsidRPr="004E7BE0">
        <w:rPr>
          <w:lang w:val="en-GB"/>
        </w:rPr>
        <w:t>32-bit and 64-bit version</w:t>
      </w:r>
      <w:r>
        <w:rPr>
          <w:lang w:val="en-GB"/>
        </w:rPr>
        <w:t>s</w:t>
      </w:r>
      <w:r w:rsidRPr="004E7BE0">
        <w:rPr>
          <w:lang w:val="en-GB"/>
        </w:rPr>
        <w:t xml:space="preserve"> </w:t>
      </w:r>
      <w:r>
        <w:rPr>
          <w:lang w:val="en-GB"/>
        </w:rPr>
        <w:t xml:space="preserve">of Microsoft </w:t>
      </w:r>
      <w:r w:rsidRPr="004E7BE0">
        <w:rPr>
          <w:lang w:val="en-GB"/>
        </w:rPr>
        <w:t>Excel</w:t>
      </w:r>
      <w:r>
        <w:rPr>
          <w:lang w:val="en-GB"/>
        </w:rPr>
        <w:t>®</w:t>
      </w:r>
      <w:r w:rsidRPr="004E7BE0">
        <w:rPr>
          <w:lang w:val="en-GB"/>
        </w:rPr>
        <w:t xml:space="preserve"> </w:t>
      </w:r>
      <w:r>
        <w:rPr>
          <w:lang w:val="en-GB"/>
        </w:rPr>
        <w:t xml:space="preserve">(versions 2007 and </w:t>
      </w:r>
      <w:r w:rsidRPr="004E7BE0">
        <w:rPr>
          <w:lang w:val="en-GB"/>
        </w:rPr>
        <w:t>2010</w:t>
      </w:r>
      <w:r>
        <w:rPr>
          <w:lang w:val="en-GB"/>
        </w:rPr>
        <w:t>, respectively)</w:t>
      </w:r>
      <w:r w:rsidRPr="004E7BE0">
        <w:rPr>
          <w:lang w:val="en-GB"/>
        </w:rPr>
        <w:t>.</w:t>
      </w:r>
      <w:r>
        <w:rPr>
          <w:lang w:val="en-GB"/>
        </w:rPr>
        <w:t xml:space="preserve"> This model can be downloaded free of charge at the following website:</w:t>
      </w:r>
    </w:p>
    <w:p w14:paraId="0AAA5F25" w14:textId="77777777" w:rsidR="004E7BE0" w:rsidRDefault="003C2754" w:rsidP="000B69F9">
      <w:pPr>
        <w:rPr>
          <w:lang w:val="en-GB"/>
        </w:rPr>
      </w:pPr>
      <w:hyperlink r:id="rId7" w:history="1">
        <w:r w:rsidR="004E7BE0" w:rsidRPr="003F7234">
          <w:rPr>
            <w:rStyle w:val="Hyperlink"/>
            <w:rFonts w:ascii="Calibri" w:hAnsi="Calibri"/>
            <w:lang w:val="en-GB"/>
          </w:rPr>
          <w:t>http://www.ufz.de/osiris/index.php?en=22157</w:t>
        </w:r>
      </w:hyperlink>
    </w:p>
    <w:p w14:paraId="4510D39A" w14:textId="77777777" w:rsidR="000B69F9" w:rsidRDefault="000B69F9" w:rsidP="000B69F9">
      <w:pPr>
        <w:rPr>
          <w:lang w:val="en-GB"/>
        </w:rPr>
      </w:pPr>
      <w:r w:rsidRPr="000B69F9">
        <w:rPr>
          <w:lang w:val="en-GB"/>
        </w:rPr>
        <w:t xml:space="preserve">The batch version </w:t>
      </w:r>
      <w:r w:rsidR="000F1651">
        <w:rPr>
          <w:lang w:val="en-GB"/>
        </w:rPr>
        <w:t xml:space="preserve">of ACC-HUMANsteady </w:t>
      </w:r>
      <w:r w:rsidR="004E7BE0">
        <w:rPr>
          <w:lang w:val="en-GB"/>
        </w:rPr>
        <w:t xml:space="preserve">used in this project was specifically adapted for the purpose of this project. It </w:t>
      </w:r>
      <w:r w:rsidRPr="000B69F9">
        <w:rPr>
          <w:lang w:val="en-GB"/>
        </w:rPr>
        <w:t xml:space="preserve">is made available to interested stakeholders free of charge. </w:t>
      </w:r>
      <w:r w:rsidR="000F1651">
        <w:rPr>
          <w:lang w:val="en-GB"/>
        </w:rPr>
        <w:t>However, no instructions on the use of this version can be provided.</w:t>
      </w:r>
    </w:p>
    <w:p w14:paraId="31928786" w14:textId="77777777" w:rsidR="004E7BE0" w:rsidRDefault="000F1651" w:rsidP="004E7BE0">
      <w:pPr>
        <w:rPr>
          <w:lang w:val="en-GB"/>
        </w:rPr>
      </w:pPr>
      <w:r>
        <w:rPr>
          <w:lang w:val="en-GB"/>
        </w:rPr>
        <w:t xml:space="preserve">Stakeholders are referred to the manual and model description </w:t>
      </w:r>
      <w:r w:rsidR="004E7BE0">
        <w:rPr>
          <w:lang w:val="en-GB"/>
        </w:rPr>
        <w:t xml:space="preserve">of the ‘non-batch’ version </w:t>
      </w:r>
      <w:r>
        <w:rPr>
          <w:lang w:val="en-GB"/>
        </w:rPr>
        <w:t xml:space="preserve">that are included in this package. </w:t>
      </w:r>
      <w:r w:rsidR="004E7BE0">
        <w:rPr>
          <w:lang w:val="en-GB"/>
        </w:rPr>
        <w:t>In addition, the following peer-reviewed literature that covers the background and some specific aspects of the ACC-HUMAN model may be of interest:</w:t>
      </w:r>
    </w:p>
    <w:p w14:paraId="5D65EB95" w14:textId="77777777" w:rsidR="004E7BE0" w:rsidRPr="00684BC2" w:rsidRDefault="004E7BE0" w:rsidP="004E7BE0">
      <w:pPr>
        <w:spacing w:before="0"/>
        <w:ind w:left="708"/>
        <w:rPr>
          <w:i/>
          <w:sz w:val="22"/>
          <w:lang w:val="en-GB"/>
        </w:rPr>
      </w:pPr>
      <w:proofErr w:type="spellStart"/>
      <w:r w:rsidRPr="00684BC2">
        <w:rPr>
          <w:i/>
          <w:sz w:val="22"/>
          <w:lang w:val="en-GB"/>
        </w:rPr>
        <w:t>Czub</w:t>
      </w:r>
      <w:proofErr w:type="spellEnd"/>
      <w:r w:rsidRPr="00684BC2">
        <w:rPr>
          <w:i/>
          <w:sz w:val="22"/>
          <w:lang w:val="en-GB"/>
        </w:rPr>
        <w:t xml:space="preserve">, G.; McLachlan, M.S. (2004) </w:t>
      </w:r>
    </w:p>
    <w:p w14:paraId="2A0B8D0B" w14:textId="77777777" w:rsidR="004E7BE0" w:rsidRPr="00684BC2" w:rsidRDefault="004E7BE0" w:rsidP="004E7BE0">
      <w:pPr>
        <w:spacing w:before="0"/>
        <w:ind w:left="708"/>
        <w:rPr>
          <w:i/>
          <w:sz w:val="22"/>
          <w:lang w:val="en-GB"/>
        </w:rPr>
      </w:pPr>
      <w:r w:rsidRPr="00684BC2">
        <w:rPr>
          <w:i/>
          <w:sz w:val="22"/>
          <w:lang w:val="en-GB"/>
        </w:rPr>
        <w:t xml:space="preserve">A food chain model to predict the levels of lipophilic organic contaminants in humans </w:t>
      </w:r>
    </w:p>
    <w:p w14:paraId="182EB7A4" w14:textId="77777777" w:rsidR="004E7BE0" w:rsidRPr="00684BC2" w:rsidRDefault="004E7BE0" w:rsidP="004E7BE0">
      <w:pPr>
        <w:spacing w:before="0"/>
        <w:ind w:left="708"/>
        <w:rPr>
          <w:i/>
          <w:sz w:val="22"/>
          <w:lang w:val="en-GB"/>
        </w:rPr>
      </w:pPr>
      <w:r w:rsidRPr="00684BC2">
        <w:rPr>
          <w:i/>
          <w:sz w:val="22"/>
          <w:lang w:val="en-GB"/>
        </w:rPr>
        <w:t xml:space="preserve">Environmental Toxicology and Chemistry, 23, 2356-2366 </w:t>
      </w:r>
    </w:p>
    <w:p w14:paraId="5347BD7B" w14:textId="77777777" w:rsidR="004E7BE0" w:rsidRPr="00684BC2" w:rsidRDefault="004E7BE0" w:rsidP="004E7BE0">
      <w:pPr>
        <w:spacing w:before="0"/>
        <w:ind w:left="708"/>
        <w:rPr>
          <w:i/>
          <w:sz w:val="22"/>
          <w:lang w:val="en-GB"/>
        </w:rPr>
      </w:pPr>
    </w:p>
    <w:p w14:paraId="023D0CA7" w14:textId="77777777" w:rsidR="004E7BE0" w:rsidRPr="00684BC2" w:rsidRDefault="004E7BE0" w:rsidP="004E7BE0">
      <w:pPr>
        <w:spacing w:before="0"/>
        <w:ind w:left="708"/>
        <w:rPr>
          <w:i/>
          <w:sz w:val="22"/>
          <w:lang w:val="en-GB"/>
        </w:rPr>
      </w:pPr>
      <w:proofErr w:type="spellStart"/>
      <w:r w:rsidRPr="00684BC2">
        <w:rPr>
          <w:i/>
          <w:sz w:val="22"/>
          <w:lang w:val="en-GB"/>
        </w:rPr>
        <w:t>Undeman</w:t>
      </w:r>
      <w:proofErr w:type="spellEnd"/>
      <w:r w:rsidRPr="00684BC2">
        <w:rPr>
          <w:i/>
          <w:sz w:val="22"/>
          <w:lang w:val="en-GB"/>
        </w:rPr>
        <w:t xml:space="preserve">, E.; </w:t>
      </w:r>
      <w:proofErr w:type="spellStart"/>
      <w:r w:rsidRPr="00684BC2">
        <w:rPr>
          <w:i/>
          <w:sz w:val="22"/>
          <w:lang w:val="en-GB"/>
        </w:rPr>
        <w:t>Czub</w:t>
      </w:r>
      <w:proofErr w:type="spellEnd"/>
      <w:r w:rsidRPr="00684BC2">
        <w:rPr>
          <w:i/>
          <w:sz w:val="22"/>
          <w:lang w:val="en-GB"/>
        </w:rPr>
        <w:t xml:space="preserve">, G.; McLachlan, M.S. (2009) </w:t>
      </w:r>
    </w:p>
    <w:p w14:paraId="7B1B0488" w14:textId="77777777" w:rsidR="004E7BE0" w:rsidRPr="00684BC2" w:rsidRDefault="004E7BE0" w:rsidP="004E7BE0">
      <w:pPr>
        <w:spacing w:before="0"/>
        <w:ind w:left="708"/>
        <w:rPr>
          <w:i/>
          <w:sz w:val="22"/>
          <w:lang w:val="en-GB"/>
        </w:rPr>
      </w:pPr>
      <w:r w:rsidRPr="00684BC2">
        <w:rPr>
          <w:i/>
          <w:sz w:val="22"/>
          <w:lang w:val="en-GB"/>
        </w:rPr>
        <w:t xml:space="preserve">Addressing temporal variability when </w:t>
      </w:r>
      <w:proofErr w:type="spellStart"/>
      <w:r w:rsidRPr="00684BC2">
        <w:rPr>
          <w:i/>
          <w:sz w:val="22"/>
          <w:lang w:val="en-GB"/>
        </w:rPr>
        <w:t>modeling</w:t>
      </w:r>
      <w:proofErr w:type="spellEnd"/>
      <w:r w:rsidRPr="00684BC2">
        <w:rPr>
          <w:i/>
          <w:sz w:val="22"/>
          <w:lang w:val="en-GB"/>
        </w:rPr>
        <w:t xml:space="preserve"> bioaccumulation in plants </w:t>
      </w:r>
    </w:p>
    <w:p w14:paraId="5689D982" w14:textId="77777777" w:rsidR="004E7BE0" w:rsidRPr="00684BC2" w:rsidRDefault="004E7BE0" w:rsidP="004E7BE0">
      <w:pPr>
        <w:spacing w:before="0"/>
        <w:ind w:left="708"/>
        <w:rPr>
          <w:i/>
          <w:sz w:val="22"/>
          <w:lang w:val="en-GB"/>
        </w:rPr>
      </w:pPr>
      <w:r w:rsidRPr="00684BC2">
        <w:rPr>
          <w:i/>
          <w:sz w:val="22"/>
          <w:lang w:val="en-GB"/>
        </w:rPr>
        <w:t xml:space="preserve">Environmental Science &amp; Technology, 43, 3751-3756 </w:t>
      </w:r>
    </w:p>
    <w:p w14:paraId="016A23A0" w14:textId="77777777" w:rsidR="004E7BE0" w:rsidRPr="00684BC2" w:rsidRDefault="004E7BE0" w:rsidP="004E7BE0">
      <w:pPr>
        <w:spacing w:before="0"/>
        <w:ind w:left="708"/>
        <w:rPr>
          <w:i/>
          <w:sz w:val="22"/>
          <w:lang w:val="en-GB"/>
        </w:rPr>
      </w:pPr>
    </w:p>
    <w:p w14:paraId="5FE56AF8" w14:textId="77777777" w:rsidR="004E7BE0" w:rsidRPr="00684BC2" w:rsidRDefault="004E7BE0" w:rsidP="004E7BE0">
      <w:pPr>
        <w:spacing w:before="0"/>
        <w:ind w:left="708"/>
        <w:rPr>
          <w:i/>
          <w:sz w:val="22"/>
          <w:lang w:val="en-GB"/>
        </w:rPr>
      </w:pPr>
      <w:proofErr w:type="spellStart"/>
      <w:r w:rsidRPr="00684BC2">
        <w:rPr>
          <w:i/>
          <w:sz w:val="22"/>
          <w:lang w:val="en-GB"/>
        </w:rPr>
        <w:t>Undeman</w:t>
      </w:r>
      <w:proofErr w:type="spellEnd"/>
      <w:r w:rsidRPr="00684BC2">
        <w:rPr>
          <w:i/>
          <w:sz w:val="22"/>
          <w:lang w:val="en-GB"/>
        </w:rPr>
        <w:t xml:space="preserve">, E.; McLachlan, M.S. (2011) </w:t>
      </w:r>
    </w:p>
    <w:p w14:paraId="7F458E9F" w14:textId="77777777" w:rsidR="004E7BE0" w:rsidRPr="00684BC2" w:rsidRDefault="004E7BE0" w:rsidP="004E7BE0">
      <w:pPr>
        <w:spacing w:before="0"/>
        <w:ind w:left="708"/>
        <w:rPr>
          <w:i/>
          <w:sz w:val="22"/>
          <w:lang w:val="en-GB"/>
        </w:rPr>
      </w:pPr>
      <w:r w:rsidRPr="00684BC2">
        <w:rPr>
          <w:i/>
          <w:sz w:val="22"/>
          <w:lang w:val="en-GB"/>
        </w:rPr>
        <w:t xml:space="preserve">Assessing model uncertainty of bioaccumulation models by combining chemical space visualization with a process-based diagnostic approach </w:t>
      </w:r>
    </w:p>
    <w:p w14:paraId="2A7D6FF6" w14:textId="77777777" w:rsidR="004E7BE0" w:rsidRPr="00684BC2" w:rsidRDefault="004E7BE0" w:rsidP="004E7BE0">
      <w:pPr>
        <w:spacing w:before="0"/>
        <w:ind w:left="708"/>
        <w:rPr>
          <w:i/>
          <w:sz w:val="22"/>
          <w:lang w:val="en-GB"/>
        </w:rPr>
      </w:pPr>
      <w:r w:rsidRPr="00684BC2">
        <w:rPr>
          <w:i/>
          <w:sz w:val="22"/>
          <w:lang w:val="en-GB"/>
        </w:rPr>
        <w:t>Environmental Science &amp; Technology, 45, 8429-8436</w:t>
      </w:r>
    </w:p>
    <w:p w14:paraId="293CF022" w14:textId="77777777" w:rsidR="000B69F9" w:rsidRDefault="00684BC2" w:rsidP="000B69F9">
      <w:pPr>
        <w:rPr>
          <w:lang w:val="en-GB"/>
        </w:rPr>
      </w:pPr>
      <w:r>
        <w:rPr>
          <w:lang w:val="en-GB"/>
        </w:rPr>
        <w:t>T</w:t>
      </w:r>
      <w:r w:rsidR="00634D35">
        <w:rPr>
          <w:lang w:val="en-GB"/>
        </w:rPr>
        <w:t xml:space="preserve">he specific settings used in this project, </w:t>
      </w:r>
      <w:r>
        <w:rPr>
          <w:lang w:val="en-GB"/>
        </w:rPr>
        <w:t>are explained in the report to which this package is attached and in the report of the pilot study:</w:t>
      </w:r>
    </w:p>
    <w:p w14:paraId="21D511EF" w14:textId="77777777" w:rsidR="00684BC2" w:rsidRPr="00684BC2" w:rsidRDefault="00684BC2" w:rsidP="00684BC2">
      <w:pPr>
        <w:spacing w:before="0"/>
        <w:ind w:left="708"/>
        <w:rPr>
          <w:i/>
          <w:sz w:val="22"/>
          <w:lang w:val="en-GB"/>
        </w:rPr>
      </w:pPr>
      <w:r w:rsidRPr="00684BC2">
        <w:rPr>
          <w:i/>
          <w:sz w:val="22"/>
          <w:lang w:val="en-GB"/>
        </w:rPr>
        <w:t xml:space="preserve">Bitsch A, Bohlen ML, Escher S, Licht O, Oltmanns J, Schneider K and </w:t>
      </w:r>
      <w:proofErr w:type="spellStart"/>
      <w:r w:rsidRPr="00684BC2">
        <w:rPr>
          <w:i/>
          <w:sz w:val="22"/>
          <w:lang w:val="en-GB"/>
        </w:rPr>
        <w:t>Wibbertmann</w:t>
      </w:r>
      <w:proofErr w:type="spellEnd"/>
      <w:r w:rsidRPr="00684BC2">
        <w:rPr>
          <w:i/>
          <w:sz w:val="22"/>
          <w:lang w:val="en-GB"/>
        </w:rPr>
        <w:t xml:space="preserve"> A, 2016. Final report: Testing a procedure for the identification of emerging chemical risks in the food chain. External scientific report. OC/EFSA/SCER/2014/03. EFSA Supporting publication </w:t>
      </w:r>
      <w:proofErr w:type="gramStart"/>
      <w:r w:rsidRPr="00684BC2">
        <w:rPr>
          <w:i/>
          <w:sz w:val="22"/>
          <w:lang w:val="en-GB"/>
        </w:rPr>
        <w:t>2016:EN</w:t>
      </w:r>
      <w:proofErr w:type="gramEnd"/>
      <w:r w:rsidRPr="00684BC2">
        <w:rPr>
          <w:i/>
          <w:sz w:val="22"/>
          <w:lang w:val="en-GB"/>
        </w:rPr>
        <w:t xml:space="preserve">-1050. </w:t>
      </w:r>
      <w:hyperlink r:id="rId8" w:history="1">
        <w:r w:rsidRPr="003F7234">
          <w:rPr>
            <w:rStyle w:val="Hyperlink"/>
            <w:rFonts w:ascii="Calibri" w:hAnsi="Calibri"/>
            <w:sz w:val="22"/>
            <w:lang w:val="en-GB"/>
          </w:rPr>
          <w:t>https://www.efsa.europa.eu/sites/default/files/scientific_output/files/main_documents/1050e.pdf</w:t>
        </w:r>
      </w:hyperlink>
      <w:r w:rsidRPr="00684BC2">
        <w:rPr>
          <w:i/>
          <w:sz w:val="22"/>
          <w:lang w:val="en-GB"/>
        </w:rPr>
        <w:t xml:space="preserve"> </w:t>
      </w:r>
    </w:p>
    <w:p w14:paraId="061DBF8A" w14:textId="77777777" w:rsidR="000B69F9" w:rsidRDefault="004E7BE0" w:rsidP="004E7BE0">
      <w:pPr>
        <w:pStyle w:val="Standard-fett-Zwischenberschrift"/>
        <w:rPr>
          <w:lang w:val="en-GB"/>
        </w:rPr>
      </w:pPr>
      <w:r>
        <w:rPr>
          <w:lang w:val="en-GB"/>
        </w:rPr>
        <w:t>Disclaimer</w:t>
      </w:r>
      <w:r w:rsidR="00D01F76">
        <w:rPr>
          <w:lang w:val="en-GB"/>
        </w:rPr>
        <w:t>s</w:t>
      </w:r>
    </w:p>
    <w:p w14:paraId="3E49D013" w14:textId="77777777" w:rsidR="005F56AD" w:rsidRPr="00684BC2" w:rsidRDefault="00634D35" w:rsidP="005F56AD">
      <w:pPr>
        <w:rPr>
          <w:lang w:val="en-GB"/>
        </w:rPr>
      </w:pPr>
      <w:r>
        <w:rPr>
          <w:lang w:val="en-GB"/>
        </w:rPr>
        <w:t xml:space="preserve">The batch version of ACC-HUMANsteady </w:t>
      </w:r>
      <w:r w:rsidR="00684BC2">
        <w:rPr>
          <w:lang w:val="en-GB"/>
        </w:rPr>
        <w:t xml:space="preserve">is used at </w:t>
      </w:r>
      <w:r w:rsidR="005F56AD">
        <w:rPr>
          <w:lang w:val="en-GB"/>
        </w:rPr>
        <w:t>the user’s</w:t>
      </w:r>
      <w:r w:rsidR="00684BC2">
        <w:rPr>
          <w:lang w:val="en-GB"/>
        </w:rPr>
        <w:t xml:space="preserve"> own risk. The developers</w:t>
      </w:r>
      <w:r w:rsidR="00D01F76">
        <w:rPr>
          <w:lang w:val="en-GB"/>
        </w:rPr>
        <w:t xml:space="preserve"> of the software</w:t>
      </w:r>
      <w:r w:rsidR="00684BC2">
        <w:rPr>
          <w:lang w:val="en-GB"/>
        </w:rPr>
        <w:t>, authors of the report or the European Food Safety Authority cannot be held responsible for the results generated with the software</w:t>
      </w:r>
      <w:r w:rsidR="000B69F9" w:rsidRPr="000B69F9">
        <w:rPr>
          <w:lang w:val="en-GB"/>
        </w:rPr>
        <w:t xml:space="preserve">. </w:t>
      </w:r>
      <w:r w:rsidR="005F56AD">
        <w:rPr>
          <w:lang w:val="en-GB"/>
        </w:rPr>
        <w:t xml:space="preserve">Provision of the software does not imply that the developers of the software, authors of the report or the European Food Safety Authority be liable to the user for damages arising out of the use of the software.  </w:t>
      </w:r>
    </w:p>
    <w:p w14:paraId="30C0328F" w14:textId="77777777" w:rsidR="00D01F76" w:rsidRDefault="00D01F76" w:rsidP="00684BC2">
      <w:pPr>
        <w:rPr>
          <w:lang w:val="en-GB"/>
        </w:rPr>
      </w:pPr>
      <w:r>
        <w:rPr>
          <w:lang w:val="en-GB"/>
        </w:rPr>
        <w:t xml:space="preserve">There is no warranty for the software and the batch version of ACC-HUMANsteady is provided “as is” without any warranty of any kind, including, but not limited to, the implied fitness for a particular purpose. </w:t>
      </w:r>
      <w:r w:rsidR="005F56AD">
        <w:rPr>
          <w:lang w:val="en-GB"/>
        </w:rPr>
        <w:t xml:space="preserve">All </w:t>
      </w:r>
      <w:r>
        <w:rPr>
          <w:lang w:val="en-GB"/>
        </w:rPr>
        <w:t xml:space="preserve">risks </w:t>
      </w:r>
      <w:r w:rsidR="005F56AD">
        <w:rPr>
          <w:lang w:val="en-GB"/>
        </w:rPr>
        <w:t>with respect to</w:t>
      </w:r>
      <w:r>
        <w:rPr>
          <w:lang w:val="en-GB"/>
        </w:rPr>
        <w:t xml:space="preserve"> the quality and performance of the </w:t>
      </w:r>
      <w:r>
        <w:rPr>
          <w:lang w:val="en-GB"/>
        </w:rPr>
        <w:lastRenderedPageBreak/>
        <w:t xml:space="preserve">software rest with the user. Should the software </w:t>
      </w:r>
      <w:r w:rsidR="005F56AD">
        <w:rPr>
          <w:lang w:val="en-GB"/>
        </w:rPr>
        <w:t xml:space="preserve">turn out to be </w:t>
      </w:r>
      <w:r>
        <w:rPr>
          <w:lang w:val="en-GB"/>
        </w:rPr>
        <w:t xml:space="preserve">defective, all associated costs for servicing, repair or correction </w:t>
      </w:r>
      <w:r w:rsidR="005F56AD">
        <w:rPr>
          <w:lang w:val="en-GB"/>
        </w:rPr>
        <w:t>are</w:t>
      </w:r>
      <w:r>
        <w:rPr>
          <w:lang w:val="en-GB"/>
        </w:rPr>
        <w:t xml:space="preserve"> with </w:t>
      </w:r>
      <w:r w:rsidR="005F56AD">
        <w:rPr>
          <w:lang w:val="en-GB"/>
        </w:rPr>
        <w:t xml:space="preserve">the </w:t>
      </w:r>
      <w:r>
        <w:rPr>
          <w:lang w:val="en-GB"/>
        </w:rPr>
        <w:t>user.</w:t>
      </w:r>
    </w:p>
    <w:p w14:paraId="586060A1" w14:textId="77777777" w:rsidR="000B69F9" w:rsidRDefault="004E7BE0" w:rsidP="004E7BE0">
      <w:pPr>
        <w:pStyle w:val="Standard-fett-Zwischenberschrift"/>
        <w:rPr>
          <w:lang w:val="en-GB"/>
        </w:rPr>
      </w:pPr>
      <w:r>
        <w:rPr>
          <w:lang w:val="en-GB"/>
        </w:rPr>
        <w:t>Acknowledgements</w:t>
      </w:r>
    </w:p>
    <w:p w14:paraId="0467E1AD" w14:textId="77777777" w:rsidR="000B69F9" w:rsidRDefault="004E7BE0" w:rsidP="004E7BE0">
      <w:pPr>
        <w:rPr>
          <w:lang w:val="en-GB"/>
        </w:rPr>
      </w:pPr>
      <w:r>
        <w:rPr>
          <w:lang w:val="en-GB"/>
        </w:rPr>
        <w:t xml:space="preserve">The support of </w:t>
      </w:r>
      <w:r w:rsidRPr="004E7BE0">
        <w:rPr>
          <w:lang w:val="en-GB"/>
        </w:rPr>
        <w:t xml:space="preserve">Emma </w:t>
      </w:r>
      <w:proofErr w:type="spellStart"/>
      <w:r w:rsidRPr="004E7BE0">
        <w:rPr>
          <w:lang w:val="en-GB"/>
        </w:rPr>
        <w:t>Undeman</w:t>
      </w:r>
      <w:proofErr w:type="spellEnd"/>
      <w:r>
        <w:rPr>
          <w:lang w:val="en-GB"/>
        </w:rPr>
        <w:t xml:space="preserve"> (</w:t>
      </w:r>
      <w:r w:rsidRPr="004E7BE0">
        <w:rPr>
          <w:lang w:val="en-GB"/>
        </w:rPr>
        <w:t>Stockholm University</w:t>
      </w:r>
      <w:r>
        <w:rPr>
          <w:lang w:val="en-GB"/>
        </w:rPr>
        <w:t xml:space="preserve">) in </w:t>
      </w:r>
      <w:r w:rsidR="00634D35">
        <w:rPr>
          <w:lang w:val="en-GB"/>
        </w:rPr>
        <w:t xml:space="preserve">providing the batch version (and support in resolving some initial issues) is greatly acknowledged. </w:t>
      </w:r>
    </w:p>
    <w:p w14:paraId="20494D84" w14:textId="77777777" w:rsidR="000F1651" w:rsidRDefault="000F1651" w:rsidP="000B69F9">
      <w:pPr>
        <w:rPr>
          <w:lang w:val="en-GB"/>
        </w:rPr>
      </w:pPr>
    </w:p>
    <w:p w14:paraId="372F861D" w14:textId="77777777" w:rsidR="000B69F9" w:rsidRDefault="000B69F9" w:rsidP="000B69F9">
      <w:pPr>
        <w:rPr>
          <w:lang w:val="en-GB"/>
        </w:rPr>
      </w:pPr>
    </w:p>
    <w:p w14:paraId="3538D31D" w14:textId="77777777" w:rsidR="000B69F9" w:rsidRPr="000B69F9" w:rsidRDefault="000B69F9" w:rsidP="000B69F9">
      <w:pPr>
        <w:rPr>
          <w:lang w:val="en-GB"/>
        </w:rPr>
      </w:pPr>
      <w:r>
        <w:rPr>
          <w:lang w:val="en-GB"/>
        </w:rPr>
        <w:fldChar w:fldCharType="begin"/>
      </w:r>
      <w:r>
        <w:rPr>
          <w:lang w:val="en-GB"/>
        </w:rPr>
        <w:instrText xml:space="preserve"> ADDIN EN.REFLIST </w:instrText>
      </w:r>
      <w:r>
        <w:rPr>
          <w:lang w:val="en-GB"/>
        </w:rPr>
        <w:fldChar w:fldCharType="end"/>
      </w:r>
    </w:p>
    <w:sectPr w:rsidR="000B69F9" w:rsidRPr="000B69F9" w:rsidSect="00322937">
      <w:headerReference w:type="default" r:id="rId9"/>
      <w:pgSz w:w="11906" w:h="16838" w:code="9"/>
      <w:pgMar w:top="1418" w:right="1418" w:bottom="1134" w:left="1418"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5EB97" w14:textId="77777777" w:rsidR="006D487D" w:rsidRDefault="006D487D">
      <w:r>
        <w:separator/>
      </w:r>
    </w:p>
  </w:endnote>
  <w:endnote w:type="continuationSeparator" w:id="0">
    <w:p w14:paraId="4B8E79AC" w14:textId="77777777" w:rsidR="006D487D" w:rsidRDefault="006D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7CB70" w14:textId="77777777" w:rsidR="006D487D" w:rsidRDefault="006D487D">
      <w:r>
        <w:separator/>
      </w:r>
    </w:p>
  </w:footnote>
  <w:footnote w:type="continuationSeparator" w:id="0">
    <w:p w14:paraId="76F12995" w14:textId="77777777" w:rsidR="006D487D" w:rsidRDefault="006D4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63223" w14:textId="77777777" w:rsidR="006D487D" w:rsidRDefault="006D487D" w:rsidP="00322937">
    <w:pPr>
      <w:pStyle w:val="Header"/>
      <w:spacing w:line="360" w:lineRule="auto"/>
    </w:pPr>
    <w:r>
      <w:tab/>
    </w:r>
    <w:r>
      <w:rPr>
        <w:rStyle w:val="PageNumber"/>
      </w:rPr>
      <w:fldChar w:fldCharType="begin"/>
    </w:r>
    <w:r>
      <w:rPr>
        <w:rStyle w:val="PageNumber"/>
      </w:rPr>
      <w:instrText xml:space="preserve"> PAGE </w:instrText>
    </w:r>
    <w:r>
      <w:rPr>
        <w:rStyle w:val="PageNumber"/>
      </w:rPr>
      <w:fldChar w:fldCharType="separate"/>
    </w:r>
    <w:r w:rsidR="005F56AD">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52660A4"/>
    <w:lvl w:ilvl="0">
      <w:numFmt w:val="bullet"/>
      <w:lvlText w:val="S"/>
      <w:lvlJc w:val="left"/>
      <w:pPr>
        <w:tabs>
          <w:tab w:val="num" w:pos="1324"/>
        </w:tabs>
        <w:ind w:left="1247" w:hanging="283"/>
      </w:pPr>
      <w:rPr>
        <w:rFonts w:ascii="WP TypographicSymbols" w:hAnsi="WP TypographicSymbols" w:hint="default"/>
      </w:rPr>
    </w:lvl>
  </w:abstractNum>
  <w:abstractNum w:abstractNumId="1" w15:restartNumberingAfterBreak="0">
    <w:nsid w:val="FFFFFF83"/>
    <w:multiLevelType w:val="singleLevel"/>
    <w:tmpl w:val="58A40B20"/>
    <w:lvl w:ilvl="0">
      <w:start w:val="1"/>
      <w:numFmt w:val="bullet"/>
      <w:lvlText w:val=""/>
      <w:lvlJc w:val="left"/>
      <w:pPr>
        <w:tabs>
          <w:tab w:val="num" w:pos="927"/>
        </w:tabs>
        <w:ind w:left="851" w:hanging="284"/>
      </w:pPr>
      <w:rPr>
        <w:rFonts w:ascii="Symbol" w:hAnsi="Symbol" w:hint="default"/>
      </w:rPr>
    </w:lvl>
  </w:abstractNum>
  <w:abstractNum w:abstractNumId="2" w15:restartNumberingAfterBreak="0">
    <w:nsid w:val="40134BC0"/>
    <w:multiLevelType w:val="hybridMultilevel"/>
    <w:tmpl w:val="B1EE7C62"/>
    <w:lvl w:ilvl="0" w:tplc="D23CD8B6">
      <w:start w:val="1"/>
      <w:numFmt w:val="decimal"/>
      <w:pStyle w:val="Liste-Numm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447BB7"/>
    <w:multiLevelType w:val="hybridMultilevel"/>
    <w:tmpl w:val="2AEACEE0"/>
    <w:lvl w:ilvl="0" w:tplc="C21C5C10">
      <w:start w:val="1"/>
      <w:numFmt w:val="bullet"/>
      <w:pStyle w:val="Liste-Zeichen2"/>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4C17499F"/>
    <w:multiLevelType w:val="hybridMultilevel"/>
    <w:tmpl w:val="26C25C54"/>
    <w:lvl w:ilvl="0" w:tplc="1FE4D62A">
      <w:start w:val="1"/>
      <w:numFmt w:val="bullet"/>
      <w:pStyle w:val="Liste-Zeichen"/>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E57B99"/>
    <w:multiLevelType w:val="multilevel"/>
    <w:tmpl w:val="2D3A503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FC80E37"/>
    <w:multiLevelType w:val="multilevel"/>
    <w:tmpl w:val="1234A4EC"/>
    <w:lvl w:ilvl="0">
      <w:start w:val="1"/>
      <w:numFmt w:val="decimal"/>
      <w:lvlText w:val="%1."/>
      <w:lvlJc w:val="left"/>
      <w:pPr>
        <w:tabs>
          <w:tab w:val="num" w:pos="927"/>
        </w:tabs>
        <w:ind w:left="851" w:hanging="284"/>
      </w:pPr>
      <w:rPr>
        <w:rFonts w:hint="default"/>
      </w:rPr>
    </w:lvl>
    <w:lvl w:ilvl="1">
      <w:start w:val="1"/>
      <w:numFmt w:val="decimal"/>
      <w:lvlText w:val="%1.%2"/>
      <w:lvlJc w:val="left"/>
      <w:pPr>
        <w:tabs>
          <w:tab w:val="num" w:pos="1854"/>
        </w:tabs>
        <w:ind w:left="185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num w:numId="1">
    <w:abstractNumId w:val="0"/>
  </w:num>
  <w:num w:numId="2">
    <w:abstractNumId w:val="6"/>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FoBiG-Standard englis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aara0dpfddtdle2t2kvesd50wefpwsevzx2&quot;&gt;FoBiG_Literatur&lt;record-ids&gt;&lt;item&gt;55908&lt;/item&gt;&lt;item&gt;55920&lt;/item&gt;&lt;item&gt;66141&lt;/item&gt;&lt;/record-ids&gt;&lt;/item&gt;&lt;/Libraries&gt;"/>
  </w:docVars>
  <w:rsids>
    <w:rsidRoot w:val="00322937"/>
    <w:rsid w:val="000911FD"/>
    <w:rsid w:val="000A40FE"/>
    <w:rsid w:val="000B69F9"/>
    <w:rsid w:val="000C3CC7"/>
    <w:rsid w:val="000C71F6"/>
    <w:rsid w:val="000F1651"/>
    <w:rsid w:val="0012301A"/>
    <w:rsid w:val="00141DFD"/>
    <w:rsid w:val="001427DB"/>
    <w:rsid w:val="00185C56"/>
    <w:rsid w:val="00265C4F"/>
    <w:rsid w:val="002E15D7"/>
    <w:rsid w:val="00322937"/>
    <w:rsid w:val="0032343E"/>
    <w:rsid w:val="0034646B"/>
    <w:rsid w:val="00361FB4"/>
    <w:rsid w:val="00386E0D"/>
    <w:rsid w:val="003C2754"/>
    <w:rsid w:val="003E58B4"/>
    <w:rsid w:val="003F5082"/>
    <w:rsid w:val="0041504D"/>
    <w:rsid w:val="00430442"/>
    <w:rsid w:val="00481E87"/>
    <w:rsid w:val="004D3391"/>
    <w:rsid w:val="004E1AA2"/>
    <w:rsid w:val="004E7BE0"/>
    <w:rsid w:val="0051723E"/>
    <w:rsid w:val="00522A34"/>
    <w:rsid w:val="00587595"/>
    <w:rsid w:val="005C0B6D"/>
    <w:rsid w:val="005F3D44"/>
    <w:rsid w:val="005F56AD"/>
    <w:rsid w:val="00634D35"/>
    <w:rsid w:val="00667AE0"/>
    <w:rsid w:val="00671FE7"/>
    <w:rsid w:val="00684BC2"/>
    <w:rsid w:val="00696801"/>
    <w:rsid w:val="006A6A8B"/>
    <w:rsid w:val="006D487D"/>
    <w:rsid w:val="006F351E"/>
    <w:rsid w:val="007010BC"/>
    <w:rsid w:val="0073119A"/>
    <w:rsid w:val="00767502"/>
    <w:rsid w:val="00775CA3"/>
    <w:rsid w:val="007B0A49"/>
    <w:rsid w:val="007B1C98"/>
    <w:rsid w:val="007C2FFC"/>
    <w:rsid w:val="00822B6D"/>
    <w:rsid w:val="00837B2A"/>
    <w:rsid w:val="00852527"/>
    <w:rsid w:val="008747F2"/>
    <w:rsid w:val="00881869"/>
    <w:rsid w:val="008A1941"/>
    <w:rsid w:val="0093222A"/>
    <w:rsid w:val="00942F2D"/>
    <w:rsid w:val="00946CBE"/>
    <w:rsid w:val="00951DBA"/>
    <w:rsid w:val="009A5C2D"/>
    <w:rsid w:val="009B7767"/>
    <w:rsid w:val="00A13A87"/>
    <w:rsid w:val="00A50C9D"/>
    <w:rsid w:val="00A56853"/>
    <w:rsid w:val="00AE5471"/>
    <w:rsid w:val="00B12152"/>
    <w:rsid w:val="00B47D66"/>
    <w:rsid w:val="00B56A1D"/>
    <w:rsid w:val="00B66A1D"/>
    <w:rsid w:val="00B92D16"/>
    <w:rsid w:val="00BD1271"/>
    <w:rsid w:val="00C21B62"/>
    <w:rsid w:val="00C522CC"/>
    <w:rsid w:val="00C643A9"/>
    <w:rsid w:val="00C97CD3"/>
    <w:rsid w:val="00D01F76"/>
    <w:rsid w:val="00D67D4D"/>
    <w:rsid w:val="00D81BC6"/>
    <w:rsid w:val="00D877FB"/>
    <w:rsid w:val="00D90982"/>
    <w:rsid w:val="00DB798E"/>
    <w:rsid w:val="00E171B7"/>
    <w:rsid w:val="00E32673"/>
    <w:rsid w:val="00E3376A"/>
    <w:rsid w:val="00E37147"/>
    <w:rsid w:val="00EB7510"/>
    <w:rsid w:val="00EE31C4"/>
    <w:rsid w:val="00F25C1E"/>
    <w:rsid w:val="00FB6CAC"/>
    <w:rsid w:val="00FE2B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196916D"/>
  <w15:docId w15:val="{2AD50D4A-0E7E-4729-8C00-8F709BB2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43E"/>
    <w:pPr>
      <w:autoSpaceDE w:val="0"/>
      <w:autoSpaceDN w:val="0"/>
      <w:adjustRightInd w:val="0"/>
      <w:spacing w:before="120"/>
      <w:jc w:val="both"/>
    </w:pPr>
    <w:rPr>
      <w:sz w:val="24"/>
    </w:rPr>
  </w:style>
  <w:style w:type="paragraph" w:styleId="Heading1">
    <w:name w:val="heading 1"/>
    <w:basedOn w:val="Normal"/>
    <w:next w:val="Normal"/>
    <w:qFormat/>
    <w:rsid w:val="00FE2B33"/>
    <w:pPr>
      <w:keepNext/>
      <w:pageBreakBefore/>
      <w:widowControl w:val="0"/>
      <w:numPr>
        <w:numId w:val="4"/>
      </w:numPr>
      <w:pBdr>
        <w:top w:val="single" w:sz="24" w:space="1" w:color="4F81BD" w:themeColor="accent1"/>
        <w:left w:val="single" w:sz="24" w:space="4" w:color="4F81BD" w:themeColor="accent1"/>
        <w:bottom w:val="single" w:sz="24" w:space="1" w:color="4F81BD" w:themeColor="accent1"/>
        <w:right w:val="single" w:sz="24" w:space="4" w:color="4F81BD" w:themeColor="accent1"/>
      </w:pBdr>
      <w:shd w:val="clear" w:color="auto" w:fill="4F81BD" w:themeFill="accent1"/>
      <w:tabs>
        <w:tab w:val="clear" w:pos="432"/>
        <w:tab w:val="left" w:pos="1134"/>
      </w:tabs>
      <w:spacing w:before="0" w:line="276" w:lineRule="auto"/>
      <w:ind w:left="1134" w:hanging="1134"/>
      <w:jc w:val="left"/>
      <w:outlineLvl w:val="0"/>
    </w:pPr>
    <w:rPr>
      <w:rFonts w:cs="Arial"/>
      <w:b/>
      <w:bCs/>
      <w:caps/>
      <w:color w:val="FFFFFF" w:themeColor="background1"/>
      <w:spacing w:val="15"/>
      <w:szCs w:val="32"/>
    </w:rPr>
  </w:style>
  <w:style w:type="paragraph" w:styleId="Heading2">
    <w:name w:val="heading 2"/>
    <w:basedOn w:val="Normal"/>
    <w:next w:val="Normal"/>
    <w:link w:val="Heading2Char"/>
    <w:qFormat/>
    <w:rsid w:val="00E32673"/>
    <w:pPr>
      <w:keepNext/>
      <w:numPr>
        <w:ilvl w:val="1"/>
        <w:numId w:val="4"/>
      </w:numPr>
      <w:pBdr>
        <w:top w:val="single" w:sz="24" w:space="1" w:color="DBE5F1" w:themeColor="accent1" w:themeTint="33"/>
        <w:left w:val="single" w:sz="24" w:space="4" w:color="DBE5F1" w:themeColor="accent1" w:themeTint="33"/>
        <w:bottom w:val="single" w:sz="24" w:space="1" w:color="DBE5F1" w:themeColor="accent1" w:themeTint="33"/>
        <w:right w:val="single" w:sz="24" w:space="4" w:color="DBE5F1" w:themeColor="accent1" w:themeTint="33"/>
      </w:pBdr>
      <w:shd w:val="clear" w:color="auto" w:fill="DBE5F1" w:themeFill="accent1" w:themeFillTint="33"/>
      <w:spacing w:before="360"/>
      <w:jc w:val="left"/>
      <w:outlineLvl w:val="1"/>
    </w:pPr>
    <w:rPr>
      <w:rFonts w:cs="Arial"/>
      <w:b/>
      <w:bCs/>
      <w:iCs/>
      <w:spacing w:val="15"/>
      <w:szCs w:val="28"/>
    </w:rPr>
  </w:style>
  <w:style w:type="paragraph" w:styleId="Heading3">
    <w:name w:val="heading 3"/>
    <w:basedOn w:val="Normal"/>
    <w:next w:val="Normal"/>
    <w:qFormat/>
    <w:rsid w:val="00E32673"/>
    <w:pPr>
      <w:keepNext/>
      <w:numPr>
        <w:ilvl w:val="2"/>
        <w:numId w:val="4"/>
      </w:numPr>
      <w:tabs>
        <w:tab w:val="clear" w:pos="720"/>
        <w:tab w:val="left" w:pos="1134"/>
      </w:tabs>
      <w:spacing w:before="360"/>
      <w:ind w:left="1134" w:hanging="1134"/>
      <w:jc w:val="left"/>
      <w:outlineLvl w:val="2"/>
    </w:pPr>
    <w:rPr>
      <w:rFonts w:cs="Arial"/>
      <w:b/>
      <w:bCs/>
      <w:spacing w:val="15"/>
      <w:szCs w:val="26"/>
    </w:rPr>
  </w:style>
  <w:style w:type="paragraph" w:styleId="Heading4">
    <w:name w:val="heading 4"/>
    <w:basedOn w:val="Normal"/>
    <w:next w:val="Normal"/>
    <w:qFormat/>
    <w:rsid w:val="00E32673"/>
    <w:pPr>
      <w:keepNext/>
      <w:numPr>
        <w:ilvl w:val="3"/>
        <w:numId w:val="4"/>
      </w:numPr>
      <w:tabs>
        <w:tab w:val="clear" w:pos="864"/>
        <w:tab w:val="left" w:pos="1134"/>
      </w:tabs>
      <w:spacing w:before="360"/>
      <w:ind w:left="1134" w:hanging="1134"/>
      <w:outlineLvl w:val="3"/>
    </w:pPr>
    <w:rPr>
      <w:bCs/>
      <w:szCs w:val="28"/>
    </w:rPr>
  </w:style>
  <w:style w:type="paragraph" w:styleId="Heading5">
    <w:name w:val="heading 5"/>
    <w:basedOn w:val="Normal"/>
    <w:next w:val="Normal"/>
    <w:qFormat/>
    <w:rsid w:val="00D81BC6"/>
    <w:pPr>
      <w:numPr>
        <w:ilvl w:val="4"/>
        <w:numId w:val="4"/>
      </w:numPr>
      <w:tabs>
        <w:tab w:val="clear" w:pos="1008"/>
        <w:tab w:val="left" w:pos="1134"/>
      </w:tabs>
      <w:spacing w:before="360"/>
      <w:ind w:left="1134" w:hanging="1134"/>
      <w:outlineLvl w:val="4"/>
    </w:pPr>
    <w:rPr>
      <w:bCs/>
      <w:iCs/>
      <w:szCs w:val="26"/>
    </w:rPr>
  </w:style>
  <w:style w:type="paragraph" w:styleId="Heading6">
    <w:name w:val="heading 6"/>
    <w:basedOn w:val="Normal"/>
    <w:next w:val="Normal"/>
    <w:qFormat/>
    <w:rsid w:val="00D81BC6"/>
    <w:pPr>
      <w:numPr>
        <w:ilvl w:val="5"/>
        <w:numId w:val="4"/>
      </w:numPr>
      <w:spacing w:before="240" w:after="60"/>
      <w:outlineLvl w:val="5"/>
    </w:pPr>
    <w:rPr>
      <w:bCs/>
    </w:r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pPr>
      <w:numPr>
        <w:ilvl w:val="7"/>
        <w:numId w:val="4"/>
      </w:numPr>
      <w:spacing w:before="240" w:after="60"/>
      <w:outlineLvl w:val="7"/>
    </w:pPr>
    <w:rPr>
      <w:i/>
      <w:iCs/>
    </w:rPr>
  </w:style>
  <w:style w:type="paragraph" w:styleId="Heading9">
    <w:name w:val="heading 9"/>
    <w:basedOn w:val="Normal"/>
    <w:next w:val="Normal"/>
    <w:qFormat/>
    <w:pPr>
      <w:numPr>
        <w:ilvl w:val="8"/>
        <w:numId w:val="4"/>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eratur">
    <w:name w:val="Literatur"/>
    <w:basedOn w:val="Normal"/>
    <w:rsid w:val="00185C56"/>
    <w:pPr>
      <w:spacing w:before="0"/>
      <w:jc w:val="left"/>
    </w:pPr>
    <w:rPr>
      <w:sz w:val="20"/>
    </w:rPr>
  </w:style>
  <w:style w:type="paragraph" w:customStyle="1" w:styleId="Tabelle">
    <w:name w:val="Tabelle"/>
    <w:basedOn w:val="Normal"/>
    <w:rsid w:val="0032343E"/>
    <w:pPr>
      <w:tabs>
        <w:tab w:val="left" w:pos="1418"/>
      </w:tabs>
      <w:spacing w:before="60" w:after="60"/>
      <w:jc w:val="left"/>
    </w:pPr>
    <w:rPr>
      <w:sz w:val="22"/>
    </w:rPr>
  </w:style>
  <w:style w:type="paragraph" w:customStyle="1" w:styleId="Liste-Zeichen">
    <w:name w:val="Liste-Zeichen"/>
    <w:basedOn w:val="Normal"/>
    <w:rsid w:val="00C643A9"/>
    <w:pPr>
      <w:numPr>
        <w:numId w:val="6"/>
      </w:numPr>
      <w:tabs>
        <w:tab w:val="left" w:pos="567"/>
      </w:tabs>
      <w:ind w:left="567" w:hanging="567"/>
    </w:pPr>
  </w:style>
  <w:style w:type="paragraph" w:customStyle="1" w:styleId="Liste-Zeichen2">
    <w:name w:val="Liste-Zeichen 2"/>
    <w:basedOn w:val="Normal"/>
    <w:rsid w:val="00C643A9"/>
    <w:pPr>
      <w:numPr>
        <w:numId w:val="7"/>
      </w:numPr>
      <w:tabs>
        <w:tab w:val="left" w:pos="567"/>
        <w:tab w:val="left" w:pos="1134"/>
      </w:tabs>
      <w:ind w:left="1134" w:hanging="567"/>
    </w:pPr>
  </w:style>
  <w:style w:type="paragraph" w:styleId="TOC4">
    <w:name w:val="toc 4"/>
    <w:basedOn w:val="Normal"/>
    <w:next w:val="Normal"/>
    <w:autoRedefine/>
    <w:semiHidden/>
    <w:pPr>
      <w:ind w:left="720"/>
    </w:pPr>
  </w:style>
  <w:style w:type="paragraph" w:customStyle="1" w:styleId="Liste-Nummer">
    <w:name w:val="Liste-Nummer"/>
    <w:basedOn w:val="Normal"/>
    <w:rsid w:val="00C643A9"/>
    <w:pPr>
      <w:numPr>
        <w:numId w:val="5"/>
      </w:numPr>
      <w:tabs>
        <w:tab w:val="left" w:pos="567"/>
      </w:tabs>
      <w:ind w:left="567" w:hanging="567"/>
    </w:pPr>
  </w:style>
  <w:style w:type="paragraph" w:customStyle="1" w:styleId="Tabelle-Spaltentitel">
    <w:name w:val="Tabelle-Spaltentitel"/>
    <w:basedOn w:val="Tabelle"/>
    <w:next w:val="Tabelle"/>
    <w:rsid w:val="0032343E"/>
    <w:rPr>
      <w:b/>
      <w:bCs/>
    </w:rPr>
  </w:style>
  <w:style w:type="paragraph" w:customStyle="1" w:styleId="Inhaltsverzeichnistitel">
    <w:name w:val="Inhaltsverzeichnistitel"/>
    <w:basedOn w:val="Heading1"/>
    <w:next w:val="Normal"/>
    <w:qFormat/>
    <w:rsid w:val="00BD1271"/>
    <w:pPr>
      <w:pageBreakBefore w:val="0"/>
      <w:numPr>
        <w:numId w:val="0"/>
      </w:numPr>
      <w:outlineLvl w:val="9"/>
    </w:pPr>
    <w:rPr>
      <w:lang w:val="en-GB"/>
    </w:rPr>
  </w:style>
  <w:style w:type="paragraph" w:styleId="TableofFigures">
    <w:name w:val="table of figures"/>
    <w:basedOn w:val="Normal"/>
    <w:next w:val="Normal"/>
    <w:uiPriority w:val="99"/>
    <w:unhideWhenUsed/>
    <w:rsid w:val="00C97CD3"/>
  </w:style>
  <w:style w:type="paragraph" w:customStyle="1" w:styleId="Tabellen-Anmerkungen">
    <w:name w:val="Tabellen-Anmerkungen"/>
    <w:basedOn w:val="Normal"/>
    <w:rsid w:val="00B12152"/>
    <w:pPr>
      <w:spacing w:before="60"/>
    </w:pPr>
    <w:rPr>
      <w:sz w:val="18"/>
    </w:rPr>
  </w:style>
  <w:style w:type="paragraph" w:styleId="Header">
    <w:name w:val="header"/>
    <w:basedOn w:val="Normal"/>
    <w:pPr>
      <w:tabs>
        <w:tab w:val="center" w:pos="4536"/>
        <w:tab w:val="right" w:pos="9072"/>
      </w:tabs>
    </w:pPr>
  </w:style>
  <w:style w:type="character" w:styleId="PageNumber">
    <w:name w:val="page number"/>
    <w:basedOn w:val="DefaultParagraphFont"/>
    <w:qFormat/>
    <w:rsid w:val="00B12152"/>
    <w:rPr>
      <w:rFonts w:asciiTheme="minorHAnsi" w:hAnsiTheme="minorHAnsi"/>
      <w:sz w:val="22"/>
      <w:szCs w:val="22"/>
    </w:rPr>
  </w:style>
  <w:style w:type="paragraph" w:styleId="TOC2">
    <w:name w:val="toc 2"/>
    <w:basedOn w:val="Normal"/>
    <w:next w:val="Normal"/>
    <w:uiPriority w:val="39"/>
    <w:pPr>
      <w:tabs>
        <w:tab w:val="right" w:leader="dot" w:pos="9061"/>
      </w:tabs>
      <w:ind w:left="1134" w:hanging="567"/>
    </w:pPr>
  </w:style>
  <w:style w:type="paragraph" w:styleId="TOC1">
    <w:name w:val="toc 1"/>
    <w:basedOn w:val="Normal"/>
    <w:next w:val="Normal"/>
    <w:uiPriority w:val="39"/>
    <w:pPr>
      <w:tabs>
        <w:tab w:val="left" w:pos="567"/>
        <w:tab w:val="right" w:leader="dot" w:pos="9062"/>
      </w:tabs>
      <w:spacing w:before="240"/>
      <w:ind w:left="567" w:hanging="567"/>
    </w:pPr>
    <w:rPr>
      <w:b/>
    </w:rPr>
  </w:style>
  <w:style w:type="paragraph" w:styleId="TOC3">
    <w:name w:val="toc 3"/>
    <w:basedOn w:val="Normal"/>
    <w:next w:val="Normal"/>
    <w:uiPriority w:val="39"/>
    <w:pPr>
      <w:ind w:left="1843" w:hanging="709"/>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sid w:val="00B12152"/>
    <w:rPr>
      <w:rFonts w:asciiTheme="minorHAnsi" w:hAnsiTheme="minorHAnsi"/>
      <w:color w:val="0000FF"/>
      <w:u w:val="single"/>
    </w:rPr>
  </w:style>
  <w:style w:type="paragraph" w:styleId="Footer">
    <w:name w:val="footer"/>
    <w:basedOn w:val="Normal"/>
    <w:qFormat/>
    <w:rsid w:val="00B12152"/>
    <w:pPr>
      <w:tabs>
        <w:tab w:val="center" w:pos="4536"/>
        <w:tab w:val="right" w:pos="9072"/>
      </w:tabs>
      <w:spacing w:before="0"/>
    </w:pPr>
    <w:rPr>
      <w:sz w:val="18"/>
    </w:rPr>
  </w:style>
  <w:style w:type="paragraph" w:styleId="DocumentMap">
    <w:name w:val="Document Map"/>
    <w:basedOn w:val="Normal"/>
    <w:semiHidden/>
    <w:rsid w:val="00E3376A"/>
    <w:pPr>
      <w:shd w:val="clear" w:color="auto" w:fill="000080"/>
    </w:pPr>
    <w:rPr>
      <w:rFonts w:ascii="Tahoma" w:hAnsi="Tahoma" w:cs="Tahoma"/>
    </w:rPr>
  </w:style>
  <w:style w:type="paragraph" w:customStyle="1" w:styleId="Standard-fett-Zwischenberschrift">
    <w:name w:val="Standard-fett-Zwischenüberschrift"/>
    <w:basedOn w:val="Normal"/>
    <w:next w:val="Normal"/>
    <w:rsid w:val="001427DB"/>
    <w:pPr>
      <w:spacing w:before="360"/>
    </w:pPr>
    <w:rPr>
      <w:b/>
    </w:rPr>
  </w:style>
  <w:style w:type="paragraph" w:customStyle="1" w:styleId="Standard-kursiv">
    <w:name w:val="Standard-kursiv"/>
    <w:basedOn w:val="Normal"/>
    <w:rsid w:val="001427DB"/>
    <w:pPr>
      <w:spacing w:before="360"/>
    </w:pPr>
    <w:rPr>
      <w:i/>
    </w:rPr>
  </w:style>
  <w:style w:type="character" w:customStyle="1" w:styleId="Heading2Char">
    <w:name w:val="Heading 2 Char"/>
    <w:basedOn w:val="DefaultParagraphFont"/>
    <w:link w:val="Heading2"/>
    <w:rsid w:val="00E32673"/>
    <w:rPr>
      <w:rFonts w:cs="Arial"/>
      <w:b/>
      <w:bCs/>
      <w:iCs/>
      <w:spacing w:val="15"/>
      <w:sz w:val="24"/>
      <w:szCs w:val="28"/>
      <w:shd w:val="clear" w:color="auto" w:fill="DBE5F1" w:themeFill="accent1" w:themeFillTint="33"/>
    </w:rPr>
  </w:style>
  <w:style w:type="table" w:styleId="TableGrid">
    <w:name w:val="Table Grid"/>
    <w:basedOn w:val="TableNormal"/>
    <w:uiPriority w:val="59"/>
    <w:rsid w:val="0041504D"/>
    <w:pPr>
      <w:spacing w:before="200" w:after="200" w:line="276"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C0B6D"/>
    <w:pPr>
      <w:tabs>
        <w:tab w:val="left" w:pos="1701"/>
      </w:tabs>
      <w:spacing w:before="240" w:after="120" w:line="276" w:lineRule="auto"/>
      <w:ind w:left="1701" w:hanging="1701"/>
    </w:pPr>
    <w:rPr>
      <w:b/>
      <w:bCs/>
      <w:color w:val="1F497D" w:themeColor="text2"/>
      <w:szCs w:val="18"/>
    </w:rPr>
  </w:style>
  <w:style w:type="paragraph" w:styleId="FootnoteText">
    <w:name w:val="footnote text"/>
    <w:basedOn w:val="Normal"/>
    <w:link w:val="FootnoteTextChar"/>
    <w:uiPriority w:val="99"/>
    <w:semiHidden/>
    <w:unhideWhenUsed/>
    <w:rsid w:val="0041504D"/>
    <w:pPr>
      <w:spacing w:before="0"/>
    </w:pPr>
    <w:rPr>
      <w:rFonts w:ascii="Arial" w:hAnsi="Arial"/>
      <w:sz w:val="20"/>
    </w:rPr>
  </w:style>
  <w:style w:type="character" w:customStyle="1" w:styleId="FootnoteTextChar">
    <w:name w:val="Footnote Text Char"/>
    <w:basedOn w:val="DefaultParagraphFont"/>
    <w:link w:val="FootnoteText"/>
    <w:uiPriority w:val="99"/>
    <w:semiHidden/>
    <w:rsid w:val="0041504D"/>
    <w:rPr>
      <w:rFonts w:ascii="Arial" w:hAnsi="Arial"/>
    </w:rPr>
  </w:style>
  <w:style w:type="character" w:styleId="FootnoteReference">
    <w:name w:val="footnote reference"/>
    <w:basedOn w:val="DefaultParagraphFont"/>
    <w:uiPriority w:val="99"/>
    <w:semiHidden/>
    <w:unhideWhenUsed/>
    <w:rsid w:val="0041504D"/>
    <w:rPr>
      <w:vertAlign w:val="superscript"/>
    </w:rPr>
  </w:style>
  <w:style w:type="paragraph" w:styleId="BalloonText">
    <w:name w:val="Balloon Text"/>
    <w:basedOn w:val="Normal"/>
    <w:link w:val="BalloonTextChar"/>
    <w:uiPriority w:val="99"/>
    <w:semiHidden/>
    <w:unhideWhenUsed/>
    <w:rsid w:val="0041504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4D"/>
    <w:rPr>
      <w:rFonts w:ascii="Tahoma" w:hAnsi="Tahoma" w:cs="Tahoma"/>
      <w:sz w:val="16"/>
      <w:szCs w:val="16"/>
    </w:rPr>
  </w:style>
  <w:style w:type="paragraph" w:customStyle="1" w:styleId="Funoten-Text">
    <w:name w:val="Fußnoten-Text"/>
    <w:basedOn w:val="Normal"/>
    <w:next w:val="FootnoteText"/>
    <w:qFormat/>
    <w:rsid w:val="00946CBE"/>
    <w:pPr>
      <w:shd w:val="clear" w:color="auto" w:fill="FFFFFF" w:themeFill="background1"/>
    </w:pPr>
    <w:rPr>
      <w:sz w:val="18"/>
    </w:rPr>
  </w:style>
  <w:style w:type="character" w:styleId="FollowedHyperlink">
    <w:name w:val="FollowedHyperlink"/>
    <w:basedOn w:val="DefaultParagraphFont"/>
    <w:uiPriority w:val="99"/>
    <w:semiHidden/>
    <w:unhideWhenUsed/>
    <w:rsid w:val="000B69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340847">
      <w:bodyDiv w:val="1"/>
      <w:marLeft w:val="0"/>
      <w:marRight w:val="0"/>
      <w:marTop w:val="0"/>
      <w:marBottom w:val="0"/>
      <w:divBdr>
        <w:top w:val="none" w:sz="0" w:space="0" w:color="auto"/>
        <w:left w:val="none" w:sz="0" w:space="0" w:color="auto"/>
        <w:bottom w:val="none" w:sz="0" w:space="0" w:color="auto"/>
        <w:right w:val="none" w:sz="0" w:space="0" w:color="auto"/>
      </w:divBdr>
      <w:divsChild>
        <w:div w:id="763721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fsa.europa.eu/sites/default/files/scientific_output/files/main_documents/1050e.pdf" TargetMode="External"/><Relationship Id="rId3" Type="http://schemas.openxmlformats.org/officeDocument/2006/relationships/settings" Target="settings.xml"/><Relationship Id="rId7" Type="http://schemas.openxmlformats.org/officeDocument/2006/relationships/hyperlink" Target="http://www.ufz.de/osiris/index.php?en=221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e.haeffner\AppData\Roaming\Microsoft\Templates\FoBi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FoBiG</Template>
  <TotalTime>1</TotalTime>
  <Pages>2</Pages>
  <Words>475</Words>
  <Characters>2714</Characters>
  <Application>Microsoft Office Word</Application>
  <DocSecurity>4</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FOBIG GmbH</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FOBIG GmbH</dc:creator>
  <cp:lastModifiedBy>MERTEN Caroline</cp:lastModifiedBy>
  <cp:revision>2</cp:revision>
  <cp:lastPrinted>2012-02-28T16:45:00Z</cp:lastPrinted>
  <dcterms:created xsi:type="dcterms:W3CDTF">2019-03-27T15:20:00Z</dcterms:created>
  <dcterms:modified xsi:type="dcterms:W3CDTF">2019-03-27T15:20:00Z</dcterms:modified>
</cp:coreProperties>
</file>