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E4" w:rsidRDefault="00B130D1">
      <w:pPr>
        <w:pStyle w:val="Standard"/>
        <w:jc w:val="center"/>
      </w:pPr>
      <w:proofErr w:type="spellStart"/>
      <w:r>
        <w:rPr>
          <w:rFonts w:ascii="Times New Roman" w:hAnsi="Times New Roman" w:cs="Times New Roman"/>
          <w:b/>
          <w:sz w:val="24"/>
          <w:szCs w:val="24"/>
        </w:rPr>
        <w:t>Hannah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Arendt</w:t>
      </w:r>
      <w:proofErr w:type="spellEnd"/>
      <w:r>
        <w:rPr>
          <w:rFonts w:ascii="Times New Roman" w:hAnsi="Times New Roman" w:cs="Times New Roman"/>
          <w:b/>
          <w:sz w:val="24"/>
          <w:szCs w:val="24"/>
        </w:rPr>
        <w:t xml:space="preserve"> e la delineazione di una teoria politica “a-morale”</w:t>
      </w:r>
    </w:p>
    <w:p w:rsidR="007D60E4" w:rsidRDefault="007D60E4">
      <w:pPr>
        <w:pStyle w:val="Standard"/>
        <w:spacing w:after="0"/>
        <w:jc w:val="both"/>
        <w:rPr>
          <w:rFonts w:ascii="Times New Roman" w:hAnsi="Times New Roman" w:cs="Times New Roman"/>
          <w:sz w:val="24"/>
          <w:szCs w:val="24"/>
        </w:rPr>
      </w:pPr>
    </w:p>
    <w:p w:rsidR="007D60E4" w:rsidRDefault="00B130D1">
      <w:pPr>
        <w:pStyle w:val="Standard"/>
        <w:spacing w:after="0"/>
        <w:jc w:val="both"/>
      </w:pPr>
      <w:r>
        <w:rPr>
          <w:rFonts w:ascii="Times New Roman" w:hAnsi="Times New Roman" w:cs="Times New Roman"/>
          <w:sz w:val="24"/>
          <w:szCs w:val="24"/>
        </w:rPr>
        <w:t xml:space="preserve">Com’è ormai noto, </w:t>
      </w:r>
      <w:proofErr w:type="spellStart"/>
      <w:r>
        <w:rPr>
          <w:rFonts w:ascii="Times New Roman" w:hAnsi="Times New Roman" w:cs="Times New Roman"/>
          <w:sz w:val="24"/>
          <w:szCs w:val="24"/>
        </w:rPr>
        <w:t>Hannah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manifestò pubblicamente il suo rifiuto di essere considerata una filosofa</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Tale rifiuto, benché in apparenza</w:t>
      </w:r>
      <w:r>
        <w:rPr>
          <w:rFonts w:ascii="Times New Roman" w:hAnsi="Times New Roman" w:cs="Times New Roman"/>
          <w:sz w:val="24"/>
          <w:szCs w:val="24"/>
        </w:rPr>
        <w:t xml:space="preserve"> possa sembrare un semplice dato biografico, è strettamente connesso alla sua riflessione filosofico-politica.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avversione”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per la categoria dei cosiddetti “filosofi di professione” non ricade tuttavia sulla filosofia </w:t>
      </w:r>
      <w:r>
        <w:rPr>
          <w:rFonts w:ascii="Times New Roman" w:hAnsi="Times New Roman" w:cs="Times New Roman"/>
          <w:i/>
          <w:sz w:val="24"/>
          <w:szCs w:val="24"/>
        </w:rPr>
        <w:t>tout court</w:t>
      </w:r>
      <w:r>
        <w:rPr>
          <w:rFonts w:ascii="Times New Roman" w:hAnsi="Times New Roman" w:cs="Times New Roman"/>
          <w:sz w:val="24"/>
          <w:szCs w:val="24"/>
        </w:rPr>
        <w:t xml:space="preserve">. L’intento di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(uno fra gli altri) è di rimarcare,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-percorrendola, la distanza che, a suo avviso, si è venuta a creare tra la riflessione filosofica e il “mondo degli affari umani”, ovvero il mondo del politico</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La questione del rapporto tra filosofia e politica è infatti centrale e ricorre costantemente nelle opere di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Tale tema però sarà qui</w:t>
      </w:r>
      <w:r>
        <w:rPr>
          <w:rFonts w:ascii="Times New Roman" w:hAnsi="Times New Roman" w:cs="Times New Roman"/>
          <w:sz w:val="24"/>
          <w:szCs w:val="24"/>
        </w:rPr>
        <w:t xml:space="preserve"> trattato solo in maniera trasversale rispetto all’oggetto di studio che dà il titolo alla presente indagine: la connotazione “a-morale” della teoria politica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Sebbene sia fonte di errore metodologico fare di un autore e del suo pensiero la dire</w:t>
      </w:r>
      <w:r>
        <w:rPr>
          <w:rFonts w:ascii="Times New Roman" w:hAnsi="Times New Roman" w:cs="Times New Roman"/>
          <w:sz w:val="24"/>
          <w:szCs w:val="24"/>
        </w:rPr>
        <w:t xml:space="preserve">tta conseguenza del contesto storico in cui è vissuto, è innegabile che la riflessione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abbia avuto origine, o quanto meno sia stata stimolata, dagli eventi storici del XX secolo e, in particolare, dall’ascesa dei regimi totalitari.</w:t>
      </w:r>
    </w:p>
    <w:p w:rsidR="007D60E4" w:rsidRDefault="00B130D1">
      <w:pPr>
        <w:pStyle w:val="Standard"/>
        <w:spacing w:after="0"/>
        <w:jc w:val="both"/>
      </w:pPr>
      <w:r>
        <w:rPr>
          <w:rFonts w:ascii="Times New Roman" w:hAnsi="Times New Roman" w:cs="Times New Roman"/>
          <w:sz w:val="24"/>
          <w:szCs w:val="24"/>
        </w:rPr>
        <w:t>Il fenomeno t</w:t>
      </w:r>
      <w:r>
        <w:rPr>
          <w:rFonts w:ascii="Times New Roman" w:hAnsi="Times New Roman" w:cs="Times New Roman"/>
          <w:sz w:val="24"/>
          <w:szCs w:val="24"/>
        </w:rPr>
        <w:t xml:space="preserve">otalitario, nella sua straordinaria e sconvolgente novità, poneva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di fronte ad un problema: l’inadeguatezza delle vecchie categorie filosofiche e politiche che si mostrarono insufficienti per la chiarificazione dell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evento-totalitarismo”</w:t>
      </w:r>
      <w:r>
        <w:rPr>
          <w:rStyle w:val="Rimandonotaapidipagina"/>
        </w:rPr>
        <w:footnoteReference w:id="3"/>
      </w:r>
      <w:r>
        <w:rPr>
          <w:rFonts w:ascii="Times New Roman" w:hAnsi="Times New Roman" w:cs="Times New Roman"/>
          <w:sz w:val="24"/>
          <w:szCs w:val="24"/>
        </w:rPr>
        <w:t>, evento per il quale, oltretutto, non era possibile trovare nessuna analogia con a</w:t>
      </w:r>
      <w:r>
        <w:rPr>
          <w:rFonts w:ascii="Times New Roman" w:hAnsi="Times New Roman" w:cs="Times New Roman"/>
          <w:sz w:val="24"/>
          <w:szCs w:val="24"/>
        </w:rPr>
        <w:t>ltri eventi passati</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w:t>
      </w:r>
    </w:p>
    <w:p w:rsidR="007D60E4" w:rsidRDefault="00B130D1">
      <w:pPr>
        <w:pStyle w:val="Standard"/>
        <w:spacing w:before="58" w:after="218"/>
        <w:jc w:val="both"/>
      </w:pPr>
      <w:r>
        <w:rPr>
          <w:rFonts w:ascii="Times New Roman" w:hAnsi="Times New Roman" w:cs="Times New Roman"/>
          <w:sz w:val="24"/>
          <w:szCs w:val="24"/>
        </w:rPr>
        <w:lastRenderedPageBreak/>
        <w:t xml:space="preserve">Ciò che diede avvio alle riflessioni </w:t>
      </w:r>
      <w:proofErr w:type="spellStart"/>
      <w:r>
        <w:rPr>
          <w:rFonts w:ascii="Times New Roman" w:hAnsi="Times New Roman" w:cs="Times New Roman"/>
          <w:sz w:val="24"/>
          <w:szCs w:val="24"/>
        </w:rPr>
        <w:t>arendtiane</w:t>
      </w:r>
      <w:proofErr w:type="spellEnd"/>
      <w:r>
        <w:rPr>
          <w:rFonts w:ascii="Times New Roman" w:hAnsi="Times New Roman" w:cs="Times New Roman"/>
          <w:sz w:val="24"/>
          <w:szCs w:val="24"/>
        </w:rPr>
        <w:t xml:space="preserve"> fu la sua part</w:t>
      </w:r>
      <w:r>
        <w:rPr>
          <w:rFonts w:ascii="Times New Roman" w:hAnsi="Times New Roman" w:cs="Times New Roman"/>
          <w:sz w:val="24"/>
          <w:szCs w:val="24"/>
        </w:rPr>
        <w:t xml:space="preserve">ecipazione, in qualità di inviata del New Yorker, al processo del criminale nazista Adolf Eichmann, partecipazione che porterà alla formulazione di una delle sue più celebri “teorie”: la banalità del male. Ciò che colpì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e gli astanti al processo fu </w:t>
      </w:r>
      <w:r>
        <w:rPr>
          <w:rFonts w:ascii="Times New Roman" w:hAnsi="Times New Roman" w:cs="Times New Roman"/>
          <w:sz w:val="24"/>
          <w:szCs w:val="24"/>
        </w:rPr>
        <w:t xml:space="preserve">che Eichmann si presentava nelle vesti di un criminale di guerra – come effettivamente era stato – e tuttavia c’era qualcosa che non si dava immediatamente a vedere e che emerse durante il corso dell’udienza: contro ogni previsione,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non riscontrò ne</w:t>
      </w:r>
      <w:r>
        <w:rPr>
          <w:rFonts w:ascii="Times New Roman" w:hAnsi="Times New Roman" w:cs="Times New Roman"/>
          <w:sz w:val="24"/>
          <w:szCs w:val="24"/>
        </w:rPr>
        <w:t xml:space="preserve">ll’imputato né una particolare malvagità né stupidità, bensì quella che definì come “assenza di pensiero”. In seguito al processo, tenutosi a Gerusalemme nel 1961, la riflessione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si muoverà intorno all’interrogazione sulla legittimità trascenden</w:t>
      </w:r>
      <w:r>
        <w:rPr>
          <w:rFonts w:ascii="Times New Roman" w:hAnsi="Times New Roman" w:cs="Times New Roman"/>
          <w:sz w:val="24"/>
          <w:szCs w:val="24"/>
        </w:rPr>
        <w:t xml:space="preserve">tale dell’utilizzo del termine “banalità del male”. Impossessatesi di un concetto che le si poneva di fronte in tutta la sua evidenza fenomenica,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si sentiva ora in dovere di “giustificare” l’utilizzo di una simile “categoria” che avrebbe suscitato n</w:t>
      </w:r>
      <w:r>
        <w:rPr>
          <w:rFonts w:ascii="Times New Roman" w:hAnsi="Times New Roman" w:cs="Times New Roman"/>
          <w:sz w:val="24"/>
          <w:szCs w:val="24"/>
        </w:rPr>
        <w:t>umerose polemiche dovute, in larga misura, al suo fraintendimento. La formula “banalità del male” aveva il solo scopo di mettere in luce qualcosa senza tuttavia costruirvi sopra una teoria</w:t>
      </w:r>
      <w:r>
        <w:rPr>
          <w:rFonts w:ascii="Times New Roman" w:hAnsi="Times New Roman" w:cs="Times New Roman"/>
          <w:sz w:val="24"/>
          <w:szCs w:val="24"/>
        </w:rPr>
        <w:footnoteReference w:id="5"/>
      </w:r>
      <w:r>
        <w:rPr>
          <w:rFonts w:ascii="Times New Roman" w:hAnsi="Times New Roman" w:cs="Times New Roman"/>
          <w:sz w:val="24"/>
          <w:szCs w:val="24"/>
        </w:rPr>
        <w:t xml:space="preserve">. Benché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non avesse intenzione di creare una qualche nuova dottrina sulla questione del male è evidente che, definendolo in t</w:t>
      </w:r>
      <w:r>
        <w:rPr>
          <w:rFonts w:ascii="Times New Roman" w:hAnsi="Times New Roman" w:cs="Times New Roman"/>
          <w:sz w:val="24"/>
          <w:szCs w:val="24"/>
        </w:rPr>
        <w:t xml:space="preserve">ale maniera, la rottura con la tradizione, in primo luogo con quella religiosa, sarebbe stata inevitabile. Tradizionalmente infatti, il male viene posto in diretta connessione con la dimensione demoniaca, un qualcosa quindi che a che fare con una profonda </w:t>
      </w:r>
      <w:r>
        <w:rPr>
          <w:rFonts w:ascii="Times New Roman" w:hAnsi="Times New Roman" w:cs="Times New Roman"/>
          <w:sz w:val="24"/>
          <w:szCs w:val="24"/>
        </w:rPr>
        <w:t xml:space="preserve">malvagità. A Gerusalemme però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si trovò di fronte a qualcosa di totalmente diverso: ciò che maggiormente la colpì fu la straordinaria superficialità del criminale; tale superficialità rendeva impossibile ricondurre gli atti di quest’uomo a delle caus</w:t>
      </w:r>
      <w:r>
        <w:rPr>
          <w:rFonts w:ascii="Times New Roman" w:hAnsi="Times New Roman" w:cs="Times New Roman"/>
          <w:sz w:val="24"/>
          <w:szCs w:val="24"/>
        </w:rPr>
        <w:t>e e motivazioni profonde. Gli atti compiuti da Eichmann erano profondamente malvagi, mostruosi, e tuttavia l’artefice di tali atti era un uomo ordinario, mediocre. Egli non appariva dunque con le caratteristiche demoniache, attribuite dalla tradizione, a c</w:t>
      </w:r>
      <w:r>
        <w:rPr>
          <w:rFonts w:ascii="Times New Roman" w:hAnsi="Times New Roman" w:cs="Times New Roman"/>
          <w:sz w:val="24"/>
          <w:szCs w:val="24"/>
        </w:rPr>
        <w:t>hi compie atti così mostruosi. Non malvagità dunque, ma assenza di pensiero:</w:t>
      </w:r>
    </w:p>
    <w:p w:rsidR="007D60E4" w:rsidRDefault="00B130D1">
      <w:pPr>
        <w:pStyle w:val="Standard"/>
        <w:spacing w:before="58"/>
        <w:ind w:left="284" w:right="284"/>
        <w:jc w:val="both"/>
      </w:pPr>
      <w:r>
        <w:rPr>
          <w:rFonts w:ascii="Times New Roman" w:hAnsi="Times New Roman" w:cs="Times New Roman"/>
        </w:rPr>
        <w:t>Quanto più lo si ascoltava, tanto più era evidente che la sua incapacità di esprimersi era strettamente legata a un’incapacità di pensare, cioè di pensare dal punto di vista di qu</w:t>
      </w:r>
      <w:r>
        <w:rPr>
          <w:rFonts w:ascii="Times New Roman" w:hAnsi="Times New Roman" w:cs="Times New Roman"/>
        </w:rPr>
        <w:t>alcun’altro.</w:t>
      </w:r>
      <w:r>
        <w:rPr>
          <w:rStyle w:val="Rimandonotaapidipagina"/>
        </w:rPr>
        <w:footnoteReference w:id="6"/>
      </w:r>
    </w:p>
    <w:p w:rsidR="007D60E4" w:rsidRDefault="00B130D1">
      <w:pPr>
        <w:pStyle w:val="Standard"/>
        <w:spacing w:after="0"/>
        <w:jc w:val="both"/>
      </w:pPr>
      <w:r>
        <w:rPr>
          <w:rFonts w:ascii="Times New Roman" w:hAnsi="Times New Roman" w:cs="Times New Roman"/>
          <w:sz w:val="24"/>
          <w:szCs w:val="24"/>
        </w:rPr>
        <w:t>In seguito all’osservazione del “fenomeno Eichmann” la riflessione</w:t>
      </w:r>
      <w:r>
        <w:rPr>
          <w:rFonts w:ascii="Times New Roman" w:hAnsi="Times New Roman" w:cs="Times New Roman"/>
          <w:sz w:val="24"/>
          <w:szCs w:val="24"/>
        </w:rPr>
        <w:t xml:space="preserve">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sarà volta a determinare in quale misura l’attività del pensiero, ovvero l’abitudine a esaminare tutto ciò che accade, possa in qualche modo condizionare l’uomo e impedirgli di compiere il male. In altre parole, l’intento di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era di mette</w:t>
      </w:r>
      <w:r>
        <w:rPr>
          <w:rFonts w:ascii="Times New Roman" w:hAnsi="Times New Roman" w:cs="Times New Roman"/>
          <w:sz w:val="24"/>
          <w:szCs w:val="24"/>
        </w:rPr>
        <w:t>re a tema il legame che intercorreva tra la capacità/incapacità di pensare e l’</w:t>
      </w:r>
      <w:r>
        <w:rPr>
          <w:rFonts w:ascii="Times New Roman" w:hAnsi="Times New Roman" w:cs="Times New Roman"/>
          <w:i/>
          <w:sz w:val="24"/>
          <w:szCs w:val="24"/>
        </w:rPr>
        <w:t>eventualità</w:t>
      </w:r>
      <w:r>
        <w:rPr>
          <w:rFonts w:ascii="Times New Roman" w:hAnsi="Times New Roman" w:cs="Times New Roman"/>
          <w:sz w:val="24"/>
          <w:szCs w:val="24"/>
        </w:rPr>
        <w:t xml:space="preserve"> del male. Posta tale connessione, il proposito di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divenne quello di chiarire in cosa propriamente consistesse l’attività del pensiero e per fare ciò si servì </w:t>
      </w:r>
      <w:r>
        <w:rPr>
          <w:rFonts w:ascii="Times New Roman" w:hAnsi="Times New Roman" w:cs="Times New Roman"/>
          <w:sz w:val="24"/>
          <w:szCs w:val="24"/>
        </w:rPr>
        <w:t xml:space="preserve">di un </w:t>
      </w:r>
      <w:r>
        <w:rPr>
          <w:rFonts w:ascii="Times New Roman" w:hAnsi="Times New Roman" w:cs="Times New Roman"/>
          <w:sz w:val="24"/>
          <w:szCs w:val="24"/>
        </w:rPr>
        <w:lastRenderedPageBreak/>
        <w:t>modello, “l’esempio di qualcuno che, a differenza dei pensatori «di professione», possa essere rappresentativo di «chiunque»”</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Socrate</w:t>
      </w:r>
      <w:r>
        <w:rPr>
          <w:rFonts w:ascii="Times New Roman" w:hAnsi="Times New Roman" w:cs="Times New Roman"/>
          <w:sz w:val="24"/>
          <w:szCs w:val="24"/>
        </w:rPr>
        <w:footnoteReference w:id="8"/>
      </w:r>
      <w:r>
        <w:rPr>
          <w:rFonts w:ascii="Times New Roman" w:hAnsi="Times New Roman" w:cs="Times New Roman"/>
          <w:sz w:val="24"/>
          <w:szCs w:val="24"/>
        </w:rPr>
        <w:t>.</w:t>
      </w:r>
    </w:p>
    <w:p w:rsidR="007D60E4" w:rsidRDefault="00B130D1">
      <w:pPr>
        <w:pStyle w:val="Standard"/>
        <w:jc w:val="both"/>
      </w:pPr>
      <w:r>
        <w:rPr>
          <w:rFonts w:ascii="Times New Roman" w:hAnsi="Times New Roman" w:cs="Times New Roman"/>
          <w:sz w:val="24"/>
          <w:szCs w:val="24"/>
        </w:rPr>
        <w:t xml:space="preserve">Ad essere in gioco in queste riflessioni sono una molteplicità di connessioni: in primo luogo,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vuole mostrare il legame tra incapacità di pensare e possibilità del male. La filosofa, inoltre, si chiede in quale misura la facoltà di pensiero, il cui esercizio richiede una perfetta solitudine, possa rientrare nella sfera politica che, al contra</w:t>
      </w:r>
      <w:r>
        <w:rPr>
          <w:rFonts w:ascii="Times New Roman" w:hAnsi="Times New Roman" w:cs="Times New Roman"/>
          <w:sz w:val="24"/>
          <w:szCs w:val="24"/>
        </w:rPr>
        <w:t>rio, è caratterizzata dalla costante presenza degli altri</w:t>
      </w:r>
      <w:r>
        <w:rPr>
          <w:rFonts w:ascii="Times New Roman" w:hAnsi="Times New Roman" w:cs="Times New Roman"/>
          <w:sz w:val="24"/>
          <w:szCs w:val="24"/>
        </w:rPr>
        <w:footnoteReference w:id="9"/>
      </w:r>
      <w:r>
        <w:rPr>
          <w:rFonts w:ascii="Times New Roman" w:hAnsi="Times New Roman" w:cs="Times New Roman"/>
          <w:sz w:val="24"/>
          <w:szCs w:val="24"/>
        </w:rPr>
        <w:t>. Secondo</w:t>
      </w:r>
      <w:r>
        <w:rPr>
          <w:rFonts w:ascii="Times New Roman" w:hAnsi="Times New Roman" w:cs="Times New Roman"/>
          <w:sz w:val="24"/>
          <w:szCs w:val="24"/>
        </w:rPr>
        <w:t xml:space="preserv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vi è nell’uomo una naturale inclinazione o bisogno di pensare che si differenzia dalla sete di conoscenza per il fatto che, contrariamente a quest’ultima, l’attività del pensiero non lascia dietro di sé nulla di tangibile. Tale bisogno di pensare, </w:t>
      </w:r>
      <w:r>
        <w:rPr>
          <w:rFonts w:ascii="Times New Roman" w:hAnsi="Times New Roman" w:cs="Times New Roman"/>
          <w:sz w:val="24"/>
          <w:szCs w:val="24"/>
        </w:rPr>
        <w:t xml:space="preserve">inoltre, non trova soddisfazione se non nel pensiero stesso. Questa affermazione viene esemplificata da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attraverso l’emblematica metafora della tela di Penelope:</w:t>
      </w:r>
    </w:p>
    <w:p w:rsidR="007D60E4" w:rsidRDefault="00B130D1">
      <w:pPr>
        <w:pStyle w:val="Standard"/>
        <w:ind w:left="284" w:right="284"/>
        <w:jc w:val="both"/>
      </w:pPr>
      <w:r>
        <w:rPr>
          <w:rFonts w:ascii="Times New Roman" w:hAnsi="Times New Roman" w:cs="Times New Roman"/>
        </w:rPr>
        <w:t>[…] l’occupazione di pensare somiglia alla tela di Penelope: ogni mattina viene disfatt</w:t>
      </w:r>
      <w:r>
        <w:rPr>
          <w:rFonts w:ascii="Times New Roman" w:hAnsi="Times New Roman" w:cs="Times New Roman"/>
        </w:rPr>
        <w:t>o ciò che era stato finito la notte precedente</w:t>
      </w:r>
      <w:r>
        <w:rPr>
          <w:rStyle w:val="Rimandonotaapidipagina"/>
          <w:rFonts w:ascii="Times New Roman" w:hAnsi="Times New Roman" w:cs="Times New Roman"/>
        </w:rPr>
        <w:footnoteReference w:id="10"/>
      </w:r>
      <w:r>
        <w:rPr>
          <w:rFonts w:ascii="Times New Roman" w:hAnsi="Times New Roman" w:cs="Times New Roman"/>
        </w:rPr>
        <w:t>.</w:t>
      </w:r>
    </w:p>
    <w:p w:rsidR="007D60E4" w:rsidRDefault="00B130D1">
      <w:pPr>
        <w:pStyle w:val="Standard"/>
        <w:spacing w:after="0"/>
        <w:jc w:val="both"/>
      </w:pPr>
      <w:r>
        <w:rPr>
          <w:rFonts w:ascii="Times New Roman" w:hAnsi="Times New Roman" w:cs="Times New Roman"/>
          <w:sz w:val="24"/>
          <w:szCs w:val="24"/>
        </w:rPr>
        <w:t xml:space="preserve">Dunque, l’attenzione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è rivolta non tanto al pensiero, ai suoi contenuti, quanto piuttosto al pensare nel suo ma</w:t>
      </w:r>
      <w:r>
        <w:rPr>
          <w:rFonts w:ascii="Times New Roman" w:hAnsi="Times New Roman" w:cs="Times New Roman"/>
          <w:sz w:val="24"/>
          <w:szCs w:val="24"/>
        </w:rPr>
        <w:t>nifestarsi, nella sua</w:t>
      </w:r>
      <w:r>
        <w:rPr>
          <w:rFonts w:ascii="Times New Roman" w:hAnsi="Times New Roman" w:cs="Times New Roman"/>
          <w:i/>
          <w:sz w:val="24"/>
          <w:szCs w:val="24"/>
        </w:rPr>
        <w:t xml:space="preserve"> performance</w:t>
      </w:r>
      <w:r>
        <w:rPr>
          <w:rFonts w:ascii="Times New Roman" w:hAnsi="Times New Roman" w:cs="Times New Roman"/>
          <w:sz w:val="24"/>
          <w:szCs w:val="24"/>
        </w:rPr>
        <w:t>.</w:t>
      </w:r>
    </w:p>
    <w:p w:rsidR="007D60E4" w:rsidRDefault="00B130D1">
      <w:pPr>
        <w:pStyle w:val="Standard"/>
        <w:spacing w:after="0"/>
        <w:jc w:val="both"/>
      </w:pPr>
      <w:r>
        <w:rPr>
          <w:rFonts w:ascii="Times New Roman" w:hAnsi="Times New Roman" w:cs="Times New Roman"/>
          <w:sz w:val="24"/>
          <w:szCs w:val="24"/>
        </w:rPr>
        <w:t xml:space="preserve">Com’è stato in precedenza affermato, per spiegare in cosa propriamente consista l’attività del pensiero,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si servirà del modello socratico. Ciò che la filosofa mette in luce, attraverso alcuni dialoghi socratici di</w:t>
      </w:r>
      <w:r>
        <w:rPr>
          <w:rFonts w:ascii="Times New Roman" w:hAnsi="Times New Roman" w:cs="Times New Roman"/>
          <w:sz w:val="24"/>
          <w:szCs w:val="24"/>
        </w:rPr>
        <w:t xml:space="preserve"> Platone, è che il pensare, così come lo intendeva Socrate, conduce a un “non-risultato”. È ormai risaputo che la maggior parte dei dialoghi platonici sono aporetici: l’argomentazione è sempre in movimento e non giunge mai a una conclusione certa. In parti</w:t>
      </w:r>
      <w:r>
        <w:rPr>
          <w:rFonts w:ascii="Times New Roman" w:hAnsi="Times New Roman" w:cs="Times New Roman"/>
          <w:sz w:val="24"/>
          <w:szCs w:val="24"/>
        </w:rPr>
        <w:t xml:space="preserve">colare,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fa riferimento al </w:t>
      </w:r>
      <w:r>
        <w:rPr>
          <w:rFonts w:ascii="Times New Roman" w:hAnsi="Times New Roman" w:cs="Times New Roman"/>
          <w:i/>
          <w:sz w:val="24"/>
          <w:szCs w:val="24"/>
        </w:rPr>
        <w:t>Gorgia</w:t>
      </w:r>
      <w:r>
        <w:rPr>
          <w:rFonts w:ascii="Times New Roman" w:hAnsi="Times New Roman" w:cs="Times New Roman"/>
          <w:sz w:val="24"/>
          <w:szCs w:val="24"/>
        </w:rPr>
        <w:t>, il dialogo platonico dedicato alla retorica, quella forma di discorso che, qualora fosse aporetica, perderebbe ogni significato. Tuttavia, paradossalmente, anche questo dialogo è aporetico. È importante sottolineare</w:t>
      </w:r>
      <w:r>
        <w:rPr>
          <w:rFonts w:ascii="Times New Roman" w:hAnsi="Times New Roman" w:cs="Times New Roman"/>
          <w:sz w:val="24"/>
          <w:szCs w:val="24"/>
        </w:rPr>
        <w:t xml:space="preserve"> che, poiché si rivolge alla moltitudine, questo dialogo è, per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di carattere politico. Sono principalmente due gli enunciati socratici che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analizza per mostrare la connessione tra l’incapacità di pensare e il male dalla quale hanno preso avv</w:t>
      </w:r>
      <w:r>
        <w:rPr>
          <w:rFonts w:ascii="Times New Roman" w:hAnsi="Times New Roman" w:cs="Times New Roman"/>
          <w:sz w:val="24"/>
          <w:szCs w:val="24"/>
        </w:rPr>
        <w:t>io queste riflessioni. Nel primo enunciato Socrate, rivolgendosi a Polo, afferma:</w:t>
      </w:r>
    </w:p>
    <w:p w:rsidR="007D60E4" w:rsidRDefault="007D60E4">
      <w:pPr>
        <w:pStyle w:val="Standard"/>
        <w:spacing w:after="0"/>
        <w:ind w:left="284" w:right="284"/>
        <w:jc w:val="both"/>
        <w:rPr>
          <w:rFonts w:ascii="Times New Roman" w:hAnsi="Times New Roman" w:cs="Times New Roman"/>
        </w:rPr>
      </w:pPr>
    </w:p>
    <w:p w:rsidR="007D60E4" w:rsidRDefault="00B130D1">
      <w:pPr>
        <w:pStyle w:val="Standard"/>
        <w:spacing w:after="0"/>
        <w:ind w:left="284" w:right="284"/>
        <w:jc w:val="both"/>
      </w:pPr>
      <w:r>
        <w:rPr>
          <w:rFonts w:ascii="Times New Roman" w:hAnsi="Times New Roman" w:cs="Times New Roman"/>
        </w:rPr>
        <w:t>In realtà io sono convinto che non solo io, ma tu, tutti gli uomini, tutti pensiamo che commettere ingiustizia sia peggio che patirla […]</w:t>
      </w:r>
      <w:r>
        <w:rPr>
          <w:rStyle w:val="Rimandonotaapidipagina"/>
          <w:rFonts w:ascii="Times New Roman" w:hAnsi="Times New Roman" w:cs="Times New Roman"/>
        </w:rPr>
        <w:footnoteReference w:id="11"/>
      </w:r>
    </w:p>
    <w:p w:rsidR="007D60E4" w:rsidRDefault="007D60E4">
      <w:pPr>
        <w:pStyle w:val="Standard"/>
        <w:spacing w:after="0"/>
        <w:ind w:left="284" w:right="284"/>
        <w:jc w:val="both"/>
        <w:rPr>
          <w:rFonts w:ascii="Times New Roman" w:hAnsi="Times New Roman" w:cs="Times New Roman"/>
          <w:sz w:val="24"/>
          <w:szCs w:val="24"/>
        </w:rPr>
      </w:pPr>
    </w:p>
    <w:p w:rsidR="007D60E4" w:rsidRDefault="00B130D1">
      <w:pPr>
        <w:pStyle w:val="Standard"/>
        <w:jc w:val="both"/>
        <w:rPr>
          <w:rFonts w:ascii="Times New Roman" w:hAnsi="Times New Roman" w:cs="Times New Roman"/>
          <w:sz w:val="24"/>
          <w:szCs w:val="24"/>
        </w:rPr>
      </w:pPr>
      <w:r>
        <w:rPr>
          <w:rFonts w:ascii="Times New Roman" w:hAnsi="Times New Roman" w:cs="Times New Roman"/>
          <w:sz w:val="24"/>
          <w:szCs w:val="24"/>
        </w:rPr>
        <w:t xml:space="preserve">Nel secondo invece, rivolgendosi a </w:t>
      </w:r>
      <w:proofErr w:type="spellStart"/>
      <w:r>
        <w:rPr>
          <w:rFonts w:ascii="Times New Roman" w:hAnsi="Times New Roman" w:cs="Times New Roman"/>
          <w:sz w:val="24"/>
          <w:szCs w:val="24"/>
        </w:rPr>
        <w:t>Callicle</w:t>
      </w:r>
      <w:proofErr w:type="spellEnd"/>
      <w:r>
        <w:rPr>
          <w:rFonts w:ascii="Times New Roman" w:hAnsi="Times New Roman" w:cs="Times New Roman"/>
          <w:sz w:val="24"/>
          <w:szCs w:val="24"/>
        </w:rPr>
        <w:t>:</w:t>
      </w:r>
    </w:p>
    <w:p w:rsidR="007D60E4" w:rsidRDefault="00B130D1">
      <w:pPr>
        <w:pStyle w:val="Standard"/>
        <w:ind w:left="284" w:right="284"/>
        <w:jc w:val="both"/>
      </w:pPr>
      <w:r>
        <w:rPr>
          <w:rFonts w:ascii="Times New Roman" w:hAnsi="Times New Roman" w:cs="Times New Roman"/>
        </w:rPr>
        <w:t xml:space="preserve">Personalmente, invece, ottimo amico, credo che meglio sarebbe suonare su di una lira scordata, che stonato fosse un coro da me diretto, che la maggioranza degli </w:t>
      </w:r>
      <w:r>
        <w:rPr>
          <w:rFonts w:ascii="Times New Roman" w:hAnsi="Times New Roman" w:cs="Times New Roman"/>
        </w:rPr>
        <w:t>uomini non fosse d’accordo con me, e dicesse il contrario di quel che penso io, piuttosto ch’esser in disaccordo e in contraddizione con me stesso</w:t>
      </w:r>
      <w:r>
        <w:rPr>
          <w:rStyle w:val="Rimandonotaapidipagina"/>
          <w:rFonts w:ascii="Times New Roman" w:hAnsi="Times New Roman" w:cs="Times New Roman"/>
        </w:rPr>
        <w:footnoteReference w:id="12"/>
      </w:r>
      <w:r>
        <w:rPr>
          <w:rFonts w:ascii="Times New Roman" w:hAnsi="Times New Roman" w:cs="Times New Roman"/>
        </w:rPr>
        <w:t>.</w:t>
      </w:r>
    </w:p>
    <w:p w:rsidR="007D60E4" w:rsidRDefault="00B130D1">
      <w:pPr>
        <w:pStyle w:val="Standard"/>
        <w:spacing w:after="0"/>
        <w:jc w:val="both"/>
        <w:rPr>
          <w:rFonts w:ascii="Times New Roman" w:hAnsi="Times New Roman" w:cs="Times New Roman"/>
          <w:sz w:val="24"/>
          <w:szCs w:val="24"/>
        </w:rPr>
      </w:pPr>
      <w:r>
        <w:rPr>
          <w:rFonts w:ascii="Times New Roman" w:hAnsi="Times New Roman" w:cs="Times New Roman"/>
          <w:sz w:val="24"/>
          <w:szCs w:val="24"/>
        </w:rPr>
        <w:t>Entrambi gli enunciati risultano essere, non tanto per noi, quanto per gli interlocutori di So</w:t>
      </w:r>
      <w:r>
        <w:rPr>
          <w:rFonts w:ascii="Times New Roman" w:hAnsi="Times New Roman" w:cs="Times New Roman"/>
          <w:sz w:val="24"/>
          <w:szCs w:val="24"/>
        </w:rPr>
        <w:t>crate, estremamente paradossali. Entrambi sono di carattere soggettivo, cioè valevoli “per me”. Tuttavia, se “guardiamo gli enunciati dal punto di vista del mondo” non resta che constatare che è stato commesso un torto (nel caso del primo enunciato) e poco</w:t>
      </w:r>
      <w:r>
        <w:rPr>
          <w:rFonts w:ascii="Times New Roman" w:hAnsi="Times New Roman" w:cs="Times New Roman"/>
          <w:sz w:val="24"/>
          <w:szCs w:val="24"/>
        </w:rPr>
        <w:t xml:space="preserve"> importa chi abbia la meglio, il malfattore o la vittima. Anche stavolta, dunque, la prospettiva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è politica poiché guardare le cose “dal punto di vista del mondo” significa esattamente entrare nella dimensione pubblica, contrapposta al soggettiv</w:t>
      </w:r>
      <w:r>
        <w:rPr>
          <w:rFonts w:ascii="Times New Roman" w:hAnsi="Times New Roman" w:cs="Times New Roman"/>
          <w:sz w:val="24"/>
          <w:szCs w:val="24"/>
        </w:rPr>
        <w:t>ismo del singolo.</w:t>
      </w:r>
    </w:p>
    <w:p w:rsidR="007D60E4" w:rsidRDefault="00B130D1">
      <w:pPr>
        <w:pStyle w:val="Standard"/>
        <w:jc w:val="both"/>
      </w:pPr>
      <w:r>
        <w:rPr>
          <w:rFonts w:ascii="Times New Roman" w:hAnsi="Times New Roman" w:cs="Times New Roman"/>
          <w:sz w:val="24"/>
          <w:szCs w:val="24"/>
        </w:rPr>
        <w:t xml:space="preserve">Per comprendere il significato dei due enunciati socratici è necessario analizzarli singolarmente partendo tuttavia dal secondo che, per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rappresenta il prerequisito del primo.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sostiene che nelle traduzioni del </w:t>
      </w:r>
      <w:r>
        <w:rPr>
          <w:rFonts w:ascii="Times New Roman" w:hAnsi="Times New Roman" w:cs="Times New Roman"/>
          <w:i/>
          <w:sz w:val="24"/>
          <w:szCs w:val="24"/>
        </w:rPr>
        <w:t xml:space="preserve">Gorgia </w:t>
      </w:r>
      <w:r>
        <w:rPr>
          <w:rFonts w:ascii="Times New Roman" w:hAnsi="Times New Roman" w:cs="Times New Roman"/>
          <w:sz w:val="24"/>
          <w:szCs w:val="24"/>
        </w:rPr>
        <w:t>vengan</w:t>
      </w:r>
      <w:r>
        <w:rPr>
          <w:rFonts w:ascii="Times New Roman" w:hAnsi="Times New Roman" w:cs="Times New Roman"/>
          <w:sz w:val="24"/>
          <w:szCs w:val="24"/>
        </w:rPr>
        <w:t>o spesso tralasciate delle parole chiave. Per quanto riguarda il secondo enunciato infatti, la sua traduzione si discosta da quella riportata sopra per la parte conclusiva:</w:t>
      </w:r>
    </w:p>
    <w:p w:rsidR="007D60E4" w:rsidRDefault="00B130D1">
      <w:pPr>
        <w:pStyle w:val="Standard"/>
        <w:ind w:left="284" w:right="284"/>
        <w:jc w:val="both"/>
      </w:pPr>
      <w:r>
        <w:rPr>
          <w:rFonts w:ascii="Times New Roman" w:hAnsi="Times New Roman" w:cs="Times New Roman"/>
        </w:rPr>
        <w:t>[…] e che la maggior parte degli uomini non fosse d’accordo con me e che dicesse il</w:t>
      </w:r>
      <w:r>
        <w:rPr>
          <w:rFonts w:ascii="Times New Roman" w:hAnsi="Times New Roman" w:cs="Times New Roman"/>
        </w:rPr>
        <w:t xml:space="preserve"> contrario di ciò che dico io, piuttosto che essere io, che pure sono </w:t>
      </w:r>
      <w:r>
        <w:rPr>
          <w:rFonts w:ascii="Times New Roman" w:hAnsi="Times New Roman" w:cs="Times New Roman"/>
          <w:i/>
        </w:rPr>
        <w:t>uno solo</w:t>
      </w:r>
      <w:r>
        <w:rPr>
          <w:rFonts w:ascii="Times New Roman" w:hAnsi="Times New Roman" w:cs="Times New Roman"/>
        </w:rPr>
        <w:t xml:space="preserve">, in disaccordo e in contraddizione con </w:t>
      </w:r>
      <w:r>
        <w:rPr>
          <w:rFonts w:ascii="Times New Roman" w:hAnsi="Times New Roman" w:cs="Times New Roman"/>
          <w:i/>
        </w:rPr>
        <w:t>me stesso</w:t>
      </w:r>
      <w:r>
        <w:rPr>
          <w:rFonts w:ascii="Times New Roman" w:hAnsi="Times New Roman" w:cs="Times New Roman"/>
        </w:rPr>
        <w:t>.</w:t>
      </w:r>
      <w:r>
        <w:rPr>
          <w:rStyle w:val="Rimandonotaapidipagina"/>
          <w:rFonts w:ascii="Times New Roman" w:hAnsi="Times New Roman" w:cs="Times New Roman"/>
        </w:rPr>
        <w:footnoteReference w:id="13"/>
      </w:r>
    </w:p>
    <w:p w:rsidR="007D60E4" w:rsidRDefault="00B130D1">
      <w:pPr>
        <w:pStyle w:val="Standard"/>
        <w:spacing w:after="0"/>
        <w:jc w:val="both"/>
      </w:pPr>
      <w:r>
        <w:rPr>
          <w:rFonts w:ascii="Times New Roman" w:hAnsi="Times New Roman" w:cs="Times New Roman"/>
          <w:sz w:val="24"/>
          <w:szCs w:val="24"/>
        </w:rPr>
        <w:t xml:space="preserve">Sono esattamente le parole che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scrive in corsivo ad</w:t>
      </w:r>
      <w:r>
        <w:rPr>
          <w:rFonts w:ascii="Times New Roman" w:hAnsi="Times New Roman" w:cs="Times New Roman"/>
          <w:sz w:val="24"/>
          <w:szCs w:val="24"/>
        </w:rPr>
        <w:t xml:space="preserve"> essere fondamentali per la comprensione dell’enunciato. Il carattere paradossale di quest’ultimo risiede proprio nel fatto che Socrate affermi di “essere uno” e allo stesso tempo di poter essere in disaccordo con se stesso. Ma com’è possibile che qualcosa</w:t>
      </w:r>
      <w:r>
        <w:rPr>
          <w:rFonts w:ascii="Times New Roman" w:hAnsi="Times New Roman" w:cs="Times New Roman"/>
          <w:sz w:val="24"/>
          <w:szCs w:val="24"/>
        </w:rPr>
        <w:t xml:space="preserve"> che sia identico a se stesso, che sia per l’appunto assolutamente uno, possa trovarsi in accordo o in disaccordo con se stesso? Con Socrate emerge quella che oggi chiamiamo coscienza che, etimologicamente, significa “conoscere con me stesso”. L’enunciato </w:t>
      </w:r>
      <w:r>
        <w:rPr>
          <w:rFonts w:ascii="Times New Roman" w:hAnsi="Times New Roman" w:cs="Times New Roman"/>
          <w:sz w:val="24"/>
          <w:szCs w:val="24"/>
        </w:rPr>
        <w:t xml:space="preserve">perde però il suo carattere paradossale poiché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chiarisce che evidentemente, quando si trova di fronte a qualcuno, Socrate in quel momento è uno, e tuttavia egli non è solo per colui che ha di fronte, ma in un certo senso è anche per se stesso. L’ess</w:t>
      </w:r>
      <w:r>
        <w:rPr>
          <w:rFonts w:ascii="Times New Roman" w:hAnsi="Times New Roman" w:cs="Times New Roman"/>
          <w:sz w:val="24"/>
          <w:szCs w:val="24"/>
        </w:rPr>
        <w:t>ere per se stesso implica, ovviamente, che Socrate non sia più uno. In questo modo si è venuta a creare nella sua singolarità, nella sua unicità, una differenza. Tale ‘sdoppiamento’, l’essere “due-in-uno” di Socrate, è la condizione essenziale dell’attivit</w:t>
      </w:r>
      <w:r>
        <w:rPr>
          <w:rFonts w:ascii="Times New Roman" w:hAnsi="Times New Roman" w:cs="Times New Roman"/>
          <w:sz w:val="24"/>
          <w:szCs w:val="24"/>
        </w:rPr>
        <w:t xml:space="preserve">à del pensiero inteso – platonicamente – come dialogo silenzioso tra me e me. È importante sottolineare che il pensiero non coincide con la coscienza: per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“ciò che il pensiero attualizza nel suo processo è la differenza data nella coscienza”</w:t>
      </w:r>
      <w:r>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Il “due-in-uno”</w:t>
      </w:r>
      <w:r>
        <w:rPr>
          <w:rFonts w:ascii="Times New Roman" w:hAnsi="Times New Roman" w:cs="Times New Roman"/>
          <w:sz w:val="24"/>
          <w:szCs w:val="24"/>
        </w:rPr>
        <w:footnoteReference w:id="15"/>
      </w:r>
      <w:r>
        <w:rPr>
          <w:rFonts w:ascii="Times New Roman" w:hAnsi="Times New Roman" w:cs="Times New Roman"/>
          <w:sz w:val="24"/>
          <w:szCs w:val="24"/>
        </w:rPr>
        <w:t xml:space="preserve"> socratico è comprensibile solo attraverso questa differenza; il pensiero si può esplicare infatti solo se i due che sono coinvolti in questo dialogo interiore sono in accordo. Si comprende ora cosa Socrate intendesse </w:t>
      </w:r>
      <w:r>
        <w:rPr>
          <w:rFonts w:ascii="Times New Roman" w:hAnsi="Times New Roman" w:cs="Times New Roman"/>
          <w:sz w:val="24"/>
          <w:szCs w:val="24"/>
        </w:rPr>
        <w:lastRenderedPageBreak/>
        <w:t>quando, nel suo primo enunciato, asser</w:t>
      </w:r>
      <w:r>
        <w:rPr>
          <w:rFonts w:ascii="Times New Roman" w:hAnsi="Times New Roman" w:cs="Times New Roman"/>
          <w:sz w:val="24"/>
          <w:szCs w:val="24"/>
        </w:rPr>
        <w:t>iva che sarebbe stato meglio subire un’ingiustizia piuttosto che commetterla. Subendo un’ingiustizia, infatti, si può restare in accordo con la vittima: se stessi.</w:t>
      </w:r>
    </w:p>
    <w:p w:rsidR="007D60E4" w:rsidRDefault="00B130D1">
      <w:pPr>
        <w:pStyle w:val="Standard"/>
        <w:jc w:val="both"/>
      </w:pPr>
      <w:r>
        <w:rPr>
          <w:rFonts w:ascii="Times New Roman" w:hAnsi="Times New Roman" w:cs="Times New Roman"/>
          <w:sz w:val="24"/>
          <w:szCs w:val="24"/>
        </w:rPr>
        <w:t xml:space="preserve">Nella raccolta di saggi, lezioni e discorsi tenuti da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e pubblicati con il titolo </w:t>
      </w:r>
      <w:r>
        <w:rPr>
          <w:rFonts w:ascii="Times New Roman" w:hAnsi="Times New Roman" w:cs="Times New Roman"/>
          <w:i/>
          <w:sz w:val="24"/>
          <w:szCs w:val="24"/>
        </w:rPr>
        <w:t>Resp</w:t>
      </w:r>
      <w:r>
        <w:rPr>
          <w:rFonts w:ascii="Times New Roman" w:hAnsi="Times New Roman" w:cs="Times New Roman"/>
          <w:i/>
          <w:sz w:val="24"/>
          <w:szCs w:val="24"/>
        </w:rPr>
        <w:t>onsabilità e giudizio</w:t>
      </w:r>
      <w:r>
        <w:rPr>
          <w:rFonts w:ascii="Times New Roman" w:hAnsi="Times New Roman" w:cs="Times New Roman"/>
          <w:sz w:val="24"/>
          <w:szCs w:val="24"/>
        </w:rPr>
        <w:t>, la filosofa si chiede in che modo si distinsero quelle persone che, nella Germania nazista, decisero di non collaborare e compromettersi con il regime. Le precedenti riflessioni sull’attività del pensiero sono volte per l’appunto a c</w:t>
      </w:r>
      <w:r>
        <w:rPr>
          <w:rFonts w:ascii="Times New Roman" w:hAnsi="Times New Roman" w:cs="Times New Roman"/>
          <w:sz w:val="24"/>
          <w:szCs w:val="24"/>
        </w:rPr>
        <w:t xml:space="preserve">hiarire tale questione e chiariranno in seguito il perché la teoria politica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possa dirsi “a-morale”.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sostiene che i “non-partecipanti” furono gli unici che “osarono giudicare da sé”. Tale capacità non dipendeva dal fatto che essi possedes</w:t>
      </w:r>
      <w:r>
        <w:rPr>
          <w:rFonts w:ascii="Times New Roman" w:hAnsi="Times New Roman" w:cs="Times New Roman"/>
          <w:sz w:val="24"/>
          <w:szCs w:val="24"/>
        </w:rPr>
        <w:t>sero un perfetto sistema di valori ben radicato nella loro mente; il criterio adottato dai non-partecipanti aveva a suo fondamento proprio il pensiero autonomo, libero appunto dall’adesione a convenzioni o regole di condotta prefissate:</w:t>
      </w:r>
    </w:p>
    <w:p w:rsidR="007D60E4" w:rsidRDefault="00B130D1">
      <w:pPr>
        <w:pStyle w:val="Standard"/>
        <w:ind w:left="284" w:right="284"/>
        <w:jc w:val="both"/>
      </w:pPr>
      <w:r>
        <w:rPr>
          <w:rFonts w:ascii="Times New Roman" w:hAnsi="Times New Roman" w:cs="Times New Roman"/>
        </w:rPr>
        <w:t>Per dirla in modo c</w:t>
      </w:r>
      <w:r>
        <w:rPr>
          <w:rFonts w:ascii="Times New Roman" w:hAnsi="Times New Roman" w:cs="Times New Roman"/>
        </w:rPr>
        <w:t>rudele, ciascuno di loro rifiutò l’omicidio: non perché volesse continuare ad obbedire al comandamento “Non uccidere”, ma perché non voleva passare il resto dei suoi giorni con un assassino – se stesso.</w:t>
      </w:r>
      <w:r>
        <w:rPr>
          <w:rStyle w:val="Rimandonotaapidipagina"/>
          <w:rFonts w:ascii="Times New Roman" w:hAnsi="Times New Roman" w:cs="Times New Roman"/>
        </w:rPr>
        <w:footnoteReference w:id="16"/>
      </w:r>
    </w:p>
    <w:p w:rsidR="007D60E4" w:rsidRDefault="00B130D1">
      <w:pPr>
        <w:pStyle w:val="Standard"/>
        <w:jc w:val="both"/>
      </w:pPr>
      <w:r>
        <w:rPr>
          <w:rFonts w:ascii="Times New Roman" w:hAnsi="Times New Roman" w:cs="Times New Roman"/>
          <w:sz w:val="24"/>
          <w:szCs w:val="24"/>
        </w:rPr>
        <w:t xml:space="preserve">Dunque, alla base di tale giudizio non vi è, come precedentemente affermato, un insieme di valori, di regole della morale e neppure una particolare intelligenza o esperienza in faccende morali. La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sostiene che, per questo tipo di giudizio, sia necessario “impegnarsi in quel dialogo silente con se stessi che, sin dai tempi di Socrate e Platone, siamo soliti chiamare pensiero.”</w:t>
      </w:r>
      <w:r>
        <w:rPr>
          <w:rStyle w:val="Rimandonotaapidipagina"/>
          <w:rFonts w:ascii="Times New Roman" w:hAnsi="Times New Roman" w:cs="Times New Roman"/>
          <w:sz w:val="24"/>
          <w:szCs w:val="24"/>
        </w:rPr>
        <w:footnoteReference w:id="17"/>
      </w:r>
      <w:r>
        <w:rPr>
          <w:rFonts w:ascii="Times New Roman" w:hAnsi="Times New Roman" w:cs="Times New Roman"/>
          <w:sz w:val="24"/>
          <w:szCs w:val="24"/>
        </w:rPr>
        <w:t xml:space="preserve"> La scelta di non far nulla di coloro che non aderirono </w:t>
      </w:r>
      <w:r>
        <w:rPr>
          <w:rFonts w:ascii="Times New Roman" w:hAnsi="Times New Roman" w:cs="Times New Roman"/>
          <w:sz w:val="24"/>
          <w:szCs w:val="24"/>
        </w:rPr>
        <w:t xml:space="preserve">al regime dipese perciò dal fatto che questa era l’unica maniera con la quale avrebbero potuto continuare a vivere in pace con se stessi. A riprova del fatto che il possesso di norme e valori precostituiti non </w:t>
      </w:r>
      <w:proofErr w:type="spellStart"/>
      <w:r>
        <w:rPr>
          <w:rFonts w:ascii="Times New Roman" w:hAnsi="Times New Roman" w:cs="Times New Roman"/>
          <w:sz w:val="24"/>
          <w:szCs w:val="24"/>
        </w:rPr>
        <w:t>garantisca</w:t>
      </w:r>
      <w:proofErr w:type="spellEnd"/>
      <w:r>
        <w:rPr>
          <w:rFonts w:ascii="Times New Roman" w:hAnsi="Times New Roman" w:cs="Times New Roman"/>
          <w:sz w:val="24"/>
          <w:szCs w:val="24"/>
        </w:rPr>
        <w:t xml:space="preserve"> l’essere esenti dal commettere atti</w:t>
      </w:r>
      <w:r>
        <w:rPr>
          <w:rFonts w:ascii="Times New Roman" w:hAnsi="Times New Roman" w:cs="Times New Roman"/>
          <w:sz w:val="24"/>
          <w:szCs w:val="24"/>
        </w:rPr>
        <w:t xml:space="preserve"> criminali, i primi che nella Germania nazista cedettero al regime furono i “membri della società rispettabile”:</w:t>
      </w:r>
    </w:p>
    <w:p w:rsidR="007D60E4" w:rsidRDefault="00B130D1">
      <w:pPr>
        <w:pStyle w:val="Standard"/>
        <w:spacing w:after="102"/>
        <w:ind w:left="284" w:right="284"/>
        <w:jc w:val="both"/>
        <w:rPr>
          <w:rFonts w:ascii="Times New Roman" w:hAnsi="Times New Roman" w:cs="Times New Roman"/>
        </w:rPr>
      </w:pPr>
      <w:r>
        <w:rPr>
          <w:rFonts w:ascii="Times New Roman" w:hAnsi="Times New Roman" w:cs="Times New Roman"/>
        </w:rPr>
        <w:t>Essi non fecero che cambiare un sistema di valori con un altro […] Lo spartiacque tra quanti vogliono pensare e debbono perciò giudicare da sé,</w:t>
      </w:r>
      <w:r>
        <w:rPr>
          <w:rFonts w:ascii="Times New Roman" w:hAnsi="Times New Roman" w:cs="Times New Roman"/>
        </w:rPr>
        <w:t xml:space="preserve"> e quanti invece non lo vogliono, è trasversale rispetto alle differenze di tipo sociale, culturale o educativo […] I migliori tra tutti sono quanti hanno una sola certezza: qualunque cosa accada, finché vivremo, dovremo continuare a convivere con noi stes</w:t>
      </w:r>
      <w:r>
        <w:rPr>
          <w:rFonts w:ascii="Times New Roman" w:hAnsi="Times New Roman" w:cs="Times New Roman"/>
        </w:rPr>
        <w:t>si.</w:t>
      </w:r>
      <w:r>
        <w:rPr>
          <w:rStyle w:val="Rimandonotaapidipagina"/>
          <w:rFonts w:ascii="Times New Roman" w:hAnsi="Times New Roman" w:cs="Times New Roman"/>
        </w:rPr>
        <w:footnoteReference w:id="18"/>
      </w:r>
    </w:p>
    <w:p w:rsidR="007D60E4" w:rsidRDefault="00B130D1">
      <w:pPr>
        <w:pStyle w:val="Standard"/>
        <w:spacing w:before="58" w:after="58"/>
        <w:jc w:val="both"/>
      </w:pPr>
      <w:r>
        <w:rPr>
          <w:rFonts w:ascii="Times New Roman" w:hAnsi="Times New Roman" w:cs="Times New Roman"/>
          <w:sz w:val="24"/>
          <w:szCs w:val="24"/>
        </w:rPr>
        <w:t xml:space="preserve">Il punto di partenza di queste riflessioni è sempre l’io, la nostra coscienza morale. Le proposizioni morali sono sempre state considerate, a detta di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come </w:t>
      </w:r>
      <w:proofErr w:type="spellStart"/>
      <w:r>
        <w:rPr>
          <w:rFonts w:ascii="Times New Roman" w:hAnsi="Times New Roman" w:cs="Times New Roman"/>
          <w:sz w:val="24"/>
          <w:szCs w:val="24"/>
        </w:rPr>
        <w:t>autoevidenti</w:t>
      </w:r>
      <w:proofErr w:type="spellEnd"/>
      <w:r>
        <w:rPr>
          <w:rFonts w:ascii="Times New Roman" w:hAnsi="Times New Roman" w:cs="Times New Roman"/>
          <w:sz w:val="24"/>
          <w:szCs w:val="24"/>
        </w:rPr>
        <w:t>, la mente cioè, non deve fare nulla per accettarle. Esse non si</w:t>
      </w:r>
      <w:r>
        <w:rPr>
          <w:rFonts w:ascii="Times New Roman" w:hAnsi="Times New Roman" w:cs="Times New Roman"/>
          <w:sz w:val="24"/>
          <w:szCs w:val="24"/>
        </w:rPr>
        <w:t xml:space="preserve"> pongono nella forma del “tu devi” dell’imperativo categorico kantiano poiché l’evidenza possiede in sé, in un certo senso, un carattere coercitivo, non ha bisogno di ragionamenti o dimostrazioni in suo favore. Le persone che nella Germania nazista non si </w:t>
      </w:r>
      <w:r>
        <w:rPr>
          <w:rFonts w:ascii="Times New Roman" w:hAnsi="Times New Roman" w:cs="Times New Roman"/>
          <w:sz w:val="24"/>
          <w:szCs w:val="24"/>
        </w:rPr>
        <w:t xml:space="preserve">allinearono al regime e non commisero alcun crimine non dovettero affrontare nessun conflitto con la loro coscienza, proprio per via dell’autoevidenza </w:t>
      </w:r>
      <w:r>
        <w:rPr>
          <w:rFonts w:ascii="Times New Roman" w:hAnsi="Times New Roman" w:cs="Times New Roman"/>
          <w:sz w:val="24"/>
          <w:szCs w:val="24"/>
        </w:rPr>
        <w:lastRenderedPageBreak/>
        <w:t>dei propri precetti morali</w:t>
      </w:r>
      <w:r>
        <w:rPr>
          <w:rStyle w:val="Rimandonotaapidipagina"/>
        </w:rPr>
        <w:footnoteReference w:id="19"/>
      </w:r>
      <w:r>
        <w:rPr>
          <w:rFonts w:ascii="Times New Roman" w:hAnsi="Times New Roman" w:cs="Times New Roman"/>
          <w:sz w:val="24"/>
          <w:szCs w:val="24"/>
        </w:rPr>
        <w:t>. Se per un verso tale carattere di autoevidenza rappre</w:t>
      </w:r>
      <w:r>
        <w:rPr>
          <w:rFonts w:ascii="Times New Roman" w:hAnsi="Times New Roman" w:cs="Times New Roman"/>
          <w:sz w:val="24"/>
          <w:szCs w:val="24"/>
        </w:rPr>
        <w:t xml:space="preserve">senta un aspetto positivo, esso d’altro canto presenta degli svantaggi poiché – afferma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 se ci si limita ad affermare che “è meglio subire il male piuttosto che commetterlo”, non si avranno dei risultati sul piano dell’azione. Come abbiamo visto, i</w:t>
      </w:r>
      <w:r>
        <w:rPr>
          <w:rFonts w:ascii="Times New Roman" w:hAnsi="Times New Roman" w:cs="Times New Roman"/>
          <w:sz w:val="24"/>
          <w:szCs w:val="24"/>
        </w:rPr>
        <w:t>nfatti, il punto di riferimento è rappresentato dall’io e non dalla comunità in cui si è inseriti e ciò è, dal punto di vista politico, irresponsabile. L’autoevidenza delle proposizioni morali assume inoltre un’ulteriore connotazione negativa poiché se, co</w:t>
      </w:r>
      <w:r>
        <w:rPr>
          <w:rFonts w:ascii="Times New Roman" w:hAnsi="Times New Roman" w:cs="Times New Roman"/>
          <w:sz w:val="24"/>
          <w:szCs w:val="24"/>
        </w:rPr>
        <w:t xml:space="preserve">me afferma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esse si ‘impongono’ con un certo grado di coercizione, ne consegue che esse siano, in una certa misura, irriflesse e diventino perciò processi di routine, anziché processi di pensiero. In questo senso specifico, perciò, norme, proposizio</w:t>
      </w:r>
      <w:r>
        <w:rPr>
          <w:rFonts w:ascii="Times New Roman" w:hAnsi="Times New Roman" w:cs="Times New Roman"/>
          <w:sz w:val="24"/>
          <w:szCs w:val="24"/>
        </w:rPr>
        <w:t xml:space="preserve">ni morali, codici di condotta standardizzati non costituiscono una garanzia che impedisca all’uomo di compiere il male. Tale garanzia (anche se con le dovute riserve) è invece fornita dall’attività del pensiero e da quello che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definisce come “sottop</w:t>
      </w:r>
      <w:r>
        <w:rPr>
          <w:rFonts w:ascii="Times New Roman" w:hAnsi="Times New Roman" w:cs="Times New Roman"/>
          <w:sz w:val="24"/>
          <w:szCs w:val="24"/>
        </w:rPr>
        <w:t>rodotto” di questa medesima attività: il giudizio</w:t>
      </w:r>
      <w:r>
        <w:rPr>
          <w:rStyle w:val="Rimandonotaapidipagina"/>
        </w:rPr>
        <w:footnoteReference w:id="20"/>
      </w:r>
      <w:r>
        <w:rPr>
          <w:rFonts w:ascii="Times New Roman" w:hAnsi="Times New Roman" w:cs="Times New Roman"/>
          <w:sz w:val="24"/>
          <w:szCs w:val="24"/>
        </w:rPr>
        <w:t xml:space="preserve">. Nella prospettiva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pensiero e giudizio, nella loro intima connessione, rappresentano il solo sentiero – non privo di ostac</w:t>
      </w:r>
      <w:r>
        <w:rPr>
          <w:rFonts w:ascii="Times New Roman" w:hAnsi="Times New Roman" w:cs="Times New Roman"/>
          <w:sz w:val="24"/>
          <w:szCs w:val="24"/>
        </w:rPr>
        <w:t xml:space="preserve">oli – che conduce l’uomo ad agire correttamente, ovvero ad “agire politicamente”. La teoria politica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benché non si dispieghi in maniera lineare e tanto meno sistematica, può dirsi perciò fondata su due elementi tra loro interconnessi: pensiero </w:t>
      </w:r>
      <w:r>
        <w:rPr>
          <w:rFonts w:ascii="Times New Roman" w:hAnsi="Times New Roman" w:cs="Times New Roman"/>
          <w:sz w:val="24"/>
          <w:szCs w:val="24"/>
        </w:rPr>
        <w:t xml:space="preserve">e giudizio. A questi ne va aggiunto un terzo che fa da sfondo all’intero impianto dell’opera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e, più in generale, del suo pensiero: il senso comune. Quest’ultimo, che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riprende dal pensiero kantiano, è considerato dalla filosofa come “il se</w:t>
      </w:r>
      <w:r>
        <w:rPr>
          <w:rFonts w:ascii="Times New Roman" w:hAnsi="Times New Roman" w:cs="Times New Roman"/>
          <w:sz w:val="24"/>
          <w:szCs w:val="24"/>
        </w:rPr>
        <w:t>nso politico per eccellenza”</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esso è quella capacità, propria di ciascun individuo, che gli permette, nell’atto del giudizio, di tener</w:t>
      </w:r>
      <w:r>
        <w:rPr>
          <w:rFonts w:ascii="Times New Roman" w:hAnsi="Times New Roman" w:cs="Times New Roman"/>
          <w:sz w:val="24"/>
          <w:szCs w:val="24"/>
        </w:rPr>
        <w:t xml:space="preserve"> conto a priori, del possibile, ma non effettivo giudizio degli altri. Il senso comune presuppone dunque un mondo comune, condiviso “in cui possiamo convivere perché possediamo un senso che controlla e accorda i dati sensoriali specifici di ciascuno con qu</w:t>
      </w:r>
      <w:r>
        <w:rPr>
          <w:rFonts w:ascii="Times New Roman" w:hAnsi="Times New Roman" w:cs="Times New Roman"/>
          <w:sz w:val="24"/>
          <w:szCs w:val="24"/>
        </w:rPr>
        <w:t>elli di tutti gli altri”</w:t>
      </w:r>
      <w:r>
        <w:rPr>
          <w:rStyle w:val="Rimandonotaapidipagina"/>
          <w:rFonts w:ascii="Times New Roman" w:hAnsi="Times New Roman" w:cs="Times New Roman"/>
          <w:sz w:val="24"/>
          <w:szCs w:val="24"/>
        </w:rPr>
        <w:footnoteReference w:id="22"/>
      </w:r>
      <w:r>
        <w:rPr>
          <w:rFonts w:ascii="Times New Roman" w:hAnsi="Times New Roman" w:cs="Times New Roman"/>
          <w:sz w:val="24"/>
          <w:szCs w:val="24"/>
        </w:rPr>
        <w:t xml:space="preserve">. È esattamente nell’atto del giudicare che per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si manifesta – o perlomeno dovrebbe manifestarsi – il senso comune. Se dunque il senso comune è “il senso politico per eccellenza”, non stupisce che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definisca </w:t>
      </w:r>
      <w:r>
        <w:rPr>
          <w:rFonts w:ascii="Times New Roman" w:hAnsi="Times New Roman" w:cs="Times New Roman"/>
          <w:sz w:val="24"/>
          <w:szCs w:val="24"/>
        </w:rPr>
        <w:t xml:space="preserve">il giudizio come “la più politica delle capacità </w:t>
      </w:r>
      <w:r>
        <w:rPr>
          <w:rFonts w:ascii="Times New Roman" w:hAnsi="Times New Roman" w:cs="Times New Roman"/>
          <w:sz w:val="24"/>
          <w:szCs w:val="24"/>
        </w:rPr>
        <w:lastRenderedPageBreak/>
        <w:t>umane”</w:t>
      </w:r>
      <w:r>
        <w:rPr>
          <w:rStyle w:val="Rimandonotaapidipagina"/>
          <w:rFonts w:ascii="Times New Roman" w:hAnsi="Times New Roman" w:cs="Times New Roman"/>
          <w:sz w:val="24"/>
          <w:szCs w:val="24"/>
        </w:rPr>
        <w:footnoteReference w:id="23"/>
      </w:r>
      <w:r>
        <w:rPr>
          <w:rFonts w:ascii="Times New Roman" w:hAnsi="Times New Roman" w:cs="Times New Roman"/>
          <w:sz w:val="24"/>
          <w:szCs w:val="24"/>
        </w:rPr>
        <w:t xml:space="preserve"> e consideri l’elemento purgativo del pensiero</w:t>
      </w:r>
      <w:r>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xml:space="preserve"> come “politico per definizione”</w:t>
      </w:r>
      <w:r>
        <w:rPr>
          <w:rStyle w:val="Rimandonotaapidipagina"/>
          <w:rFonts w:ascii="Times New Roman" w:hAnsi="Times New Roman" w:cs="Times New Roman"/>
          <w:sz w:val="24"/>
          <w:szCs w:val="24"/>
        </w:rPr>
        <w:footnoteReference w:id="25"/>
      </w:r>
      <w:r>
        <w:rPr>
          <w:rFonts w:ascii="Times New Roman" w:hAnsi="Times New Roman" w:cs="Times New Roman"/>
          <w:sz w:val="24"/>
          <w:szCs w:val="24"/>
        </w:rPr>
        <w:t>.</w:t>
      </w:r>
    </w:p>
    <w:p w:rsidR="007D60E4" w:rsidRDefault="00B130D1">
      <w:pPr>
        <w:pStyle w:val="Standard"/>
        <w:spacing w:after="0"/>
        <w:jc w:val="both"/>
      </w:pPr>
      <w:r>
        <w:rPr>
          <w:rFonts w:ascii="Times New Roman" w:hAnsi="Times New Roman" w:cs="Times New Roman"/>
          <w:sz w:val="24"/>
          <w:szCs w:val="24"/>
        </w:rPr>
        <w:t xml:space="preserve">Definendo la teoria politica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“a-morale”, intendiamo qui mettere in luce</w:t>
      </w:r>
    </w:p>
    <w:p w:rsidR="007D60E4" w:rsidRDefault="00B130D1">
      <w:pPr>
        <w:pStyle w:val="Standard"/>
        <w:spacing w:after="0"/>
        <w:jc w:val="both"/>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mancanza, l’assenza – segnalata dall’uso grammaticale dell</w:t>
      </w:r>
      <w:r>
        <w:rPr>
          <w:rFonts w:ascii="Times New Roman" w:hAnsi="Times New Roman" w:cs="Times New Roman"/>
          <w:sz w:val="24"/>
          <w:szCs w:val="24"/>
        </w:rPr>
        <w:t xml:space="preserve">’alfa privativo – della moralità stessa, ovvero l’esclusione della morale come canone valutativo in materia politica. Tale eliminazione appare evidente se teniamo conto, tra l’altro, delle affermazioni di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inerenti al pensiero:</w:t>
      </w:r>
    </w:p>
    <w:p w:rsidR="007D60E4" w:rsidRDefault="007D60E4">
      <w:pPr>
        <w:pStyle w:val="Standard"/>
        <w:spacing w:after="0"/>
        <w:jc w:val="both"/>
        <w:rPr>
          <w:rFonts w:ascii="Times New Roman" w:hAnsi="Times New Roman" w:cs="Times New Roman"/>
          <w:sz w:val="24"/>
          <w:szCs w:val="24"/>
        </w:rPr>
      </w:pPr>
    </w:p>
    <w:p w:rsidR="007D60E4" w:rsidRDefault="00B130D1">
      <w:pPr>
        <w:pStyle w:val="Standard"/>
        <w:spacing w:after="0"/>
        <w:ind w:left="284" w:right="284"/>
        <w:jc w:val="both"/>
      </w:pPr>
      <w:r>
        <w:rPr>
          <w:rFonts w:ascii="Times New Roman" w:hAnsi="Times New Roman" w:cs="Times New Roman"/>
        </w:rPr>
        <w:t xml:space="preserve">Il pensiero non crea </w:t>
      </w:r>
      <w:r>
        <w:rPr>
          <w:rFonts w:ascii="Times New Roman" w:hAnsi="Times New Roman" w:cs="Times New Roman"/>
        </w:rPr>
        <w:t>valori, non scopre una volta per tutte che cosa è «il bene», e non conferma ma semmai dissolve le regole consolidate di comportamento.</w:t>
      </w:r>
      <w:r>
        <w:rPr>
          <w:rStyle w:val="Rimandonotaapidipagina"/>
          <w:rFonts w:ascii="Times New Roman" w:hAnsi="Times New Roman" w:cs="Times New Roman"/>
        </w:rPr>
        <w:footnoteReference w:id="26"/>
      </w:r>
    </w:p>
    <w:p w:rsidR="007D60E4" w:rsidRDefault="00B130D1">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D60E4" w:rsidRDefault="00B130D1">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Inoltre, poiché il pensiero prova una naturale avversione nell'accettare i propri 'risultati' in maniera assiomatica, allora non dovremmo aspettarci da esso, dalla sua attività, alcun codice definitivo di comportamento o una risposta definitiva su ciò </w:t>
      </w:r>
      <w:r>
        <w:rPr>
          <w:rFonts w:ascii="Times New Roman" w:hAnsi="Times New Roman" w:cs="Times New Roman"/>
          <w:sz w:val="24"/>
          <w:szCs w:val="24"/>
        </w:rPr>
        <w:t xml:space="preserve">che è “bene” e ciò che è “male”. L'attività del pensiero –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ce lo ricorda spessissime volte – provoca sempre effetti distruttivi proprio su quelle norme, quei valori assimilati e consolidati nel corso del tempo e sui quali noi costruiamo i nostri dis</w:t>
      </w:r>
      <w:r>
        <w:rPr>
          <w:rFonts w:ascii="Times New Roman" w:hAnsi="Times New Roman" w:cs="Times New Roman"/>
          <w:sz w:val="24"/>
          <w:szCs w:val="24"/>
        </w:rPr>
        <w:t xml:space="preserve">corsi etici e morali. Tali norme, afferma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crollerebbero qualora sottoposte ad un attento esame poiché la gente si abitua non tanto al contenuto di esse, quanto piuttosto al fatto di possedere delle regole sotto cui sussumere i casi particolari, che</w:t>
      </w:r>
      <w:r>
        <w:rPr>
          <w:rFonts w:ascii="Times New Roman" w:hAnsi="Times New Roman" w:cs="Times New Roman"/>
          <w:sz w:val="24"/>
          <w:szCs w:val="24"/>
        </w:rPr>
        <w:t xml:space="preserve"> fungano cioè da guida per le nostre deliberazioni e le conseguenti azioni. Tuttavia, la teoria politica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si muove esattamente nella direzione opposta. In una raccolta di saggi, riguardanti gli anni dal 1953 al 1975, una metafora utilizzata da </w:t>
      </w:r>
      <w:proofErr w:type="spellStart"/>
      <w:r>
        <w:rPr>
          <w:rFonts w:ascii="Times New Roman" w:hAnsi="Times New Roman" w:cs="Times New Roman"/>
          <w:sz w:val="24"/>
          <w:szCs w:val="24"/>
        </w:rPr>
        <w:t>Ar</w:t>
      </w:r>
      <w:r>
        <w:rPr>
          <w:rFonts w:ascii="Times New Roman" w:hAnsi="Times New Roman" w:cs="Times New Roman"/>
          <w:sz w:val="24"/>
          <w:szCs w:val="24"/>
        </w:rPr>
        <w:t>endt</w:t>
      </w:r>
      <w:proofErr w:type="spellEnd"/>
      <w:r>
        <w:rPr>
          <w:rFonts w:ascii="Times New Roman" w:hAnsi="Times New Roman" w:cs="Times New Roman"/>
          <w:sz w:val="24"/>
          <w:szCs w:val="24"/>
        </w:rPr>
        <w:t xml:space="preserve"> coglie nel migliore dei modi questo aspetto:</w:t>
      </w:r>
    </w:p>
    <w:p w:rsidR="007D60E4" w:rsidRDefault="007D60E4">
      <w:pPr>
        <w:pStyle w:val="Standard"/>
        <w:spacing w:after="0"/>
        <w:jc w:val="both"/>
        <w:rPr>
          <w:rFonts w:ascii="Times New Roman" w:hAnsi="Times New Roman" w:cs="Times New Roman"/>
          <w:sz w:val="24"/>
          <w:szCs w:val="24"/>
        </w:rPr>
      </w:pPr>
    </w:p>
    <w:p w:rsidR="007D60E4" w:rsidRPr="002745E7" w:rsidRDefault="00B130D1">
      <w:pPr>
        <w:pStyle w:val="Standard"/>
        <w:spacing w:after="0"/>
        <w:ind w:left="284" w:right="284"/>
        <w:jc w:val="both"/>
        <w:rPr>
          <w:lang w:val="en-US"/>
        </w:rPr>
      </w:pPr>
      <w:r>
        <w:rPr>
          <w:rFonts w:ascii="Times New Roman" w:hAnsi="Times New Roman" w:cs="Times New Roman"/>
          <w:lang w:val="en-US"/>
        </w:rPr>
        <w:t xml:space="preserve">I have a metaphor which is not quite that cruel, and which I have never published but kept for myself. I call it thinking without a banister – in German, </w:t>
      </w:r>
      <w:proofErr w:type="spellStart"/>
      <w:r>
        <w:rPr>
          <w:rFonts w:ascii="Times New Roman" w:hAnsi="Times New Roman" w:cs="Times New Roman"/>
          <w:i/>
          <w:iCs/>
          <w:lang w:val="en-US"/>
        </w:rPr>
        <w:t>Denken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ohne</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Geländer</w:t>
      </w:r>
      <w:proofErr w:type="spellEnd"/>
      <w:r>
        <w:rPr>
          <w:rFonts w:ascii="Times New Roman" w:hAnsi="Times New Roman" w:cs="Times New Roman"/>
          <w:lang w:val="en-US"/>
        </w:rPr>
        <w:t>. That is, as you go up and dow</w:t>
      </w:r>
      <w:r>
        <w:rPr>
          <w:rFonts w:ascii="Times New Roman" w:hAnsi="Times New Roman" w:cs="Times New Roman"/>
          <w:lang w:val="en-US"/>
        </w:rPr>
        <w:t xml:space="preserve">n the stairs you can always hold on to the banister so that you </w:t>
      </w:r>
      <w:proofErr w:type="gramStart"/>
      <w:r>
        <w:rPr>
          <w:rFonts w:ascii="Times New Roman" w:hAnsi="Times New Roman" w:cs="Times New Roman"/>
          <w:lang w:val="en-US"/>
        </w:rPr>
        <w:t>don't</w:t>
      </w:r>
      <w:proofErr w:type="gramEnd"/>
      <w:r>
        <w:rPr>
          <w:rFonts w:ascii="Times New Roman" w:hAnsi="Times New Roman" w:cs="Times New Roman"/>
          <w:lang w:val="en-US"/>
        </w:rPr>
        <w:t xml:space="preserve"> fall down, but we have lost this banister. </w:t>
      </w:r>
      <w:proofErr w:type="gramStart"/>
      <w:r>
        <w:rPr>
          <w:rFonts w:ascii="Times New Roman" w:hAnsi="Times New Roman" w:cs="Times New Roman"/>
          <w:lang w:val="en-US"/>
        </w:rPr>
        <w:t>That is the way I tell it to myself.</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And</w:t>
      </w:r>
      <w:proofErr w:type="gramEnd"/>
      <w:r>
        <w:rPr>
          <w:rFonts w:ascii="Times New Roman" w:hAnsi="Times New Roman" w:cs="Times New Roman"/>
          <w:lang w:val="en-US"/>
        </w:rPr>
        <w:t xml:space="preserve"> this is indeed what I try to do.</w:t>
      </w:r>
      <w:r>
        <w:rPr>
          <w:rFonts w:ascii="Times New Roman" w:hAnsi="Times New Roman" w:cs="Times New Roman"/>
          <w:lang w:val="en-US"/>
        </w:rPr>
        <w:footnoteReference w:id="27"/>
      </w:r>
    </w:p>
    <w:p w:rsidR="007D60E4" w:rsidRPr="002745E7" w:rsidRDefault="007D60E4">
      <w:pPr>
        <w:pStyle w:val="Standard"/>
        <w:spacing w:after="0"/>
        <w:jc w:val="both"/>
        <w:rPr>
          <w:rFonts w:ascii="Times New Roman" w:hAnsi="Times New Roman" w:cs="Times New Roman"/>
          <w:sz w:val="24"/>
          <w:szCs w:val="24"/>
          <w:lang w:val="en-US"/>
        </w:rPr>
      </w:pPr>
    </w:p>
    <w:p w:rsidR="007D60E4" w:rsidRDefault="00B130D1">
      <w:pPr>
        <w:pStyle w:val="Standard"/>
        <w:spacing w:after="0"/>
        <w:jc w:val="both"/>
      </w:pPr>
      <w:r>
        <w:rPr>
          <w:rFonts w:ascii="Times New Roman" w:hAnsi="Times New Roman" w:cs="Times New Roman"/>
          <w:sz w:val="24"/>
          <w:szCs w:val="24"/>
        </w:rPr>
        <w:t>“</w:t>
      </w:r>
      <w:proofErr w:type="spellStart"/>
      <w:r>
        <w:rPr>
          <w:rFonts w:ascii="Times New Roman" w:hAnsi="Times New Roman" w:cs="Times New Roman"/>
          <w:sz w:val="24"/>
          <w:szCs w:val="24"/>
        </w:rPr>
        <w:t>Thinking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without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banister</w:t>
      </w:r>
      <w:proofErr w:type="spellEnd"/>
      <w:r>
        <w:rPr>
          <w:rFonts w:ascii="Times New Roman" w:hAnsi="Times New Roman" w:cs="Times New Roman"/>
          <w:sz w:val="24"/>
          <w:szCs w:val="24"/>
        </w:rPr>
        <w:t xml:space="preserve">”, dunque: “pensare senza ringhiera”, questo il “motto” </w:t>
      </w:r>
      <w:proofErr w:type="spellStart"/>
      <w:r>
        <w:rPr>
          <w:rFonts w:ascii="Times New Roman" w:hAnsi="Times New Roman" w:cs="Times New Roman"/>
          <w:sz w:val="24"/>
          <w:szCs w:val="24"/>
        </w:rPr>
        <w:t>arendtiano</w:t>
      </w:r>
      <w:proofErr w:type="spellEnd"/>
      <w:r>
        <w:rPr>
          <w:rFonts w:ascii="Times New Roman" w:hAnsi="Times New Roman" w:cs="Times New Roman"/>
          <w:sz w:val="24"/>
          <w:szCs w:val="24"/>
        </w:rPr>
        <w:t xml:space="preserve"> che sancisce l'estromissione della morale (ma non solo di essa) dalla delineazione </w:t>
      </w:r>
      <w:r>
        <w:rPr>
          <w:rFonts w:ascii="Times New Roman" w:hAnsi="Times New Roman" w:cs="Times New Roman"/>
          <w:sz w:val="24"/>
          <w:szCs w:val="24"/>
        </w:rPr>
        <w:t xml:space="preserve">della sua teoria politica. Mentre saliamo per le scale possiamo sempre “aggrapparci” alla ringhiera e, in questo modo, non corriamo il rischio di cadere. Ma – incalza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 noi abbiamo perso questa ringhiera: “Questo mi son detta. Ed è quello che cerco </w:t>
      </w:r>
      <w:r>
        <w:rPr>
          <w:rFonts w:ascii="Times New Roman" w:hAnsi="Times New Roman" w:cs="Times New Roman"/>
          <w:sz w:val="24"/>
          <w:szCs w:val="24"/>
        </w:rPr>
        <w:t xml:space="preserve">di fare”. L'immagine della ringhiera può essere considerata come una sorta di auto-descrizione di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nella sua esperienza del pensiero. Fuor di metafora, la ringhiera rappresenta tutta quella serie di “supporti” morali, religiosi, tradizionali che orie</w:t>
      </w:r>
      <w:r>
        <w:rPr>
          <w:rFonts w:ascii="Times New Roman" w:hAnsi="Times New Roman" w:cs="Times New Roman"/>
          <w:sz w:val="24"/>
          <w:szCs w:val="24"/>
        </w:rPr>
        <w:t xml:space="preserve">ntano il nostro pensare e, di conseguenza, il nostro agire. Così </w:t>
      </w:r>
      <w:r>
        <w:rPr>
          <w:rFonts w:ascii="Times New Roman" w:hAnsi="Times New Roman" w:cs="Times New Roman"/>
          <w:sz w:val="24"/>
          <w:szCs w:val="24"/>
        </w:rPr>
        <w:lastRenderedPageBreak/>
        <w:t>come nell'aggrapparci alla ringhiera quasi non ci rendiamo conto di essa, della sua presenza, allo stesso modo ci “aggrappiamo” alle convenzioni, alle norme di condotta standardizzate in mani</w:t>
      </w:r>
      <w:r>
        <w:rPr>
          <w:rFonts w:ascii="Times New Roman" w:hAnsi="Times New Roman" w:cs="Times New Roman"/>
          <w:sz w:val="24"/>
          <w:szCs w:val="24"/>
        </w:rPr>
        <w:t xml:space="preserve">era irriflessa, automatica. La ringhiera viene, per così dire, messa a tema solo nel momento in cui non è più in grado di svolgere la sua funzione correttamente, quindi, quando in qualche modo si assenta. Ed è esattamente questo che fa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tematizza l'</w:t>
      </w:r>
      <w:r>
        <w:rPr>
          <w:rFonts w:ascii="Times New Roman" w:hAnsi="Times New Roman" w:cs="Times New Roman"/>
          <w:sz w:val="24"/>
          <w:szCs w:val="24"/>
        </w:rPr>
        <w:t>assenza “della ringhiera”. Tuttavia, nel compiere questa operazione, la filosofa chiarisce che la metafora da lei utilizzata “non è poi così crudele”. Se, come intuitivamente verrebbe da pensare, la perdita della ringhiera comporta una conseguente sensazio</w:t>
      </w:r>
      <w:r>
        <w:rPr>
          <w:rFonts w:ascii="Times New Roman" w:hAnsi="Times New Roman" w:cs="Times New Roman"/>
          <w:sz w:val="24"/>
          <w:szCs w:val="24"/>
        </w:rPr>
        <w:t xml:space="preserve">ne di 'vertigine', disorientamento, spaesamento, questo non deve destare alcuna preoccupazione poiché, ciò che sta accadendo è il semplice manifestarsi del “vento del pensiero” che, come precedentemente chiarito, mette colui che pensa in una condizione di </w:t>
      </w:r>
      <w:r>
        <w:rPr>
          <w:rFonts w:ascii="Times New Roman" w:hAnsi="Times New Roman" w:cs="Times New Roman"/>
          <w:sz w:val="24"/>
          <w:szCs w:val="24"/>
        </w:rPr>
        <w:t xml:space="preserve">costante incertezza, la stessa che per intenderci,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esplicita in un'altra celebre metafora: la lacuna tra passato e futuro</w:t>
      </w:r>
      <w:r>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xml:space="preserve">. La “perdita della ringhiera” può inoltre essere compresa attraverso quello che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definisce come “il filo spezzato della tradizione”. Il crollo della tradizione avviene, per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in momenti diversi, ma si verifica realmente solo con l</w:t>
      </w:r>
      <w:r>
        <w:rPr>
          <w:rFonts w:ascii="Times New Roman" w:hAnsi="Times New Roman" w:cs="Times New Roman"/>
          <w:sz w:val="24"/>
          <w:szCs w:val="24"/>
        </w:rPr>
        <w:t>'avvento dei regimi totalitari, nel momento in cui cioè, tale crollo assume le sembianze di un problema politico immediato, “dove per politica intendiamo lo spazio in cui tutto appare al pubblico, divenendo parte di un mondo comune”</w:t>
      </w:r>
      <w:r>
        <w:rPr>
          <w:rStyle w:val="Rimandonotaapidipagina"/>
          <w:rFonts w:ascii="Times New Roman" w:hAnsi="Times New Roman" w:cs="Times New Roman"/>
          <w:sz w:val="24"/>
          <w:szCs w:val="24"/>
        </w:rPr>
        <w:footnoteReference w:id="29"/>
      </w:r>
      <w:r>
        <w:rPr>
          <w:rFonts w:ascii="Times New Roman" w:hAnsi="Times New Roman" w:cs="Times New Roman"/>
          <w:sz w:val="24"/>
          <w:szCs w:val="24"/>
        </w:rPr>
        <w:t xml:space="preserve">. La tradizione inoltre, assume in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 che riprende un concetto di René </w:t>
      </w:r>
      <w:proofErr w:type="spellStart"/>
      <w:r>
        <w:rPr>
          <w:rFonts w:ascii="Times New Roman" w:hAnsi="Times New Roman" w:cs="Times New Roman"/>
          <w:sz w:val="24"/>
          <w:szCs w:val="24"/>
        </w:rPr>
        <w:t>Char</w:t>
      </w:r>
      <w:proofErr w:type="spellEnd"/>
      <w:r>
        <w:rPr>
          <w:rFonts w:ascii="Times New Roman" w:hAnsi="Times New Roman" w:cs="Times New Roman"/>
          <w:sz w:val="24"/>
          <w:szCs w:val="24"/>
        </w:rPr>
        <w:t xml:space="preserve"> – le sem</w:t>
      </w:r>
      <w:r>
        <w:rPr>
          <w:rFonts w:ascii="Times New Roman" w:hAnsi="Times New Roman" w:cs="Times New Roman"/>
          <w:sz w:val="24"/>
          <w:szCs w:val="24"/>
        </w:rPr>
        <w:t>bianze di un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eredità senza testamento”. Perciò vi è un’eredità dalla quale poter attingere e, tuttavia, l’assenza di testamento toglie al lascito qualsiasi carattere vincolante e consente, al limite, persino di rifiutare l’eredità in questione. L’esercizi</w:t>
      </w:r>
      <w:r>
        <w:rPr>
          <w:rFonts w:ascii="Times New Roman" w:hAnsi="Times New Roman" w:cs="Times New Roman"/>
          <w:sz w:val="24"/>
          <w:szCs w:val="24"/>
        </w:rPr>
        <w:t xml:space="preserve">o del libero pensiero (e la formulazione del conseguente giudizio) presuppone l’esser svincolati da qualsiasi tipo di prescrizione che diriga l’attività del pensiero stesso in una direzione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-determinata.</w:t>
      </w:r>
    </w:p>
    <w:p w:rsidR="007D60E4" w:rsidRDefault="00B130D1">
      <w:pPr>
        <w:pStyle w:val="Standard"/>
        <w:spacing w:after="0"/>
        <w:jc w:val="both"/>
      </w:pPr>
      <w:r>
        <w:rPr>
          <w:rFonts w:ascii="Times New Roman" w:hAnsi="Times New Roman" w:cs="Times New Roman"/>
          <w:sz w:val="24"/>
          <w:szCs w:val="24"/>
        </w:rPr>
        <w:t>Appare dunque evidente che vi sia nella riflessio</w:t>
      </w:r>
      <w:r>
        <w:rPr>
          <w:rFonts w:ascii="Times New Roman" w:hAnsi="Times New Roman" w:cs="Times New Roman"/>
          <w:sz w:val="24"/>
          <w:szCs w:val="24"/>
        </w:rPr>
        <w:t xml:space="preserve">ne filosofica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quello che può essere definito come un “primato della politica” rispetto alle altre istanze di carattere morale, religioso, tradizionale ecc. Diversamente da quanto affermato da Maria Teresa </w:t>
      </w:r>
      <w:proofErr w:type="spellStart"/>
      <w:r>
        <w:rPr>
          <w:rFonts w:ascii="Times New Roman" w:hAnsi="Times New Roman" w:cs="Times New Roman"/>
          <w:sz w:val="24"/>
          <w:szCs w:val="24"/>
        </w:rPr>
        <w:t>Pansera</w:t>
      </w:r>
      <w:proofErr w:type="spellEnd"/>
      <w:r>
        <w:rPr>
          <w:rStyle w:val="Rimandonotaapidipagina"/>
          <w:rFonts w:ascii="Times New Roman" w:hAnsi="Times New Roman" w:cs="Times New Roman"/>
          <w:sz w:val="24"/>
          <w:szCs w:val="24"/>
        </w:rPr>
        <w:footnoteReference w:id="30"/>
      </w:r>
      <w:r>
        <w:rPr>
          <w:rFonts w:ascii="Times New Roman" w:hAnsi="Times New Roman" w:cs="Times New Roman"/>
          <w:sz w:val="24"/>
          <w:szCs w:val="24"/>
        </w:rPr>
        <w:t xml:space="preserve">, il giudizio politico si presenta, nella prospettiva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pri</w:t>
      </w:r>
      <w:r>
        <w:rPr>
          <w:rFonts w:ascii="Times New Roman" w:hAnsi="Times New Roman" w:cs="Times New Roman"/>
          <w:sz w:val="24"/>
          <w:szCs w:val="24"/>
        </w:rPr>
        <w:t xml:space="preserve">vo di qualsiasi connotazione morale e lo è proprio in virtù del suo essere politico. In tal senso è come se in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politica e morale si trovassero in un rapporto di tensione, opposizione.</w:t>
      </w:r>
    </w:p>
    <w:p w:rsidR="007D60E4" w:rsidRDefault="00B130D1">
      <w:pPr>
        <w:pStyle w:val="Standard"/>
        <w:spacing w:after="0"/>
        <w:jc w:val="both"/>
      </w:pPr>
      <w:r>
        <w:rPr>
          <w:rFonts w:ascii="Times New Roman" w:hAnsi="Times New Roman" w:cs="Times New Roman"/>
          <w:sz w:val="24"/>
          <w:szCs w:val="24"/>
        </w:rPr>
        <w:t>Il motivo dell’esclusione delle categorie morali dalla teoria pol</w:t>
      </w:r>
      <w:r>
        <w:rPr>
          <w:rFonts w:ascii="Times New Roman" w:hAnsi="Times New Roman" w:cs="Times New Roman"/>
          <w:sz w:val="24"/>
          <w:szCs w:val="24"/>
        </w:rPr>
        <w:t xml:space="preserve">itica </w:t>
      </w:r>
      <w:proofErr w:type="spellStart"/>
      <w:r>
        <w:rPr>
          <w:rFonts w:ascii="Times New Roman" w:hAnsi="Times New Roman" w:cs="Times New Roman"/>
          <w:sz w:val="24"/>
          <w:szCs w:val="24"/>
        </w:rPr>
        <w:t>arendtiana</w:t>
      </w:r>
      <w:proofErr w:type="spellEnd"/>
      <w:r>
        <w:rPr>
          <w:rFonts w:ascii="Times New Roman" w:hAnsi="Times New Roman" w:cs="Times New Roman"/>
          <w:sz w:val="24"/>
          <w:szCs w:val="24"/>
        </w:rPr>
        <w:t xml:space="preserve"> è da ricercarsi, probabilmente, nella distinzione, operata dalla stessa filosofa, secondo la </w:t>
      </w:r>
      <w:r>
        <w:rPr>
          <w:rFonts w:ascii="Times New Roman" w:hAnsi="Times New Roman" w:cs="Times New Roman"/>
          <w:sz w:val="24"/>
          <w:szCs w:val="24"/>
        </w:rPr>
        <w:lastRenderedPageBreak/>
        <w:t xml:space="preserve">quale: “Al centro delle considerazioni </w:t>
      </w:r>
      <w:r>
        <w:rPr>
          <w:rFonts w:ascii="Times New Roman" w:hAnsi="Times New Roman" w:cs="Times New Roman"/>
          <w:i/>
          <w:sz w:val="24"/>
          <w:szCs w:val="24"/>
        </w:rPr>
        <w:t>morali</w:t>
      </w:r>
      <w:r>
        <w:rPr>
          <w:rFonts w:ascii="Times New Roman" w:hAnsi="Times New Roman" w:cs="Times New Roman"/>
          <w:sz w:val="24"/>
          <w:szCs w:val="24"/>
        </w:rPr>
        <w:t xml:space="preserve"> sul comportamento umano sta l’io; al centro delle considerazioni </w:t>
      </w:r>
      <w:r>
        <w:rPr>
          <w:rFonts w:ascii="Times New Roman" w:hAnsi="Times New Roman" w:cs="Times New Roman"/>
          <w:i/>
          <w:sz w:val="24"/>
          <w:szCs w:val="24"/>
        </w:rPr>
        <w:t>politiche</w:t>
      </w:r>
      <w:r>
        <w:rPr>
          <w:rFonts w:ascii="Times New Roman" w:hAnsi="Times New Roman" w:cs="Times New Roman"/>
          <w:sz w:val="24"/>
          <w:szCs w:val="24"/>
        </w:rPr>
        <w:t xml:space="preserve"> sul comportamento umano s</w:t>
      </w:r>
      <w:r>
        <w:rPr>
          <w:rFonts w:ascii="Times New Roman" w:hAnsi="Times New Roman" w:cs="Times New Roman"/>
          <w:sz w:val="24"/>
          <w:szCs w:val="24"/>
        </w:rPr>
        <w:t>ta il mondo.”</w:t>
      </w:r>
      <w:r>
        <w:rPr>
          <w:rStyle w:val="Rimandonotaapidipagina"/>
          <w:rFonts w:ascii="Times New Roman" w:hAnsi="Times New Roman" w:cs="Times New Roman"/>
          <w:sz w:val="24"/>
          <w:szCs w:val="24"/>
        </w:rPr>
        <w:footnoteReference w:id="31"/>
      </w:r>
      <w:r>
        <w:rPr>
          <w:rFonts w:ascii="Times New Roman" w:hAnsi="Times New Roman" w:cs="Times New Roman"/>
          <w:sz w:val="24"/>
          <w:szCs w:val="24"/>
        </w:rPr>
        <w:t xml:space="preserve"> [</w:t>
      </w:r>
      <w:proofErr w:type="gramStart"/>
      <w:r>
        <w:rPr>
          <w:rFonts w:ascii="Times New Roman" w:hAnsi="Times New Roman" w:cs="Times New Roman"/>
          <w:sz w:val="24"/>
          <w:szCs w:val="24"/>
        </w:rPr>
        <w:t>corsivo</w:t>
      </w:r>
      <w:proofErr w:type="gramEnd"/>
      <w:r>
        <w:rPr>
          <w:rFonts w:ascii="Times New Roman" w:hAnsi="Times New Roman" w:cs="Times New Roman"/>
          <w:sz w:val="24"/>
          <w:szCs w:val="24"/>
        </w:rPr>
        <w:t xml:space="preserve"> mio]. Tale distinzione si manifesta, tra l’altro, nel saggio </w:t>
      </w:r>
      <w:r>
        <w:rPr>
          <w:rFonts w:ascii="Times New Roman" w:hAnsi="Times New Roman" w:cs="Times New Roman"/>
          <w:i/>
          <w:sz w:val="24"/>
          <w:szCs w:val="24"/>
        </w:rPr>
        <w:t>Riflessioni su Little Rock</w:t>
      </w:r>
      <w:r>
        <w:rPr>
          <w:rFonts w:ascii="Times New Roman" w:hAnsi="Times New Roman" w:cs="Times New Roman"/>
          <w:sz w:val="24"/>
          <w:szCs w:val="24"/>
        </w:rPr>
        <w:t xml:space="preserve">. In quest’ultimo le riflessioni </w:t>
      </w:r>
      <w:proofErr w:type="spellStart"/>
      <w:r>
        <w:rPr>
          <w:rFonts w:ascii="Times New Roman" w:hAnsi="Times New Roman" w:cs="Times New Roman"/>
          <w:sz w:val="24"/>
          <w:szCs w:val="24"/>
        </w:rPr>
        <w:t>arendtiane</w:t>
      </w:r>
      <w:proofErr w:type="spellEnd"/>
      <w:r>
        <w:rPr>
          <w:rFonts w:ascii="Times New Roman" w:hAnsi="Times New Roman" w:cs="Times New Roman"/>
          <w:sz w:val="24"/>
          <w:szCs w:val="24"/>
        </w:rPr>
        <w:t xml:space="preserve"> nascono da </w:t>
      </w:r>
      <w:r>
        <w:rPr>
          <w:rFonts w:ascii="Times New Roman" w:hAnsi="Times New Roman" w:cs="Times New Roman"/>
          <w:sz w:val="24"/>
          <w:szCs w:val="24"/>
        </w:rPr>
        <w:t xml:space="preserve">una fotografia comparsa sui giornali in seguito a una sentenza della Corte federale inerente alla politica scolastica anti-segregazionista. La foto ritrae una ragazza di colore che torna a casa dopo una giornata passata in una delle nuove scuole miste: la </w:t>
      </w:r>
      <w:r>
        <w:rPr>
          <w:rFonts w:ascii="Times New Roman" w:hAnsi="Times New Roman" w:cs="Times New Roman"/>
          <w:sz w:val="24"/>
          <w:szCs w:val="24"/>
        </w:rPr>
        <w:t xml:space="preserve">ragazza è perseguitata da un gruppo di ragazzi bianchi ed è accompagnata da un amico bianco del padre. Le osservazioni </w:t>
      </w:r>
      <w:proofErr w:type="spellStart"/>
      <w:r>
        <w:rPr>
          <w:rFonts w:ascii="Times New Roman" w:hAnsi="Times New Roman" w:cs="Times New Roman"/>
          <w:sz w:val="24"/>
          <w:szCs w:val="24"/>
        </w:rPr>
        <w:t>arendtiane</w:t>
      </w:r>
      <w:proofErr w:type="spellEnd"/>
      <w:r>
        <w:rPr>
          <w:rFonts w:ascii="Times New Roman" w:hAnsi="Times New Roman" w:cs="Times New Roman"/>
          <w:sz w:val="24"/>
          <w:szCs w:val="24"/>
        </w:rPr>
        <w:t xml:space="preserve"> sembrano mostrare, in maniera emblematica, il modo in cui la filosofa perviene alla formulazione di un giudizio e, in particol</w:t>
      </w:r>
      <w:r>
        <w:rPr>
          <w:rFonts w:ascii="Times New Roman" w:hAnsi="Times New Roman" w:cs="Times New Roman"/>
          <w:sz w:val="24"/>
          <w:szCs w:val="24"/>
        </w:rPr>
        <w:t>are, di un “giudizio politico”</w:t>
      </w:r>
      <w:r>
        <w:rPr>
          <w:rStyle w:val="Rimandonotaapidipagina"/>
          <w:rFonts w:ascii="Times New Roman" w:hAnsi="Times New Roman" w:cs="Times New Roman"/>
          <w:sz w:val="24"/>
          <w:szCs w:val="24"/>
        </w:rPr>
        <w:footnoteReference w:id="32"/>
      </w:r>
      <w:r>
        <w:rPr>
          <w:rFonts w:ascii="Times New Roman" w:hAnsi="Times New Roman" w:cs="Times New Roman"/>
          <w:sz w:val="24"/>
          <w:szCs w:val="24"/>
        </w:rPr>
        <w:t xml:space="preserve">.  Il primo passo compiuto da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è stato quello di chiedersi: “che cosa avrei fatto io se fossi stata una madre di </w:t>
      </w:r>
      <w:r>
        <w:rPr>
          <w:rFonts w:ascii="Times New Roman" w:hAnsi="Times New Roman" w:cs="Times New Roman"/>
          <w:sz w:val="24"/>
          <w:szCs w:val="24"/>
        </w:rPr>
        <w:t>colore?”</w:t>
      </w:r>
      <w:r>
        <w:rPr>
          <w:rStyle w:val="Rimandonotaapidipagina"/>
          <w:rFonts w:ascii="Times New Roman" w:hAnsi="Times New Roman" w:cs="Times New Roman"/>
          <w:sz w:val="24"/>
          <w:szCs w:val="24"/>
        </w:rPr>
        <w:footnoteReference w:id="33"/>
      </w:r>
      <w:r>
        <w:rPr>
          <w:rFonts w:ascii="Times New Roman" w:hAnsi="Times New Roman" w:cs="Times New Roman"/>
          <w:sz w:val="24"/>
          <w:szCs w:val="24"/>
        </w:rPr>
        <w:t xml:space="preserve"> Già in questa domanda preliminare si manifesta quel particolare senso comune che è per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imprescindibile dalla formulazione di qualsiasi giudizio</w:t>
      </w:r>
      <w:r>
        <w:rPr>
          <w:rStyle w:val="Rimandonotaapidipagina"/>
          <w:rFonts w:ascii="Times New Roman" w:hAnsi="Times New Roman" w:cs="Times New Roman"/>
          <w:sz w:val="24"/>
          <w:szCs w:val="24"/>
        </w:rPr>
        <w:footnoteReference w:id="34"/>
      </w:r>
      <w:r>
        <w:rPr>
          <w:rFonts w:ascii="Times New Roman" w:hAnsi="Times New Roman" w:cs="Times New Roman"/>
          <w:sz w:val="24"/>
          <w:szCs w:val="24"/>
        </w:rPr>
        <w:t xml:space="preserve">. Le considerazioni successive </w:t>
      </w:r>
      <w:r>
        <w:rPr>
          <w:rFonts w:ascii="Times New Roman" w:hAnsi="Times New Roman" w:cs="Times New Roman"/>
          <w:sz w:val="24"/>
          <w:szCs w:val="24"/>
        </w:rPr>
        <w:t xml:space="preserve">sono volte a tratteggiare una separazione tra la sfera meramente sociale e quella politica. Benché non abbia mai sostenuto nessun tipo di legislazione razziale,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sostiene che</w:t>
      </w:r>
    </w:p>
    <w:p w:rsidR="007D60E4" w:rsidRDefault="007D60E4">
      <w:pPr>
        <w:pStyle w:val="Standard"/>
        <w:spacing w:after="0"/>
        <w:jc w:val="both"/>
        <w:rPr>
          <w:rFonts w:ascii="Times New Roman" w:hAnsi="Times New Roman" w:cs="Times New Roman"/>
          <w:sz w:val="24"/>
          <w:szCs w:val="24"/>
        </w:rPr>
      </w:pPr>
    </w:p>
    <w:p w:rsidR="007D60E4" w:rsidRDefault="00B130D1">
      <w:pPr>
        <w:pStyle w:val="Standard"/>
        <w:spacing w:after="0"/>
        <w:ind w:left="284" w:right="284"/>
        <w:jc w:val="both"/>
        <w:rPr>
          <w:rFonts w:ascii="Times New Roman" w:hAnsi="Times New Roman" w:cs="Times New Roman"/>
        </w:rPr>
      </w:pPr>
      <w:r>
        <w:rPr>
          <w:rFonts w:ascii="Times New Roman" w:hAnsi="Times New Roman" w:cs="Times New Roman"/>
        </w:rPr>
        <w:t>[…] la discriminazione rappresenta un diritto imprescindibile sul versante</w:t>
      </w:r>
      <w:r>
        <w:rPr>
          <w:rFonts w:ascii="Times New Roman" w:hAnsi="Times New Roman" w:cs="Times New Roman"/>
        </w:rPr>
        <w:t xml:space="preserve"> sociale quanto l’eguaglianza rappresenta un diritto imprescindibile sul versante politico. Il problema, dunque, non è come eliminare la discriminazione, ma come tenerla dentro i confini della sfera sociale, in cui è legittima, e come evitare che trapassi </w:t>
      </w:r>
      <w:r>
        <w:rPr>
          <w:rFonts w:ascii="Times New Roman" w:hAnsi="Times New Roman" w:cs="Times New Roman"/>
        </w:rPr>
        <w:t>nella sfera politica e in quella personale, in cui invece è distruttiva. […] Gli standard sociali non sono e non devono diventare standard giuridici. Se la legislatura segue il pregiudizio sociale, la società diventa tirannica […] Nel momento in cui la dis</w:t>
      </w:r>
      <w:r>
        <w:rPr>
          <w:rFonts w:ascii="Times New Roman" w:hAnsi="Times New Roman" w:cs="Times New Roman"/>
        </w:rPr>
        <w:t>criminazione sociale è ratificata per legge, si trasforma in persecuzione.</w:t>
      </w:r>
      <w:r>
        <w:rPr>
          <w:rStyle w:val="Rimandonotaapidipagina"/>
          <w:rFonts w:ascii="Times New Roman" w:hAnsi="Times New Roman" w:cs="Times New Roman"/>
        </w:rPr>
        <w:footnoteReference w:id="35"/>
      </w:r>
    </w:p>
    <w:p w:rsidR="007D60E4" w:rsidRDefault="007D60E4">
      <w:pPr>
        <w:pStyle w:val="Standard"/>
        <w:spacing w:after="0"/>
        <w:ind w:left="284" w:right="284"/>
        <w:jc w:val="both"/>
        <w:rPr>
          <w:rFonts w:ascii="Times New Roman" w:hAnsi="Times New Roman" w:cs="Times New Roman"/>
        </w:rPr>
      </w:pPr>
    </w:p>
    <w:p w:rsidR="007D60E4" w:rsidRDefault="00B130D1">
      <w:pPr>
        <w:pStyle w:val="Standard"/>
        <w:spacing w:after="0"/>
        <w:jc w:val="both"/>
      </w:pPr>
      <w:r>
        <w:rPr>
          <w:rFonts w:ascii="Times New Roman" w:hAnsi="Times New Roman" w:cs="Times New Roman"/>
          <w:sz w:val="24"/>
          <w:szCs w:val="24"/>
        </w:rPr>
        <w:t>Se dunque “al centro delle considerazioni politiche sull’uomo sta il mondo”</w:t>
      </w:r>
      <w:r>
        <w:rPr>
          <w:rStyle w:val="Rimandonotaapidipagina"/>
          <w:rFonts w:ascii="Times New Roman" w:hAnsi="Times New Roman" w:cs="Times New Roman"/>
          <w:sz w:val="24"/>
          <w:szCs w:val="24"/>
        </w:rPr>
        <w:footnoteReference w:id="36"/>
      </w:r>
      <w:r>
        <w:rPr>
          <w:rFonts w:ascii="Times New Roman" w:hAnsi="Times New Roman" w:cs="Times New Roman"/>
          <w:sz w:val="24"/>
          <w:szCs w:val="24"/>
        </w:rPr>
        <w:t xml:space="preserve"> è chiaro che la sfera politica non deve essere “contaminata” dalle considerazioni sociali e, in un certo senso (quello precedentemente esplicitato), da quelle morali che si riferiscono prioritariamente all’io.</w:t>
      </w:r>
    </w:p>
    <w:p w:rsidR="007D60E4" w:rsidRDefault="00B130D1">
      <w:pPr>
        <w:pStyle w:val="Standard"/>
        <w:spacing w:after="0"/>
        <w:jc w:val="both"/>
      </w:pPr>
      <w:r>
        <w:rPr>
          <w:rFonts w:ascii="Times New Roman" w:hAnsi="Times New Roman" w:cs="Times New Roman"/>
        </w:rPr>
        <w:t xml:space="preserve">Bisogna inoltre tener presente che, a monte </w:t>
      </w:r>
      <w:r>
        <w:rPr>
          <w:rFonts w:ascii="Times New Roman" w:hAnsi="Times New Roman" w:cs="Times New Roman"/>
        </w:rPr>
        <w:t>di tale distinzione, vi sono le considerazioni</w:t>
      </w:r>
      <w:r>
        <w:rPr>
          <w:rFonts w:ascii="Times New Roman" w:hAnsi="Times New Roman" w:cs="Times New Roman"/>
          <w:sz w:val="24"/>
          <w:szCs w:val="24"/>
        </w:rPr>
        <w:t xml:space="preserve"> </w:t>
      </w:r>
      <w:proofErr w:type="spellStart"/>
      <w:r>
        <w:rPr>
          <w:rFonts w:ascii="Times New Roman" w:hAnsi="Times New Roman" w:cs="Times New Roman"/>
          <w:sz w:val="24"/>
          <w:szCs w:val="24"/>
        </w:rPr>
        <w:t>arendtiane</w:t>
      </w:r>
      <w:proofErr w:type="spellEnd"/>
      <w:r>
        <w:rPr>
          <w:rFonts w:ascii="Times New Roman" w:hAnsi="Times New Roman" w:cs="Times New Roman"/>
          <w:sz w:val="24"/>
          <w:szCs w:val="24"/>
        </w:rPr>
        <w:t xml:space="preserve"> relative alla morale che viene definita dalla filosofa, secondo l’etimo </w:t>
      </w:r>
      <w:r>
        <w:rPr>
          <w:rFonts w:ascii="Times New Roman" w:hAnsi="Times New Roman" w:cs="Times New Roman"/>
          <w:sz w:val="24"/>
          <w:szCs w:val="24"/>
        </w:rPr>
        <w:lastRenderedPageBreak/>
        <w:t xml:space="preserve">della parola, come un insieme di </w:t>
      </w:r>
      <w:proofErr w:type="spellStart"/>
      <w:r>
        <w:rPr>
          <w:rFonts w:ascii="Times New Roman" w:hAnsi="Times New Roman" w:cs="Times New Roman"/>
          <w:i/>
          <w:sz w:val="24"/>
          <w:szCs w:val="24"/>
        </w:rPr>
        <w:t>mores</w:t>
      </w:r>
      <w:proofErr w:type="spellEnd"/>
      <w:r>
        <w:rPr>
          <w:rFonts w:ascii="Times New Roman" w:hAnsi="Times New Roman" w:cs="Times New Roman"/>
          <w:sz w:val="24"/>
          <w:szCs w:val="24"/>
        </w:rPr>
        <w:t>, di costumi e maniere che possono essere modificati allo stesso modo in cui si cambiano</w:t>
      </w:r>
      <w:r>
        <w:rPr>
          <w:rFonts w:ascii="Times New Roman" w:hAnsi="Times New Roman" w:cs="Times New Roman"/>
          <w:sz w:val="24"/>
          <w:szCs w:val="24"/>
        </w:rPr>
        <w:t xml:space="preserve"> le buone maniere a tavola.</w:t>
      </w:r>
    </w:p>
    <w:p w:rsidR="007D60E4" w:rsidRDefault="00B130D1">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Sebbene la cosiddetta “perdita della ringhiera” ponga l’uomo in una sorta di impasse, </w:t>
      </w:r>
      <w:proofErr w:type="spellStart"/>
      <w:r>
        <w:rPr>
          <w:rFonts w:ascii="Times New Roman" w:hAnsi="Times New Roman" w:cs="Times New Roman"/>
          <w:sz w:val="24"/>
          <w:szCs w:val="24"/>
        </w:rPr>
        <w:t>Arendt</w:t>
      </w:r>
      <w:proofErr w:type="spellEnd"/>
      <w:r>
        <w:rPr>
          <w:rFonts w:ascii="Times New Roman" w:hAnsi="Times New Roman" w:cs="Times New Roman"/>
          <w:sz w:val="24"/>
          <w:szCs w:val="24"/>
        </w:rPr>
        <w:t xml:space="preserve"> indica la “via d’uscita” da essa in quella che definisce come l’essenza di ogni essere umano, ovvero il suo configurarsi come “inizio”</w:t>
      </w:r>
      <w:r>
        <w:rPr>
          <w:rFonts w:ascii="Times New Roman" w:hAnsi="Times New Roman" w:cs="Times New Roman"/>
          <w:sz w:val="24"/>
          <w:szCs w:val="24"/>
        </w:rPr>
        <w:t xml:space="preserve"> o, come afferma in diversi luoghi, come “nuovo inizio”:</w:t>
      </w:r>
    </w:p>
    <w:p w:rsidR="007D60E4" w:rsidRDefault="007D60E4">
      <w:pPr>
        <w:pStyle w:val="Standard"/>
        <w:spacing w:after="0"/>
        <w:ind w:left="284" w:right="284"/>
        <w:jc w:val="both"/>
        <w:rPr>
          <w:rFonts w:ascii="Times New Roman" w:hAnsi="Times New Roman" w:cs="Times New Roman"/>
          <w:sz w:val="24"/>
          <w:szCs w:val="24"/>
        </w:rPr>
      </w:pPr>
    </w:p>
    <w:p w:rsidR="007D60E4" w:rsidRDefault="00B130D1">
      <w:pPr>
        <w:pStyle w:val="Standard"/>
        <w:spacing w:after="0"/>
        <w:ind w:left="284" w:right="284"/>
        <w:jc w:val="both"/>
      </w:pPr>
      <w:r>
        <w:rPr>
          <w:rFonts w:ascii="Times New Roman" w:hAnsi="Times New Roman" w:cs="Times New Roman"/>
        </w:rPr>
        <w:t xml:space="preserve">Anche se abbiamo perso i parametri con cui misurare e le regole sotto cui sussumere il particolare, un essere la cui essenza è l’inizio può avere abbastanza </w:t>
      </w:r>
      <w:proofErr w:type="spellStart"/>
      <w:r>
        <w:rPr>
          <w:rFonts w:ascii="Times New Roman" w:hAnsi="Times New Roman" w:cs="Times New Roman"/>
        </w:rPr>
        <w:t>originarietà</w:t>
      </w:r>
      <w:proofErr w:type="spellEnd"/>
      <w:r>
        <w:rPr>
          <w:rFonts w:ascii="Times New Roman" w:hAnsi="Times New Roman" w:cs="Times New Roman"/>
        </w:rPr>
        <w:t xml:space="preserve"> dentro di sé per comprendere</w:t>
      </w:r>
      <w:r>
        <w:rPr>
          <w:rFonts w:ascii="Times New Roman" w:hAnsi="Times New Roman" w:cs="Times New Roman"/>
        </w:rPr>
        <w:t xml:space="preserve"> senza categorie preconcette e giudicare senza l’ausilio di quell’insieme di regole consuetudinarie in cui consiste la moralità.</w:t>
      </w:r>
      <w:r>
        <w:rPr>
          <w:rStyle w:val="Rimandonotaapidipagina"/>
          <w:rFonts w:ascii="Times New Roman" w:hAnsi="Times New Roman" w:cs="Times New Roman"/>
        </w:rPr>
        <w:footnoteReference w:id="37"/>
      </w:r>
    </w:p>
    <w:p w:rsidR="007D60E4" w:rsidRDefault="007D60E4">
      <w:pPr>
        <w:pStyle w:val="Standard"/>
        <w:jc w:val="both"/>
        <w:rPr>
          <w:rFonts w:ascii="Times New Roman" w:hAnsi="Times New Roman" w:cs="Times New Roman"/>
          <w:sz w:val="24"/>
          <w:szCs w:val="24"/>
        </w:rPr>
      </w:pPr>
    </w:p>
    <w:p w:rsidR="007D60E4" w:rsidRDefault="007D60E4">
      <w:pPr>
        <w:pStyle w:val="Standard"/>
        <w:jc w:val="both"/>
        <w:rPr>
          <w:rFonts w:ascii="Times New Roman" w:hAnsi="Times New Roman" w:cs="Times New Roman"/>
          <w:sz w:val="24"/>
          <w:szCs w:val="24"/>
        </w:rPr>
      </w:pPr>
    </w:p>
    <w:p w:rsidR="007D60E4" w:rsidRDefault="007D60E4">
      <w:pPr>
        <w:pStyle w:val="Standard"/>
        <w:jc w:val="both"/>
        <w:rPr>
          <w:rFonts w:ascii="Times New Roman" w:hAnsi="Times New Roman" w:cs="Times New Roman"/>
          <w:sz w:val="24"/>
          <w:szCs w:val="24"/>
        </w:rPr>
      </w:pPr>
    </w:p>
    <w:p w:rsidR="007D60E4" w:rsidRDefault="007D60E4">
      <w:pPr>
        <w:pStyle w:val="Standard"/>
        <w:jc w:val="both"/>
        <w:rPr>
          <w:rFonts w:ascii="Times New Roman" w:hAnsi="Times New Roman" w:cs="Times New Roman"/>
          <w:sz w:val="24"/>
          <w:szCs w:val="24"/>
        </w:rPr>
      </w:pPr>
    </w:p>
    <w:p w:rsidR="007D60E4" w:rsidRDefault="007D60E4">
      <w:pPr>
        <w:pStyle w:val="Standard"/>
        <w:jc w:val="both"/>
        <w:rPr>
          <w:rFonts w:ascii="Times New Roman" w:hAnsi="Times New Roman" w:cs="Times New Roman"/>
          <w:sz w:val="24"/>
          <w:szCs w:val="24"/>
        </w:rPr>
      </w:pPr>
    </w:p>
    <w:p w:rsidR="007D60E4" w:rsidRDefault="007D60E4">
      <w:pPr>
        <w:pStyle w:val="Standard"/>
        <w:jc w:val="both"/>
        <w:rPr>
          <w:rFonts w:ascii="Times New Roman" w:hAnsi="Times New Roman" w:cs="Times New Roman"/>
          <w:sz w:val="24"/>
          <w:szCs w:val="24"/>
        </w:rPr>
      </w:pPr>
    </w:p>
    <w:p w:rsidR="007D60E4" w:rsidRDefault="007D60E4">
      <w:pPr>
        <w:pStyle w:val="Standard"/>
        <w:jc w:val="both"/>
        <w:rPr>
          <w:rFonts w:ascii="Times New Roman" w:hAnsi="Times New Roman" w:cs="Times New Roman"/>
          <w:sz w:val="24"/>
          <w:szCs w:val="24"/>
        </w:rPr>
      </w:pPr>
    </w:p>
    <w:p w:rsidR="007D60E4" w:rsidRDefault="007D60E4">
      <w:pPr>
        <w:pStyle w:val="Standard"/>
        <w:rPr>
          <w:rFonts w:ascii="Times New Roman" w:hAnsi="Times New Roman" w:cs="Times New Roman"/>
          <w:sz w:val="24"/>
          <w:szCs w:val="24"/>
        </w:rPr>
      </w:pPr>
    </w:p>
    <w:p w:rsidR="007D60E4" w:rsidRDefault="007D60E4">
      <w:pPr>
        <w:pStyle w:val="Standard"/>
      </w:pPr>
      <w:bookmarkStart w:id="1" w:name="_GoBack"/>
      <w:bookmarkEnd w:id="1"/>
    </w:p>
    <w:sectPr w:rsidR="007D60E4">
      <w:pgSz w:w="11906" w:h="16838"/>
      <w:pgMar w:top="1701"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D1" w:rsidRDefault="00B130D1">
      <w:pPr>
        <w:spacing w:after="0"/>
      </w:pPr>
      <w:r>
        <w:separator/>
      </w:r>
    </w:p>
  </w:endnote>
  <w:endnote w:type="continuationSeparator" w:id="0">
    <w:p w:rsidR="00B130D1" w:rsidRDefault="00B13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D1" w:rsidRDefault="00B130D1">
      <w:pPr>
        <w:spacing w:after="0"/>
      </w:pPr>
      <w:r>
        <w:rPr>
          <w:color w:val="000000"/>
        </w:rPr>
        <w:separator/>
      </w:r>
    </w:p>
  </w:footnote>
  <w:footnote w:type="continuationSeparator" w:id="0">
    <w:p w:rsidR="00B130D1" w:rsidRDefault="00B130D1">
      <w:pPr>
        <w:spacing w:after="0"/>
      </w:pPr>
      <w:r>
        <w:continuationSeparator/>
      </w:r>
    </w:p>
  </w:footnote>
  <w:footnote w:id="1">
    <w:p w:rsidR="007D60E4" w:rsidRDefault="00B130D1">
      <w:pPr>
        <w:pStyle w:val="Testonotaapidipagina"/>
        <w:jc w:val="both"/>
      </w:pPr>
      <w:r>
        <w:rPr>
          <w:rStyle w:val="Rimandonotaapidipagina"/>
        </w:rPr>
        <w:footnoteRef/>
      </w:r>
      <w:r>
        <w:rPr>
          <w:rFonts w:ascii="Times New Roman" w:hAnsi="Times New Roman" w:cs="Times New Roman"/>
        </w:rPr>
        <w:t xml:space="preserve"> </w:t>
      </w:r>
      <w:r>
        <w:rPr>
          <w:rFonts w:ascii="Times New Roman" w:hAnsi="Times New Roman" w:cs="Times New Roman"/>
        </w:rPr>
        <w:t xml:space="preserve">Nell’intervista rilasciata a </w:t>
      </w:r>
      <w:proofErr w:type="spellStart"/>
      <w:r>
        <w:rPr>
          <w:rFonts w:ascii="Times New Roman" w:hAnsi="Times New Roman" w:cs="Times New Roman"/>
        </w:rPr>
        <w:t>Günter</w:t>
      </w:r>
      <w:proofErr w:type="spellEnd"/>
      <w:r>
        <w:rPr>
          <w:rFonts w:ascii="Times New Roman" w:hAnsi="Times New Roman" w:cs="Times New Roman"/>
        </w:rPr>
        <w:t xml:space="preserve"> </w:t>
      </w:r>
      <w:proofErr w:type="spellStart"/>
      <w:r>
        <w:rPr>
          <w:rFonts w:ascii="Times New Roman" w:hAnsi="Times New Roman" w:cs="Times New Roman"/>
        </w:rPr>
        <w:t>Gaus</w:t>
      </w:r>
      <w:proofErr w:type="spellEnd"/>
      <w:r>
        <w:rPr>
          <w:rFonts w:ascii="Times New Roman" w:hAnsi="Times New Roman" w:cs="Times New Roman"/>
        </w:rPr>
        <w:t xml:space="preserve"> nel 1964, </w:t>
      </w:r>
      <w:proofErr w:type="spellStart"/>
      <w:r>
        <w:rPr>
          <w:rFonts w:ascii="Times New Roman" w:hAnsi="Times New Roman" w:cs="Times New Roman"/>
        </w:rPr>
        <w:t>Arendt</w:t>
      </w:r>
      <w:proofErr w:type="spellEnd"/>
      <w:r>
        <w:rPr>
          <w:rFonts w:ascii="Times New Roman" w:hAnsi="Times New Roman" w:cs="Times New Roman"/>
        </w:rPr>
        <w:t xml:space="preserve"> afferma: “Io non appartengo alla cerchia dei filosofi. La mia professione, se si può considerarla tale, è la teoria politica. Non mi sento affatto una filosofa, né credo di essere stata accolta nell</w:t>
      </w:r>
      <w:r>
        <w:rPr>
          <w:rFonts w:ascii="Times New Roman" w:hAnsi="Times New Roman" w:cs="Times New Roman"/>
        </w:rPr>
        <w:t xml:space="preserve">a cerchia dei filosofi, come lei gentilmente suggerisce.”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 xml:space="preserve">“Che cosa resta? Resta la lingua” Una conversazione con </w:t>
      </w:r>
      <w:bookmarkStart w:id="0" w:name="_Hlk519418031"/>
      <w:proofErr w:type="spellStart"/>
      <w:r>
        <w:rPr>
          <w:rFonts w:ascii="Times New Roman" w:hAnsi="Times New Roman" w:cs="Times New Roman"/>
          <w:i/>
        </w:rPr>
        <w:t>Günter</w:t>
      </w:r>
      <w:proofErr w:type="spellEnd"/>
      <w:r>
        <w:rPr>
          <w:rFonts w:ascii="Times New Roman" w:hAnsi="Times New Roman" w:cs="Times New Roman"/>
          <w:i/>
        </w:rPr>
        <w:t xml:space="preserve"> </w:t>
      </w:r>
      <w:proofErr w:type="spellStart"/>
      <w:r>
        <w:rPr>
          <w:rFonts w:ascii="Times New Roman" w:hAnsi="Times New Roman" w:cs="Times New Roman"/>
          <w:i/>
        </w:rPr>
        <w:t>Gaus</w:t>
      </w:r>
      <w:proofErr w:type="spellEnd"/>
      <w:r>
        <w:rPr>
          <w:rFonts w:ascii="Times New Roman" w:hAnsi="Times New Roman" w:cs="Times New Roman"/>
        </w:rPr>
        <w:t xml:space="preserve">, in Id., </w:t>
      </w:r>
      <w:r>
        <w:rPr>
          <w:rFonts w:ascii="Times New Roman" w:hAnsi="Times New Roman" w:cs="Times New Roman"/>
          <w:i/>
        </w:rPr>
        <w:t xml:space="preserve">Archivio </w:t>
      </w:r>
      <w:proofErr w:type="spellStart"/>
      <w:r>
        <w:rPr>
          <w:rFonts w:ascii="Times New Roman" w:hAnsi="Times New Roman" w:cs="Times New Roman"/>
          <w:i/>
        </w:rPr>
        <w:t>Arendt</w:t>
      </w:r>
      <w:proofErr w:type="spellEnd"/>
      <w:r>
        <w:rPr>
          <w:rFonts w:ascii="Times New Roman" w:hAnsi="Times New Roman" w:cs="Times New Roman"/>
          <w:i/>
        </w:rPr>
        <w:t xml:space="preserve"> 1 1939-1948</w:t>
      </w:r>
      <w:bookmarkEnd w:id="0"/>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w:t>
      </w:r>
      <w:proofErr w:type="gramStart"/>
      <w:r>
        <w:rPr>
          <w:rFonts w:ascii="Times New Roman" w:hAnsi="Times New Roman" w:cs="Times New Roman"/>
        </w:rPr>
        <w:t>di</w:t>
      </w:r>
      <w:proofErr w:type="gramEnd"/>
      <w:r>
        <w:rPr>
          <w:rFonts w:ascii="Times New Roman" w:hAnsi="Times New Roman" w:cs="Times New Roman"/>
        </w:rPr>
        <w:t xml:space="preserve"> Paolo Costa, Milano 2001, p. 35).</w:t>
      </w:r>
    </w:p>
  </w:footnote>
  <w:footnote w:id="2">
    <w:p w:rsidR="007D60E4" w:rsidRDefault="00B130D1">
      <w:pPr>
        <w:pStyle w:val="Testonotaapidipagina"/>
        <w:jc w:val="both"/>
      </w:pPr>
      <w:r>
        <w:rPr>
          <w:rStyle w:val="Rimandonotaapidipagina"/>
        </w:rPr>
        <w:footnoteRef/>
      </w:r>
      <w:r>
        <w:rPr>
          <w:rFonts w:ascii="Times New Roman" w:hAnsi="Times New Roman" w:cs="Times New Roman"/>
        </w:rPr>
        <w:t xml:space="preserve"> </w:t>
      </w:r>
      <w:proofErr w:type="spellStart"/>
      <w:r>
        <w:rPr>
          <w:rFonts w:ascii="Times New Roman" w:hAnsi="Times New Roman" w:cs="Times New Roman"/>
        </w:rPr>
        <w:t>Arendt</w:t>
      </w:r>
      <w:proofErr w:type="spellEnd"/>
      <w:r>
        <w:rPr>
          <w:rFonts w:ascii="Times New Roman" w:hAnsi="Times New Roman" w:cs="Times New Roman"/>
        </w:rPr>
        <w:t xml:space="preserve"> sostiene che […] “esiste una tensione vit</w:t>
      </w:r>
      <w:r>
        <w:rPr>
          <w:rFonts w:ascii="Times New Roman" w:hAnsi="Times New Roman" w:cs="Times New Roman"/>
        </w:rPr>
        <w:t xml:space="preserve">ale tra filosofia e politica. Vi è cioè una tensione tra l’uomo come essere che pensa e l’uomo come essere che agisce […] Vi è una sorta di ostilità verso la politica nel suo complesso in gran parte dei filosofi, con ben poche eccezioni”.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“Che</w:t>
      </w:r>
      <w:r>
        <w:rPr>
          <w:rFonts w:ascii="Times New Roman" w:hAnsi="Times New Roman" w:cs="Times New Roman"/>
          <w:i/>
        </w:rPr>
        <w:t xml:space="preserve"> cosa resta? Resta la lingua” Una conversazione con </w:t>
      </w:r>
      <w:proofErr w:type="spellStart"/>
      <w:r>
        <w:rPr>
          <w:rFonts w:ascii="Times New Roman" w:hAnsi="Times New Roman" w:cs="Times New Roman"/>
          <w:i/>
        </w:rPr>
        <w:t>Günter</w:t>
      </w:r>
      <w:proofErr w:type="spellEnd"/>
      <w:r>
        <w:rPr>
          <w:rFonts w:ascii="Times New Roman" w:hAnsi="Times New Roman" w:cs="Times New Roman"/>
          <w:i/>
        </w:rPr>
        <w:t xml:space="preserve"> </w:t>
      </w:r>
      <w:proofErr w:type="spellStart"/>
      <w:r>
        <w:rPr>
          <w:rFonts w:ascii="Times New Roman" w:hAnsi="Times New Roman" w:cs="Times New Roman"/>
          <w:i/>
        </w:rPr>
        <w:t>Gaus</w:t>
      </w:r>
      <w:proofErr w:type="spellEnd"/>
      <w:r>
        <w:rPr>
          <w:rFonts w:ascii="Times New Roman" w:hAnsi="Times New Roman" w:cs="Times New Roman"/>
        </w:rPr>
        <w:t xml:space="preserve">, in Id., </w:t>
      </w:r>
      <w:r>
        <w:rPr>
          <w:rFonts w:ascii="Times New Roman" w:hAnsi="Times New Roman" w:cs="Times New Roman"/>
          <w:i/>
        </w:rPr>
        <w:t xml:space="preserve">Archivio </w:t>
      </w:r>
      <w:proofErr w:type="spellStart"/>
      <w:r>
        <w:rPr>
          <w:rFonts w:ascii="Times New Roman" w:hAnsi="Times New Roman" w:cs="Times New Roman"/>
          <w:i/>
        </w:rPr>
        <w:t>Arendt</w:t>
      </w:r>
      <w:proofErr w:type="spellEnd"/>
      <w:r>
        <w:rPr>
          <w:rFonts w:ascii="Times New Roman" w:hAnsi="Times New Roman" w:cs="Times New Roman"/>
          <w:i/>
        </w:rPr>
        <w:t xml:space="preserve"> 1 1939-1948</w:t>
      </w:r>
      <w:r>
        <w:rPr>
          <w:rFonts w:ascii="Times New Roman" w:hAnsi="Times New Roman" w:cs="Times New Roman"/>
        </w:rPr>
        <w:t>, cit., p. 36)</w:t>
      </w:r>
    </w:p>
  </w:footnote>
  <w:footnote w:id="3">
    <w:p w:rsidR="007D60E4" w:rsidRDefault="00B130D1">
      <w:pPr>
        <w:pStyle w:val="Testonotaapidipagina"/>
        <w:jc w:val="both"/>
      </w:pPr>
      <w:r>
        <w:rPr>
          <w:rStyle w:val="Rimandonotaapidipagina"/>
        </w:rPr>
        <w:footnoteRef/>
      </w:r>
      <w:r>
        <w:rPr>
          <w:rFonts w:ascii="Times New Roman" w:hAnsi="Times New Roman" w:cs="Times New Roman"/>
        </w:rPr>
        <w:t xml:space="preserve"> Al rigu</w:t>
      </w:r>
      <w:r>
        <w:rPr>
          <w:rFonts w:ascii="Times New Roman" w:hAnsi="Times New Roman" w:cs="Times New Roman"/>
        </w:rPr>
        <w:t xml:space="preserve">ardo, nel saggio </w:t>
      </w:r>
      <w:r>
        <w:rPr>
          <w:rFonts w:ascii="Times New Roman" w:hAnsi="Times New Roman" w:cs="Times New Roman"/>
          <w:i/>
        </w:rPr>
        <w:t>Comprensione e politica (le difficoltà del comprendere)</w:t>
      </w:r>
      <w:r>
        <w:rPr>
          <w:rFonts w:ascii="Times New Roman" w:hAnsi="Times New Roman" w:cs="Times New Roman"/>
        </w:rPr>
        <w:t xml:space="preserve"> si legge: “Ma, allora, se è vero che siamo posti di fronte a qualcosa che ha distrutto le nostre categorie di pensiero e i nostri criteri di giudizio, il compito della comprensione no</w:t>
      </w:r>
      <w:r>
        <w:rPr>
          <w:rFonts w:ascii="Times New Roman" w:hAnsi="Times New Roman" w:cs="Times New Roman"/>
        </w:rPr>
        <w:t xml:space="preserve">n è forse diventato disperato? Come possiamo misurare la distanza se non abbiamo più un’unità di misura, come potremo contare se non conoscessimo i numeri? Forse è assurdo anche solo pensare che possa mai accadere qualcosa che le nostre categorie non sono </w:t>
      </w:r>
      <w:r>
        <w:rPr>
          <w:rFonts w:ascii="Times New Roman" w:hAnsi="Times New Roman" w:cs="Times New Roman"/>
        </w:rPr>
        <w:t xml:space="preserve">attrezzate a capire”.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Comprensione e politica. (Le difficoltà del comprendere)</w:t>
      </w:r>
      <w:r>
        <w:rPr>
          <w:rFonts w:ascii="Times New Roman" w:hAnsi="Times New Roman" w:cs="Times New Roman"/>
        </w:rPr>
        <w:t xml:space="preserve">, in Id., </w:t>
      </w:r>
      <w:r>
        <w:rPr>
          <w:rFonts w:ascii="Times New Roman" w:hAnsi="Times New Roman" w:cs="Times New Roman"/>
          <w:i/>
        </w:rPr>
        <w:t xml:space="preserve">Archivio </w:t>
      </w:r>
      <w:proofErr w:type="spellStart"/>
      <w:r>
        <w:rPr>
          <w:rFonts w:ascii="Times New Roman" w:hAnsi="Times New Roman" w:cs="Times New Roman"/>
          <w:i/>
        </w:rPr>
        <w:t>Arendt</w:t>
      </w:r>
      <w:proofErr w:type="spellEnd"/>
      <w:r>
        <w:rPr>
          <w:rFonts w:ascii="Times New Roman" w:hAnsi="Times New Roman" w:cs="Times New Roman"/>
          <w:i/>
        </w:rPr>
        <w:t xml:space="preserve"> 2 1950-1954</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w:t>
      </w:r>
      <w:proofErr w:type="gramStart"/>
      <w:r>
        <w:rPr>
          <w:rFonts w:ascii="Times New Roman" w:hAnsi="Times New Roman" w:cs="Times New Roman"/>
        </w:rPr>
        <w:t>di</w:t>
      </w:r>
      <w:proofErr w:type="gramEnd"/>
      <w:r>
        <w:rPr>
          <w:rFonts w:ascii="Times New Roman" w:hAnsi="Times New Roman" w:cs="Times New Roman"/>
        </w:rPr>
        <w:t xml:space="preserve"> Paolo Costa, Milano 2003, p. 86)</w:t>
      </w:r>
    </w:p>
  </w:footnote>
  <w:footnote w:id="4">
    <w:p w:rsidR="007D60E4" w:rsidRDefault="00B130D1">
      <w:pPr>
        <w:jc w:val="both"/>
      </w:pPr>
      <w:r>
        <w:rPr>
          <w:rStyle w:val="Rimandonotaapidipagina"/>
        </w:rPr>
        <w:footnoteRef/>
      </w:r>
      <w:r>
        <w:rPr>
          <w:rFonts w:ascii="Times New Roman" w:hAnsi="Times New Roman" w:cs="Times New Roman"/>
          <w:sz w:val="20"/>
          <w:szCs w:val="20"/>
        </w:rPr>
        <w:t xml:space="preserve"> In </w:t>
      </w:r>
      <w:r>
        <w:rPr>
          <w:rFonts w:ascii="Times New Roman" w:hAnsi="Times New Roman" w:cs="Times New Roman"/>
          <w:i/>
          <w:sz w:val="20"/>
          <w:szCs w:val="20"/>
        </w:rPr>
        <w:t xml:space="preserve">Una replica a Eric </w:t>
      </w:r>
      <w:proofErr w:type="spellStart"/>
      <w:r>
        <w:rPr>
          <w:rFonts w:ascii="Times New Roman" w:hAnsi="Times New Roman" w:cs="Times New Roman"/>
          <w:i/>
          <w:sz w:val="20"/>
          <w:szCs w:val="20"/>
        </w:rPr>
        <w:t>Voegelin</w:t>
      </w:r>
      <w:proofErr w:type="spellEnd"/>
      <w:r>
        <w:rPr>
          <w:rFonts w:ascii="Times New Roman" w:hAnsi="Times New Roman" w:cs="Times New Roman"/>
          <w:i/>
          <w:sz w:val="20"/>
          <w:szCs w:val="20"/>
        </w:rPr>
        <w:t xml:space="preserve"> </w:t>
      </w:r>
      <w:proofErr w:type="spellStart"/>
      <w:r>
        <w:rPr>
          <w:rFonts w:ascii="Times New Roman" w:hAnsi="Times New Roman" w:cs="Times New Roman"/>
          <w:sz w:val="20"/>
          <w:szCs w:val="20"/>
        </w:rPr>
        <w:t>Arendt</w:t>
      </w:r>
      <w:proofErr w:type="spellEnd"/>
      <w:r>
        <w:rPr>
          <w:rFonts w:ascii="Times New Roman" w:hAnsi="Times New Roman" w:cs="Times New Roman"/>
          <w:sz w:val="20"/>
          <w:szCs w:val="20"/>
        </w:rPr>
        <w:t xml:space="preserve"> afferma chiaramente: “In questi anni sono state portate alla luce molte affinità tra il totalitarismo e alcune altre tendenze della storia politica o intellettuale occidentale. A mio avviso con q</w:t>
      </w:r>
      <w:r>
        <w:rPr>
          <w:rFonts w:ascii="Times New Roman" w:hAnsi="Times New Roman" w:cs="Times New Roman"/>
          <w:sz w:val="20"/>
          <w:szCs w:val="20"/>
        </w:rPr>
        <w:t xml:space="preserve">uesto risultato: nessuna è riuscita a cogliere la qualità specifica di ciò che sta veramente accadendo” (H., </w:t>
      </w:r>
      <w:proofErr w:type="spellStart"/>
      <w:r>
        <w:rPr>
          <w:rFonts w:ascii="Times New Roman" w:hAnsi="Times New Roman" w:cs="Times New Roman"/>
          <w:sz w:val="20"/>
          <w:szCs w:val="20"/>
        </w:rPr>
        <w:t>Arendt</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Una replica a Eric </w:t>
      </w:r>
      <w:proofErr w:type="spellStart"/>
      <w:r>
        <w:rPr>
          <w:rFonts w:ascii="Times New Roman" w:hAnsi="Times New Roman" w:cs="Times New Roman"/>
          <w:i/>
          <w:sz w:val="20"/>
          <w:szCs w:val="20"/>
        </w:rPr>
        <w:t>Voegelin</w:t>
      </w:r>
      <w:proofErr w:type="spellEnd"/>
      <w:r>
        <w:rPr>
          <w:rFonts w:ascii="Times New Roman" w:hAnsi="Times New Roman" w:cs="Times New Roman"/>
          <w:i/>
          <w:sz w:val="20"/>
          <w:szCs w:val="20"/>
        </w:rPr>
        <w:t>,</w:t>
      </w:r>
      <w:r>
        <w:rPr>
          <w:rFonts w:ascii="Times New Roman" w:hAnsi="Times New Roman" w:cs="Times New Roman"/>
          <w:sz w:val="20"/>
          <w:szCs w:val="20"/>
        </w:rPr>
        <w:t xml:space="preserve"> in Id., </w:t>
      </w:r>
      <w:r>
        <w:rPr>
          <w:rFonts w:ascii="Times New Roman" w:hAnsi="Times New Roman" w:cs="Times New Roman"/>
          <w:i/>
          <w:iCs/>
          <w:sz w:val="20"/>
          <w:szCs w:val="20"/>
        </w:rPr>
        <w:t xml:space="preserve">Archivio </w:t>
      </w:r>
      <w:proofErr w:type="spellStart"/>
      <w:r>
        <w:rPr>
          <w:rFonts w:ascii="Times New Roman" w:hAnsi="Times New Roman" w:cs="Times New Roman"/>
          <w:i/>
          <w:iCs/>
          <w:sz w:val="20"/>
          <w:szCs w:val="20"/>
        </w:rPr>
        <w:t>Arendt</w:t>
      </w:r>
      <w:proofErr w:type="spellEnd"/>
      <w:r>
        <w:rPr>
          <w:rFonts w:ascii="Times New Roman" w:hAnsi="Times New Roman" w:cs="Times New Roman"/>
          <w:i/>
          <w:iCs/>
          <w:sz w:val="20"/>
          <w:szCs w:val="20"/>
        </w:rPr>
        <w:t xml:space="preserve"> 2 1950-1954</w:t>
      </w:r>
      <w:r>
        <w:rPr>
          <w:rFonts w:ascii="Times New Roman" w:hAnsi="Times New Roman" w:cs="Times New Roman"/>
          <w:sz w:val="20"/>
          <w:szCs w:val="20"/>
        </w:rPr>
        <w:t xml:space="preserve">, cit., p. 176). E ancora, nello stesso luogo: [...] “ciò che più mi </w:t>
      </w:r>
      <w:r>
        <w:rPr>
          <w:rFonts w:ascii="Times New Roman" w:hAnsi="Times New Roman" w:cs="Times New Roman"/>
          <w:sz w:val="20"/>
          <w:szCs w:val="20"/>
        </w:rPr>
        <w:t>indispone nello stato attuale delle scienze storiche e politiche è la loro crescente incapacità di operare delle distinzioni. [...] Questo genere di confusione – in cui non rimane più nulla di distinto e tutto ciò che è nuovo e sorprendente non viene spieg</w:t>
      </w:r>
      <w:r>
        <w:rPr>
          <w:rFonts w:ascii="Times New Roman" w:hAnsi="Times New Roman" w:cs="Times New Roman"/>
          <w:sz w:val="20"/>
          <w:szCs w:val="20"/>
        </w:rPr>
        <w:t>ato ma deformato ricorrendo ad analogie o riconducendolo a una catena di cause e influenze già note – mi pare il marchio distintivo delle scienze storiche e politiche moderne” (Ivi, p. 179).</w:t>
      </w:r>
    </w:p>
    <w:p w:rsidR="007D60E4" w:rsidRDefault="007D60E4">
      <w:pPr>
        <w:pStyle w:val="Testonotaapidipagina"/>
        <w:rPr>
          <w:rFonts w:ascii="Times New Roman" w:hAnsi="Times New Roman" w:cs="Times New Roman"/>
        </w:rPr>
      </w:pPr>
    </w:p>
  </w:footnote>
  <w:footnote w:id="5">
    <w:p w:rsidR="007D60E4" w:rsidRDefault="00B130D1">
      <w:pPr>
        <w:pStyle w:val="Footnote"/>
        <w:ind w:left="0" w:firstLine="0"/>
        <w:jc w:val="both"/>
        <w:rPr>
          <w:rFonts w:ascii="Times New Roman" w:hAnsi="Times New Roman"/>
        </w:rPr>
      </w:pPr>
      <w:r>
        <w:rPr>
          <w:rStyle w:val="Rimandonotaapidipagina"/>
        </w:rPr>
        <w:footnoteRef/>
      </w:r>
      <w:r>
        <w:rPr>
          <w:rFonts w:ascii="Times New Roman" w:hAnsi="Times New Roman"/>
        </w:rPr>
        <w:t xml:space="preserve"> A proposito della formula “banalità del male” Ernst </w:t>
      </w:r>
      <w:proofErr w:type="spellStart"/>
      <w:r>
        <w:rPr>
          <w:rFonts w:ascii="Times New Roman" w:hAnsi="Times New Roman"/>
        </w:rPr>
        <w:t>Vollrath</w:t>
      </w:r>
      <w:proofErr w:type="spellEnd"/>
      <w:r>
        <w:rPr>
          <w:rFonts w:ascii="Times New Roman" w:hAnsi="Times New Roman"/>
        </w:rPr>
        <w:t xml:space="preserve"> aff</w:t>
      </w:r>
      <w:r>
        <w:rPr>
          <w:rFonts w:ascii="Times New Roman" w:hAnsi="Times New Roman"/>
        </w:rPr>
        <w:t>erma: “Fu proprio questa categoria, infatti, a diventare il bersaglio di aspre critiche, dal momento che si riteneva, erroneamente, che per il suo tramite l'autrice volesse mitigare la mostruosità dei misfatti compiuti da quest'uomo. Era vero invece il con</w:t>
      </w:r>
      <w:r>
        <w:rPr>
          <w:rFonts w:ascii="Times New Roman" w:hAnsi="Times New Roman"/>
        </w:rPr>
        <w:t xml:space="preserve">trario. L'espressione ricorreva nella formula: “la spaventosa banalità del male”. E serviva a sottolineare in modo assai chiaro l'abiezione di Eichmann e delle sue azioni.” (E., </w:t>
      </w:r>
      <w:proofErr w:type="spellStart"/>
      <w:r>
        <w:rPr>
          <w:rFonts w:ascii="Times New Roman" w:hAnsi="Times New Roman"/>
        </w:rPr>
        <w:t>Vollrarth</w:t>
      </w:r>
      <w:proofErr w:type="spellEnd"/>
      <w:r>
        <w:rPr>
          <w:rFonts w:ascii="Times New Roman" w:hAnsi="Times New Roman"/>
        </w:rPr>
        <w:t xml:space="preserve">, </w:t>
      </w:r>
      <w:r>
        <w:rPr>
          <w:rFonts w:ascii="Times New Roman" w:hAnsi="Times New Roman"/>
          <w:i/>
          <w:iCs/>
        </w:rPr>
        <w:t>Dal male radicale alla banalità del male. Riflessioni su un'idea di</w:t>
      </w:r>
      <w:r>
        <w:rPr>
          <w:rFonts w:ascii="Times New Roman" w:hAnsi="Times New Roman"/>
          <w:i/>
          <w:iCs/>
        </w:rPr>
        <w:t xml:space="preserve"> </w:t>
      </w:r>
      <w:proofErr w:type="spellStart"/>
      <w:r>
        <w:rPr>
          <w:rFonts w:ascii="Times New Roman" w:hAnsi="Times New Roman"/>
          <w:i/>
          <w:iCs/>
        </w:rPr>
        <w:t>Hannah</w:t>
      </w:r>
      <w:proofErr w:type="spellEnd"/>
      <w:r>
        <w:rPr>
          <w:rFonts w:ascii="Times New Roman" w:hAnsi="Times New Roman"/>
          <w:i/>
          <w:iCs/>
        </w:rPr>
        <w:t xml:space="preserve"> </w:t>
      </w:r>
      <w:proofErr w:type="spellStart"/>
      <w:r>
        <w:rPr>
          <w:rFonts w:ascii="Times New Roman" w:hAnsi="Times New Roman"/>
          <w:i/>
          <w:iCs/>
        </w:rPr>
        <w:t>Arendt</w:t>
      </w:r>
      <w:proofErr w:type="spellEnd"/>
      <w:r>
        <w:rPr>
          <w:rFonts w:ascii="Times New Roman" w:hAnsi="Times New Roman"/>
        </w:rPr>
        <w:t xml:space="preserve">, in Id. </w:t>
      </w:r>
      <w:r>
        <w:rPr>
          <w:rFonts w:ascii="Times New Roman" w:hAnsi="Times New Roman"/>
          <w:i/>
          <w:iCs/>
        </w:rPr>
        <w:t xml:space="preserve">Sul male a partire da </w:t>
      </w:r>
      <w:proofErr w:type="spellStart"/>
      <w:r>
        <w:rPr>
          <w:rFonts w:ascii="Times New Roman" w:hAnsi="Times New Roman"/>
          <w:i/>
          <w:iCs/>
        </w:rPr>
        <w:t>Hannah</w:t>
      </w:r>
      <w:proofErr w:type="spellEnd"/>
      <w:r>
        <w:rPr>
          <w:rFonts w:ascii="Times New Roman" w:hAnsi="Times New Roman"/>
          <w:i/>
          <w:iCs/>
        </w:rPr>
        <w:t xml:space="preserve"> </w:t>
      </w:r>
      <w:proofErr w:type="spellStart"/>
      <w:r>
        <w:rPr>
          <w:rFonts w:ascii="Times New Roman" w:hAnsi="Times New Roman"/>
          <w:i/>
          <w:iCs/>
        </w:rPr>
        <w:t>Arendt</w:t>
      </w:r>
      <w:proofErr w:type="spellEnd"/>
      <w:r>
        <w:rPr>
          <w:rFonts w:ascii="Times New Roman" w:hAnsi="Times New Roman"/>
        </w:rPr>
        <w:t>, a cura di Enrico Donaggio e Domenico Scalzo, Roma 2003, p. 123).</w:t>
      </w:r>
    </w:p>
  </w:footnote>
  <w:footnote w:id="6">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La banalità del male. Eichmann a Gerusalemme</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di Piero Bernardini, Milano 1964, p. 57.</w:t>
      </w:r>
    </w:p>
  </w:footnote>
  <w:footnote w:id="7">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Il pensiero e le considerazioni morali</w:t>
      </w:r>
      <w:r>
        <w:rPr>
          <w:rFonts w:ascii="Times New Roman" w:hAnsi="Times New Roman" w:cs="Times New Roman"/>
        </w:rPr>
        <w:t xml:space="preserve">, in Id., </w:t>
      </w:r>
      <w:r>
        <w:rPr>
          <w:rFonts w:ascii="Times New Roman" w:hAnsi="Times New Roman" w:cs="Times New Roman"/>
          <w:i/>
        </w:rPr>
        <w:t>Responsabilità e giudizio</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di Davide </w:t>
      </w:r>
      <w:proofErr w:type="spellStart"/>
      <w:r>
        <w:rPr>
          <w:rFonts w:ascii="Times New Roman" w:hAnsi="Times New Roman" w:cs="Times New Roman"/>
        </w:rPr>
        <w:t>Tarizzo</w:t>
      </w:r>
      <w:proofErr w:type="spellEnd"/>
      <w:r>
        <w:rPr>
          <w:rFonts w:ascii="Times New Roman" w:hAnsi="Times New Roman" w:cs="Times New Roman"/>
        </w:rPr>
        <w:t xml:space="preserve">, Torino </w:t>
      </w:r>
      <w:r>
        <w:rPr>
          <w:rFonts w:ascii="Times New Roman" w:hAnsi="Times New Roman" w:cs="Times New Roman"/>
        </w:rPr>
        <w:t>2004, p. 146.</w:t>
      </w:r>
    </w:p>
  </w:footnote>
  <w:footnote w:id="8">
    <w:p w:rsidR="007D60E4" w:rsidRDefault="00B130D1">
      <w:pPr>
        <w:pStyle w:val="Footnote"/>
        <w:ind w:left="0" w:firstLine="0"/>
        <w:jc w:val="both"/>
        <w:rPr>
          <w:rFonts w:ascii="Times New Roman" w:hAnsi="Times New Roman"/>
        </w:rPr>
      </w:pPr>
      <w:r>
        <w:rPr>
          <w:rStyle w:val="Rimandonotaapidipagina"/>
        </w:rPr>
        <w:footnoteRef/>
      </w:r>
      <w:r>
        <w:rPr>
          <w:rFonts w:ascii="Times New Roman" w:hAnsi="Times New Roman"/>
        </w:rPr>
        <w:t xml:space="preserve"> Sul tema si veda: C., </w:t>
      </w:r>
      <w:proofErr w:type="spellStart"/>
      <w:r>
        <w:rPr>
          <w:rFonts w:ascii="Times New Roman" w:hAnsi="Times New Roman"/>
        </w:rPr>
        <w:t>Vallée</w:t>
      </w:r>
      <w:proofErr w:type="spellEnd"/>
      <w:r>
        <w:rPr>
          <w:rFonts w:ascii="Times New Roman" w:hAnsi="Times New Roman"/>
        </w:rPr>
        <w:t xml:space="preserve">, </w:t>
      </w:r>
      <w:proofErr w:type="spellStart"/>
      <w:r>
        <w:rPr>
          <w:rFonts w:ascii="Times New Roman" w:hAnsi="Times New Roman"/>
          <w:i/>
          <w:iCs/>
        </w:rPr>
        <w:t>Hannah</w:t>
      </w:r>
      <w:proofErr w:type="spellEnd"/>
      <w:r>
        <w:rPr>
          <w:rFonts w:ascii="Times New Roman" w:hAnsi="Times New Roman"/>
          <w:i/>
          <w:iCs/>
        </w:rPr>
        <w:t xml:space="preserve"> </w:t>
      </w:r>
      <w:proofErr w:type="spellStart"/>
      <w:r>
        <w:rPr>
          <w:rFonts w:ascii="Times New Roman" w:hAnsi="Times New Roman"/>
          <w:i/>
          <w:iCs/>
        </w:rPr>
        <w:t>Arendt</w:t>
      </w:r>
      <w:proofErr w:type="spellEnd"/>
      <w:r>
        <w:rPr>
          <w:rFonts w:ascii="Times New Roman" w:hAnsi="Times New Roman"/>
          <w:i/>
          <w:iCs/>
        </w:rPr>
        <w:t>. Socrate e la questione del totalitarismo</w:t>
      </w:r>
      <w:r>
        <w:rPr>
          <w:rFonts w:ascii="Times New Roman" w:hAnsi="Times New Roman"/>
        </w:rPr>
        <w:t xml:space="preserve">, </w:t>
      </w:r>
      <w:proofErr w:type="spellStart"/>
      <w:r>
        <w:rPr>
          <w:rFonts w:ascii="Times New Roman" w:hAnsi="Times New Roman"/>
        </w:rPr>
        <w:t>tr</w:t>
      </w:r>
      <w:proofErr w:type="spellEnd"/>
      <w:r>
        <w:rPr>
          <w:rFonts w:ascii="Times New Roman" w:hAnsi="Times New Roman"/>
        </w:rPr>
        <w:t xml:space="preserve">. </w:t>
      </w:r>
      <w:proofErr w:type="spellStart"/>
      <w:proofErr w:type="gramStart"/>
      <w:r>
        <w:rPr>
          <w:rFonts w:ascii="Times New Roman" w:hAnsi="Times New Roman"/>
        </w:rPr>
        <w:t>it</w:t>
      </w:r>
      <w:proofErr w:type="spellEnd"/>
      <w:proofErr w:type="gramEnd"/>
      <w:r>
        <w:rPr>
          <w:rFonts w:ascii="Times New Roman" w:hAnsi="Times New Roman"/>
        </w:rPr>
        <w:t xml:space="preserve">. </w:t>
      </w:r>
      <w:proofErr w:type="gramStart"/>
      <w:r>
        <w:rPr>
          <w:rFonts w:ascii="Times New Roman" w:hAnsi="Times New Roman"/>
        </w:rPr>
        <w:t>di</w:t>
      </w:r>
      <w:proofErr w:type="gramEnd"/>
      <w:r>
        <w:rPr>
          <w:rFonts w:ascii="Times New Roman" w:hAnsi="Times New Roman"/>
        </w:rPr>
        <w:t xml:space="preserve"> Francesca </w:t>
      </w:r>
      <w:proofErr w:type="spellStart"/>
      <w:r>
        <w:rPr>
          <w:rFonts w:ascii="Times New Roman" w:hAnsi="Times New Roman"/>
        </w:rPr>
        <w:t>Fistetti</w:t>
      </w:r>
      <w:proofErr w:type="spellEnd"/>
      <w:r>
        <w:rPr>
          <w:rFonts w:ascii="Times New Roman" w:hAnsi="Times New Roman"/>
        </w:rPr>
        <w:t>, Bari 2006.</w:t>
      </w:r>
    </w:p>
  </w:footnote>
  <w:footnote w:id="9">
    <w:p w:rsidR="007D60E4" w:rsidRDefault="00B130D1">
      <w:pPr>
        <w:pStyle w:val="Footnote"/>
        <w:ind w:left="0" w:firstLine="0"/>
        <w:jc w:val="both"/>
        <w:rPr>
          <w:rFonts w:ascii="Times New Roman" w:hAnsi="Times New Roman"/>
        </w:rPr>
      </w:pPr>
      <w:r>
        <w:rPr>
          <w:rStyle w:val="Rimandonotaapidipagina"/>
        </w:rPr>
        <w:footnoteRef/>
      </w:r>
      <w:r>
        <w:rPr>
          <w:rFonts w:ascii="Times New Roman" w:hAnsi="Times New Roman"/>
        </w:rPr>
        <w:t xml:space="preserve"> Tale questione viene chiarita ricorrendo, ancora una volta, alla figura di Socrate. Con le parole di </w:t>
      </w:r>
      <w:proofErr w:type="spellStart"/>
      <w:r>
        <w:rPr>
          <w:rFonts w:ascii="Times New Roman" w:hAnsi="Times New Roman"/>
        </w:rPr>
        <w:t>Bethania</w:t>
      </w:r>
      <w:proofErr w:type="spellEnd"/>
      <w:r>
        <w:rPr>
          <w:rFonts w:ascii="Times New Roman" w:hAnsi="Times New Roman"/>
        </w:rPr>
        <w:t xml:space="preserve"> </w:t>
      </w:r>
      <w:proofErr w:type="spellStart"/>
      <w:r>
        <w:rPr>
          <w:rFonts w:ascii="Times New Roman" w:hAnsi="Times New Roman"/>
        </w:rPr>
        <w:t>Assy</w:t>
      </w:r>
      <w:proofErr w:type="spellEnd"/>
      <w:r>
        <w:rPr>
          <w:rFonts w:ascii="Times New Roman" w:hAnsi="Times New Roman"/>
        </w:rPr>
        <w:t xml:space="preserve">: “Possiamo dunque affermare che in solitudine, potendo tenerci compagnia, siamo </w:t>
      </w:r>
      <w:r>
        <w:rPr>
          <w:rFonts w:ascii="Times New Roman" w:hAnsi="Times New Roman"/>
        </w:rPr>
        <w:t xml:space="preserve">capaci di </w:t>
      </w:r>
      <w:r>
        <w:rPr>
          <w:rFonts w:ascii="Times New Roman" w:hAnsi="Times New Roman"/>
          <w:i/>
          <w:iCs/>
        </w:rPr>
        <w:t>esperienze</w:t>
      </w:r>
      <w:r>
        <w:rPr>
          <w:rFonts w:ascii="Times New Roman" w:hAnsi="Times New Roman"/>
        </w:rPr>
        <w:t xml:space="preserve"> di pensiero. Il materiale che viene modellato dal pensiero è l'esperienza. Scrivendo che Socrate era a proprio agio in entrambe le sfere, nel pensare come nell'agire, </w:t>
      </w:r>
      <w:proofErr w:type="spellStart"/>
      <w:r>
        <w:rPr>
          <w:rFonts w:ascii="Times New Roman" w:hAnsi="Times New Roman"/>
        </w:rPr>
        <w:t>Hannah</w:t>
      </w:r>
      <w:proofErr w:type="spellEnd"/>
      <w:r>
        <w:rPr>
          <w:rFonts w:ascii="Times New Roman" w:hAnsi="Times New Roman"/>
        </w:rPr>
        <w:t xml:space="preserve"> </w:t>
      </w:r>
      <w:proofErr w:type="spellStart"/>
      <w:r>
        <w:rPr>
          <w:rFonts w:ascii="Times New Roman" w:hAnsi="Times New Roman"/>
        </w:rPr>
        <w:t>Arendt</w:t>
      </w:r>
      <w:proofErr w:type="spellEnd"/>
      <w:r>
        <w:rPr>
          <w:rFonts w:ascii="Times New Roman" w:hAnsi="Times New Roman"/>
        </w:rPr>
        <w:t xml:space="preserve"> sostiene che l'esercizio del pensiero richiede una plu</w:t>
      </w:r>
      <w:r>
        <w:rPr>
          <w:rFonts w:ascii="Times New Roman" w:hAnsi="Times New Roman"/>
        </w:rPr>
        <w:t>ralità: in questo caso la pluralità dell'intimo dialogo proprio dell'essere due-in-uno. Socrate può, in altri termini, muoversi continuamente dall'azione al pensiero, poiché il mondo stesso dell'apparenza è rappresentato attraverso “l'altro” che è presente</w:t>
      </w:r>
      <w:r>
        <w:rPr>
          <w:rFonts w:ascii="Times New Roman" w:hAnsi="Times New Roman"/>
        </w:rPr>
        <w:t xml:space="preserve"> nel sé con cui è in dialogo. La solitudine del pensatore non è separatezza dal mondo”. (B., </w:t>
      </w:r>
      <w:proofErr w:type="spellStart"/>
      <w:r>
        <w:rPr>
          <w:rFonts w:ascii="Times New Roman" w:hAnsi="Times New Roman"/>
        </w:rPr>
        <w:t>Assy</w:t>
      </w:r>
      <w:proofErr w:type="spellEnd"/>
      <w:r>
        <w:rPr>
          <w:rFonts w:ascii="Times New Roman" w:hAnsi="Times New Roman"/>
        </w:rPr>
        <w:t xml:space="preserve">, </w:t>
      </w:r>
      <w:r>
        <w:rPr>
          <w:rFonts w:ascii="Times New Roman" w:hAnsi="Times New Roman"/>
          <w:i/>
          <w:iCs/>
        </w:rPr>
        <w:t>Eichmann, Riccardo III e Socrate</w:t>
      </w:r>
      <w:r>
        <w:rPr>
          <w:rFonts w:ascii="Times New Roman" w:hAnsi="Times New Roman"/>
        </w:rPr>
        <w:t xml:space="preserve">, in Id., </w:t>
      </w:r>
      <w:r>
        <w:rPr>
          <w:rFonts w:ascii="Times New Roman" w:hAnsi="Times New Roman"/>
          <w:i/>
          <w:iCs/>
        </w:rPr>
        <w:t xml:space="preserve">Sul male a partire da </w:t>
      </w:r>
      <w:proofErr w:type="spellStart"/>
      <w:r>
        <w:rPr>
          <w:rFonts w:ascii="Times New Roman" w:hAnsi="Times New Roman"/>
          <w:i/>
          <w:iCs/>
        </w:rPr>
        <w:t>Hannah</w:t>
      </w:r>
      <w:proofErr w:type="spellEnd"/>
      <w:r>
        <w:rPr>
          <w:rFonts w:ascii="Times New Roman" w:hAnsi="Times New Roman"/>
          <w:i/>
          <w:iCs/>
        </w:rPr>
        <w:t xml:space="preserve"> </w:t>
      </w:r>
      <w:proofErr w:type="spellStart"/>
      <w:r>
        <w:rPr>
          <w:rFonts w:ascii="Times New Roman" w:hAnsi="Times New Roman"/>
          <w:i/>
          <w:iCs/>
        </w:rPr>
        <w:t>Arendt</w:t>
      </w:r>
      <w:proofErr w:type="spellEnd"/>
      <w:r>
        <w:rPr>
          <w:rFonts w:ascii="Times New Roman" w:hAnsi="Times New Roman"/>
        </w:rPr>
        <w:t>, a cura di Enrico Donaggio e Domenico Scalzo, Roma 2003, cit., p. 176.</w:t>
      </w:r>
    </w:p>
  </w:footnote>
  <w:footnote w:id="10">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La vita della mente</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w:t>
      </w:r>
      <w:proofErr w:type="gramStart"/>
      <w:r>
        <w:rPr>
          <w:rFonts w:ascii="Times New Roman" w:hAnsi="Times New Roman" w:cs="Times New Roman"/>
        </w:rPr>
        <w:t>di</w:t>
      </w:r>
      <w:proofErr w:type="gramEnd"/>
      <w:r>
        <w:rPr>
          <w:rFonts w:ascii="Times New Roman" w:hAnsi="Times New Roman" w:cs="Times New Roman"/>
        </w:rPr>
        <w:t xml:space="preserve"> Giorgio Zanetti, Bologna 2009, p. 172.</w:t>
      </w:r>
    </w:p>
  </w:footnote>
  <w:footnote w:id="11">
    <w:p w:rsidR="007D60E4" w:rsidRDefault="00B130D1">
      <w:pPr>
        <w:pStyle w:val="Testonotaapidipagina"/>
        <w:jc w:val="both"/>
      </w:pPr>
      <w:r>
        <w:rPr>
          <w:rStyle w:val="Rimandonotaapidipagina"/>
        </w:rPr>
        <w:footnoteRef/>
      </w:r>
      <w:r>
        <w:rPr>
          <w:rFonts w:ascii="Times New Roman" w:hAnsi="Times New Roman" w:cs="Times New Roman"/>
          <w:lang w:val="en-US"/>
        </w:rPr>
        <w:t xml:space="preserve"> </w:t>
      </w:r>
      <w:proofErr w:type="spellStart"/>
      <w:r>
        <w:rPr>
          <w:rFonts w:ascii="Times New Roman" w:hAnsi="Times New Roman" w:cs="Times New Roman"/>
          <w:lang w:val="en-US"/>
        </w:rPr>
        <w:t>Platone</w:t>
      </w:r>
      <w:proofErr w:type="spellEnd"/>
      <w:r>
        <w:rPr>
          <w:rFonts w:ascii="Times New Roman" w:hAnsi="Times New Roman" w:cs="Times New Roman"/>
          <w:lang w:val="en-US"/>
        </w:rPr>
        <w:t xml:space="preserve">, </w:t>
      </w:r>
      <w:proofErr w:type="spellStart"/>
      <w:r>
        <w:rPr>
          <w:rFonts w:ascii="Times New Roman" w:hAnsi="Times New Roman" w:cs="Times New Roman"/>
          <w:i/>
          <w:lang w:val="en-US"/>
        </w:rPr>
        <w:t>Gorgia</w:t>
      </w:r>
      <w:proofErr w:type="spellEnd"/>
      <w:r>
        <w:rPr>
          <w:rFonts w:ascii="Times New Roman" w:hAnsi="Times New Roman" w:cs="Times New Roman"/>
          <w:lang w:val="en-US"/>
        </w:rPr>
        <w:t xml:space="preserve">, 474b (tr. it. </w:t>
      </w:r>
      <w:r>
        <w:rPr>
          <w:rFonts w:ascii="Times New Roman" w:hAnsi="Times New Roman" w:cs="Times New Roman"/>
        </w:rPr>
        <w:t>D</w:t>
      </w:r>
      <w:r>
        <w:rPr>
          <w:rFonts w:ascii="Times New Roman" w:hAnsi="Times New Roman" w:cs="Times New Roman"/>
        </w:rPr>
        <w:t>i Francesco Adorno, Roma-Bari, 1997, p. 67).</w:t>
      </w:r>
    </w:p>
  </w:footnote>
  <w:footnote w:id="12">
    <w:p w:rsidR="007D60E4" w:rsidRDefault="00B130D1">
      <w:pPr>
        <w:pStyle w:val="Testonotaapidipagina"/>
        <w:jc w:val="both"/>
      </w:pPr>
      <w:r>
        <w:rPr>
          <w:rStyle w:val="Rimandonotaapidipagina"/>
        </w:rPr>
        <w:footnoteRef/>
      </w:r>
      <w:r>
        <w:rPr>
          <w:rFonts w:ascii="Times New Roman" w:hAnsi="Times New Roman" w:cs="Times New Roman"/>
        </w:rPr>
        <w:t xml:space="preserve"> Ivi, p 87.</w:t>
      </w:r>
    </w:p>
  </w:footnote>
  <w:footnote w:id="13">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Il pensiero e le considerazioni morali</w:t>
      </w:r>
      <w:r>
        <w:rPr>
          <w:rFonts w:ascii="Times New Roman" w:hAnsi="Times New Roman" w:cs="Times New Roman"/>
        </w:rPr>
        <w:t>, cit., p. 157.</w:t>
      </w:r>
    </w:p>
  </w:footnote>
  <w:footnote w:id="14">
    <w:p w:rsidR="007D60E4" w:rsidRDefault="00B130D1">
      <w:pPr>
        <w:pStyle w:val="Testonotaapidipagina"/>
        <w:jc w:val="both"/>
      </w:pPr>
      <w:r>
        <w:rPr>
          <w:rStyle w:val="Rimandonotaapidipagina"/>
        </w:rPr>
        <w:footnoteRef/>
      </w:r>
      <w:r>
        <w:rPr>
          <w:rFonts w:ascii="Times New Roman" w:hAnsi="Times New Roman" w:cs="Times New Roman"/>
        </w:rPr>
        <w:t xml:space="preserve"> Ivi,</w:t>
      </w:r>
      <w:r>
        <w:rPr>
          <w:rFonts w:ascii="Times New Roman" w:hAnsi="Times New Roman" w:cs="Times New Roman"/>
        </w:rPr>
        <w:t xml:space="preserve"> p. 160.</w:t>
      </w:r>
    </w:p>
  </w:footnote>
  <w:footnote w:id="15">
    <w:p w:rsidR="007D60E4" w:rsidRDefault="00B130D1">
      <w:pPr>
        <w:pStyle w:val="Footnote"/>
        <w:ind w:left="0" w:firstLine="0"/>
        <w:jc w:val="both"/>
        <w:rPr>
          <w:rFonts w:ascii="Times New Roman" w:hAnsi="Times New Roman"/>
        </w:rPr>
      </w:pPr>
      <w:r>
        <w:rPr>
          <w:rStyle w:val="Rimandonotaapidipagina"/>
        </w:rPr>
        <w:footnoteRef/>
      </w:r>
      <w:r>
        <w:rPr>
          <w:rFonts w:ascii="Times New Roman" w:hAnsi="Times New Roman"/>
        </w:rPr>
        <w:t xml:space="preserve"> Sul tema si veda: G., F., </w:t>
      </w:r>
      <w:proofErr w:type="spellStart"/>
      <w:r>
        <w:rPr>
          <w:rFonts w:ascii="Times New Roman" w:hAnsi="Times New Roman"/>
        </w:rPr>
        <w:t>Luvarà</w:t>
      </w:r>
      <w:proofErr w:type="spellEnd"/>
      <w:r>
        <w:rPr>
          <w:rFonts w:ascii="Times New Roman" w:hAnsi="Times New Roman"/>
        </w:rPr>
        <w:t xml:space="preserve">, </w:t>
      </w:r>
      <w:r>
        <w:rPr>
          <w:rFonts w:ascii="Times New Roman" w:hAnsi="Times New Roman"/>
          <w:i/>
          <w:iCs/>
        </w:rPr>
        <w:t xml:space="preserve">Identità e differenza: il “due-in-uno” socratico in </w:t>
      </w:r>
      <w:proofErr w:type="spellStart"/>
      <w:r>
        <w:rPr>
          <w:rFonts w:ascii="Times New Roman" w:hAnsi="Times New Roman"/>
          <w:i/>
          <w:iCs/>
        </w:rPr>
        <w:t>Hannah</w:t>
      </w:r>
      <w:proofErr w:type="spellEnd"/>
      <w:r>
        <w:rPr>
          <w:rFonts w:ascii="Times New Roman" w:hAnsi="Times New Roman"/>
          <w:i/>
          <w:iCs/>
        </w:rPr>
        <w:t xml:space="preserve"> </w:t>
      </w:r>
      <w:proofErr w:type="spellStart"/>
      <w:r>
        <w:rPr>
          <w:rFonts w:ascii="Times New Roman" w:hAnsi="Times New Roman"/>
          <w:i/>
          <w:iCs/>
        </w:rPr>
        <w:t>Arendt</w:t>
      </w:r>
      <w:proofErr w:type="spellEnd"/>
      <w:r>
        <w:rPr>
          <w:rFonts w:ascii="Times New Roman" w:hAnsi="Times New Roman"/>
        </w:rPr>
        <w:t xml:space="preserve">, in Id, </w:t>
      </w:r>
      <w:r>
        <w:rPr>
          <w:rFonts w:ascii="Times New Roman" w:hAnsi="Times New Roman"/>
          <w:i/>
          <w:iCs/>
        </w:rPr>
        <w:t>Filosofia e totalitarismo</w:t>
      </w:r>
      <w:r>
        <w:rPr>
          <w:rFonts w:ascii="Times New Roman" w:hAnsi="Times New Roman"/>
        </w:rPr>
        <w:t>, Genova 2007, pp. 115 ss.</w:t>
      </w:r>
    </w:p>
  </w:footnote>
  <w:footnote w:id="16">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 xml:space="preserve">La responsabilità personale sotto la </w:t>
      </w:r>
      <w:r>
        <w:rPr>
          <w:rFonts w:ascii="Times New Roman" w:hAnsi="Times New Roman" w:cs="Times New Roman"/>
          <w:i/>
        </w:rPr>
        <w:t>dittatura</w:t>
      </w:r>
      <w:r>
        <w:rPr>
          <w:rFonts w:ascii="Times New Roman" w:hAnsi="Times New Roman" w:cs="Times New Roman"/>
        </w:rPr>
        <w:t xml:space="preserve">, in Id., </w:t>
      </w:r>
      <w:r>
        <w:rPr>
          <w:rFonts w:ascii="Times New Roman" w:hAnsi="Times New Roman" w:cs="Times New Roman"/>
          <w:i/>
        </w:rPr>
        <w:t>Responsabilità e giudizio</w:t>
      </w:r>
      <w:r>
        <w:rPr>
          <w:rFonts w:ascii="Times New Roman" w:hAnsi="Times New Roman" w:cs="Times New Roman"/>
        </w:rPr>
        <w:t>, cit., p. 37.</w:t>
      </w:r>
    </w:p>
  </w:footnote>
  <w:footnote w:id="17">
    <w:p w:rsidR="007D60E4" w:rsidRDefault="00B130D1">
      <w:pPr>
        <w:pStyle w:val="Testonotaapidipagina"/>
        <w:jc w:val="both"/>
      </w:pPr>
      <w:r>
        <w:rPr>
          <w:rStyle w:val="Rimandonotaapidipagina"/>
        </w:rPr>
        <w:footnoteRef/>
      </w:r>
      <w:r>
        <w:rPr>
          <w:rFonts w:ascii="Times New Roman" w:hAnsi="Times New Roman" w:cs="Times New Roman"/>
        </w:rPr>
        <w:t xml:space="preserve"> Ibidem.</w:t>
      </w:r>
    </w:p>
  </w:footnote>
  <w:footnote w:id="18">
    <w:p w:rsidR="007D60E4" w:rsidRDefault="00B130D1">
      <w:pPr>
        <w:pStyle w:val="Footnote"/>
        <w:ind w:left="0" w:firstLine="0"/>
        <w:jc w:val="both"/>
        <w:rPr>
          <w:rFonts w:ascii="Times New Roman" w:hAnsi="Times New Roman"/>
        </w:rPr>
      </w:pPr>
      <w:r>
        <w:rPr>
          <w:rStyle w:val="Rimandonotaapidipagina"/>
        </w:rPr>
        <w:footnoteRef/>
      </w:r>
      <w:r>
        <w:rPr>
          <w:rFonts w:ascii="Times New Roman" w:hAnsi="Times New Roman"/>
        </w:rPr>
        <w:t xml:space="preserve"> Ibidem.</w:t>
      </w:r>
    </w:p>
  </w:footnote>
  <w:footnote w:id="19">
    <w:p w:rsidR="007D60E4" w:rsidRDefault="00B130D1">
      <w:pPr>
        <w:pStyle w:val="Testonotaapidipagina"/>
        <w:jc w:val="both"/>
      </w:pPr>
      <w:r>
        <w:rPr>
          <w:rStyle w:val="Rimandonotaapidipagina"/>
        </w:rPr>
        <w:footnoteRef/>
      </w:r>
      <w:r>
        <w:rPr>
          <w:rFonts w:ascii="Times New Roman" w:hAnsi="Times New Roman" w:cs="Times New Roman"/>
        </w:rPr>
        <w:t xml:space="preserve"> Afferma </w:t>
      </w:r>
      <w:proofErr w:type="spellStart"/>
      <w:r>
        <w:rPr>
          <w:rFonts w:ascii="Times New Roman" w:hAnsi="Times New Roman" w:cs="Times New Roman"/>
        </w:rPr>
        <w:t>Arendt</w:t>
      </w:r>
      <w:proofErr w:type="spellEnd"/>
      <w:r>
        <w:rPr>
          <w:rFonts w:ascii="Times New Roman" w:hAnsi="Times New Roman" w:cs="Times New Roman"/>
        </w:rPr>
        <w:t>: “Ma costoro, comunque, non dubitarono mai che i crimini res</w:t>
      </w:r>
      <w:r>
        <w:rPr>
          <w:rFonts w:ascii="Times New Roman" w:hAnsi="Times New Roman" w:cs="Times New Roman"/>
        </w:rPr>
        <w:t xml:space="preserve">tavano crimini anche una volta legalizzati dal governo, così come non dubitarono mai che era meglio in ogni caso non partecipare a tali azioni criminali. In altre parole, essi non sentirono in se stessi un’obbligazione, ma agirono semplicemente in accordo </w:t>
      </w:r>
      <w:r>
        <w:rPr>
          <w:rFonts w:ascii="Times New Roman" w:hAnsi="Times New Roman" w:cs="Times New Roman"/>
        </w:rPr>
        <w:t xml:space="preserve">con qualcosa che per tutti loro era auto evidente, benché non fosse più auto evidente per gli altri.”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Alcune questioni di filosofia morale</w:t>
      </w:r>
      <w:r>
        <w:rPr>
          <w:rFonts w:ascii="Times New Roman" w:hAnsi="Times New Roman" w:cs="Times New Roman"/>
        </w:rPr>
        <w:t xml:space="preserve">, in Id., </w:t>
      </w:r>
      <w:r>
        <w:rPr>
          <w:rFonts w:ascii="Times New Roman" w:hAnsi="Times New Roman" w:cs="Times New Roman"/>
          <w:i/>
        </w:rPr>
        <w:t>Responsabilità e giudizio</w:t>
      </w:r>
      <w:r>
        <w:rPr>
          <w:rFonts w:ascii="Times New Roman" w:hAnsi="Times New Roman" w:cs="Times New Roman"/>
        </w:rPr>
        <w:t>, cit., p. 66).</w:t>
      </w:r>
    </w:p>
  </w:footnote>
  <w:footnote w:id="20">
    <w:p w:rsidR="007D60E4" w:rsidRDefault="00B130D1">
      <w:pPr>
        <w:pStyle w:val="Testonotaapidipagina"/>
        <w:jc w:val="both"/>
      </w:pPr>
      <w:r>
        <w:rPr>
          <w:rStyle w:val="Rimandonotaapidipagina"/>
        </w:rPr>
        <w:footnoteRef/>
      </w:r>
      <w:r>
        <w:rPr>
          <w:rFonts w:ascii="Times New Roman" w:hAnsi="Times New Roman" w:cs="Times New Roman"/>
        </w:rPr>
        <w:t xml:space="preserve"> Osserva </w:t>
      </w:r>
      <w:proofErr w:type="spellStart"/>
      <w:r>
        <w:rPr>
          <w:rFonts w:ascii="Times New Roman" w:hAnsi="Times New Roman" w:cs="Times New Roman"/>
        </w:rPr>
        <w:t>Arendt</w:t>
      </w:r>
      <w:proofErr w:type="spellEnd"/>
      <w:r>
        <w:rPr>
          <w:rFonts w:ascii="Times New Roman" w:hAnsi="Times New Roman" w:cs="Times New Roman"/>
        </w:rPr>
        <w:t>: “Se il pensiero, il due-in-uno del dialogo silenzioso, attualizza la differenza scavata nella nostra identità dalla coscienza in senso stretto (</w:t>
      </w:r>
      <w:proofErr w:type="spellStart"/>
      <w:r>
        <w:rPr>
          <w:rFonts w:ascii="Times New Roman" w:hAnsi="Times New Roman" w:cs="Times New Roman"/>
          <w:i/>
        </w:rPr>
        <w:t>consciousness</w:t>
      </w:r>
      <w:proofErr w:type="spellEnd"/>
      <w:r>
        <w:rPr>
          <w:rFonts w:ascii="Times New Roman" w:hAnsi="Times New Roman" w:cs="Times New Roman"/>
        </w:rPr>
        <w:t>) e mette così capo al sottopr</w:t>
      </w:r>
      <w:r>
        <w:rPr>
          <w:rFonts w:ascii="Times New Roman" w:hAnsi="Times New Roman" w:cs="Times New Roman"/>
        </w:rPr>
        <w:t>odotto della coscienza in senso lato (</w:t>
      </w:r>
      <w:proofErr w:type="spellStart"/>
      <w:r>
        <w:rPr>
          <w:rFonts w:ascii="Times New Roman" w:hAnsi="Times New Roman" w:cs="Times New Roman"/>
          <w:i/>
        </w:rPr>
        <w:t>coscience</w:t>
      </w:r>
      <w:proofErr w:type="spellEnd"/>
      <w:r>
        <w:rPr>
          <w:rFonts w:ascii="Times New Roman" w:hAnsi="Times New Roman" w:cs="Times New Roman"/>
        </w:rPr>
        <w:t>), allora il giudizio, il sottoprodotto dell’effetto liberatorio del pensiero, realizza il pensiero, lo rende manifesto nel mondo delle apparenze, in cui io non sono mai da solo e sono sempre troppo occupato p</w:t>
      </w:r>
      <w:r>
        <w:rPr>
          <w:rFonts w:ascii="Times New Roman" w:hAnsi="Times New Roman" w:cs="Times New Roman"/>
        </w:rPr>
        <w:t xml:space="preserve">er poter pensare.”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Il pensiero e le considerazioni morali</w:t>
      </w:r>
      <w:r>
        <w:rPr>
          <w:rFonts w:ascii="Times New Roman" w:hAnsi="Times New Roman" w:cs="Times New Roman"/>
        </w:rPr>
        <w:t xml:space="preserve">, in Id., </w:t>
      </w:r>
      <w:r>
        <w:rPr>
          <w:rFonts w:ascii="Times New Roman" w:hAnsi="Times New Roman" w:cs="Times New Roman"/>
          <w:i/>
        </w:rPr>
        <w:t>Responsabilità e giudizio</w:t>
      </w:r>
      <w:r>
        <w:rPr>
          <w:rFonts w:ascii="Times New Roman" w:hAnsi="Times New Roman" w:cs="Times New Roman"/>
        </w:rPr>
        <w:t>, cit., p. 163).</w:t>
      </w:r>
    </w:p>
  </w:footnote>
  <w:footnote w:id="21">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Comprensione e politica (le difficoltà del comprendere)</w:t>
      </w:r>
      <w:r>
        <w:rPr>
          <w:rFonts w:ascii="Times New Roman" w:hAnsi="Times New Roman" w:cs="Times New Roman"/>
        </w:rPr>
        <w:t xml:space="preserve">, in Id., </w:t>
      </w:r>
      <w:r>
        <w:rPr>
          <w:rFonts w:ascii="Times New Roman" w:hAnsi="Times New Roman" w:cs="Times New Roman"/>
          <w:i/>
        </w:rPr>
        <w:t xml:space="preserve">Archivio </w:t>
      </w:r>
      <w:proofErr w:type="spellStart"/>
      <w:r>
        <w:rPr>
          <w:rFonts w:ascii="Times New Roman" w:hAnsi="Times New Roman" w:cs="Times New Roman"/>
          <w:i/>
        </w:rPr>
        <w:t>Arendt</w:t>
      </w:r>
      <w:proofErr w:type="spellEnd"/>
      <w:r>
        <w:rPr>
          <w:rFonts w:ascii="Times New Roman" w:hAnsi="Times New Roman" w:cs="Times New Roman"/>
          <w:i/>
        </w:rPr>
        <w:t xml:space="preserve"> 2 1950-1954</w:t>
      </w:r>
      <w:r>
        <w:rPr>
          <w:rFonts w:ascii="Times New Roman" w:hAnsi="Times New Roman" w:cs="Times New Roman"/>
        </w:rPr>
        <w:t>, cit., p. 91.</w:t>
      </w:r>
    </w:p>
  </w:footnote>
  <w:footnote w:id="22">
    <w:p w:rsidR="007D60E4" w:rsidRDefault="00B130D1">
      <w:pPr>
        <w:pStyle w:val="Testonotaapidipagina"/>
        <w:jc w:val="both"/>
      </w:pPr>
      <w:r>
        <w:rPr>
          <w:rStyle w:val="Rimandonotaapidipagina"/>
        </w:rPr>
        <w:footnoteRef/>
      </w:r>
      <w:r>
        <w:rPr>
          <w:rFonts w:ascii="Times New Roman" w:hAnsi="Times New Roman" w:cs="Times New Roman"/>
        </w:rPr>
        <w:t xml:space="preserve"> Ibidem.</w:t>
      </w:r>
    </w:p>
  </w:footnote>
  <w:footnote w:id="23">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Il pensiero e le considerazioni morali</w:t>
      </w:r>
      <w:r>
        <w:rPr>
          <w:rFonts w:ascii="Times New Roman" w:hAnsi="Times New Roman" w:cs="Times New Roman"/>
        </w:rPr>
        <w:t xml:space="preserve">, in Id., </w:t>
      </w:r>
      <w:r>
        <w:rPr>
          <w:rFonts w:ascii="Times New Roman" w:hAnsi="Times New Roman" w:cs="Times New Roman"/>
          <w:i/>
        </w:rPr>
        <w:t>Responsabilità e giudizio</w:t>
      </w:r>
      <w:r>
        <w:rPr>
          <w:rFonts w:ascii="Times New Roman" w:hAnsi="Times New Roman" w:cs="Times New Roman"/>
        </w:rPr>
        <w:t>, cit., p. 163.</w:t>
      </w:r>
    </w:p>
  </w:footnote>
  <w:footnote w:id="24">
    <w:p w:rsidR="007D60E4" w:rsidRDefault="00B130D1">
      <w:pPr>
        <w:pStyle w:val="Testonotaapidipagina"/>
        <w:jc w:val="both"/>
      </w:pPr>
      <w:r>
        <w:rPr>
          <w:rStyle w:val="Rimandonotaapidipagina"/>
        </w:rPr>
        <w:footnoteRef/>
      </w:r>
      <w:r>
        <w:rPr>
          <w:rFonts w:ascii="Times New Roman" w:hAnsi="Times New Roman" w:cs="Times New Roman"/>
        </w:rPr>
        <w:t xml:space="preserve"> Il riferimento è qui, ancora una volta, a Socrate e, più precisamente, alla metafora con la quale egli veniva paragonato a una levatrice e dunque “purgava” i suoi interlocutori dalle opinioni non sottoposte</w:t>
      </w:r>
      <w:r>
        <w:rPr>
          <w:rFonts w:ascii="Times New Roman" w:hAnsi="Times New Roman" w:cs="Times New Roman"/>
        </w:rPr>
        <w:t xml:space="preserve"> a esame.</w:t>
      </w:r>
    </w:p>
  </w:footnote>
  <w:footnote w:id="25">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Il pensiero e le considerazioni morali</w:t>
      </w:r>
      <w:r>
        <w:rPr>
          <w:rFonts w:ascii="Times New Roman" w:hAnsi="Times New Roman" w:cs="Times New Roman"/>
        </w:rPr>
        <w:t>, cit., p.163.</w:t>
      </w:r>
    </w:p>
  </w:footnote>
  <w:footnote w:id="26">
    <w:p w:rsidR="007D60E4" w:rsidRPr="002745E7" w:rsidRDefault="00B130D1">
      <w:pPr>
        <w:pStyle w:val="Testonotaapidipagina"/>
        <w:jc w:val="both"/>
        <w:rPr>
          <w:lang w:val="en-US"/>
        </w:rPr>
      </w:pPr>
      <w:r>
        <w:rPr>
          <w:rStyle w:val="Rimandonotaapidipagina"/>
        </w:rPr>
        <w:footnoteRef/>
      </w:r>
      <w:r w:rsidRPr="002745E7">
        <w:rPr>
          <w:rFonts w:ascii="Times New Roman" w:hAnsi="Times New Roman" w:cs="Times New Roman"/>
          <w:lang w:val="en-US"/>
        </w:rPr>
        <w:t xml:space="preserve"> </w:t>
      </w:r>
      <w:r w:rsidRPr="002745E7">
        <w:rPr>
          <w:rFonts w:ascii="Times New Roman" w:hAnsi="Times New Roman" w:cs="Times New Roman"/>
          <w:lang w:val="en-US"/>
        </w:rPr>
        <w:t>Ivi, p. 162.</w:t>
      </w:r>
    </w:p>
  </w:footnote>
  <w:footnote w:id="27">
    <w:p w:rsidR="007D60E4" w:rsidRDefault="00B130D1">
      <w:pPr>
        <w:pStyle w:val="Footnote"/>
        <w:ind w:left="0" w:firstLine="0"/>
        <w:jc w:val="both"/>
        <w:rPr>
          <w:rFonts w:ascii="Times New Roman" w:hAnsi="Times New Roman"/>
        </w:rPr>
      </w:pPr>
      <w:r>
        <w:rPr>
          <w:rStyle w:val="Rimandonotaapidipagina"/>
        </w:rPr>
        <w:footnoteRef/>
      </w:r>
      <w:r w:rsidRPr="002745E7">
        <w:rPr>
          <w:rFonts w:ascii="Times New Roman" w:hAnsi="Times New Roman"/>
          <w:lang w:val="en-US"/>
        </w:rPr>
        <w:t xml:space="preserve"> H., Arendt, </w:t>
      </w:r>
      <w:r w:rsidRPr="002745E7">
        <w:rPr>
          <w:rFonts w:ascii="Times New Roman" w:hAnsi="Times New Roman"/>
          <w:i/>
          <w:iCs/>
          <w:lang w:val="en-US"/>
        </w:rPr>
        <w:t>Hannah Arendt on Hannah Arendt</w:t>
      </w:r>
      <w:r w:rsidRPr="002745E7">
        <w:rPr>
          <w:rFonts w:ascii="Times New Roman" w:hAnsi="Times New Roman"/>
          <w:lang w:val="en-US"/>
        </w:rPr>
        <w:t xml:space="preserve">, in Id., </w:t>
      </w:r>
      <w:r w:rsidRPr="002745E7">
        <w:rPr>
          <w:rFonts w:ascii="Times New Roman" w:hAnsi="Times New Roman"/>
          <w:i/>
          <w:iCs/>
          <w:lang w:val="en-US"/>
        </w:rPr>
        <w:t xml:space="preserve">Thinking </w:t>
      </w:r>
      <w:r w:rsidRPr="002745E7">
        <w:rPr>
          <w:rFonts w:ascii="Times New Roman" w:hAnsi="Times New Roman"/>
          <w:i/>
          <w:iCs/>
          <w:lang w:val="en-US"/>
        </w:rPr>
        <w:t xml:space="preserve">without a banister. </w:t>
      </w:r>
      <w:proofErr w:type="spellStart"/>
      <w:r>
        <w:rPr>
          <w:rFonts w:ascii="Times New Roman" w:hAnsi="Times New Roman"/>
          <w:i/>
          <w:iCs/>
        </w:rPr>
        <w:t>Essay</w:t>
      </w:r>
      <w:proofErr w:type="spellEnd"/>
      <w:r>
        <w:rPr>
          <w:rFonts w:ascii="Times New Roman" w:hAnsi="Times New Roman"/>
          <w:i/>
          <w:iCs/>
        </w:rPr>
        <w:t xml:space="preserve"> in </w:t>
      </w:r>
      <w:proofErr w:type="spellStart"/>
      <w:r>
        <w:rPr>
          <w:rFonts w:ascii="Times New Roman" w:hAnsi="Times New Roman"/>
          <w:i/>
          <w:iCs/>
        </w:rPr>
        <w:t>Understanding</w:t>
      </w:r>
      <w:proofErr w:type="spellEnd"/>
      <w:r>
        <w:rPr>
          <w:rFonts w:ascii="Times New Roman" w:hAnsi="Times New Roman"/>
          <w:i/>
          <w:iCs/>
        </w:rPr>
        <w:t xml:space="preserve"> 1953-1975</w:t>
      </w:r>
      <w:r>
        <w:rPr>
          <w:rFonts w:ascii="Times New Roman" w:hAnsi="Times New Roman"/>
        </w:rPr>
        <w:t>, New York 2018, p. 473.</w:t>
      </w:r>
    </w:p>
  </w:footnote>
  <w:footnote w:id="28">
    <w:p w:rsidR="007D60E4" w:rsidRDefault="00B130D1">
      <w:pPr>
        <w:pStyle w:val="Testonotaapidipagina"/>
        <w:jc w:val="both"/>
      </w:pPr>
      <w:r>
        <w:rPr>
          <w:rStyle w:val="Rimandonotaapidipagina"/>
        </w:rPr>
        <w:footnoteRef/>
      </w:r>
      <w:r>
        <w:rPr>
          <w:rFonts w:ascii="Times New Roman" w:hAnsi="Times New Roman" w:cs="Times New Roman"/>
        </w:rPr>
        <w:t xml:space="preserve"> Sul tema si veda</w:t>
      </w:r>
      <w:r>
        <w:rPr>
          <w:rFonts w:ascii="Times New Roman" w:hAnsi="Times New Roman" w:cs="Times New Roman"/>
          <w:i/>
        </w:rPr>
        <w:t>: La lacuna tra passato e futuro</w:t>
      </w:r>
      <w:r>
        <w:rPr>
          <w:rFonts w:ascii="Times New Roman" w:hAnsi="Times New Roman" w:cs="Times New Roman"/>
        </w:rPr>
        <w:t xml:space="preserve">, in Id., </w:t>
      </w:r>
      <w:r>
        <w:rPr>
          <w:rFonts w:ascii="Times New Roman" w:hAnsi="Times New Roman" w:cs="Times New Roman"/>
          <w:i/>
        </w:rPr>
        <w:t>Tra passato e futuro</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di Tania </w:t>
      </w:r>
      <w:proofErr w:type="spellStart"/>
      <w:r>
        <w:rPr>
          <w:rFonts w:ascii="Times New Roman" w:hAnsi="Times New Roman" w:cs="Times New Roman"/>
        </w:rPr>
        <w:t>Gargiulo</w:t>
      </w:r>
      <w:proofErr w:type="spellEnd"/>
      <w:r>
        <w:rPr>
          <w:rFonts w:ascii="Times New Roman" w:hAnsi="Times New Roman" w:cs="Times New Roman"/>
        </w:rPr>
        <w:t>, Milano 1991, pp. 2</w:t>
      </w:r>
      <w:r>
        <w:rPr>
          <w:rFonts w:ascii="Times New Roman" w:hAnsi="Times New Roman" w:cs="Times New Roman"/>
        </w:rPr>
        <w:t xml:space="preserve">5 ss. Si veda anche il quarto capitolo dell’opera </w:t>
      </w:r>
      <w:r>
        <w:rPr>
          <w:rFonts w:ascii="Times New Roman" w:hAnsi="Times New Roman" w:cs="Times New Roman"/>
          <w:i/>
        </w:rPr>
        <w:t>La vita della mente</w:t>
      </w:r>
      <w:r>
        <w:rPr>
          <w:rFonts w:ascii="Times New Roman" w:hAnsi="Times New Roman" w:cs="Times New Roman"/>
        </w:rPr>
        <w:t xml:space="preserve">, in particolare il secondo paragrafo intitolato per l’appunto </w:t>
      </w:r>
      <w:r>
        <w:rPr>
          <w:rFonts w:ascii="Times New Roman" w:hAnsi="Times New Roman" w:cs="Times New Roman"/>
          <w:i/>
        </w:rPr>
        <w:t>La lacuna tra passato e futuro: il «</w:t>
      </w:r>
      <w:proofErr w:type="spellStart"/>
      <w:r>
        <w:rPr>
          <w:rFonts w:ascii="Times New Roman" w:hAnsi="Times New Roman" w:cs="Times New Roman"/>
          <w:i/>
        </w:rPr>
        <w:t>nunc</w:t>
      </w:r>
      <w:proofErr w:type="spellEnd"/>
      <w:r>
        <w:rPr>
          <w:rFonts w:ascii="Times New Roman" w:hAnsi="Times New Roman" w:cs="Times New Roman"/>
          <w:i/>
        </w:rPr>
        <w:t xml:space="preserve"> </w:t>
      </w:r>
      <w:proofErr w:type="spellStart"/>
      <w:r>
        <w:rPr>
          <w:rFonts w:ascii="Times New Roman" w:hAnsi="Times New Roman" w:cs="Times New Roman"/>
          <w:i/>
        </w:rPr>
        <w:t>stans</w:t>
      </w:r>
      <w:proofErr w:type="spellEnd"/>
      <w:r>
        <w:rPr>
          <w:rFonts w:ascii="Times New Roman" w:hAnsi="Times New Roman" w:cs="Times New Roman"/>
          <w:i/>
        </w:rPr>
        <w:t>»</w:t>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La vita della mente,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di Giorgio Zanetti, Bologna 2009, </w:t>
      </w:r>
      <w:r>
        <w:rPr>
          <w:rFonts w:ascii="Times New Roman" w:hAnsi="Times New Roman" w:cs="Times New Roman"/>
        </w:rPr>
        <w:t>pp. 296 ss.</w:t>
      </w:r>
      <w:r>
        <w:rPr>
          <w:rFonts w:ascii="Times New Roman" w:hAnsi="Times New Roman" w:cs="Times New Roman"/>
          <w:b/>
        </w:rPr>
        <w:t>).</w:t>
      </w:r>
    </w:p>
  </w:footnote>
  <w:footnote w:id="29">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 xml:space="preserve">Il filo </w:t>
      </w:r>
      <w:r>
        <w:rPr>
          <w:rFonts w:ascii="Times New Roman" w:hAnsi="Times New Roman" w:cs="Times New Roman"/>
          <w:i/>
        </w:rPr>
        <w:t>spezzato della tradizione</w:t>
      </w:r>
      <w:r>
        <w:rPr>
          <w:rFonts w:ascii="Times New Roman" w:hAnsi="Times New Roman" w:cs="Times New Roman"/>
        </w:rPr>
        <w:t xml:space="preserve">, in id., </w:t>
      </w:r>
      <w:r>
        <w:rPr>
          <w:rFonts w:ascii="Times New Roman" w:hAnsi="Times New Roman" w:cs="Times New Roman"/>
          <w:i/>
        </w:rPr>
        <w:t>Per un’etica della responsabilità. Lezioni di teoria politica</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w:t>
      </w:r>
      <w:proofErr w:type="gramStart"/>
      <w:r>
        <w:rPr>
          <w:rFonts w:ascii="Times New Roman" w:hAnsi="Times New Roman" w:cs="Times New Roman"/>
        </w:rPr>
        <w:t>di</w:t>
      </w:r>
      <w:proofErr w:type="gramEnd"/>
      <w:r>
        <w:rPr>
          <w:rFonts w:ascii="Times New Roman" w:hAnsi="Times New Roman" w:cs="Times New Roman"/>
        </w:rPr>
        <w:t xml:space="preserve"> Pierluigi Toni e Dario Gentili, Milano-Udine 2017, p. 28.</w:t>
      </w:r>
    </w:p>
  </w:footnote>
  <w:footnote w:id="30">
    <w:p w:rsidR="007D60E4" w:rsidRDefault="00B130D1">
      <w:pPr>
        <w:pStyle w:val="Testonotaapidipagina"/>
        <w:jc w:val="both"/>
      </w:pPr>
      <w:r>
        <w:rPr>
          <w:rStyle w:val="Rimandonotaapidipagina"/>
        </w:rPr>
        <w:footnoteRef/>
      </w:r>
      <w:r>
        <w:rPr>
          <w:rFonts w:ascii="Times New Roman" w:hAnsi="Times New Roman" w:cs="Times New Roman"/>
        </w:rPr>
        <w:t xml:space="preserve"> Afferma Maria Teresa </w:t>
      </w:r>
      <w:proofErr w:type="spellStart"/>
      <w:r>
        <w:rPr>
          <w:rFonts w:ascii="Times New Roman" w:hAnsi="Times New Roman" w:cs="Times New Roman"/>
        </w:rPr>
        <w:t>Pansera</w:t>
      </w:r>
      <w:proofErr w:type="spellEnd"/>
      <w:r>
        <w:rPr>
          <w:rFonts w:ascii="Times New Roman" w:hAnsi="Times New Roman" w:cs="Times New Roman"/>
        </w:rPr>
        <w:t>:</w:t>
      </w:r>
      <w:r>
        <w:rPr>
          <w:rFonts w:ascii="Times New Roman" w:hAnsi="Times New Roman" w:cs="Times New Roman"/>
        </w:rPr>
        <w:t xml:space="preserve"> “Il giudizio politico riceve così una forte connotazione morale, perché si caratterizza come l’unico spazio di libertà che appartiene agli uomini, in quanto esseri che sono nel mondo, e si ricollega sia alla dimensione critica del pensiero sia alla sfera </w:t>
      </w:r>
      <w:r>
        <w:rPr>
          <w:rFonts w:ascii="Times New Roman" w:hAnsi="Times New Roman" w:cs="Times New Roman"/>
        </w:rPr>
        <w:t xml:space="preserve">delle apparenze mondane tipica della volontà […] Il giudizio rappresenta così la moralità del pensiero, che ha il coraggio di toccare la realtà e quindi non si atrofizza, diventando insensibile e lasciandosi guidare da norme precostituite”. (M. T., </w:t>
      </w:r>
      <w:proofErr w:type="spellStart"/>
      <w:r>
        <w:rPr>
          <w:rFonts w:ascii="Times New Roman" w:hAnsi="Times New Roman" w:cs="Times New Roman"/>
        </w:rPr>
        <w:t>Pansera</w:t>
      </w:r>
      <w:proofErr w:type="spellEnd"/>
      <w:r>
        <w:rPr>
          <w:rFonts w:ascii="Times New Roman" w:hAnsi="Times New Roman" w:cs="Times New Roman"/>
        </w:rPr>
        <w:t xml:space="preserve">, </w:t>
      </w:r>
      <w:r>
        <w:rPr>
          <w:rFonts w:ascii="Times New Roman" w:hAnsi="Times New Roman" w:cs="Times New Roman"/>
          <w:i/>
        </w:rPr>
        <w:t>Per una politica della responsabilità</w:t>
      </w:r>
      <w:r>
        <w:rPr>
          <w:rFonts w:ascii="Times New Roman" w:hAnsi="Times New Roman" w:cs="Times New Roman"/>
        </w:rPr>
        <w:t xml:space="preserve">, in Id., </w:t>
      </w:r>
      <w:r>
        <w:rPr>
          <w:rFonts w:ascii="Times New Roman" w:hAnsi="Times New Roman" w:cs="Times New Roman"/>
          <w:i/>
        </w:rPr>
        <w:t>Per un’etica della responsabilità. Lezioni di teoria politica</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w:t>
      </w:r>
      <w:proofErr w:type="gramStart"/>
      <w:r>
        <w:rPr>
          <w:rFonts w:ascii="Times New Roman" w:hAnsi="Times New Roman" w:cs="Times New Roman"/>
        </w:rPr>
        <w:t>di</w:t>
      </w:r>
      <w:proofErr w:type="gramEnd"/>
      <w:r>
        <w:rPr>
          <w:rFonts w:ascii="Times New Roman" w:hAnsi="Times New Roman" w:cs="Times New Roman"/>
        </w:rPr>
        <w:t xml:space="preserve"> Pierluigi Toni e Dario Gentili, Milano-Udine 2017, cit., p. 144.</w:t>
      </w:r>
    </w:p>
  </w:footnote>
  <w:footnote w:id="31">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w:t>
      </w:r>
      <w:r>
        <w:rPr>
          <w:rFonts w:ascii="Times New Roman" w:hAnsi="Times New Roman" w:cs="Times New Roman"/>
          <w:i/>
        </w:rPr>
        <w:t xml:space="preserve"> Responsabilità collettiva</w:t>
      </w:r>
      <w:r>
        <w:rPr>
          <w:rFonts w:ascii="Times New Roman" w:hAnsi="Times New Roman" w:cs="Times New Roman"/>
        </w:rPr>
        <w:t xml:space="preserve">, in Id., </w:t>
      </w:r>
      <w:r>
        <w:rPr>
          <w:rFonts w:ascii="Times New Roman" w:hAnsi="Times New Roman" w:cs="Times New Roman"/>
          <w:i/>
        </w:rPr>
        <w:t>Responsabilità e giudizio</w:t>
      </w:r>
      <w:r>
        <w:rPr>
          <w:rFonts w:ascii="Times New Roman" w:hAnsi="Times New Roman" w:cs="Times New Roman"/>
        </w:rPr>
        <w:t>, cit., p. 132.</w:t>
      </w:r>
    </w:p>
  </w:footnote>
  <w:footnote w:id="32">
    <w:p w:rsidR="007D60E4" w:rsidRDefault="00B130D1">
      <w:pPr>
        <w:pStyle w:val="Testonotaapidipagina"/>
        <w:jc w:val="both"/>
      </w:pPr>
      <w:r>
        <w:rPr>
          <w:rStyle w:val="Rimandonotaapidipagina"/>
        </w:rPr>
        <w:footnoteRef/>
      </w:r>
      <w:r>
        <w:rPr>
          <w:rFonts w:ascii="Times New Roman" w:hAnsi="Times New Roman" w:cs="Times New Roman"/>
        </w:rPr>
        <w:t xml:space="preserve"> Sul tema si veda: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Teoria del giudizio politico</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w:t>
      </w:r>
      <w:proofErr w:type="gramStart"/>
      <w:r>
        <w:rPr>
          <w:rFonts w:ascii="Times New Roman" w:hAnsi="Times New Roman" w:cs="Times New Roman"/>
        </w:rPr>
        <w:t>di</w:t>
      </w:r>
      <w:proofErr w:type="gramEnd"/>
      <w:r>
        <w:rPr>
          <w:rFonts w:ascii="Times New Roman" w:hAnsi="Times New Roman" w:cs="Times New Roman"/>
        </w:rPr>
        <w:t xml:space="preserve"> Per Paolo </w:t>
      </w:r>
      <w:proofErr w:type="spellStart"/>
      <w:r>
        <w:rPr>
          <w:rFonts w:ascii="Times New Roman" w:hAnsi="Times New Roman" w:cs="Times New Roman"/>
        </w:rPr>
        <w:t>Portinaro</w:t>
      </w:r>
      <w:proofErr w:type="spellEnd"/>
      <w:r>
        <w:rPr>
          <w:rFonts w:ascii="Times New Roman" w:hAnsi="Times New Roman" w:cs="Times New Roman"/>
        </w:rPr>
        <w:t>, Genova 2005</w:t>
      </w:r>
    </w:p>
  </w:footnote>
  <w:footnote w:id="33">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Riflessioni su Little Rock</w:t>
      </w:r>
      <w:r>
        <w:rPr>
          <w:rFonts w:ascii="Times New Roman" w:hAnsi="Times New Roman" w:cs="Times New Roman"/>
        </w:rPr>
        <w:t xml:space="preserve">, in Id. </w:t>
      </w:r>
      <w:r>
        <w:rPr>
          <w:rFonts w:ascii="Times New Roman" w:hAnsi="Times New Roman" w:cs="Times New Roman"/>
          <w:i/>
        </w:rPr>
        <w:t>Responsabilità e giudizio</w:t>
      </w:r>
      <w:r>
        <w:rPr>
          <w:rFonts w:ascii="Times New Roman" w:hAnsi="Times New Roman" w:cs="Times New Roman"/>
        </w:rPr>
        <w:t>, p. 167.</w:t>
      </w:r>
    </w:p>
  </w:footnote>
  <w:footnote w:id="34">
    <w:p w:rsidR="007D60E4" w:rsidRDefault="00B130D1">
      <w:pPr>
        <w:pStyle w:val="Testonotaapidipagina"/>
        <w:jc w:val="both"/>
      </w:pPr>
      <w:r>
        <w:rPr>
          <w:rStyle w:val="Rimandonotaapidipagina"/>
        </w:rPr>
        <w:footnoteRef/>
      </w:r>
      <w:r>
        <w:rPr>
          <w:rFonts w:ascii="Times New Roman" w:hAnsi="Times New Roman" w:cs="Times New Roman"/>
        </w:rPr>
        <w:t xml:space="preserve"> </w:t>
      </w:r>
      <w:r>
        <w:rPr>
          <w:rFonts w:ascii="Times New Roman" w:hAnsi="Times New Roman" w:cs="Times New Roman"/>
        </w:rPr>
        <w:t xml:space="preserve">Bisogna </w:t>
      </w:r>
      <w:r>
        <w:rPr>
          <w:rFonts w:ascii="Times New Roman" w:hAnsi="Times New Roman" w:cs="Times New Roman"/>
        </w:rPr>
        <w:t>infatti tener presente che, nella formulazione kantiana, il senso comune si definisce attraverso la delineazione di tre massime: “Pensare da sé; pensare mettendosi al posto degli altri; pensare in modo da essere sempre d’accordo con se stesso”. È chiaro ch</w:t>
      </w:r>
      <w:r>
        <w:rPr>
          <w:rFonts w:ascii="Times New Roman" w:hAnsi="Times New Roman" w:cs="Times New Roman"/>
        </w:rPr>
        <w:t xml:space="preserve">e, nella domanda </w:t>
      </w:r>
      <w:proofErr w:type="spellStart"/>
      <w:r>
        <w:rPr>
          <w:rFonts w:ascii="Times New Roman" w:hAnsi="Times New Roman" w:cs="Times New Roman"/>
        </w:rPr>
        <w:t>arendtiana</w:t>
      </w:r>
      <w:proofErr w:type="spellEnd"/>
      <w:r>
        <w:rPr>
          <w:rFonts w:ascii="Times New Roman" w:hAnsi="Times New Roman" w:cs="Times New Roman"/>
        </w:rPr>
        <w:t xml:space="preserve"> si manifesti, in primo luogo, la seconda massima che viene definita da Kant come “modo di pensare allargato”. (I., Kant, </w:t>
      </w:r>
      <w:r>
        <w:rPr>
          <w:rFonts w:ascii="Times New Roman" w:hAnsi="Times New Roman" w:cs="Times New Roman"/>
          <w:i/>
          <w:iCs/>
        </w:rPr>
        <w:t>Critica del giudizio</w:t>
      </w:r>
      <w:r>
        <w:rPr>
          <w:rFonts w:ascii="Times New Roman" w:hAnsi="Times New Roman" w:cs="Times New Roman"/>
        </w:rPr>
        <w:t xml:space="preserve">, </w:t>
      </w:r>
      <w:proofErr w:type="spellStart"/>
      <w:r>
        <w:rPr>
          <w:rFonts w:ascii="Times New Roman" w:hAnsi="Times New Roman" w:cs="Times New Roman"/>
        </w:rPr>
        <w:t>tr</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proofErr w:type="gramEnd"/>
      <w:r>
        <w:rPr>
          <w:rFonts w:ascii="Times New Roman" w:hAnsi="Times New Roman" w:cs="Times New Roman"/>
        </w:rPr>
        <w:t xml:space="preserve">. Di Alfredo </w:t>
      </w:r>
      <w:proofErr w:type="spellStart"/>
      <w:r>
        <w:rPr>
          <w:rFonts w:ascii="Times New Roman" w:hAnsi="Times New Roman" w:cs="Times New Roman"/>
        </w:rPr>
        <w:t>Gargiulo</w:t>
      </w:r>
      <w:proofErr w:type="spellEnd"/>
      <w:r>
        <w:rPr>
          <w:rFonts w:ascii="Times New Roman" w:hAnsi="Times New Roman" w:cs="Times New Roman"/>
        </w:rPr>
        <w:t>, Bari 1970, cit., p. 151).</w:t>
      </w:r>
    </w:p>
  </w:footnote>
  <w:footnote w:id="35">
    <w:p w:rsidR="007D60E4" w:rsidRDefault="00B130D1">
      <w:pPr>
        <w:pStyle w:val="Footnote"/>
        <w:jc w:val="both"/>
        <w:rPr>
          <w:rFonts w:ascii="Times New Roman" w:hAnsi="Times New Roman"/>
        </w:rPr>
      </w:pPr>
      <w:r>
        <w:rPr>
          <w:rStyle w:val="Rimandonotaapidipagina"/>
        </w:rPr>
        <w:footnoteRef/>
      </w:r>
      <w:r>
        <w:rPr>
          <w:rFonts w:ascii="Times New Roman" w:hAnsi="Times New Roman"/>
        </w:rPr>
        <w:t xml:space="preserve">H., </w:t>
      </w:r>
      <w:proofErr w:type="spellStart"/>
      <w:r>
        <w:rPr>
          <w:rFonts w:ascii="Times New Roman" w:hAnsi="Times New Roman"/>
        </w:rPr>
        <w:t>Arendt</w:t>
      </w:r>
      <w:proofErr w:type="spellEnd"/>
      <w:r>
        <w:rPr>
          <w:rFonts w:ascii="Times New Roman" w:hAnsi="Times New Roman"/>
        </w:rPr>
        <w:t xml:space="preserve">, </w:t>
      </w:r>
      <w:r>
        <w:rPr>
          <w:rFonts w:ascii="Times New Roman" w:hAnsi="Times New Roman"/>
          <w:i/>
          <w:iCs/>
        </w:rPr>
        <w:t>Riflessioni su Little Rock</w:t>
      </w:r>
      <w:r>
        <w:rPr>
          <w:rFonts w:ascii="Times New Roman" w:hAnsi="Times New Roman"/>
        </w:rPr>
        <w:t xml:space="preserve">, in Id., </w:t>
      </w:r>
      <w:r>
        <w:rPr>
          <w:rFonts w:ascii="Times New Roman" w:hAnsi="Times New Roman"/>
          <w:i/>
          <w:iCs/>
        </w:rPr>
        <w:t>Responsabilità e giudizio</w:t>
      </w:r>
      <w:r>
        <w:rPr>
          <w:rFonts w:ascii="Times New Roman" w:hAnsi="Times New Roman"/>
        </w:rPr>
        <w:t>, cit., pp. 177 ss.</w:t>
      </w:r>
    </w:p>
  </w:footnote>
  <w:footnote w:id="36">
    <w:p w:rsidR="007D60E4" w:rsidRDefault="00B130D1">
      <w:pPr>
        <w:pStyle w:val="Testonotaapidipagina"/>
        <w:jc w:val="both"/>
      </w:pPr>
      <w:r>
        <w:rPr>
          <w:rStyle w:val="Rimandonotaapidipagina"/>
        </w:rPr>
        <w:footnoteRef/>
      </w:r>
      <w:r>
        <w:rPr>
          <w:rFonts w:ascii="Times New Roman" w:hAnsi="Times New Roman" w:cs="Times New Roman"/>
        </w:rPr>
        <w:t xml:space="preserve"> È fond</w:t>
      </w:r>
      <w:r>
        <w:rPr>
          <w:rFonts w:ascii="Times New Roman" w:hAnsi="Times New Roman" w:cs="Times New Roman"/>
        </w:rPr>
        <w:t xml:space="preserve">amentale chiarire qui cosa </w:t>
      </w:r>
      <w:proofErr w:type="spellStart"/>
      <w:r>
        <w:rPr>
          <w:rFonts w:ascii="Times New Roman" w:hAnsi="Times New Roman" w:cs="Times New Roman"/>
        </w:rPr>
        <w:t>Arendt</w:t>
      </w:r>
      <w:proofErr w:type="spellEnd"/>
      <w:r>
        <w:rPr>
          <w:rFonts w:ascii="Times New Roman" w:hAnsi="Times New Roman" w:cs="Times New Roman"/>
        </w:rPr>
        <w:t xml:space="preserve"> propriamente intenda con il termine “mondo”. Nell’intervista rilasciata a </w:t>
      </w:r>
      <w:proofErr w:type="spellStart"/>
      <w:r>
        <w:rPr>
          <w:rFonts w:ascii="Times New Roman" w:hAnsi="Times New Roman" w:cs="Times New Roman"/>
        </w:rPr>
        <w:t>Günter</w:t>
      </w:r>
      <w:proofErr w:type="spellEnd"/>
      <w:r>
        <w:rPr>
          <w:rFonts w:ascii="Times New Roman" w:hAnsi="Times New Roman" w:cs="Times New Roman"/>
        </w:rPr>
        <w:t xml:space="preserve"> </w:t>
      </w:r>
      <w:proofErr w:type="spellStart"/>
      <w:r>
        <w:rPr>
          <w:rFonts w:ascii="Times New Roman" w:hAnsi="Times New Roman" w:cs="Times New Roman"/>
        </w:rPr>
        <w:t>Gaus</w:t>
      </w:r>
      <w:proofErr w:type="spellEnd"/>
      <w:r>
        <w:rPr>
          <w:rFonts w:ascii="Times New Roman" w:hAnsi="Times New Roman" w:cs="Times New Roman"/>
        </w:rPr>
        <w:t xml:space="preserve"> la filosofa lo definisce come “uno spazio per la politica” e successivamente afferma: […] “lo intendo in un senso molto più ampio, come </w:t>
      </w:r>
      <w:r>
        <w:rPr>
          <w:rFonts w:ascii="Times New Roman" w:hAnsi="Times New Roman" w:cs="Times New Roman"/>
        </w:rPr>
        <w:t xml:space="preserve">lo spazio in cui le cose </w:t>
      </w:r>
      <w:r>
        <w:rPr>
          <w:rFonts w:ascii="Times New Roman" w:hAnsi="Times New Roman" w:cs="Times New Roman"/>
        </w:rPr>
        <w:t xml:space="preserve">diventano pubbliche, come lo spazio in cui si vive e deve apparire decoroso” […]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iCs/>
        </w:rPr>
        <w:t>“Che cosa resta? Resta la lingua” Una conversazione con</w:t>
      </w:r>
      <w:r>
        <w:rPr>
          <w:rFonts w:ascii="Times New Roman" w:hAnsi="Times New Roman" w:cs="Times New Roman"/>
        </w:rPr>
        <w:t xml:space="preserve"> </w:t>
      </w:r>
      <w:proofErr w:type="spellStart"/>
      <w:r>
        <w:rPr>
          <w:rFonts w:ascii="Times New Roman" w:hAnsi="Times New Roman" w:cs="Times New Roman"/>
          <w:i/>
        </w:rPr>
        <w:t>Günter</w:t>
      </w:r>
      <w:proofErr w:type="spellEnd"/>
      <w:r>
        <w:rPr>
          <w:rFonts w:ascii="Times New Roman" w:hAnsi="Times New Roman" w:cs="Times New Roman"/>
          <w:i/>
        </w:rPr>
        <w:t xml:space="preserve"> </w:t>
      </w:r>
      <w:proofErr w:type="spellStart"/>
      <w:r>
        <w:rPr>
          <w:rFonts w:ascii="Times New Roman" w:hAnsi="Times New Roman" w:cs="Times New Roman"/>
          <w:i/>
        </w:rPr>
        <w:t>Gaus</w:t>
      </w:r>
      <w:proofErr w:type="spellEnd"/>
      <w:r>
        <w:rPr>
          <w:rFonts w:ascii="Times New Roman" w:hAnsi="Times New Roman" w:cs="Times New Roman"/>
        </w:rPr>
        <w:t xml:space="preserve">, in Id., </w:t>
      </w:r>
      <w:r>
        <w:rPr>
          <w:rFonts w:ascii="Times New Roman" w:hAnsi="Times New Roman" w:cs="Times New Roman"/>
          <w:i/>
        </w:rPr>
        <w:t xml:space="preserve">Archivio </w:t>
      </w:r>
      <w:proofErr w:type="spellStart"/>
      <w:r>
        <w:rPr>
          <w:rFonts w:ascii="Times New Roman" w:hAnsi="Times New Roman" w:cs="Times New Roman"/>
          <w:i/>
        </w:rPr>
        <w:t>Arendt</w:t>
      </w:r>
      <w:proofErr w:type="spellEnd"/>
      <w:r>
        <w:rPr>
          <w:rFonts w:ascii="Times New Roman" w:hAnsi="Times New Roman" w:cs="Times New Roman"/>
          <w:i/>
        </w:rPr>
        <w:t xml:space="preserve"> 1 1939-1948</w:t>
      </w:r>
      <w:r>
        <w:rPr>
          <w:rFonts w:ascii="Times New Roman" w:hAnsi="Times New Roman" w:cs="Times New Roman"/>
        </w:rPr>
        <w:t>, cit., pp. 52, 56).</w:t>
      </w:r>
    </w:p>
  </w:footnote>
  <w:footnote w:id="37">
    <w:p w:rsidR="007D60E4" w:rsidRDefault="00B130D1">
      <w:pPr>
        <w:pStyle w:val="Testonotaapidipagina"/>
        <w:jc w:val="both"/>
      </w:pPr>
      <w:r>
        <w:rPr>
          <w:rStyle w:val="Rimandonotaapidipagina"/>
        </w:rPr>
        <w:footnoteRef/>
      </w:r>
      <w:r>
        <w:rPr>
          <w:rFonts w:ascii="Times New Roman" w:hAnsi="Times New Roman" w:cs="Times New Roman"/>
        </w:rPr>
        <w:t xml:space="preserve"> H., </w:t>
      </w:r>
      <w:proofErr w:type="spellStart"/>
      <w:r>
        <w:rPr>
          <w:rFonts w:ascii="Times New Roman" w:hAnsi="Times New Roman" w:cs="Times New Roman"/>
        </w:rPr>
        <w:t>Arendt</w:t>
      </w:r>
      <w:proofErr w:type="spellEnd"/>
      <w:r>
        <w:rPr>
          <w:rFonts w:ascii="Times New Roman" w:hAnsi="Times New Roman" w:cs="Times New Roman"/>
        </w:rPr>
        <w:t xml:space="preserve">, </w:t>
      </w:r>
      <w:r>
        <w:rPr>
          <w:rFonts w:ascii="Times New Roman" w:hAnsi="Times New Roman" w:cs="Times New Roman"/>
          <w:i/>
        </w:rPr>
        <w:t>Comprensione e politica (le difficoltà del comprendere</w:t>
      </w:r>
      <w:r>
        <w:rPr>
          <w:rFonts w:ascii="Times New Roman" w:hAnsi="Times New Roman" w:cs="Times New Roman"/>
        </w:rPr>
        <w:t xml:space="preserve">), in Id., </w:t>
      </w:r>
      <w:r>
        <w:rPr>
          <w:rFonts w:ascii="Times New Roman" w:hAnsi="Times New Roman" w:cs="Times New Roman"/>
          <w:i/>
        </w:rPr>
        <w:t xml:space="preserve">Archivio </w:t>
      </w:r>
      <w:proofErr w:type="spellStart"/>
      <w:r>
        <w:rPr>
          <w:rFonts w:ascii="Times New Roman" w:hAnsi="Times New Roman" w:cs="Times New Roman"/>
          <w:i/>
        </w:rPr>
        <w:t>Arendt</w:t>
      </w:r>
      <w:proofErr w:type="spellEnd"/>
      <w:r>
        <w:rPr>
          <w:rFonts w:ascii="Times New Roman" w:hAnsi="Times New Roman" w:cs="Times New Roman"/>
          <w:i/>
        </w:rPr>
        <w:t xml:space="preserve"> 2 1950-1954</w:t>
      </w:r>
      <w:r>
        <w:rPr>
          <w:rFonts w:ascii="Times New Roman" w:hAnsi="Times New Roman" w:cs="Times New Roman"/>
        </w:rPr>
        <w:t>, cit., p. 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D60E4"/>
    <w:rsid w:val="002745E7"/>
    <w:rsid w:val="007D60E4"/>
    <w:rsid w:val="00B130D1"/>
    <w:rsid w:val="00BB7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A0D97-260B-4B8F-8506-C15A9E1A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Elenco">
    <w:name w:val="List"/>
    <w:basedOn w:val="Textbody"/>
    <w:rPr>
      <w:rFonts w:cs="Arial Unicode MS"/>
    </w:rPr>
  </w:style>
  <w:style w:type="paragraph" w:styleId="Didascali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Testonotaapidipagina">
    <w:name w:val="footnote text"/>
    <w:basedOn w:val="Standard"/>
    <w:pPr>
      <w:spacing w:after="0"/>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3715</Words>
  <Characters>21180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Andrea</cp:lastModifiedBy>
  <cp:revision>2</cp:revision>
  <cp:lastPrinted>2018-07-23T20:23:00Z</cp:lastPrinted>
  <dcterms:created xsi:type="dcterms:W3CDTF">2018-08-07T15:46:00Z</dcterms:created>
  <dcterms:modified xsi:type="dcterms:W3CDTF">2018-08-07T15:46:00Z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