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431A1A" w14:textId="77777777" w:rsidR="001C14D5" w:rsidRDefault="00F80AA2">
      <w:pPr>
        <w:pStyle w:val="BodyA"/>
        <w:widowControl w:val="0"/>
        <w:suppressAutoHyphens/>
        <w:rPr>
          <w:rStyle w:val="None"/>
          <w:sz w:val="28"/>
          <w:szCs w:val="28"/>
        </w:rPr>
      </w:pPr>
      <w:r>
        <w:rPr>
          <w:rStyle w:val="None"/>
          <w:sz w:val="28"/>
          <w:szCs w:val="28"/>
        </w:rPr>
        <w:t xml:space="preserve">Considerations on the Digital Subaltern: </w:t>
      </w:r>
      <w:bookmarkStart w:id="0" w:name="_GoBack"/>
      <w:r>
        <w:rPr>
          <w:rStyle w:val="None"/>
          <w:sz w:val="28"/>
          <w:szCs w:val="28"/>
        </w:rPr>
        <w:t>A Research on Migrant Women’s Transnational Online Practices</w:t>
      </w:r>
      <w:bookmarkEnd w:id="0"/>
    </w:p>
    <w:p w14:paraId="204D424C" w14:textId="77777777" w:rsidR="001C14D5" w:rsidRDefault="00F80AA2">
      <w:pPr>
        <w:pStyle w:val="BodyA"/>
        <w:widowControl w:val="0"/>
        <w:suppressAutoHyphens/>
        <w:rPr>
          <w:rStyle w:val="None"/>
          <w:rFonts w:ascii="Arial Unicode MS" w:hAnsi="Arial Unicode MS"/>
          <w:sz w:val="32"/>
          <w:szCs w:val="32"/>
        </w:rPr>
      </w:pPr>
      <w:r>
        <w:rPr>
          <w:rStyle w:val="None"/>
          <w:sz w:val="28"/>
          <w:szCs w:val="28"/>
        </w:rPr>
        <w:t xml:space="preserve">Claudia Minchilli, Utrecht University </w:t>
      </w:r>
    </w:p>
    <w:p w14:paraId="4EF511D5" w14:textId="77777777" w:rsidR="001C14D5" w:rsidRDefault="001C14D5">
      <w:pPr>
        <w:pStyle w:val="BodyA"/>
        <w:widowControl w:val="0"/>
        <w:suppressAutoHyphens/>
        <w:rPr>
          <w:rFonts w:ascii="Arial Unicode MS" w:hAnsi="Arial Unicode MS"/>
          <w:sz w:val="30"/>
          <w:szCs w:val="30"/>
          <w:lang w:val="en-US"/>
        </w:rPr>
      </w:pPr>
    </w:p>
    <w:p w14:paraId="2ABA095F" w14:textId="77777777" w:rsidR="001C14D5" w:rsidRDefault="00F80AA2">
      <w:pPr>
        <w:pStyle w:val="BodyA"/>
        <w:widowControl w:val="0"/>
        <w:suppressAutoHyphens/>
        <w:rPr>
          <w:rStyle w:val="None"/>
          <w:sz w:val="24"/>
          <w:szCs w:val="24"/>
        </w:rPr>
      </w:pPr>
      <w:r>
        <w:rPr>
          <w:rStyle w:val="None"/>
          <w:sz w:val="24"/>
          <w:szCs w:val="24"/>
        </w:rPr>
        <w:t>On April 2016, the Guardian released on its site a report named ‘The dark side of Guardian comments’.</w:t>
      </w:r>
      <w:r>
        <w:rPr>
          <w:rStyle w:val="None"/>
          <w:sz w:val="24"/>
          <w:szCs w:val="24"/>
          <w:vertAlign w:val="superscript"/>
          <w:lang w:val="it-IT"/>
        </w:rPr>
        <w:footnoteReference w:id="2"/>
      </w:r>
      <w:r>
        <w:rPr>
          <w:rStyle w:val="None"/>
          <w:sz w:val="24"/>
          <w:szCs w:val="24"/>
        </w:rPr>
        <w:t xml:space="preserve"> The aim of the report was to analyse the content of more than 70 million comments left on the site since 2006, exploring patterns and dynamics of online harassment. As stated in the report, ‘the first quantitative evidence’ is that ‘articles written by wo</w:t>
      </w:r>
      <w:r>
        <w:rPr>
          <w:rStyle w:val="None"/>
          <w:sz w:val="24"/>
          <w:szCs w:val="24"/>
        </w:rPr>
        <w:t>men attract more abuse and dismissive trolling than those written by men, regardless of what the article is about’;</w:t>
      </w:r>
      <w:r>
        <w:rPr>
          <w:rStyle w:val="None"/>
          <w:sz w:val="24"/>
          <w:szCs w:val="24"/>
          <w:vertAlign w:val="superscript"/>
          <w:lang w:val="it-IT"/>
        </w:rPr>
        <w:footnoteReference w:id="3"/>
      </w:r>
      <w:r>
        <w:rPr>
          <w:rStyle w:val="None"/>
          <w:sz w:val="24"/>
          <w:szCs w:val="24"/>
        </w:rPr>
        <w:t xml:space="preserve"> furthermore, the report observed that ‘ethnic and religious minorities, and LGBT people also appear to experience a disproportionate amount</w:t>
      </w:r>
      <w:r>
        <w:rPr>
          <w:rStyle w:val="None"/>
          <w:sz w:val="24"/>
          <w:szCs w:val="24"/>
        </w:rPr>
        <w:t xml:space="preserve"> of abuse’. Internet is not a neutral, disembodied and value-free space,</w:t>
      </w:r>
      <w:r>
        <w:rPr>
          <w:rStyle w:val="None"/>
          <w:sz w:val="24"/>
          <w:szCs w:val="24"/>
          <w:vertAlign w:val="superscript"/>
          <w:lang w:val="it-IT"/>
        </w:rPr>
        <w:footnoteReference w:id="4"/>
      </w:r>
      <w:r>
        <w:rPr>
          <w:rStyle w:val="None"/>
          <w:sz w:val="24"/>
          <w:szCs w:val="24"/>
        </w:rPr>
        <w:t xml:space="preserve"> as the report shows. The gendered, geo-political, racial character of online harassment on the Guardian demonstrates the existence of a matrix of power relations which put the online</w:t>
      </w:r>
      <w:r>
        <w:rPr>
          <w:rStyle w:val="None"/>
          <w:sz w:val="24"/>
          <w:szCs w:val="24"/>
        </w:rPr>
        <w:t xml:space="preserve"> and offline realms not at distance but as intertwined, mutually shaped realities. </w:t>
      </w:r>
    </w:p>
    <w:p w14:paraId="3E06580E" w14:textId="77777777" w:rsidR="001C14D5" w:rsidRDefault="00F80AA2">
      <w:pPr>
        <w:pStyle w:val="BodyA"/>
        <w:widowControl w:val="0"/>
        <w:suppressAutoHyphens/>
        <w:ind w:firstLine="567"/>
        <w:rPr>
          <w:rStyle w:val="None"/>
          <w:sz w:val="24"/>
          <w:szCs w:val="24"/>
        </w:rPr>
      </w:pPr>
      <w:r>
        <w:rPr>
          <w:rStyle w:val="None"/>
        </w:rPr>
        <w:t>M</w:t>
      </w:r>
      <w:r>
        <w:rPr>
          <w:rStyle w:val="None"/>
          <w:sz w:val="24"/>
          <w:szCs w:val="24"/>
        </w:rPr>
        <w:t xml:space="preserve">y aim in this paper is to show how the postcolonial approach can be highly productive for the development of digital media studies, exposing the hierarchical and multiple </w:t>
      </w:r>
      <w:r>
        <w:rPr>
          <w:rStyle w:val="None"/>
          <w:sz w:val="24"/>
          <w:szCs w:val="24"/>
        </w:rPr>
        <w:t xml:space="preserve">characters of power dynamics which influence complex social phenomena, including </w:t>
      </w:r>
      <w:r>
        <w:rPr>
          <w:rStyle w:val="None"/>
          <w:i/>
          <w:iCs/>
          <w:sz w:val="24"/>
          <w:szCs w:val="24"/>
        </w:rPr>
        <w:t>digital</w:t>
      </w:r>
      <w:r>
        <w:rPr>
          <w:rStyle w:val="None"/>
          <w:sz w:val="24"/>
          <w:szCs w:val="24"/>
        </w:rPr>
        <w:t xml:space="preserve"> ones.</w:t>
      </w:r>
      <w:r>
        <w:rPr>
          <w:rStyle w:val="None"/>
          <w:sz w:val="24"/>
          <w:szCs w:val="24"/>
          <w:vertAlign w:val="superscript"/>
          <w:lang w:val="it-IT"/>
        </w:rPr>
        <w:footnoteReference w:id="5"/>
      </w:r>
      <w:r>
        <w:rPr>
          <w:rStyle w:val="None"/>
          <w:sz w:val="24"/>
          <w:szCs w:val="24"/>
        </w:rPr>
        <w:t xml:space="preserve"> As part of the team working for the ERC consolidator project ‘Digital Crossings in Europe: Gender, Diaspora and Belonging’</w:t>
      </w:r>
      <w:r>
        <w:rPr>
          <w:rStyle w:val="None"/>
          <w:sz w:val="24"/>
          <w:szCs w:val="24"/>
          <w:vertAlign w:val="superscript"/>
          <w:lang w:val="it-IT"/>
        </w:rPr>
        <w:footnoteReference w:id="6"/>
      </w:r>
      <w:r>
        <w:rPr>
          <w:rStyle w:val="None"/>
          <w:sz w:val="24"/>
          <w:szCs w:val="24"/>
        </w:rPr>
        <w:t xml:space="preserve"> headed by Sandra Ponzanesi, my inter</w:t>
      </w:r>
      <w:r>
        <w:rPr>
          <w:rStyle w:val="None"/>
          <w:sz w:val="24"/>
          <w:szCs w:val="24"/>
        </w:rPr>
        <w:t>est is in</w:t>
      </w:r>
      <w:r>
        <w:rPr>
          <w:rStyle w:val="None"/>
          <w:sz w:val="24"/>
          <w:szCs w:val="24"/>
          <w:lang w:val="nl-NL"/>
        </w:rPr>
        <w:t xml:space="preserve"> investig</w:t>
      </w:r>
      <w:r>
        <w:rPr>
          <w:rStyle w:val="None"/>
          <w:sz w:val="24"/>
          <w:szCs w:val="24"/>
        </w:rPr>
        <w:t>ating the relation between female migration and digital technologies, through the use of a mixed methodology which encompasses ethnographic research and digital methods to gather quantitative data from different digital media platforms. I</w:t>
      </w:r>
      <w:r>
        <w:rPr>
          <w:rStyle w:val="None"/>
          <w:sz w:val="24"/>
          <w:szCs w:val="24"/>
        </w:rPr>
        <w:t xml:space="preserve"> will inquire on the symbolical and concrete consequences that transnational and local digital connectedness has on migrant women’s experiences of displacement, resettlement and everyday life in a specific urban setting, which in my case will be Rome. This</w:t>
      </w:r>
      <w:r>
        <w:rPr>
          <w:rStyle w:val="None"/>
          <w:sz w:val="24"/>
          <w:szCs w:val="24"/>
        </w:rPr>
        <w:t xml:space="preserve"> project has also a comparative aim, focusing on women who belong to three different communities, the Somali, Romanian and Turkish ones. The choice of these three communities is based in the matter of how the use of digital technologies is intertwined with</w:t>
      </w:r>
      <w:r>
        <w:rPr>
          <w:rStyle w:val="None"/>
          <w:sz w:val="24"/>
          <w:szCs w:val="24"/>
        </w:rPr>
        <w:t xml:space="preserve"> different histories for transnational mobilities. The comparison will outline  the impact that postcolonial, postsocialist and post-labour migration pasts </w:t>
      </w:r>
      <w:r>
        <w:rPr>
          <w:rStyle w:val="None"/>
          <w:sz w:val="24"/>
          <w:szCs w:val="24"/>
        </w:rPr>
        <w:lastRenderedPageBreak/>
        <w:t>have on processes of diasporic identity construction. Consequently, it will be possible the identifi</w:t>
      </w:r>
      <w:r>
        <w:rPr>
          <w:rStyle w:val="None"/>
          <w:sz w:val="24"/>
          <w:szCs w:val="24"/>
        </w:rPr>
        <w:t>cation of those intersectional economic, political, racial, gendered and cultural forces</w:t>
      </w:r>
      <w:r>
        <w:rPr>
          <w:rStyle w:val="None"/>
          <w:sz w:val="24"/>
          <w:szCs w:val="24"/>
          <w:vertAlign w:val="superscript"/>
          <w:lang w:val="it-IT"/>
        </w:rPr>
        <w:footnoteReference w:id="7"/>
      </w:r>
      <w:r>
        <w:rPr>
          <w:rStyle w:val="None"/>
          <w:sz w:val="24"/>
          <w:szCs w:val="24"/>
        </w:rPr>
        <w:t xml:space="preserve"> which differently impact on migrant women’s experience of displacement and on their access or use of digital technologies. Attentiveness towards structural impediment</w:t>
      </w:r>
      <w:r>
        <w:rPr>
          <w:rStyle w:val="None"/>
          <w:sz w:val="24"/>
          <w:szCs w:val="24"/>
        </w:rPr>
        <w:t>s will help, in other words, to give meaning to the everyday ‘multiple identifications’,</w:t>
      </w:r>
      <w:r>
        <w:rPr>
          <w:rStyle w:val="None"/>
          <w:sz w:val="24"/>
          <w:szCs w:val="24"/>
          <w:vertAlign w:val="superscript"/>
          <w:lang w:val="it-IT"/>
        </w:rPr>
        <w:footnoteReference w:id="8"/>
      </w:r>
      <w:r>
        <w:rPr>
          <w:rStyle w:val="None"/>
          <w:sz w:val="24"/>
          <w:szCs w:val="24"/>
        </w:rPr>
        <w:t xml:space="preserve"> strategies and agency that women perform through transnational </w:t>
      </w:r>
      <w:r>
        <w:rPr>
          <w:rStyle w:val="None"/>
          <w:i/>
          <w:iCs/>
          <w:sz w:val="24"/>
          <w:szCs w:val="24"/>
        </w:rPr>
        <w:t>online</w:t>
      </w:r>
      <w:r>
        <w:rPr>
          <w:rStyle w:val="None"/>
          <w:sz w:val="24"/>
          <w:szCs w:val="24"/>
        </w:rPr>
        <w:t xml:space="preserve"> practices.</w:t>
      </w:r>
      <w:r>
        <w:rPr>
          <w:rStyle w:val="None"/>
          <w:sz w:val="24"/>
          <w:szCs w:val="24"/>
          <w:vertAlign w:val="superscript"/>
          <w:lang w:val="it-IT"/>
        </w:rPr>
        <w:footnoteReference w:id="9"/>
      </w:r>
      <w:r>
        <w:rPr>
          <w:rStyle w:val="None"/>
          <w:sz w:val="24"/>
          <w:szCs w:val="24"/>
        </w:rPr>
        <w:t xml:space="preserve">  </w:t>
      </w:r>
    </w:p>
    <w:p w14:paraId="146CE30F" w14:textId="77777777" w:rsidR="001C14D5" w:rsidRDefault="00F80AA2">
      <w:pPr>
        <w:pStyle w:val="BodyA"/>
        <w:widowControl w:val="0"/>
        <w:suppressAutoHyphens/>
        <w:ind w:firstLine="567"/>
        <w:rPr>
          <w:rStyle w:val="None"/>
          <w:sz w:val="24"/>
          <w:szCs w:val="24"/>
        </w:rPr>
      </w:pPr>
      <w:r>
        <w:rPr>
          <w:rStyle w:val="None"/>
          <w:sz w:val="24"/>
          <w:szCs w:val="24"/>
        </w:rPr>
        <w:t xml:space="preserve">Terms such as </w:t>
      </w:r>
      <w:r>
        <w:rPr>
          <w:rStyle w:val="None"/>
          <w:i/>
          <w:iCs/>
          <w:sz w:val="24"/>
          <w:szCs w:val="24"/>
        </w:rPr>
        <w:t>connectivity</w:t>
      </w:r>
      <w:r>
        <w:rPr>
          <w:rStyle w:val="None"/>
          <w:sz w:val="24"/>
          <w:szCs w:val="24"/>
        </w:rPr>
        <w:t xml:space="preserve">, </w:t>
      </w:r>
      <w:r>
        <w:rPr>
          <w:rStyle w:val="None"/>
          <w:i/>
          <w:iCs/>
          <w:sz w:val="24"/>
          <w:szCs w:val="24"/>
        </w:rPr>
        <w:t>links</w:t>
      </w:r>
      <w:r>
        <w:rPr>
          <w:rStyle w:val="None"/>
          <w:sz w:val="24"/>
          <w:szCs w:val="24"/>
        </w:rPr>
        <w:t xml:space="preserve">, </w:t>
      </w:r>
      <w:r>
        <w:rPr>
          <w:rStyle w:val="None"/>
          <w:i/>
          <w:iCs/>
          <w:sz w:val="24"/>
          <w:szCs w:val="24"/>
        </w:rPr>
        <w:t>crossings</w:t>
      </w:r>
      <w:r>
        <w:rPr>
          <w:rStyle w:val="None"/>
          <w:sz w:val="24"/>
          <w:szCs w:val="24"/>
        </w:rPr>
        <w:t xml:space="preserve"> are recurrent in digital media studie</w:t>
      </w:r>
      <w:r>
        <w:rPr>
          <w:rStyle w:val="None"/>
          <w:sz w:val="24"/>
          <w:szCs w:val="24"/>
        </w:rPr>
        <w:t xml:space="preserve">s. Despite that recurrence, it is essential to investigate the space which is positioned in between, the territory which is crossed: the </w:t>
      </w:r>
      <w:r>
        <w:rPr>
          <w:rStyle w:val="None"/>
          <w:i/>
          <w:iCs/>
          <w:sz w:val="24"/>
          <w:szCs w:val="24"/>
        </w:rPr>
        <w:t>border</w:t>
      </w:r>
      <w:r>
        <w:rPr>
          <w:rStyle w:val="None"/>
          <w:sz w:val="24"/>
          <w:szCs w:val="24"/>
        </w:rPr>
        <w:t>. The imaginative and concrete deployment of the concept of ‘border’ gives to the researcher a privileged perspec</w:t>
      </w:r>
      <w:r>
        <w:rPr>
          <w:rStyle w:val="None"/>
          <w:sz w:val="24"/>
          <w:szCs w:val="24"/>
        </w:rPr>
        <w:t>tive to look at social patterns, showing the matrix of power relations that are enacted when the subject tries to cross them. Borders are a space in which mechanisms of systemic construction of ‘us’ and hierarchically intelligible ‘Others’</w:t>
      </w:r>
      <w:r>
        <w:rPr>
          <w:rStyle w:val="None"/>
          <w:sz w:val="24"/>
          <w:szCs w:val="24"/>
          <w:vertAlign w:val="superscript"/>
          <w:lang w:val="it-IT"/>
        </w:rPr>
        <w:footnoteReference w:id="10"/>
      </w:r>
      <w:r>
        <w:rPr>
          <w:rStyle w:val="None"/>
          <w:sz w:val="24"/>
          <w:szCs w:val="24"/>
        </w:rPr>
        <w:t xml:space="preserve"> are set in plac</w:t>
      </w:r>
      <w:r>
        <w:rPr>
          <w:rStyle w:val="None"/>
          <w:sz w:val="24"/>
          <w:szCs w:val="24"/>
        </w:rPr>
        <w:t>e, and are hence ‘part of the discursive materiality of power relations’.</w:t>
      </w:r>
      <w:r>
        <w:rPr>
          <w:rStyle w:val="None"/>
          <w:sz w:val="24"/>
          <w:szCs w:val="24"/>
          <w:vertAlign w:val="superscript"/>
          <w:lang w:val="it-IT"/>
        </w:rPr>
        <w:footnoteReference w:id="11"/>
      </w:r>
    </w:p>
    <w:p w14:paraId="304F855A" w14:textId="77777777" w:rsidR="001C14D5" w:rsidRDefault="00F80AA2">
      <w:pPr>
        <w:pStyle w:val="BodyA"/>
        <w:widowControl w:val="0"/>
        <w:suppressAutoHyphens/>
        <w:ind w:firstLine="567"/>
        <w:rPr>
          <w:rStyle w:val="None"/>
          <w:sz w:val="24"/>
          <w:szCs w:val="24"/>
        </w:rPr>
      </w:pPr>
      <w:r>
        <w:rPr>
          <w:rStyle w:val="None"/>
          <w:sz w:val="24"/>
          <w:szCs w:val="24"/>
        </w:rPr>
        <w:t>The digital realm represents another dimension in which these mechanisms are reproduced. The role and level of agency of the ‘connected migrant’</w:t>
      </w:r>
      <w:r>
        <w:rPr>
          <w:rStyle w:val="None"/>
          <w:sz w:val="24"/>
          <w:szCs w:val="24"/>
          <w:vertAlign w:val="superscript"/>
          <w:lang w:val="it-IT"/>
        </w:rPr>
        <w:footnoteReference w:id="12"/>
      </w:r>
      <w:r>
        <w:rPr>
          <w:rStyle w:val="None"/>
          <w:sz w:val="24"/>
          <w:szCs w:val="24"/>
        </w:rPr>
        <w:t xml:space="preserve">, as a subject who actively creates </w:t>
      </w:r>
      <w:r>
        <w:rPr>
          <w:rStyle w:val="None"/>
          <w:sz w:val="24"/>
          <w:szCs w:val="24"/>
        </w:rPr>
        <w:t>a culture of bonds through everyday digital border-crossing practices, is subjected to these dynamics. Rejecting a blind utopianism that considers the Internet as a space that enables infinite possibilities for identity construction and allows social relat</w:t>
      </w:r>
      <w:r>
        <w:rPr>
          <w:rStyle w:val="None"/>
          <w:sz w:val="24"/>
          <w:szCs w:val="24"/>
        </w:rPr>
        <w:t xml:space="preserve">ions based on networks of </w:t>
      </w:r>
      <w:r>
        <w:rPr>
          <w:rStyle w:val="None"/>
          <w:i/>
          <w:iCs/>
          <w:sz w:val="24"/>
          <w:szCs w:val="24"/>
        </w:rPr>
        <w:t>peer</w:t>
      </w:r>
      <w:r>
        <w:rPr>
          <w:rStyle w:val="None"/>
          <w:sz w:val="24"/>
          <w:szCs w:val="24"/>
        </w:rPr>
        <w:t xml:space="preserve"> subjects,</w:t>
      </w:r>
      <w:r>
        <w:rPr>
          <w:rStyle w:val="None"/>
          <w:sz w:val="24"/>
          <w:szCs w:val="24"/>
          <w:vertAlign w:val="superscript"/>
          <w:lang w:val="it-IT"/>
        </w:rPr>
        <w:footnoteReference w:id="13"/>
      </w:r>
      <w:r>
        <w:rPr>
          <w:rStyle w:val="None"/>
          <w:sz w:val="24"/>
          <w:szCs w:val="24"/>
        </w:rPr>
        <w:t xml:space="preserve"> I see the online reality as entrenched in gendered, classed, racial ascriptions</w:t>
      </w:r>
      <w:r>
        <w:rPr>
          <w:rStyle w:val="None"/>
          <w:sz w:val="24"/>
          <w:szCs w:val="24"/>
          <w:vertAlign w:val="superscript"/>
          <w:lang w:val="it-IT"/>
        </w:rPr>
        <w:footnoteReference w:id="14"/>
      </w:r>
      <w:r>
        <w:rPr>
          <w:rStyle w:val="None"/>
          <w:sz w:val="24"/>
          <w:szCs w:val="24"/>
        </w:rPr>
        <w:t xml:space="preserve"> influencing one subject’s voicing and online (in)visibility. This brings me to one of my central research questions which borrow very</w:t>
      </w:r>
      <w:r>
        <w:rPr>
          <w:rStyle w:val="None"/>
          <w:sz w:val="24"/>
          <w:szCs w:val="24"/>
        </w:rPr>
        <w:t xml:space="preserve"> much from Spivak’s</w:t>
      </w:r>
      <w:r>
        <w:rPr>
          <w:rStyle w:val="None"/>
          <w:sz w:val="24"/>
          <w:szCs w:val="24"/>
          <w:vertAlign w:val="superscript"/>
          <w:lang w:val="it-IT"/>
        </w:rPr>
        <w:footnoteReference w:id="15"/>
      </w:r>
      <w:r>
        <w:rPr>
          <w:rStyle w:val="None"/>
          <w:sz w:val="24"/>
          <w:szCs w:val="24"/>
        </w:rPr>
        <w:t xml:space="preserve"> concerns: when, how and at what price can the </w:t>
      </w:r>
      <w:r>
        <w:rPr>
          <w:rStyle w:val="None"/>
          <w:i/>
          <w:iCs/>
          <w:sz w:val="24"/>
          <w:szCs w:val="24"/>
        </w:rPr>
        <w:t xml:space="preserve">digital </w:t>
      </w:r>
      <w:r>
        <w:rPr>
          <w:rStyle w:val="None"/>
          <w:sz w:val="24"/>
          <w:szCs w:val="24"/>
        </w:rPr>
        <w:t xml:space="preserve">Subaltern speak? Where is the space of </w:t>
      </w:r>
      <w:r>
        <w:rPr>
          <w:rStyle w:val="None"/>
          <w:i/>
          <w:iCs/>
          <w:sz w:val="24"/>
          <w:szCs w:val="24"/>
        </w:rPr>
        <w:t>agency</w:t>
      </w:r>
      <w:r>
        <w:rPr>
          <w:rStyle w:val="None"/>
          <w:sz w:val="24"/>
          <w:szCs w:val="24"/>
        </w:rPr>
        <w:t xml:space="preserve"> for the connected migrant? </w:t>
      </w:r>
    </w:p>
    <w:p w14:paraId="75BB8B6F" w14:textId="77777777" w:rsidR="001C14D5" w:rsidRDefault="00F80AA2">
      <w:pPr>
        <w:pStyle w:val="BodyA"/>
        <w:widowControl w:val="0"/>
        <w:suppressAutoHyphens/>
        <w:ind w:firstLine="567"/>
        <w:rPr>
          <w:rStyle w:val="None"/>
          <w:sz w:val="24"/>
          <w:szCs w:val="24"/>
        </w:rPr>
      </w:pPr>
      <w:r>
        <w:rPr>
          <w:rStyle w:val="None"/>
          <w:sz w:val="24"/>
          <w:szCs w:val="24"/>
        </w:rPr>
        <w:t xml:space="preserve">Imagining the Subaltern’s voice as ‘hearable’ or not at all is a very common framework but, </w:t>
      </w:r>
      <w:r>
        <w:rPr>
          <w:rStyle w:val="None"/>
          <w:sz w:val="24"/>
          <w:szCs w:val="24"/>
        </w:rPr>
        <w:lastRenderedPageBreak/>
        <w:t xml:space="preserve">nevertheless, </w:t>
      </w:r>
      <w:r>
        <w:rPr>
          <w:rStyle w:val="None"/>
          <w:sz w:val="24"/>
          <w:szCs w:val="24"/>
        </w:rPr>
        <w:t>highly problematic.</w:t>
      </w:r>
      <w:r>
        <w:rPr>
          <w:rStyle w:val="None"/>
          <w:sz w:val="24"/>
          <w:szCs w:val="24"/>
          <w:vertAlign w:val="superscript"/>
          <w:lang w:val="it-IT"/>
        </w:rPr>
        <w:footnoteReference w:id="16"/>
      </w:r>
      <w:r>
        <w:rPr>
          <w:rStyle w:val="None"/>
          <w:sz w:val="24"/>
          <w:szCs w:val="24"/>
        </w:rPr>
        <w:t xml:space="preserve"> A change of perspective is needed here, shifting the focus from ‘borders’ as inexpugnable barriers to their conceptualisation as ‘points of contact’. Borders are a porous and </w:t>
      </w:r>
      <w:r>
        <w:rPr>
          <w:rStyle w:val="None"/>
          <w:i/>
          <w:iCs/>
          <w:sz w:val="24"/>
          <w:szCs w:val="24"/>
        </w:rPr>
        <w:t>creational</w:t>
      </w:r>
      <w:r>
        <w:rPr>
          <w:rStyle w:val="None"/>
          <w:sz w:val="24"/>
          <w:szCs w:val="24"/>
        </w:rPr>
        <w:t xml:space="preserve"> locus, a place where individuals are exposed to d</w:t>
      </w:r>
      <w:r>
        <w:rPr>
          <w:rStyle w:val="None"/>
          <w:sz w:val="24"/>
          <w:szCs w:val="24"/>
        </w:rPr>
        <w:t>ifferent encounters which transform the barrier in a ‘contact surface’.</w:t>
      </w:r>
      <w:r>
        <w:rPr>
          <w:rStyle w:val="None"/>
          <w:sz w:val="24"/>
          <w:szCs w:val="24"/>
          <w:vertAlign w:val="superscript"/>
          <w:lang w:val="it-IT"/>
        </w:rPr>
        <w:footnoteReference w:id="17"/>
      </w:r>
      <w:r>
        <w:rPr>
          <w:rStyle w:val="None"/>
          <w:sz w:val="24"/>
          <w:szCs w:val="24"/>
        </w:rPr>
        <w:t xml:space="preserve"> In this context, digital media are a liminal space where first strategies thought to overcome social, economic, cultural, political, gender constraints are set in place. The deploymen</w:t>
      </w:r>
      <w:r>
        <w:rPr>
          <w:rStyle w:val="None"/>
          <w:sz w:val="24"/>
          <w:szCs w:val="24"/>
        </w:rPr>
        <w:t>t of a postcolonial paradigm can help to avoid the risk of researching on these ‘new constellations of power’</w:t>
      </w:r>
      <w:r>
        <w:rPr>
          <w:rStyle w:val="None"/>
          <w:sz w:val="24"/>
          <w:szCs w:val="24"/>
          <w:vertAlign w:val="superscript"/>
          <w:lang w:val="it-IT"/>
        </w:rPr>
        <w:footnoteReference w:id="18"/>
      </w:r>
      <w:r>
        <w:rPr>
          <w:rStyle w:val="None"/>
          <w:sz w:val="24"/>
          <w:szCs w:val="24"/>
        </w:rPr>
        <w:t xml:space="preserve"> reducing the analysis on binary oppositions which inscribe diasporic digital practices merely as forms of empowerment/oppression following a West</w:t>
      </w:r>
      <w:r>
        <w:rPr>
          <w:rStyle w:val="None"/>
          <w:sz w:val="24"/>
          <w:szCs w:val="24"/>
        </w:rPr>
        <w:t>ern-centric approach to the study of media consumption,</w:t>
      </w:r>
      <w:r>
        <w:rPr>
          <w:rStyle w:val="None"/>
          <w:sz w:val="24"/>
          <w:szCs w:val="24"/>
          <w:vertAlign w:val="superscript"/>
        </w:rPr>
        <w:footnoteReference w:id="19"/>
      </w:r>
      <w:r>
        <w:rPr>
          <w:rStyle w:val="None"/>
          <w:sz w:val="24"/>
          <w:szCs w:val="24"/>
        </w:rPr>
        <w:t xml:space="preserve"> and hiding the complex, multiple and contextual ways through which different Subaltern voices emerge or are ‘permitted’ to emerge.</w:t>
      </w:r>
      <w:r>
        <w:rPr>
          <w:rStyle w:val="None"/>
          <w:sz w:val="24"/>
          <w:szCs w:val="24"/>
          <w:vertAlign w:val="superscript"/>
        </w:rPr>
        <w:footnoteReference w:id="20"/>
      </w:r>
    </w:p>
    <w:p w14:paraId="36E114F1" w14:textId="77777777" w:rsidR="001C14D5" w:rsidRDefault="00F80AA2">
      <w:pPr>
        <w:pStyle w:val="BodyA"/>
        <w:widowControl w:val="0"/>
        <w:suppressAutoHyphens/>
        <w:ind w:firstLine="567"/>
      </w:pPr>
      <w:r>
        <w:rPr>
          <w:rStyle w:val="None"/>
          <w:sz w:val="24"/>
          <w:szCs w:val="24"/>
        </w:rPr>
        <w:t>Of course, theory alone cannot explain the influence that digital c</w:t>
      </w:r>
      <w:r>
        <w:rPr>
          <w:rStyle w:val="None"/>
          <w:sz w:val="24"/>
          <w:szCs w:val="24"/>
        </w:rPr>
        <w:t>onnectedness has on the creation of diasporic subjectivities, which can only be inquired on the field, both online and offline. In this site, my  aim was specific, and merely interested in complicating the debate on digital media studies and migration, out</w:t>
      </w:r>
      <w:r>
        <w:rPr>
          <w:rStyle w:val="None"/>
          <w:sz w:val="24"/>
          <w:szCs w:val="24"/>
        </w:rPr>
        <w:t>lining some of the main conceptual frameworks that postcolonial theory gives to my research in order to discern the complex entanglement of power hierarchies, asymmetrical social relations and hegemonic discourses in studying digital media usage.</w:t>
      </w:r>
    </w:p>
    <w:sectPr w:rsidR="001C14D5">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22FE" w14:textId="77777777" w:rsidR="00F80AA2" w:rsidRDefault="00F80AA2">
      <w:r>
        <w:separator/>
      </w:r>
    </w:p>
  </w:endnote>
  <w:endnote w:type="continuationSeparator" w:id="0">
    <w:p w14:paraId="1A3DD1AE" w14:textId="77777777" w:rsidR="00F80AA2" w:rsidRDefault="00F8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2666C" w14:textId="77777777" w:rsidR="001C14D5" w:rsidRDefault="001C14D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D836B" w14:textId="77777777" w:rsidR="00F80AA2" w:rsidRDefault="00F80AA2">
      <w:r>
        <w:separator/>
      </w:r>
    </w:p>
  </w:footnote>
  <w:footnote w:type="continuationSeparator" w:id="0">
    <w:p w14:paraId="171DEE9E" w14:textId="77777777" w:rsidR="00F80AA2" w:rsidRDefault="00F80AA2">
      <w:r>
        <w:continuationSeparator/>
      </w:r>
    </w:p>
  </w:footnote>
  <w:footnote w:type="continuationNotice" w:id="1">
    <w:p w14:paraId="32AF54F3" w14:textId="77777777" w:rsidR="00F80AA2" w:rsidRDefault="00F80AA2"/>
  </w:footnote>
  <w:footnote w:id="2">
    <w:p w14:paraId="013662BA" w14:textId="77777777" w:rsidR="001C14D5" w:rsidRDefault="00F80AA2">
      <w:pPr>
        <w:pStyle w:val="Footnote"/>
        <w:jc w:val="both"/>
        <w:rPr>
          <w:rStyle w:val="None"/>
          <w:rFonts w:ascii="Times New Roman" w:eastAsia="Times New Roman" w:hAnsi="Times New Roman" w:cs="Times New Roman"/>
        </w:rPr>
      </w:pPr>
      <w:r>
        <w:rPr>
          <w:rStyle w:val="None"/>
          <w:sz w:val="24"/>
          <w:szCs w:val="24"/>
          <w:vertAlign w:val="superscript"/>
        </w:rPr>
        <w:footnoteRef/>
      </w:r>
      <w:r>
        <w:rPr>
          <w:rStyle w:val="None"/>
          <w:rFonts w:ascii="Times New Roman" w:hAnsi="Times New Roman"/>
        </w:rPr>
        <w:t xml:space="preserve"> The Guardian (2016) </w:t>
      </w:r>
      <w:r>
        <w:rPr>
          <w:rStyle w:val="None"/>
          <w:rFonts w:ascii="Times New Roman" w:hAnsi="Times New Roman"/>
        </w:rPr>
        <w:t>‘</w:t>
      </w:r>
      <w:r>
        <w:rPr>
          <w:rStyle w:val="None"/>
          <w:rFonts w:ascii="Times New Roman" w:hAnsi="Times New Roman"/>
        </w:rPr>
        <w:t>The Dark side of Guardian comments</w:t>
      </w:r>
      <w:r>
        <w:rPr>
          <w:rStyle w:val="None"/>
          <w:rFonts w:ascii="Times New Roman" w:hAnsi="Times New Roman"/>
        </w:rPr>
        <w:t xml:space="preserve">’ </w:t>
      </w:r>
    </w:p>
    <w:p w14:paraId="1E7618D1" w14:textId="77777777" w:rsidR="001C14D5" w:rsidRDefault="00F80AA2">
      <w:pPr>
        <w:pStyle w:val="Footnote"/>
        <w:jc w:val="both"/>
      </w:pPr>
      <w:r>
        <w:rPr>
          <w:rStyle w:val="None"/>
          <w:rFonts w:ascii="Times New Roman" w:hAnsi="Times New Roman"/>
        </w:rPr>
        <w:t>&lt;</w:t>
      </w:r>
      <w:hyperlink r:id="rId1" w:history="1">
        <w:r>
          <w:rPr>
            <w:rStyle w:val="Hyperlink0"/>
            <w:rFonts w:eastAsia="Helvetica"/>
          </w:rPr>
          <w:t>https://www.theguardian.com/</w:t>
        </w:r>
        <w:r>
          <w:rPr>
            <w:rStyle w:val="Hyperlink0"/>
            <w:rFonts w:eastAsia="Helvetica"/>
          </w:rPr>
          <w:t>technology/2016/apr/12/the-dark-side-of-guardian-comments</w:t>
        </w:r>
      </w:hyperlink>
      <w:r>
        <w:rPr>
          <w:rStyle w:val="None"/>
          <w:rFonts w:ascii="Times New Roman" w:hAnsi="Times New Roman"/>
        </w:rPr>
        <w:t>&gt;</w:t>
      </w:r>
    </w:p>
  </w:footnote>
  <w:footnote w:id="3">
    <w:p w14:paraId="33A2D9F4"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Ibidem</w:t>
      </w:r>
    </w:p>
  </w:footnote>
  <w:footnote w:id="4">
    <w:p w14:paraId="09902452"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Mar</w:t>
      </w:r>
      <w:r>
        <w:rPr>
          <w:rStyle w:val="None"/>
          <w:rFonts w:ascii="Times New Roman" w:hAnsi="Times New Roman"/>
        </w:rPr>
        <w:t>ì</w:t>
      </w:r>
      <w:r>
        <w:rPr>
          <w:rStyle w:val="None"/>
          <w:rFonts w:ascii="Times New Roman" w:hAnsi="Times New Roman"/>
        </w:rPr>
        <w:t>a Fern</w:t>
      </w:r>
      <w:r>
        <w:rPr>
          <w:rStyle w:val="None"/>
          <w:rFonts w:ascii="Times New Roman" w:hAnsi="Times New Roman"/>
        </w:rPr>
        <w:t>à</w:t>
      </w:r>
      <w:r>
        <w:rPr>
          <w:rStyle w:val="None"/>
          <w:rFonts w:ascii="Times New Roman" w:hAnsi="Times New Roman"/>
        </w:rPr>
        <w:t xml:space="preserve">ndez, </w:t>
      </w:r>
      <w:r>
        <w:rPr>
          <w:rStyle w:val="None"/>
          <w:rFonts w:ascii="Times New Roman" w:hAnsi="Times New Roman"/>
        </w:rPr>
        <w:t>‘</w:t>
      </w:r>
      <w:r>
        <w:rPr>
          <w:rStyle w:val="None"/>
          <w:rFonts w:ascii="Times New Roman" w:hAnsi="Times New Roman"/>
        </w:rPr>
        <w:t>Postcolonial Media Theory</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Art Journal</w:t>
      </w:r>
      <w:r>
        <w:rPr>
          <w:rStyle w:val="None"/>
          <w:rFonts w:ascii="Times New Roman" w:hAnsi="Times New Roman"/>
        </w:rPr>
        <w:t>, 58.3 (1999), 58-73</w:t>
      </w:r>
    </w:p>
  </w:footnote>
  <w:footnote w:id="5">
    <w:p w14:paraId="79CE223C"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Sandra Ponzanesi and Koen Leurs, </w:t>
      </w:r>
      <w:r>
        <w:rPr>
          <w:rStyle w:val="None"/>
          <w:rFonts w:ascii="Times New Roman" w:hAnsi="Times New Roman"/>
        </w:rPr>
        <w:t>‘</w:t>
      </w:r>
      <w:r>
        <w:rPr>
          <w:rStyle w:val="None"/>
          <w:rFonts w:ascii="Times New Roman" w:hAnsi="Times New Roman"/>
        </w:rPr>
        <w:t>On Digital Crossing in Europe</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 xml:space="preserve">Crossings, Journal of Migration and </w:t>
      </w:r>
      <w:r>
        <w:rPr>
          <w:rStyle w:val="None"/>
          <w:rFonts w:ascii="Times New Roman" w:hAnsi="Times New Roman"/>
          <w:i/>
          <w:iCs/>
        </w:rPr>
        <w:t>Culture</w:t>
      </w:r>
      <w:r>
        <w:rPr>
          <w:rStyle w:val="None"/>
          <w:rFonts w:ascii="Times New Roman" w:hAnsi="Times New Roman"/>
        </w:rPr>
        <w:t>, 5.1 (2014), 3-22</w:t>
      </w:r>
    </w:p>
  </w:footnote>
  <w:footnote w:id="6">
    <w:p w14:paraId="74044214"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For more information: http://www.digitaleurope.nl/</w:t>
      </w:r>
    </w:p>
  </w:footnote>
  <w:footnote w:id="7">
    <w:p w14:paraId="6267FF9C"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Pramod K. Nayar, </w:t>
      </w:r>
      <w:r>
        <w:rPr>
          <w:rStyle w:val="None"/>
          <w:rFonts w:ascii="Times New Roman" w:hAnsi="Times New Roman"/>
          <w:i/>
          <w:iCs/>
        </w:rPr>
        <w:t>An Introduction to New Media and Cybercultures</w:t>
      </w:r>
      <w:r>
        <w:rPr>
          <w:rStyle w:val="None"/>
          <w:rFonts w:ascii="Times New Roman" w:hAnsi="Times New Roman"/>
        </w:rPr>
        <w:t xml:space="preserve"> ( Oxford, UK: Wiley-Blackwell, 2010)</w:t>
      </w:r>
    </w:p>
  </w:footnote>
  <w:footnote w:id="8">
    <w:p w14:paraId="4AC5F7BC"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Radhika Gajjala, </w:t>
      </w:r>
      <w:r>
        <w:rPr>
          <w:rStyle w:val="None"/>
          <w:rFonts w:ascii="Times New Roman" w:hAnsi="Times New Roman"/>
        </w:rPr>
        <w:t>‘</w:t>
      </w:r>
      <w:r>
        <w:rPr>
          <w:rStyle w:val="None"/>
          <w:rFonts w:ascii="Times New Roman" w:hAnsi="Times New Roman"/>
        </w:rPr>
        <w:t>An Interrupted Postcolonial/Feminist Cyberethnography:</w:t>
      </w:r>
      <w:r>
        <w:rPr>
          <w:rStyle w:val="None"/>
          <w:rFonts w:ascii="Times New Roman" w:hAnsi="Times New Roman"/>
        </w:rPr>
        <w:t xml:space="preserve"> Complicity and Resistance in the </w:t>
      </w:r>
      <w:r>
        <w:rPr>
          <w:rStyle w:val="None"/>
          <w:rFonts w:ascii="Times New Roman" w:hAnsi="Times New Roman"/>
        </w:rPr>
        <w:t>“</w:t>
      </w:r>
      <w:r>
        <w:rPr>
          <w:rStyle w:val="None"/>
          <w:rFonts w:ascii="Times New Roman" w:hAnsi="Times New Roman"/>
        </w:rPr>
        <w:t>Cyberfield</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Feminist Media Studies</w:t>
      </w:r>
      <w:r>
        <w:rPr>
          <w:rStyle w:val="None"/>
          <w:rFonts w:ascii="Times New Roman" w:hAnsi="Times New Roman"/>
        </w:rPr>
        <w:t>, 2.2 (2002), 177-193</w:t>
      </w:r>
    </w:p>
  </w:footnote>
  <w:footnote w:id="9">
    <w:p w14:paraId="27BDCF00"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Mirca Madianou, </w:t>
      </w:r>
      <w:r>
        <w:rPr>
          <w:rStyle w:val="None"/>
          <w:rFonts w:ascii="Times New Roman" w:hAnsi="Times New Roman"/>
        </w:rPr>
        <w:t>‘</w:t>
      </w:r>
      <w:r>
        <w:rPr>
          <w:rStyle w:val="None"/>
          <w:rFonts w:ascii="Times New Roman" w:hAnsi="Times New Roman"/>
        </w:rPr>
        <w:t>Migration and the Accentuated Ambivalence of motherhood: the role of ICTs in Filipino transnational families</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Global Networks</w:t>
      </w:r>
      <w:r>
        <w:rPr>
          <w:rStyle w:val="None"/>
          <w:rFonts w:ascii="Times New Roman" w:hAnsi="Times New Roman"/>
        </w:rPr>
        <w:t>, 12.3 (2012), 277</w:t>
      </w:r>
      <w:r>
        <w:rPr>
          <w:rStyle w:val="None"/>
          <w:rFonts w:ascii="Times New Roman" w:hAnsi="Times New Roman"/>
        </w:rPr>
        <w:t>-295</w:t>
      </w:r>
    </w:p>
  </w:footnote>
  <w:footnote w:id="10">
    <w:p w14:paraId="37BAF576"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Etienne Balibar</w:t>
      </w:r>
      <w:r>
        <w:rPr>
          <w:rStyle w:val="None"/>
          <w:rFonts w:ascii="Times New Roman" w:hAnsi="Times New Roman"/>
          <w:lang w:val="de-DE"/>
        </w:rPr>
        <w:t xml:space="preserve"> and </w:t>
      </w:r>
      <w:r>
        <w:rPr>
          <w:rStyle w:val="None"/>
          <w:rFonts w:ascii="Times New Roman" w:hAnsi="Times New Roman"/>
        </w:rPr>
        <w:t>Immanuel</w:t>
      </w:r>
      <w:r>
        <w:rPr>
          <w:rStyle w:val="None"/>
          <w:rFonts w:ascii="Times New Roman" w:hAnsi="Times New Roman"/>
          <w:lang w:val="de-DE"/>
        </w:rPr>
        <w:t xml:space="preserve"> Wallerstein</w:t>
      </w:r>
      <w:r>
        <w:rPr>
          <w:rStyle w:val="None"/>
          <w:rFonts w:ascii="Times New Roman" w:hAnsi="Times New Roman"/>
        </w:rPr>
        <w:t xml:space="preserve">, </w:t>
      </w:r>
      <w:r>
        <w:rPr>
          <w:rStyle w:val="None"/>
          <w:rFonts w:ascii="Times New Roman" w:hAnsi="Times New Roman"/>
          <w:i/>
          <w:iCs/>
        </w:rPr>
        <w:t xml:space="preserve">Race, Nation, Class: Ambiguous Identities </w:t>
      </w:r>
      <w:r>
        <w:rPr>
          <w:rStyle w:val="None"/>
          <w:rFonts w:ascii="Times New Roman" w:hAnsi="Times New Roman"/>
        </w:rPr>
        <w:t>(</w:t>
      </w:r>
      <w:r>
        <w:rPr>
          <w:rStyle w:val="None"/>
          <w:rFonts w:ascii="Times New Roman" w:hAnsi="Times New Roman"/>
          <w:lang w:val="de-DE"/>
        </w:rPr>
        <w:t>London, NY: Verso</w:t>
      </w:r>
      <w:r>
        <w:rPr>
          <w:rStyle w:val="None"/>
          <w:rFonts w:ascii="Times New Roman" w:hAnsi="Times New Roman"/>
        </w:rPr>
        <w:t>, 1991)</w:t>
      </w:r>
    </w:p>
  </w:footnote>
  <w:footnote w:id="11">
    <w:p w14:paraId="1A678E21"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Avtar Brah. </w:t>
      </w:r>
      <w:r>
        <w:rPr>
          <w:rStyle w:val="None"/>
          <w:rFonts w:ascii="Times New Roman" w:hAnsi="Times New Roman"/>
          <w:i/>
          <w:iCs/>
        </w:rPr>
        <w:t>Cartographies of Diaspora. Contesting Identities</w:t>
      </w:r>
      <w:r>
        <w:rPr>
          <w:rStyle w:val="None"/>
          <w:rFonts w:ascii="Times New Roman" w:hAnsi="Times New Roman"/>
        </w:rPr>
        <w:t>. (London, NY: Routledge, 1996): 198</w:t>
      </w:r>
    </w:p>
  </w:footnote>
  <w:footnote w:id="12">
    <w:p w14:paraId="11C44ECC"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Dana Diminescu, </w:t>
      </w:r>
      <w:r>
        <w:rPr>
          <w:rStyle w:val="None"/>
          <w:rFonts w:ascii="Times New Roman" w:hAnsi="Times New Roman"/>
        </w:rPr>
        <w:t>‘</w:t>
      </w:r>
      <w:r>
        <w:rPr>
          <w:rStyle w:val="None"/>
          <w:rFonts w:ascii="Times New Roman" w:hAnsi="Times New Roman"/>
        </w:rPr>
        <w:t xml:space="preserve">The Connected </w:t>
      </w:r>
      <w:r>
        <w:rPr>
          <w:rStyle w:val="None"/>
          <w:rFonts w:ascii="Times New Roman" w:hAnsi="Times New Roman"/>
        </w:rPr>
        <w:t>Migrant: An Epistemological Manifesto</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Social Science Information</w:t>
      </w:r>
      <w:r>
        <w:rPr>
          <w:rStyle w:val="None"/>
          <w:rFonts w:ascii="Times New Roman" w:hAnsi="Times New Roman"/>
        </w:rPr>
        <w:t>, 47.4 (2008), 565-579</w:t>
      </w:r>
    </w:p>
  </w:footnote>
  <w:footnote w:id="13">
    <w:p w14:paraId="330FB48A"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Judy Wajcman, </w:t>
      </w:r>
      <w:r>
        <w:rPr>
          <w:rStyle w:val="None"/>
          <w:rFonts w:ascii="Times New Roman" w:hAnsi="Times New Roman"/>
        </w:rPr>
        <w:t>‘</w:t>
      </w:r>
      <w:r>
        <w:rPr>
          <w:rStyle w:val="None"/>
          <w:rFonts w:ascii="Times New Roman" w:hAnsi="Times New Roman"/>
        </w:rPr>
        <w:t>From Women and Technology to Gendered Technoscience</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Information, Communication &amp; Society</w:t>
      </w:r>
      <w:r>
        <w:rPr>
          <w:rStyle w:val="None"/>
          <w:rFonts w:ascii="Times New Roman" w:hAnsi="Times New Roman"/>
        </w:rPr>
        <w:t>, 10.3 (2007), 287-298</w:t>
      </w:r>
    </w:p>
  </w:footnote>
  <w:footnote w:id="14">
    <w:p w14:paraId="7C8DD018"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Lisa Nakamura, Peter A. Chow-White</w:t>
      </w:r>
      <w:r>
        <w:rPr>
          <w:rStyle w:val="None"/>
          <w:rFonts w:ascii="Times New Roman" w:hAnsi="Times New Roman"/>
        </w:rPr>
        <w:t xml:space="preserve">, </w:t>
      </w:r>
      <w:r>
        <w:rPr>
          <w:rStyle w:val="None"/>
          <w:rFonts w:ascii="Times New Roman" w:hAnsi="Times New Roman"/>
          <w:i/>
          <w:iCs/>
        </w:rPr>
        <w:t xml:space="preserve">Race after the Internet </w:t>
      </w:r>
      <w:r>
        <w:rPr>
          <w:rStyle w:val="None"/>
          <w:rFonts w:ascii="Times New Roman" w:hAnsi="Times New Roman"/>
        </w:rPr>
        <w:t xml:space="preserve">(New York: Routledge, 2002); Radhika Gajjala (ed.) </w:t>
      </w:r>
      <w:r>
        <w:rPr>
          <w:rStyle w:val="None"/>
          <w:rFonts w:ascii="Times New Roman" w:hAnsi="Times New Roman"/>
          <w:i/>
          <w:iCs/>
        </w:rPr>
        <w:t>Cyberculture and the Subaltern: Weavings of the Virtual and Real.</w:t>
      </w:r>
      <w:r>
        <w:rPr>
          <w:rStyle w:val="None"/>
          <w:rFonts w:ascii="Times New Roman" w:hAnsi="Times New Roman"/>
          <w:lang w:val="pt-PT"/>
        </w:rPr>
        <w:t xml:space="preserve"> </w:t>
      </w:r>
      <w:r>
        <w:rPr>
          <w:rStyle w:val="None"/>
          <w:rFonts w:ascii="Times New Roman" w:hAnsi="Times New Roman"/>
        </w:rPr>
        <w:t>(</w:t>
      </w:r>
      <w:r>
        <w:rPr>
          <w:rStyle w:val="None"/>
          <w:rFonts w:ascii="Times New Roman" w:hAnsi="Times New Roman"/>
          <w:lang w:val="pt-PT"/>
        </w:rPr>
        <w:t>Lanham, MD:</w:t>
      </w:r>
      <w:r>
        <w:rPr>
          <w:rStyle w:val="None"/>
          <w:rFonts w:ascii="Times New Roman" w:hAnsi="Times New Roman"/>
        </w:rPr>
        <w:t xml:space="preserve"> Lexington Books, 2013)</w:t>
      </w:r>
    </w:p>
  </w:footnote>
  <w:footnote w:id="15">
    <w:p w14:paraId="6775313C"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Gayatri Ch. Spivak, </w:t>
      </w:r>
      <w:r>
        <w:rPr>
          <w:rStyle w:val="None"/>
          <w:rFonts w:ascii="Times New Roman" w:hAnsi="Times New Roman"/>
        </w:rPr>
        <w:t>‘</w:t>
      </w:r>
      <w:r>
        <w:rPr>
          <w:rStyle w:val="None"/>
          <w:rFonts w:ascii="Times New Roman" w:hAnsi="Times New Roman"/>
        </w:rPr>
        <w:t>Can the Subaltern Speak?</w:t>
      </w:r>
      <w:r>
        <w:rPr>
          <w:rStyle w:val="None"/>
          <w:rFonts w:ascii="Times New Roman" w:hAnsi="Times New Roman"/>
        </w:rPr>
        <w:t xml:space="preserve">’ </w:t>
      </w:r>
      <w:r>
        <w:rPr>
          <w:rStyle w:val="None"/>
          <w:rFonts w:ascii="Times New Roman" w:hAnsi="Times New Roman"/>
        </w:rPr>
        <w:t>in Cary Nelson &amp; Lawrence Gr</w:t>
      </w:r>
      <w:r>
        <w:rPr>
          <w:rStyle w:val="None"/>
          <w:rFonts w:ascii="Times New Roman" w:hAnsi="Times New Roman"/>
        </w:rPr>
        <w:t xml:space="preserve">ossberg (eds) </w:t>
      </w:r>
      <w:r>
        <w:rPr>
          <w:rStyle w:val="None"/>
          <w:rFonts w:ascii="Times New Roman" w:hAnsi="Times New Roman"/>
          <w:i/>
          <w:iCs/>
        </w:rPr>
        <w:t>Marxism and the Interpretation of Culture</w:t>
      </w:r>
      <w:r>
        <w:rPr>
          <w:rStyle w:val="None"/>
          <w:rFonts w:ascii="Times New Roman" w:hAnsi="Times New Roman"/>
        </w:rPr>
        <w:t xml:space="preserve"> (Basingstoke: Macmillan, 1988)</w:t>
      </w:r>
    </w:p>
  </w:footnote>
  <w:footnote w:id="16">
    <w:p w14:paraId="15EEC934"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R. Gajjala (ed.) </w:t>
      </w:r>
      <w:r>
        <w:rPr>
          <w:rStyle w:val="None"/>
          <w:rFonts w:ascii="Times New Roman" w:hAnsi="Times New Roman"/>
          <w:i/>
          <w:iCs/>
        </w:rPr>
        <w:t>Cyberculture and the Subaltern</w:t>
      </w:r>
      <w:r>
        <w:rPr>
          <w:rStyle w:val="None"/>
          <w:rFonts w:ascii="Times New Roman" w:hAnsi="Times New Roman"/>
        </w:rPr>
        <w:t>.</w:t>
      </w:r>
    </w:p>
  </w:footnote>
  <w:footnote w:id="17">
    <w:p w14:paraId="04A993C8"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Maurice Merleau-Ponty, </w:t>
      </w:r>
      <w:r>
        <w:rPr>
          <w:rStyle w:val="None"/>
          <w:rFonts w:ascii="Times New Roman" w:hAnsi="Times New Roman"/>
          <w:i/>
          <w:iCs/>
        </w:rPr>
        <w:t xml:space="preserve">The Visible and the Invisible </w:t>
      </w:r>
      <w:r>
        <w:rPr>
          <w:rStyle w:val="None"/>
          <w:rFonts w:ascii="Times New Roman" w:hAnsi="Times New Roman"/>
        </w:rPr>
        <w:t xml:space="preserve">(Evanston: Northwestern University </w:t>
      </w:r>
      <w:r>
        <w:rPr>
          <w:rStyle w:val="None"/>
          <w:rFonts w:ascii="Times New Roman" w:hAnsi="Times New Roman"/>
          <w:lang w:val="pt-PT"/>
        </w:rPr>
        <w:t>Press</w:t>
      </w:r>
      <w:r>
        <w:rPr>
          <w:rStyle w:val="None"/>
          <w:rFonts w:ascii="Times New Roman" w:hAnsi="Times New Roman"/>
        </w:rPr>
        <w:t>, 1968)</w:t>
      </w:r>
    </w:p>
  </w:footnote>
  <w:footnote w:id="18">
    <w:p w14:paraId="7897027F"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Mirjam de Bru</w:t>
      </w:r>
      <w:r>
        <w:rPr>
          <w:rStyle w:val="None"/>
          <w:rFonts w:ascii="Times New Roman" w:hAnsi="Times New Roman"/>
        </w:rPr>
        <w:t>jin</w:t>
      </w:r>
      <w:r>
        <w:rPr>
          <w:rStyle w:val="None"/>
          <w:rFonts w:ascii="Times New Roman" w:hAnsi="Times New Roman"/>
          <w:lang w:val="nl-NL"/>
        </w:rPr>
        <w:t xml:space="preserve"> and R</w:t>
      </w:r>
      <w:r>
        <w:rPr>
          <w:rStyle w:val="None"/>
          <w:rFonts w:ascii="Times New Roman" w:hAnsi="Times New Roman"/>
        </w:rPr>
        <w:t>ijk</w:t>
      </w:r>
      <w:r>
        <w:rPr>
          <w:rStyle w:val="None"/>
          <w:rFonts w:ascii="Times New Roman" w:hAnsi="Times New Roman"/>
          <w:lang w:val="nl-NL"/>
        </w:rPr>
        <w:t xml:space="preserve"> van Dijk</w:t>
      </w:r>
      <w:r>
        <w:rPr>
          <w:rStyle w:val="None"/>
          <w:rFonts w:ascii="Times New Roman" w:hAnsi="Times New Roman"/>
        </w:rPr>
        <w:t xml:space="preserve">. </w:t>
      </w:r>
      <w:r>
        <w:rPr>
          <w:rStyle w:val="None"/>
          <w:rFonts w:ascii="Times New Roman" w:hAnsi="Times New Roman"/>
        </w:rPr>
        <w:t>‘</w:t>
      </w:r>
      <w:r>
        <w:rPr>
          <w:rStyle w:val="None"/>
          <w:rFonts w:ascii="Times New Roman" w:hAnsi="Times New Roman"/>
        </w:rPr>
        <w:t xml:space="preserve">Connecting and Change in African Societies: Examples of </w:t>
      </w:r>
      <w:r>
        <w:rPr>
          <w:rStyle w:val="None"/>
          <w:rFonts w:ascii="Times New Roman" w:hAnsi="Times New Roman"/>
        </w:rPr>
        <w:t>“</w:t>
      </w:r>
      <w:r>
        <w:rPr>
          <w:rStyle w:val="None"/>
          <w:rFonts w:ascii="Times New Roman" w:hAnsi="Times New Roman"/>
        </w:rPr>
        <w:t>Ethnographies of Linking</w:t>
      </w:r>
      <w:r>
        <w:rPr>
          <w:rStyle w:val="None"/>
          <w:rFonts w:ascii="Times New Roman" w:hAnsi="Times New Roman"/>
        </w:rPr>
        <w:t xml:space="preserve">” </w:t>
      </w:r>
      <w:r>
        <w:rPr>
          <w:rStyle w:val="None"/>
          <w:rFonts w:ascii="Times New Roman" w:hAnsi="Times New Roman"/>
        </w:rPr>
        <w:t>in Anthropology</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Anthropologica</w:t>
      </w:r>
      <w:r>
        <w:rPr>
          <w:rStyle w:val="None"/>
          <w:rFonts w:ascii="Times New Roman" w:hAnsi="Times New Roman"/>
        </w:rPr>
        <w:t>, 54.1 (2012), 45-59</w:t>
      </w:r>
    </w:p>
  </w:footnote>
  <w:footnote w:id="19">
    <w:p w14:paraId="5447ADBC"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Raka Shome, </w:t>
      </w:r>
      <w:r>
        <w:rPr>
          <w:rStyle w:val="None"/>
          <w:rFonts w:ascii="Times New Roman" w:hAnsi="Times New Roman"/>
        </w:rPr>
        <w:t>‘</w:t>
      </w:r>
      <w:r>
        <w:rPr>
          <w:rStyle w:val="None"/>
          <w:rFonts w:ascii="Times New Roman" w:hAnsi="Times New Roman"/>
        </w:rPr>
        <w:t>When Postcolonial studies meets media studies</w:t>
      </w:r>
      <w:r>
        <w:rPr>
          <w:rStyle w:val="None"/>
          <w:rFonts w:ascii="Times New Roman" w:hAnsi="Times New Roman"/>
        </w:rPr>
        <w:t>’</w:t>
      </w:r>
      <w:r>
        <w:rPr>
          <w:rStyle w:val="None"/>
          <w:rFonts w:ascii="Times New Roman" w:hAnsi="Times New Roman"/>
        </w:rPr>
        <w:t xml:space="preserve">, </w:t>
      </w:r>
      <w:r>
        <w:rPr>
          <w:rStyle w:val="None"/>
          <w:rFonts w:ascii="Times New Roman" w:hAnsi="Times New Roman"/>
          <w:i/>
          <w:iCs/>
        </w:rPr>
        <w:t xml:space="preserve">Critical Studies in Media Communication, </w:t>
      </w:r>
      <w:r>
        <w:rPr>
          <w:rStyle w:val="None"/>
          <w:rFonts w:ascii="Times New Roman" w:hAnsi="Times New Roman"/>
        </w:rPr>
        <w:t>33.3 (2016), 245-263</w:t>
      </w:r>
    </w:p>
  </w:footnote>
  <w:footnote w:id="20">
    <w:p w14:paraId="5CE0D8D7" w14:textId="77777777" w:rsidR="001C14D5" w:rsidRDefault="00F80AA2">
      <w:pPr>
        <w:pStyle w:val="Footnote"/>
        <w:jc w:val="both"/>
      </w:pPr>
      <w:r>
        <w:rPr>
          <w:rStyle w:val="None"/>
          <w:sz w:val="24"/>
          <w:szCs w:val="24"/>
          <w:vertAlign w:val="superscript"/>
        </w:rPr>
        <w:footnoteRef/>
      </w:r>
      <w:r>
        <w:rPr>
          <w:rStyle w:val="None"/>
          <w:rFonts w:ascii="Times New Roman" w:hAnsi="Times New Roman"/>
        </w:rPr>
        <w:t xml:space="preserve"> R. Gajjala (ed.) </w:t>
      </w:r>
      <w:r>
        <w:rPr>
          <w:rStyle w:val="None"/>
          <w:rFonts w:ascii="Times New Roman" w:hAnsi="Times New Roman"/>
          <w:i/>
          <w:iCs/>
        </w:rPr>
        <w:t>Cyberculture and the Subaltern.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8C74" w14:textId="77777777" w:rsidR="001C14D5" w:rsidRDefault="001C14D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hideSpellingErrors/>
  <w:hideGrammaticalErrors/>
  <w:revisionView w:formatting="0"/>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D5"/>
    <w:rsid w:val="001C14D5"/>
    <w:rsid w:val="00AA5D1C"/>
    <w:rsid w:val="00F80AA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9E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line="360" w:lineRule="auto"/>
      <w:jc w:val="both"/>
    </w:pPr>
    <w:rPr>
      <w:rFonts w:cs="Arial Unicode MS"/>
      <w:color w:val="000000"/>
      <w:sz w:val="26"/>
      <w:szCs w:val="26"/>
      <w:u w:color="000000"/>
      <w:lang w:val="it-IT"/>
    </w:rPr>
  </w:style>
  <w:style w:type="character" w:customStyle="1" w:styleId="None">
    <w:name w:val="None"/>
    <w:rPr>
      <w:lang w:val="en-US"/>
    </w:rPr>
  </w:style>
  <w:style w:type="paragraph" w:customStyle="1" w:styleId="Footnote">
    <w:name w:val="Footnote"/>
    <w:rPr>
      <w:rFonts w:ascii="Helvetica" w:eastAsia="Helvetica" w:hAnsi="Helvetica" w:cs="Helvetica"/>
      <w:color w:val="000000"/>
      <w:u w:color="000000"/>
      <w:lang w:val="it-IT"/>
    </w:rPr>
  </w:style>
  <w:style w:type="character" w:customStyle="1" w:styleId="Hyperlink0">
    <w:name w:val="Hyperlink.0"/>
    <w:basedOn w:val="None"/>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technology/2016/apr/12/the-dark-side-of-guardian-comment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5209</Characters>
  <Application>Microsoft Macintosh Word</Application>
  <DocSecurity>0</DocSecurity>
  <Lines>43</Lines>
  <Paragraphs>12</Paragraphs>
  <ScaleCrop>false</ScaleCrop>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Omerovic, E. (Ena)</cp:lastModifiedBy>
  <cp:revision>2</cp:revision>
  <dcterms:created xsi:type="dcterms:W3CDTF">2018-09-28T13:21:00Z</dcterms:created>
  <dcterms:modified xsi:type="dcterms:W3CDTF">2018-09-28T13:21:00Z</dcterms:modified>
</cp:coreProperties>
</file>