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D3" w:rsidRPr="009E03B6" w:rsidRDefault="00B030A6">
      <w:pPr>
        <w:numPr>
          <w:ilvl w:val="0"/>
          <w:numId w:val="6"/>
        </w:numPr>
        <w:jc w:val="both"/>
        <w:rPr>
          <w:rFonts w:asciiTheme="minorHAnsi" w:hAnsiTheme="minorHAnsi" w:cs="Arial"/>
          <w:b/>
        </w:rPr>
      </w:pPr>
      <w:r w:rsidRPr="009E03B6">
        <w:rPr>
          <w:rFonts w:asciiTheme="minorHAnsi" w:hAnsiTheme="minorHAnsi" w:cs="Arial"/>
          <w:b/>
          <w:bCs/>
        </w:rPr>
        <w:t>Anwendungsbereich</w:t>
      </w:r>
    </w:p>
    <w:p w:rsidR="009859D3" w:rsidRPr="009E03B6" w:rsidRDefault="00B030A6" w:rsidP="009E03B6">
      <w:pPr>
        <w:ind w:left="709"/>
        <w:jc w:val="both"/>
        <w:rPr>
          <w:rFonts w:asciiTheme="minorHAnsi" w:hAnsiTheme="minorHAnsi"/>
        </w:rPr>
      </w:pPr>
      <w:r w:rsidRPr="009E03B6">
        <w:rPr>
          <w:rFonts w:asciiTheme="minorHAnsi" w:hAnsiTheme="minorHAnsi"/>
          <w:i/>
          <w:iCs/>
        </w:rPr>
        <w:t>Dieses Dokument beschreibt die Anforderungen an die Entnahme vo</w:t>
      </w:r>
      <w:r w:rsidR="00D5632E">
        <w:rPr>
          <w:rFonts w:asciiTheme="minorHAnsi" w:hAnsiTheme="minorHAnsi"/>
          <w:i/>
          <w:iCs/>
        </w:rPr>
        <w:t>n Primärproben unter besonderer</w:t>
      </w:r>
      <w:r w:rsidRPr="009E03B6">
        <w:rPr>
          <w:rFonts w:asciiTheme="minorHAnsi" w:hAnsiTheme="minorHAnsi"/>
          <w:i/>
          <w:iCs/>
        </w:rPr>
        <w:t xml:space="preserve"> Berücksichtigung der Präanalytik für Bioproben.</w:t>
      </w:r>
    </w:p>
    <w:p w:rsidR="009859D3" w:rsidRPr="009E03B6" w:rsidRDefault="00B030A6" w:rsidP="009E03B6">
      <w:pPr>
        <w:ind w:left="709"/>
        <w:jc w:val="both"/>
        <w:rPr>
          <w:rFonts w:asciiTheme="minorHAnsi" w:hAnsiTheme="minorHAnsi"/>
        </w:rPr>
      </w:pPr>
      <w:r w:rsidRPr="009E03B6">
        <w:rPr>
          <w:rFonts w:asciiTheme="minorHAnsi" w:hAnsiTheme="minorHAnsi"/>
          <w:i/>
          <w:iCs/>
        </w:rPr>
        <w:t>Die Biobank ist verpflichtet, in enger Kooperation mit der jeweilig assoziierten Pathologie, die Mitarbeiter der für die Probenentnahme verantwortlichen Einrichtung regelmäßig bezüglich der zu dokumentierenden qualitätsrelevanten präanalytischen Parameter von Primärproben zu schulen.</w:t>
      </w:r>
    </w:p>
    <w:p w:rsidR="009859D3" w:rsidRPr="009E03B6" w:rsidRDefault="009859D3">
      <w:pPr>
        <w:jc w:val="both"/>
        <w:rPr>
          <w:rFonts w:asciiTheme="minorHAnsi" w:hAnsiTheme="minorHAnsi"/>
        </w:rPr>
      </w:pPr>
    </w:p>
    <w:p w:rsidR="009859D3" w:rsidRPr="009E03B6" w:rsidRDefault="009859D3">
      <w:pPr>
        <w:jc w:val="both"/>
        <w:rPr>
          <w:rFonts w:asciiTheme="minorHAnsi" w:hAnsiTheme="minorHAnsi"/>
          <w:i/>
          <w:iCs/>
        </w:rPr>
      </w:pPr>
    </w:p>
    <w:p w:rsidR="009859D3" w:rsidRPr="009E03B6" w:rsidRDefault="00B030A6" w:rsidP="006D4CBD">
      <w:pPr>
        <w:numPr>
          <w:ilvl w:val="0"/>
          <w:numId w:val="6"/>
        </w:numPr>
        <w:jc w:val="both"/>
        <w:rPr>
          <w:rFonts w:asciiTheme="minorHAnsi" w:hAnsiTheme="minorHAnsi" w:cs="Arial"/>
          <w:b/>
          <w:bCs/>
        </w:rPr>
      </w:pPr>
      <w:r w:rsidRPr="009E03B6">
        <w:rPr>
          <w:rFonts w:asciiTheme="minorHAnsi" w:hAnsiTheme="minorHAnsi" w:cs="Arial"/>
          <w:b/>
          <w:bCs/>
        </w:rPr>
        <w:t>Zuständigkeiten</w:t>
      </w:r>
    </w:p>
    <w:p w:rsidR="009859D3" w:rsidRPr="009E03B6" w:rsidRDefault="00B030A6" w:rsidP="009E03B6">
      <w:pPr>
        <w:ind w:left="709"/>
        <w:jc w:val="both"/>
        <w:rPr>
          <w:rFonts w:asciiTheme="minorHAnsi" w:hAnsiTheme="minorHAnsi"/>
        </w:rPr>
      </w:pPr>
      <w:r w:rsidRPr="009E03B6">
        <w:rPr>
          <w:rFonts w:asciiTheme="minorHAnsi" w:hAnsiTheme="minorHAnsi"/>
          <w:i/>
          <w:iCs/>
        </w:rPr>
        <w:t>Nennung der für den Prozess zuständigen und verantwortlichen Personen (Funktionsbeschreibung, keine Namen, siehe auch separat anzufertigende „Verantwortlichkeitsmatrix“)</w:t>
      </w:r>
    </w:p>
    <w:p w:rsidR="009859D3" w:rsidRPr="009E03B6" w:rsidRDefault="00B030A6" w:rsidP="009E03B6">
      <w:pPr>
        <w:ind w:left="709"/>
        <w:jc w:val="both"/>
        <w:rPr>
          <w:rFonts w:asciiTheme="minorHAnsi" w:hAnsiTheme="minorHAnsi"/>
        </w:rPr>
      </w:pPr>
      <w:r w:rsidRPr="009E03B6">
        <w:rPr>
          <w:rFonts w:asciiTheme="minorHAnsi" w:hAnsiTheme="minorHAnsi"/>
          <w:b/>
          <w:bCs/>
          <w:color w:val="FF0000"/>
        </w:rPr>
        <w:t>Leitung der Biobank</w:t>
      </w:r>
    </w:p>
    <w:p w:rsidR="009859D3" w:rsidRPr="009E03B6" w:rsidRDefault="00B030A6" w:rsidP="009E03B6">
      <w:pPr>
        <w:ind w:left="709"/>
        <w:jc w:val="both"/>
        <w:rPr>
          <w:rFonts w:asciiTheme="minorHAnsi" w:hAnsiTheme="minorHAnsi"/>
        </w:rPr>
      </w:pPr>
      <w:r w:rsidRPr="009E03B6">
        <w:rPr>
          <w:rFonts w:asciiTheme="minorHAnsi" w:hAnsiTheme="minorHAnsi"/>
          <w:b/>
          <w:bCs/>
          <w:color w:val="FF0000"/>
        </w:rPr>
        <w:t>Verantwortlicher der assoziierten Einrichtung</w:t>
      </w:r>
    </w:p>
    <w:p w:rsidR="009859D3" w:rsidRPr="009E03B6" w:rsidRDefault="00B030A6" w:rsidP="009E03B6">
      <w:pPr>
        <w:ind w:left="709"/>
        <w:jc w:val="both"/>
        <w:rPr>
          <w:rFonts w:asciiTheme="minorHAnsi" w:hAnsiTheme="minorHAnsi"/>
        </w:rPr>
      </w:pPr>
      <w:r w:rsidRPr="009E03B6">
        <w:rPr>
          <w:rFonts w:asciiTheme="minorHAnsi" w:hAnsiTheme="minorHAnsi"/>
          <w:b/>
          <w:bCs/>
          <w:color w:val="FF0000"/>
        </w:rPr>
        <w:t>Leitung der Pathologie</w:t>
      </w:r>
    </w:p>
    <w:p w:rsidR="009859D3" w:rsidRPr="009E03B6" w:rsidRDefault="00B030A6" w:rsidP="009E03B6">
      <w:pPr>
        <w:ind w:left="709"/>
        <w:rPr>
          <w:rFonts w:asciiTheme="minorHAnsi" w:hAnsiTheme="minorHAnsi"/>
          <w:i/>
        </w:rPr>
      </w:pPr>
      <w:r w:rsidRPr="009E03B6">
        <w:rPr>
          <w:rFonts w:asciiTheme="minorHAnsi" w:hAnsiTheme="minorHAnsi"/>
          <w:i/>
          <w:color w:val="000000"/>
        </w:rPr>
        <w:t>Die Biobank und die mit ihr assoziierten Einrichtungen müssen die prozessrelevanten Zuständigkeiten kommunizieren, festlegen und dokumentieren</w:t>
      </w:r>
    </w:p>
    <w:p w:rsidR="009859D3" w:rsidRPr="009E03B6" w:rsidRDefault="00B030A6" w:rsidP="009E03B6">
      <w:pPr>
        <w:pStyle w:val="Listenabsatz"/>
        <w:numPr>
          <w:ilvl w:val="0"/>
          <w:numId w:val="13"/>
        </w:numPr>
        <w:ind w:left="993" w:firstLine="0"/>
        <w:rPr>
          <w:rFonts w:asciiTheme="minorHAnsi" w:hAnsiTheme="minorHAnsi"/>
          <w:i/>
        </w:rPr>
      </w:pPr>
      <w:r w:rsidRPr="009E03B6">
        <w:rPr>
          <w:rFonts w:asciiTheme="minorHAnsi" w:hAnsiTheme="minorHAnsi"/>
          <w:i/>
          <w:color w:val="000000"/>
        </w:rPr>
        <w:t>Projektplanung</w:t>
      </w:r>
    </w:p>
    <w:p w:rsidR="009859D3" w:rsidRPr="009E03B6" w:rsidRDefault="00B030A6" w:rsidP="009E03B6">
      <w:pPr>
        <w:pStyle w:val="Listenabsatz"/>
        <w:numPr>
          <w:ilvl w:val="0"/>
          <w:numId w:val="13"/>
        </w:numPr>
        <w:ind w:left="1418" w:hanging="425"/>
        <w:rPr>
          <w:rFonts w:asciiTheme="minorHAnsi" w:hAnsiTheme="minorHAnsi"/>
          <w:i/>
        </w:rPr>
      </w:pPr>
      <w:r w:rsidRPr="009E03B6">
        <w:rPr>
          <w:rFonts w:asciiTheme="minorHAnsi" w:hAnsiTheme="minorHAnsi"/>
          <w:i/>
          <w:color w:val="000000"/>
        </w:rPr>
        <w:t>Aufklärungsmanagement (Einholung und Kontrolle der entsprechenden Einverständniserklärungen)</w:t>
      </w:r>
    </w:p>
    <w:p w:rsidR="009859D3" w:rsidRPr="009E03B6" w:rsidRDefault="00B030A6" w:rsidP="009E03B6">
      <w:pPr>
        <w:pStyle w:val="Listenabsatz"/>
        <w:numPr>
          <w:ilvl w:val="0"/>
          <w:numId w:val="13"/>
        </w:numPr>
        <w:ind w:left="993" w:firstLine="0"/>
        <w:rPr>
          <w:rFonts w:asciiTheme="minorHAnsi" w:hAnsiTheme="minorHAnsi"/>
          <w:i/>
        </w:rPr>
      </w:pPr>
      <w:r w:rsidRPr="009E03B6">
        <w:rPr>
          <w:rFonts w:asciiTheme="minorHAnsi" w:hAnsiTheme="minorHAnsi"/>
          <w:i/>
          <w:color w:val="000000"/>
        </w:rPr>
        <w:t>Probennahme (Schulung, Autorisierung, Durchführung)</w:t>
      </w:r>
    </w:p>
    <w:p w:rsidR="009859D3" w:rsidRPr="009E03B6" w:rsidRDefault="00B030A6" w:rsidP="009E03B6">
      <w:pPr>
        <w:pStyle w:val="Listenabsatz"/>
        <w:numPr>
          <w:ilvl w:val="0"/>
          <w:numId w:val="13"/>
        </w:numPr>
        <w:ind w:left="993" w:firstLine="0"/>
        <w:rPr>
          <w:rFonts w:asciiTheme="minorHAnsi" w:hAnsiTheme="minorHAnsi"/>
          <w:i/>
        </w:rPr>
      </w:pPr>
      <w:r w:rsidRPr="009E03B6">
        <w:rPr>
          <w:rFonts w:asciiTheme="minorHAnsi" w:hAnsiTheme="minorHAnsi"/>
          <w:i/>
          <w:color w:val="000000"/>
        </w:rPr>
        <w:t>Externe Dienstleistungen (z. B. Transport, Analytik; QC)</w:t>
      </w:r>
    </w:p>
    <w:p w:rsidR="009859D3" w:rsidRPr="009E03B6" w:rsidRDefault="00B030A6" w:rsidP="009E03B6">
      <w:pPr>
        <w:pStyle w:val="Listenabsatz"/>
        <w:numPr>
          <w:ilvl w:val="0"/>
          <w:numId w:val="13"/>
        </w:numPr>
        <w:ind w:left="993" w:firstLine="0"/>
        <w:rPr>
          <w:rFonts w:asciiTheme="minorHAnsi" w:hAnsiTheme="minorHAnsi"/>
          <w:i/>
        </w:rPr>
      </w:pPr>
      <w:r w:rsidRPr="009E03B6">
        <w:rPr>
          <w:rFonts w:asciiTheme="minorHAnsi" w:hAnsiTheme="minorHAnsi"/>
          <w:i/>
          <w:color w:val="000000"/>
        </w:rPr>
        <w:t>Dokumentation</w:t>
      </w:r>
    </w:p>
    <w:p w:rsidR="009E03B6" w:rsidRPr="009E03B6" w:rsidRDefault="009E03B6" w:rsidP="009E03B6">
      <w:pPr>
        <w:pStyle w:val="Listenabsatz"/>
        <w:ind w:left="709"/>
        <w:rPr>
          <w:rFonts w:asciiTheme="minorHAnsi" w:hAnsiTheme="minorHAnsi"/>
          <w:i/>
        </w:rPr>
      </w:pPr>
    </w:p>
    <w:p w:rsidR="009859D3" w:rsidRPr="009E03B6" w:rsidRDefault="009859D3">
      <w:pPr>
        <w:jc w:val="both"/>
        <w:rPr>
          <w:rFonts w:asciiTheme="minorHAnsi" w:hAnsiTheme="minorHAnsi"/>
          <w:i/>
          <w:iCs/>
          <w:color w:val="23FF23"/>
        </w:rPr>
      </w:pPr>
    </w:p>
    <w:p w:rsidR="009859D3" w:rsidRPr="009E03B6" w:rsidRDefault="00B030A6" w:rsidP="006D4CBD">
      <w:pPr>
        <w:numPr>
          <w:ilvl w:val="0"/>
          <w:numId w:val="6"/>
        </w:numPr>
        <w:jc w:val="both"/>
        <w:rPr>
          <w:rFonts w:asciiTheme="minorHAnsi" w:hAnsiTheme="minorHAnsi" w:cs="Arial"/>
          <w:b/>
          <w:bCs/>
        </w:rPr>
      </w:pPr>
      <w:r w:rsidRPr="009E03B6">
        <w:rPr>
          <w:rFonts w:asciiTheme="minorHAnsi" w:hAnsiTheme="minorHAnsi" w:cs="Arial"/>
          <w:b/>
          <w:bCs/>
        </w:rPr>
        <w:t>Begriffe und Abkürzungen</w:t>
      </w:r>
    </w:p>
    <w:p w:rsidR="009859D3" w:rsidRPr="009E03B6" w:rsidRDefault="00B030A6" w:rsidP="009E03B6">
      <w:pPr>
        <w:ind w:left="709"/>
        <w:jc w:val="both"/>
        <w:rPr>
          <w:rFonts w:asciiTheme="minorHAnsi" w:hAnsiTheme="minorHAnsi"/>
        </w:rPr>
      </w:pPr>
      <w:r w:rsidRPr="009E03B6">
        <w:rPr>
          <w:rFonts w:asciiTheme="minorHAnsi" w:hAnsiTheme="minorHAnsi"/>
        </w:rPr>
        <w:t>siehe Dokument „Begriffe und Abkürzungen“</w:t>
      </w:r>
    </w:p>
    <w:p w:rsidR="009859D3" w:rsidRPr="009E03B6" w:rsidRDefault="00B030A6" w:rsidP="009E03B6">
      <w:pPr>
        <w:ind w:left="709"/>
        <w:jc w:val="both"/>
        <w:rPr>
          <w:rFonts w:asciiTheme="minorHAnsi" w:hAnsiTheme="minorHAnsi"/>
        </w:rPr>
      </w:pPr>
      <w:r w:rsidRPr="009E03B6">
        <w:rPr>
          <w:rFonts w:asciiTheme="minorHAnsi" w:hAnsiTheme="minorHAnsi"/>
        </w:rPr>
        <w:t>für dieses Dokument gelten zusätzlich:</w:t>
      </w:r>
    </w:p>
    <w:p w:rsidR="009859D3" w:rsidRPr="009E03B6" w:rsidRDefault="009859D3">
      <w:pPr>
        <w:jc w:val="both"/>
        <w:rPr>
          <w:rFonts w:asciiTheme="minorHAnsi" w:hAnsiTheme="minorHAnsi"/>
        </w:rPr>
      </w:pPr>
    </w:p>
    <w:p w:rsidR="009859D3" w:rsidRPr="009E03B6" w:rsidRDefault="009859D3">
      <w:pPr>
        <w:jc w:val="both"/>
        <w:rPr>
          <w:rFonts w:asciiTheme="minorHAnsi" w:hAnsiTheme="minorHAnsi"/>
          <w:b/>
          <w:bCs/>
        </w:rPr>
      </w:pPr>
    </w:p>
    <w:p w:rsidR="009859D3" w:rsidRPr="009E03B6" w:rsidRDefault="00B030A6" w:rsidP="006D4CBD">
      <w:pPr>
        <w:numPr>
          <w:ilvl w:val="0"/>
          <w:numId w:val="6"/>
        </w:numPr>
        <w:jc w:val="both"/>
        <w:rPr>
          <w:rFonts w:asciiTheme="minorHAnsi" w:hAnsiTheme="minorHAnsi" w:cs="Arial"/>
          <w:b/>
          <w:bCs/>
        </w:rPr>
      </w:pPr>
      <w:r w:rsidRPr="009E03B6">
        <w:rPr>
          <w:rFonts w:asciiTheme="minorHAnsi" w:hAnsiTheme="minorHAnsi" w:cs="Arial"/>
          <w:b/>
          <w:bCs/>
        </w:rPr>
        <w:t>Allgemein</w:t>
      </w:r>
    </w:p>
    <w:p w:rsidR="009859D3" w:rsidRPr="009E03B6" w:rsidRDefault="00B030A6" w:rsidP="009E03B6">
      <w:pPr>
        <w:ind w:left="709"/>
        <w:jc w:val="both"/>
        <w:rPr>
          <w:rFonts w:asciiTheme="minorHAnsi" w:hAnsiTheme="minorHAnsi"/>
        </w:rPr>
      </w:pPr>
      <w:r w:rsidRPr="009E03B6">
        <w:rPr>
          <w:rFonts w:asciiTheme="minorHAnsi" w:hAnsiTheme="minorHAnsi"/>
          <w:i/>
          <w:iCs/>
        </w:rPr>
        <w:t>Allgemeine Aussagen hinsichtlich der Durchführung des jeweiligen Verfahrens:</w:t>
      </w:r>
    </w:p>
    <w:p w:rsidR="009859D3" w:rsidRPr="009E03B6" w:rsidRDefault="009859D3" w:rsidP="009E03B6">
      <w:pPr>
        <w:ind w:left="709"/>
        <w:jc w:val="both"/>
        <w:rPr>
          <w:rFonts w:asciiTheme="minorHAnsi" w:hAnsiTheme="minorHAnsi"/>
        </w:rPr>
      </w:pPr>
    </w:p>
    <w:p w:rsidR="009859D3" w:rsidRPr="009E03B6" w:rsidRDefault="00B030A6" w:rsidP="009E03B6">
      <w:pPr>
        <w:ind w:left="709"/>
        <w:jc w:val="both"/>
        <w:rPr>
          <w:rFonts w:asciiTheme="minorHAnsi" w:hAnsiTheme="minorHAnsi"/>
        </w:rPr>
      </w:pPr>
      <w:r w:rsidRPr="009E03B6">
        <w:rPr>
          <w:rFonts w:asciiTheme="minorHAnsi" w:hAnsiTheme="minorHAnsi"/>
        </w:rPr>
        <w:t>Da der Prozess der Probennahme entscheidenden Einfluss auf die Qualität der Probe und damit ggf. auf das spätere Untersuchungsergebnis hat, müssen dem Probennehmer relevante Vorgaben zur präanalytischen Vorgehensweise von der Biobank zur Verfügung gestellt werden (Siehe auch DIN EN ISO 15189, DIN CEN/TS 16827-1).</w:t>
      </w:r>
    </w:p>
    <w:p w:rsidR="009859D3" w:rsidRPr="009E03B6" w:rsidRDefault="00B030A6" w:rsidP="009E03B6">
      <w:pPr>
        <w:ind w:left="709"/>
        <w:jc w:val="both"/>
        <w:rPr>
          <w:rFonts w:asciiTheme="minorHAnsi" w:hAnsiTheme="minorHAnsi"/>
          <w:shd w:val="clear" w:color="auto" w:fill="FFFFFF"/>
        </w:rPr>
      </w:pPr>
      <w:r w:rsidRPr="009E03B6">
        <w:rPr>
          <w:rFonts w:asciiTheme="minorHAnsi" w:hAnsiTheme="minorHAnsi"/>
          <w:shd w:val="clear" w:color="auto" w:fill="FFFFFF"/>
        </w:rPr>
        <w:lastRenderedPageBreak/>
        <w:t>Während des gesamten präanalytischen Arbeitsablaufs müssen Vorsichtsmaßnahmen zur Vermeidung von Kreuzkontaminationen zwischen unterschiedlichen Proben sowie von Probenverwechslungen getroffen werden.</w:t>
      </w:r>
    </w:p>
    <w:p w:rsidR="009859D3" w:rsidRPr="009E03B6" w:rsidRDefault="009859D3">
      <w:pPr>
        <w:jc w:val="both"/>
        <w:rPr>
          <w:rFonts w:asciiTheme="minorHAnsi" w:hAnsiTheme="minorHAnsi"/>
        </w:rPr>
      </w:pPr>
    </w:p>
    <w:p w:rsidR="009859D3" w:rsidRPr="009E03B6" w:rsidRDefault="00B030A6" w:rsidP="009E03B6">
      <w:pPr>
        <w:ind w:left="709"/>
        <w:jc w:val="both"/>
        <w:rPr>
          <w:rFonts w:asciiTheme="minorHAnsi" w:hAnsiTheme="minorHAnsi"/>
        </w:rPr>
      </w:pPr>
      <w:r w:rsidRPr="009E03B6">
        <w:rPr>
          <w:rFonts w:asciiTheme="minorHAnsi" w:hAnsiTheme="minorHAnsi"/>
        </w:rPr>
        <w:t>Handelsübliche Produkte sind nach den Angaben des Herstellers anzuwenden, bei Abweichungen liegt die Verantwortung beim Anwender.</w:t>
      </w:r>
    </w:p>
    <w:p w:rsidR="009859D3" w:rsidRPr="009E03B6" w:rsidRDefault="009859D3">
      <w:pPr>
        <w:jc w:val="both"/>
        <w:rPr>
          <w:rFonts w:asciiTheme="minorHAnsi" w:hAnsiTheme="minorHAnsi"/>
          <w:i/>
          <w:iCs/>
        </w:rPr>
      </w:pPr>
    </w:p>
    <w:p w:rsidR="009859D3" w:rsidRPr="009E03B6" w:rsidRDefault="00B030A6">
      <w:pPr>
        <w:jc w:val="both"/>
        <w:rPr>
          <w:rFonts w:asciiTheme="minorHAnsi" w:hAnsiTheme="minorHAnsi"/>
        </w:rPr>
      </w:pPr>
      <w:r w:rsidRPr="009E03B6">
        <w:rPr>
          <w:rFonts w:asciiTheme="minorHAnsi" w:hAnsiTheme="minorHAnsi"/>
          <w:i/>
          <w:iCs/>
        </w:rPr>
        <w:tab/>
      </w:r>
    </w:p>
    <w:p w:rsidR="009859D3" w:rsidRPr="009E03B6" w:rsidRDefault="00B030A6" w:rsidP="006D4CBD">
      <w:pPr>
        <w:numPr>
          <w:ilvl w:val="0"/>
          <w:numId w:val="6"/>
        </w:numPr>
        <w:jc w:val="both"/>
        <w:rPr>
          <w:rFonts w:asciiTheme="minorHAnsi" w:hAnsiTheme="minorHAnsi" w:cs="Arial"/>
          <w:b/>
          <w:bCs/>
        </w:rPr>
      </w:pPr>
      <w:r w:rsidRPr="009E03B6">
        <w:rPr>
          <w:rFonts w:asciiTheme="minorHAnsi" w:hAnsiTheme="minorHAnsi" w:cs="Arial"/>
          <w:b/>
          <w:bCs/>
        </w:rPr>
        <w:t xml:space="preserve">Durchführung (ggf. </w:t>
      </w:r>
      <w:proofErr w:type="spellStart"/>
      <w:r w:rsidRPr="009E03B6">
        <w:rPr>
          <w:rFonts w:asciiTheme="minorHAnsi" w:hAnsiTheme="minorHAnsi" w:cs="Arial"/>
          <w:b/>
          <w:bCs/>
        </w:rPr>
        <w:t>FlowChart</w:t>
      </w:r>
      <w:proofErr w:type="spellEnd"/>
      <w:r w:rsidRPr="009E03B6">
        <w:rPr>
          <w:rFonts w:asciiTheme="minorHAnsi" w:hAnsiTheme="minorHAnsi" w:cs="Arial"/>
          <w:b/>
          <w:bCs/>
        </w:rPr>
        <w:t>)</w:t>
      </w:r>
    </w:p>
    <w:p w:rsidR="009859D3" w:rsidRPr="009E03B6" w:rsidRDefault="00B030A6" w:rsidP="009E03B6">
      <w:pPr>
        <w:ind w:left="709"/>
        <w:jc w:val="both"/>
        <w:rPr>
          <w:rFonts w:asciiTheme="minorHAnsi" w:hAnsiTheme="minorHAnsi"/>
        </w:rPr>
      </w:pPr>
      <w:r w:rsidRPr="009E03B6">
        <w:rPr>
          <w:rFonts w:asciiTheme="minorHAnsi" w:hAnsiTheme="minorHAnsi"/>
          <w:i/>
          <w:iCs/>
        </w:rPr>
        <w:t>Beschreibung des Verfahrens inklusive der für die jeweiligen Unterschritte zuständigen Personen, erforderlichen Geräte, Räume</w:t>
      </w:r>
      <w:r w:rsidR="00D5632E">
        <w:rPr>
          <w:rFonts w:asciiTheme="minorHAnsi" w:hAnsiTheme="minorHAnsi"/>
          <w:i/>
          <w:iCs/>
        </w:rPr>
        <w:t>.</w:t>
      </w:r>
    </w:p>
    <w:p w:rsidR="009859D3" w:rsidRPr="009E03B6" w:rsidRDefault="009859D3" w:rsidP="009E03B6">
      <w:pPr>
        <w:ind w:left="709"/>
        <w:jc w:val="both"/>
        <w:rPr>
          <w:rFonts w:asciiTheme="minorHAnsi" w:hAnsiTheme="minorHAnsi"/>
        </w:rPr>
      </w:pPr>
    </w:p>
    <w:p w:rsidR="009859D3" w:rsidRPr="009E03B6" w:rsidRDefault="00B030A6" w:rsidP="009E03B6">
      <w:pPr>
        <w:ind w:left="709"/>
        <w:jc w:val="both"/>
        <w:rPr>
          <w:rFonts w:asciiTheme="minorHAnsi" w:hAnsiTheme="minorHAnsi"/>
        </w:rPr>
      </w:pPr>
      <w:r w:rsidRPr="009E03B6">
        <w:rPr>
          <w:rFonts w:asciiTheme="minorHAnsi" w:hAnsiTheme="minorHAnsi"/>
        </w:rPr>
        <w:t>Die Gewebeentnahme aus dem Körper erfolgt durch den Probennehmer analog der aktuell geltenden Leitlinien und Vorgaben der entsprechenden Fachgesellschaften.</w:t>
      </w:r>
    </w:p>
    <w:p w:rsidR="009859D3" w:rsidRPr="009E03B6" w:rsidRDefault="00B030A6" w:rsidP="009E03B6">
      <w:pPr>
        <w:ind w:left="709"/>
        <w:jc w:val="both"/>
        <w:rPr>
          <w:rFonts w:asciiTheme="minorHAnsi" w:hAnsiTheme="minorHAnsi"/>
        </w:rPr>
      </w:pPr>
      <w:r w:rsidRPr="009E03B6">
        <w:rPr>
          <w:rFonts w:asciiTheme="minorHAnsi" w:hAnsiTheme="minorHAnsi"/>
        </w:rPr>
        <w:t>Nach Abschluss der patientenversorgenden Maßnahmen ist das Gewebe unverzüglich in das gekennzeichnete Transportgefäß zu überführen. Die Beschriftung des Gewebetransportgefäßes und Kontrolle der Patienten-ID erfolgt durch den Probennehmer.</w:t>
      </w:r>
    </w:p>
    <w:p w:rsidR="009859D3" w:rsidRPr="009E03B6" w:rsidRDefault="00B030A6" w:rsidP="009E03B6">
      <w:pPr>
        <w:ind w:left="709"/>
        <w:jc w:val="both"/>
        <w:rPr>
          <w:rFonts w:asciiTheme="minorHAnsi" w:hAnsiTheme="minorHAnsi"/>
        </w:rPr>
      </w:pPr>
      <w:r w:rsidRPr="009E03B6">
        <w:rPr>
          <w:rFonts w:asciiTheme="minorHAnsi" w:hAnsiTheme="minorHAnsi"/>
        </w:rPr>
        <w:t>Die Probenidentifikation (z.B. Barcode) muss in einem Verfahren beschrieben werden (siehe EN ISO 15189). Die Funktionalität dieses Verfahrens und die Verantwortlichkeiten sind über alle Schnittstellen im Prozess zu gewährleisten.</w:t>
      </w:r>
    </w:p>
    <w:p w:rsidR="009859D3" w:rsidRPr="009E03B6" w:rsidRDefault="009859D3" w:rsidP="009E03B6">
      <w:pPr>
        <w:ind w:left="709"/>
        <w:jc w:val="both"/>
        <w:rPr>
          <w:rFonts w:asciiTheme="minorHAnsi" w:hAnsiTheme="minorHAnsi"/>
        </w:rPr>
      </w:pPr>
    </w:p>
    <w:p w:rsidR="009859D3" w:rsidRPr="009E03B6" w:rsidRDefault="00B030A6" w:rsidP="009E03B6">
      <w:pPr>
        <w:ind w:left="709"/>
        <w:jc w:val="both"/>
        <w:rPr>
          <w:rFonts w:asciiTheme="minorHAnsi" w:hAnsiTheme="minorHAnsi"/>
        </w:rPr>
      </w:pPr>
      <w:r w:rsidRPr="009E03B6">
        <w:rPr>
          <w:rFonts w:asciiTheme="minorHAnsi" w:hAnsiTheme="minorHAnsi"/>
        </w:rPr>
        <w:t>Es sollte ein Verfahren für den Probentransportvorgang erstellt werden. Die Einhaltung dieses Protokolls muss dokumentiert werden, alle Abweichungen davon müssen beschrieben und dokumentiert werden.</w:t>
      </w:r>
    </w:p>
    <w:p w:rsidR="009859D3" w:rsidRPr="009E03B6" w:rsidRDefault="009859D3" w:rsidP="009E03B6">
      <w:pPr>
        <w:ind w:left="709"/>
        <w:jc w:val="both"/>
        <w:rPr>
          <w:rFonts w:asciiTheme="minorHAnsi" w:hAnsiTheme="minorHAnsi"/>
        </w:rPr>
      </w:pPr>
    </w:p>
    <w:p w:rsidR="009859D3" w:rsidRPr="009E03B6" w:rsidRDefault="00B030A6" w:rsidP="009E03B6">
      <w:pPr>
        <w:ind w:left="709"/>
        <w:jc w:val="both"/>
        <w:rPr>
          <w:rFonts w:asciiTheme="minorHAnsi" w:hAnsiTheme="minorHAnsi"/>
        </w:rPr>
      </w:pPr>
      <w:r w:rsidRPr="009E03B6">
        <w:rPr>
          <w:rFonts w:asciiTheme="minorHAnsi" w:hAnsiTheme="minorHAnsi"/>
        </w:rPr>
        <w:t xml:space="preserve">Die </w:t>
      </w:r>
      <w:proofErr w:type="spellStart"/>
      <w:r w:rsidRPr="009E03B6">
        <w:rPr>
          <w:rFonts w:asciiTheme="minorHAnsi" w:hAnsiTheme="minorHAnsi"/>
        </w:rPr>
        <w:t>unfixierte</w:t>
      </w:r>
      <w:proofErr w:type="spellEnd"/>
      <w:r w:rsidRPr="009E03B6">
        <w:rPr>
          <w:rFonts w:asciiTheme="minorHAnsi" w:hAnsiTheme="minorHAnsi"/>
        </w:rPr>
        <w:t xml:space="preserve"> Primärgewebeprobe sollte unverzüglich auf Eis oder bei 2°C – 8°C transportiert werden (</w:t>
      </w:r>
      <w:r w:rsidRPr="009E03B6">
        <w:rPr>
          <w:rFonts w:asciiTheme="minorHAnsi" w:eastAsia="Cambria, Cambria" w:hAnsiTheme="minorHAnsi" w:cs="Cambria, Cambria"/>
          <w:color w:val="000000"/>
        </w:rPr>
        <w:t>Veränderungen des RNS-Profils).</w:t>
      </w:r>
    </w:p>
    <w:p w:rsidR="009859D3" w:rsidRPr="009E03B6" w:rsidRDefault="009859D3" w:rsidP="009E03B6">
      <w:pPr>
        <w:ind w:left="709"/>
        <w:jc w:val="both"/>
        <w:rPr>
          <w:rFonts w:asciiTheme="minorHAnsi" w:hAnsiTheme="minorHAnsi"/>
        </w:rPr>
      </w:pPr>
    </w:p>
    <w:p w:rsidR="009859D3" w:rsidRPr="009E03B6" w:rsidRDefault="00B030A6" w:rsidP="009E03B6">
      <w:pPr>
        <w:ind w:left="709"/>
        <w:jc w:val="both"/>
        <w:rPr>
          <w:rFonts w:asciiTheme="minorHAnsi" w:hAnsiTheme="minorHAnsi"/>
        </w:rPr>
      </w:pPr>
      <w:r w:rsidRPr="009E03B6">
        <w:rPr>
          <w:rFonts w:asciiTheme="minorHAnsi" w:hAnsiTheme="minorHAnsi"/>
        </w:rPr>
        <w:t>Zu dokumentierende Mindestangaben im Rahmen der Gewebeentnahme:</w:t>
      </w:r>
    </w:p>
    <w:p w:rsidR="009859D3" w:rsidRPr="009E03B6" w:rsidRDefault="009859D3" w:rsidP="009E03B6">
      <w:pPr>
        <w:ind w:left="709"/>
        <w:jc w:val="both"/>
        <w:rPr>
          <w:rFonts w:asciiTheme="minorHAnsi" w:hAnsiTheme="minorHAnsi"/>
        </w:rPr>
      </w:pPr>
    </w:p>
    <w:p w:rsidR="009859D3" w:rsidRPr="009E03B6" w:rsidRDefault="00B030A6" w:rsidP="009E03B6">
      <w:pPr>
        <w:pStyle w:val="Listenabsatz"/>
        <w:numPr>
          <w:ilvl w:val="0"/>
          <w:numId w:val="12"/>
        </w:numPr>
        <w:ind w:left="993"/>
        <w:jc w:val="both"/>
        <w:rPr>
          <w:rFonts w:asciiTheme="minorHAnsi" w:hAnsiTheme="minorHAnsi"/>
        </w:rPr>
      </w:pPr>
      <w:r w:rsidRPr="009E03B6">
        <w:rPr>
          <w:rFonts w:asciiTheme="minorHAnsi" w:hAnsiTheme="minorHAnsi"/>
        </w:rPr>
        <w:t xml:space="preserve">Zeitpunkt der Ligatur </w:t>
      </w:r>
      <w:proofErr w:type="spellStart"/>
      <w:r w:rsidRPr="009E03B6">
        <w:rPr>
          <w:rFonts w:asciiTheme="minorHAnsi" w:hAnsiTheme="minorHAnsi"/>
        </w:rPr>
        <w:t>ischämierelevanter</w:t>
      </w:r>
      <w:proofErr w:type="spellEnd"/>
      <w:r w:rsidRPr="009E03B6">
        <w:rPr>
          <w:rFonts w:asciiTheme="minorHAnsi" w:hAnsiTheme="minorHAnsi"/>
        </w:rPr>
        <w:t xml:space="preserve"> Gefäße, falls verfügbar (Beginn warme Ischämie)</w:t>
      </w:r>
    </w:p>
    <w:p w:rsidR="009859D3" w:rsidRPr="009E03B6" w:rsidRDefault="00B030A6" w:rsidP="009E03B6">
      <w:pPr>
        <w:pStyle w:val="Listenabsatz"/>
        <w:numPr>
          <w:ilvl w:val="0"/>
          <w:numId w:val="12"/>
        </w:numPr>
        <w:ind w:left="993"/>
        <w:jc w:val="both"/>
        <w:rPr>
          <w:rFonts w:asciiTheme="minorHAnsi" w:hAnsiTheme="minorHAnsi"/>
        </w:rPr>
      </w:pPr>
      <w:r w:rsidRPr="009E03B6">
        <w:rPr>
          <w:rFonts w:asciiTheme="minorHAnsi" w:hAnsiTheme="minorHAnsi"/>
        </w:rPr>
        <w:t>Zeitpunkt der Gewebeentnahme aus dem Körper (Ende warme Ischämie, Beginn kalte Ischämie)</w:t>
      </w:r>
    </w:p>
    <w:p w:rsidR="009859D3" w:rsidRPr="009E03B6" w:rsidRDefault="00B030A6" w:rsidP="009E03B6">
      <w:pPr>
        <w:pStyle w:val="Listenabsatz"/>
        <w:numPr>
          <w:ilvl w:val="0"/>
          <w:numId w:val="12"/>
        </w:numPr>
        <w:ind w:left="993"/>
        <w:jc w:val="both"/>
        <w:rPr>
          <w:rFonts w:asciiTheme="minorHAnsi" w:hAnsiTheme="minorHAnsi"/>
        </w:rPr>
      </w:pPr>
      <w:r w:rsidRPr="009E03B6">
        <w:rPr>
          <w:rFonts w:asciiTheme="minorHAnsi" w:hAnsiTheme="minorHAnsi"/>
        </w:rPr>
        <w:t>Beschreibung des Herkunftsorgangewebes</w:t>
      </w:r>
    </w:p>
    <w:p w:rsidR="009859D3" w:rsidRPr="009E03B6" w:rsidRDefault="00B030A6" w:rsidP="009E03B6">
      <w:pPr>
        <w:pStyle w:val="Listenabsatz"/>
        <w:numPr>
          <w:ilvl w:val="0"/>
          <w:numId w:val="12"/>
        </w:numPr>
        <w:ind w:left="993"/>
        <w:jc w:val="both"/>
        <w:rPr>
          <w:rFonts w:asciiTheme="minorHAnsi" w:hAnsiTheme="minorHAnsi"/>
        </w:rPr>
      </w:pPr>
      <w:r w:rsidRPr="009E03B6">
        <w:rPr>
          <w:rFonts w:asciiTheme="minorHAnsi" w:hAnsiTheme="minorHAnsi"/>
        </w:rPr>
        <w:t>Zusätze zum Gewebe oder Modifikationen des Gewebes nach Entnahme aus dem</w:t>
      </w:r>
      <w:r w:rsidRPr="009E03B6">
        <w:rPr>
          <w:rFonts w:asciiTheme="minorHAnsi" w:hAnsiTheme="minorHAnsi"/>
        </w:rPr>
        <w:br/>
        <w:t xml:space="preserve">Körper (Markierungen, Auswahl und Anwendung von Stabilisierungsverfahren, z.B. </w:t>
      </w:r>
      <w:proofErr w:type="spellStart"/>
      <w:r w:rsidRPr="009E03B6">
        <w:rPr>
          <w:rFonts w:asciiTheme="minorHAnsi" w:hAnsiTheme="minorHAnsi"/>
        </w:rPr>
        <w:t>Formalin</w:t>
      </w:r>
      <w:proofErr w:type="spellEnd"/>
      <w:r w:rsidRPr="009E03B6">
        <w:rPr>
          <w:rFonts w:asciiTheme="minorHAnsi" w:hAnsiTheme="minorHAnsi"/>
        </w:rPr>
        <w:t>, Eis,..)</w:t>
      </w:r>
    </w:p>
    <w:p w:rsidR="009859D3" w:rsidRPr="009E03B6" w:rsidRDefault="00B030A6" w:rsidP="009E03B6">
      <w:pPr>
        <w:pStyle w:val="Listenabsatz"/>
        <w:numPr>
          <w:ilvl w:val="0"/>
          <w:numId w:val="12"/>
        </w:numPr>
        <w:ind w:left="993"/>
        <w:jc w:val="both"/>
        <w:rPr>
          <w:rFonts w:asciiTheme="minorHAnsi" w:hAnsiTheme="minorHAnsi"/>
        </w:rPr>
      </w:pPr>
      <w:r w:rsidRPr="009E03B6">
        <w:rPr>
          <w:rFonts w:asciiTheme="minorHAnsi" w:hAnsiTheme="minorHAnsi"/>
        </w:rPr>
        <w:t>Die Umgebungstemperatur bei vorübergehender Lagerung (</w:t>
      </w:r>
      <w:proofErr w:type="spellStart"/>
      <w:r w:rsidRPr="009E03B6">
        <w:rPr>
          <w:rFonts w:asciiTheme="minorHAnsi" w:hAnsiTheme="minorHAnsi"/>
        </w:rPr>
        <w:t>unfixierte</w:t>
      </w:r>
      <w:proofErr w:type="spellEnd"/>
      <w:r w:rsidRPr="009E03B6">
        <w:rPr>
          <w:rFonts w:asciiTheme="minorHAnsi" w:hAnsiTheme="minorHAnsi"/>
        </w:rPr>
        <w:t xml:space="preserve"> Proben, bis zum Transport, empfohlen: 2°C – 8°C), ggf. ist diese abzuschätzen.</w:t>
      </w:r>
    </w:p>
    <w:p w:rsidR="009859D3" w:rsidRPr="009E03B6" w:rsidRDefault="009859D3">
      <w:pPr>
        <w:jc w:val="both"/>
        <w:rPr>
          <w:rFonts w:asciiTheme="minorHAnsi" w:hAnsiTheme="minorHAnsi"/>
        </w:rPr>
      </w:pPr>
    </w:p>
    <w:p w:rsidR="009859D3" w:rsidRPr="009E03B6" w:rsidRDefault="00B030A6" w:rsidP="006D4CBD">
      <w:pPr>
        <w:numPr>
          <w:ilvl w:val="0"/>
          <w:numId w:val="6"/>
        </w:numPr>
        <w:jc w:val="both"/>
        <w:rPr>
          <w:rFonts w:asciiTheme="minorHAnsi" w:hAnsiTheme="minorHAnsi" w:cs="Arial"/>
          <w:b/>
          <w:bCs/>
        </w:rPr>
      </w:pPr>
      <w:r w:rsidRPr="009E03B6">
        <w:rPr>
          <w:rFonts w:asciiTheme="minorHAnsi" w:hAnsiTheme="minorHAnsi" w:cs="Arial"/>
          <w:b/>
          <w:bCs/>
        </w:rPr>
        <w:t>Mitgeltende Unterlagen</w:t>
      </w:r>
    </w:p>
    <w:p w:rsidR="009859D3" w:rsidRPr="009E03B6" w:rsidRDefault="00B030A6" w:rsidP="009E03B6">
      <w:pPr>
        <w:pStyle w:val="Listenabsatz"/>
        <w:ind w:left="709"/>
        <w:jc w:val="both"/>
        <w:rPr>
          <w:rFonts w:asciiTheme="minorHAnsi" w:hAnsiTheme="minorHAnsi"/>
        </w:rPr>
      </w:pPr>
      <w:r w:rsidRPr="009E03B6">
        <w:rPr>
          <w:rFonts w:asciiTheme="minorHAnsi" w:hAnsiTheme="minorHAnsi"/>
        </w:rPr>
        <w:t>DIN CEN/TS 16826, 16827, 16835</w:t>
      </w:r>
    </w:p>
    <w:p w:rsidR="009859D3" w:rsidRPr="009E03B6" w:rsidRDefault="00B030A6" w:rsidP="009E03B6">
      <w:pPr>
        <w:pStyle w:val="Listenabsatz"/>
        <w:ind w:left="709"/>
        <w:jc w:val="both"/>
        <w:rPr>
          <w:rFonts w:asciiTheme="minorHAnsi" w:hAnsiTheme="minorHAnsi"/>
        </w:rPr>
      </w:pPr>
      <w:r w:rsidRPr="009E03B6">
        <w:rPr>
          <w:rFonts w:asciiTheme="minorHAnsi" w:hAnsiTheme="minorHAnsi"/>
        </w:rPr>
        <w:t>DIN EN ISO 17020, DIN EN ISO 17025, DIN EN ISO 15189</w:t>
      </w:r>
    </w:p>
    <w:p w:rsidR="009859D3" w:rsidRPr="009E03B6" w:rsidRDefault="00B030A6" w:rsidP="009E03B6">
      <w:pPr>
        <w:pStyle w:val="Listenabsatz"/>
        <w:ind w:left="709"/>
        <w:jc w:val="both"/>
        <w:rPr>
          <w:rFonts w:asciiTheme="minorHAnsi" w:hAnsiTheme="minorHAnsi"/>
        </w:rPr>
      </w:pPr>
      <w:r w:rsidRPr="009E03B6">
        <w:rPr>
          <w:rFonts w:asciiTheme="minorHAnsi" w:hAnsiTheme="minorHAnsi"/>
        </w:rPr>
        <w:t>Gefahrstoffverordnung</w:t>
      </w:r>
    </w:p>
    <w:p w:rsidR="009859D3" w:rsidRPr="009E03B6" w:rsidRDefault="009859D3">
      <w:pPr>
        <w:jc w:val="both"/>
        <w:rPr>
          <w:rFonts w:asciiTheme="minorHAnsi" w:hAnsiTheme="minorHAnsi"/>
          <w:i/>
          <w:iCs/>
        </w:rPr>
      </w:pPr>
    </w:p>
    <w:p w:rsidR="009859D3" w:rsidRPr="009E03B6" w:rsidRDefault="009859D3">
      <w:pPr>
        <w:jc w:val="both"/>
        <w:rPr>
          <w:rFonts w:asciiTheme="minorHAnsi" w:hAnsiTheme="minorHAnsi"/>
          <w:i/>
          <w:iCs/>
        </w:rPr>
      </w:pPr>
    </w:p>
    <w:p w:rsidR="009859D3" w:rsidRPr="009E03B6" w:rsidRDefault="00B030A6" w:rsidP="006D4CBD">
      <w:pPr>
        <w:numPr>
          <w:ilvl w:val="0"/>
          <w:numId w:val="6"/>
        </w:numPr>
        <w:jc w:val="both"/>
        <w:rPr>
          <w:rFonts w:asciiTheme="minorHAnsi" w:hAnsiTheme="minorHAnsi" w:cs="Arial"/>
          <w:b/>
          <w:bCs/>
        </w:rPr>
      </w:pPr>
      <w:r w:rsidRPr="009E03B6">
        <w:rPr>
          <w:rFonts w:asciiTheme="minorHAnsi" w:hAnsiTheme="minorHAnsi" w:cs="Arial"/>
          <w:b/>
          <w:bCs/>
        </w:rPr>
        <w:t>Querverweise</w:t>
      </w:r>
    </w:p>
    <w:p w:rsidR="00E20900" w:rsidRDefault="00E20900" w:rsidP="009E03B6">
      <w:pPr>
        <w:pStyle w:val="Listenabsatz"/>
        <w:ind w:left="709"/>
        <w:jc w:val="both"/>
        <w:rPr>
          <w:rFonts w:asciiTheme="minorHAnsi" w:hAnsiTheme="minorHAnsi"/>
        </w:rPr>
      </w:pPr>
      <w:r w:rsidRPr="00E20900">
        <w:rPr>
          <w:rFonts w:asciiTheme="minorHAnsi" w:hAnsiTheme="minorHAnsi"/>
        </w:rPr>
        <w:t>05.e_GBN_VA_Nutzer-_und_Anforderungsmanagement</w:t>
      </w:r>
    </w:p>
    <w:p w:rsidR="00E20900" w:rsidRDefault="00E20900" w:rsidP="00E20900">
      <w:pPr>
        <w:pStyle w:val="Listenabsatz"/>
        <w:ind w:left="709"/>
        <w:jc w:val="both"/>
        <w:rPr>
          <w:rFonts w:asciiTheme="minorHAnsi" w:hAnsiTheme="minorHAnsi"/>
        </w:rPr>
      </w:pPr>
      <w:r w:rsidRPr="00E20900">
        <w:rPr>
          <w:rFonts w:asciiTheme="minorHAnsi" w:hAnsiTheme="minorHAnsi"/>
        </w:rPr>
        <w:t>06.2a_GBN_FB_Kompetenz-_und_Verantwortungsmatrix</w:t>
      </w:r>
    </w:p>
    <w:p w:rsidR="008640E7" w:rsidRPr="009E03B6" w:rsidRDefault="00E20900" w:rsidP="00E20900">
      <w:pPr>
        <w:pStyle w:val="Listenabsatz"/>
        <w:ind w:left="709"/>
        <w:jc w:val="both"/>
        <w:rPr>
          <w:rFonts w:asciiTheme="minorHAnsi" w:hAnsiTheme="minorHAnsi"/>
        </w:rPr>
      </w:pPr>
      <w:bookmarkStart w:id="0" w:name="_GoBack"/>
      <w:bookmarkEnd w:id="0"/>
      <w:r>
        <w:rPr>
          <w:rFonts w:asciiTheme="minorHAnsi" w:hAnsiTheme="minorHAnsi"/>
        </w:rPr>
        <w:t>0</w:t>
      </w:r>
      <w:r w:rsidRPr="00E20900">
        <w:rPr>
          <w:rFonts w:asciiTheme="minorHAnsi" w:hAnsiTheme="minorHAnsi"/>
        </w:rPr>
        <w:t>8.2b_GBN_Begriffe_und_Abkürzungen</w:t>
      </w:r>
    </w:p>
    <w:p w:rsidR="009859D3" w:rsidRPr="009E03B6" w:rsidRDefault="009859D3">
      <w:pPr>
        <w:jc w:val="both"/>
        <w:rPr>
          <w:rFonts w:asciiTheme="minorHAnsi" w:hAnsiTheme="minorHAnsi"/>
        </w:rPr>
      </w:pPr>
    </w:p>
    <w:p w:rsidR="009859D3" w:rsidRPr="009E03B6" w:rsidRDefault="00B030A6" w:rsidP="006D4CBD">
      <w:pPr>
        <w:numPr>
          <w:ilvl w:val="0"/>
          <w:numId w:val="6"/>
        </w:numPr>
        <w:jc w:val="both"/>
        <w:rPr>
          <w:rFonts w:asciiTheme="minorHAnsi" w:hAnsiTheme="minorHAnsi" w:cs="Arial"/>
          <w:b/>
          <w:bCs/>
        </w:rPr>
      </w:pPr>
      <w:r w:rsidRPr="009E03B6">
        <w:rPr>
          <w:rFonts w:asciiTheme="minorHAnsi" w:hAnsiTheme="minorHAnsi" w:cs="Arial"/>
          <w:b/>
          <w:bCs/>
        </w:rPr>
        <w:t>Anhänge</w:t>
      </w:r>
    </w:p>
    <w:p w:rsidR="009859D3" w:rsidRPr="009E03B6" w:rsidRDefault="00B030A6" w:rsidP="009E03B6">
      <w:pPr>
        <w:pStyle w:val="Listenabsatz"/>
        <w:ind w:left="709"/>
        <w:jc w:val="both"/>
        <w:rPr>
          <w:rFonts w:asciiTheme="minorHAnsi" w:hAnsiTheme="minorHAnsi"/>
        </w:rPr>
      </w:pPr>
      <w:r w:rsidRPr="009E03B6">
        <w:rPr>
          <w:rFonts w:asciiTheme="minorHAnsi" w:hAnsiTheme="minorHAnsi"/>
        </w:rPr>
        <w:t>ggf. Probenbegleitschein (u.U. von Pathologie)</w:t>
      </w:r>
    </w:p>
    <w:p w:rsidR="009859D3" w:rsidRDefault="009859D3">
      <w:pPr>
        <w:jc w:val="both"/>
        <w:rPr>
          <w:rFonts w:asciiTheme="minorHAnsi" w:hAnsiTheme="minorHAnsi"/>
        </w:rPr>
      </w:pPr>
    </w:p>
    <w:p w:rsidR="009E03B6" w:rsidRDefault="009E03B6">
      <w:pPr>
        <w:jc w:val="both"/>
        <w:rPr>
          <w:rFonts w:asciiTheme="minorHAnsi" w:hAnsiTheme="minorHAnsi"/>
        </w:rPr>
      </w:pPr>
    </w:p>
    <w:p w:rsidR="009E03B6" w:rsidRPr="009E03B6" w:rsidRDefault="009E03B6">
      <w:pPr>
        <w:jc w:val="both"/>
        <w:rPr>
          <w:rFonts w:asciiTheme="minorHAnsi" w:hAnsiTheme="minorHAnsi"/>
        </w:rPr>
      </w:pPr>
    </w:p>
    <w:tbl>
      <w:tblPr>
        <w:tblW w:w="9638" w:type="dxa"/>
        <w:tblInd w:w="35" w:type="dxa"/>
        <w:tblLayout w:type="fixed"/>
        <w:tblCellMar>
          <w:left w:w="10" w:type="dxa"/>
          <w:right w:w="10" w:type="dxa"/>
        </w:tblCellMar>
        <w:tblLook w:val="0000" w:firstRow="0" w:lastRow="0" w:firstColumn="0" w:lastColumn="0" w:noHBand="0" w:noVBand="0"/>
      </w:tblPr>
      <w:tblGrid>
        <w:gridCol w:w="1563"/>
        <w:gridCol w:w="3535"/>
        <w:gridCol w:w="4540"/>
      </w:tblGrid>
      <w:tr w:rsidR="009859D3" w:rsidRPr="009E03B6">
        <w:tc>
          <w:tcPr>
            <w:tcW w:w="1563" w:type="dxa"/>
            <w:tcBorders>
              <w:top w:val="single" w:sz="2" w:space="0" w:color="000001"/>
              <w:left w:val="single" w:sz="2" w:space="0" w:color="000001"/>
              <w:bottom w:val="single" w:sz="2" w:space="0" w:color="000001"/>
            </w:tcBorders>
            <w:tcMar>
              <w:top w:w="0" w:type="dxa"/>
              <w:left w:w="10" w:type="dxa"/>
              <w:bottom w:w="0" w:type="dxa"/>
              <w:right w:w="10" w:type="dxa"/>
            </w:tcMar>
          </w:tcPr>
          <w:p w:rsidR="009859D3" w:rsidRPr="009E03B6" w:rsidRDefault="00B030A6">
            <w:pPr>
              <w:pStyle w:val="TableContents"/>
              <w:jc w:val="both"/>
              <w:rPr>
                <w:rFonts w:asciiTheme="minorHAnsi" w:hAnsiTheme="minorHAnsi"/>
              </w:rPr>
            </w:pPr>
            <w:r w:rsidRPr="009E03B6">
              <w:rPr>
                <w:rFonts w:asciiTheme="minorHAnsi" w:hAnsiTheme="minorHAnsi"/>
              </w:rPr>
              <w:t>Erstellt:</w:t>
            </w:r>
          </w:p>
        </w:tc>
        <w:tc>
          <w:tcPr>
            <w:tcW w:w="3535" w:type="dxa"/>
            <w:tcBorders>
              <w:top w:val="single" w:sz="2" w:space="0" w:color="000001"/>
              <w:left w:val="single" w:sz="2" w:space="0" w:color="000001"/>
              <w:bottom w:val="single" w:sz="2" w:space="0" w:color="000001"/>
            </w:tcBorders>
            <w:tcMar>
              <w:top w:w="0" w:type="dxa"/>
              <w:left w:w="10" w:type="dxa"/>
              <w:bottom w:w="0" w:type="dxa"/>
              <w:right w:w="10" w:type="dxa"/>
            </w:tcMar>
          </w:tcPr>
          <w:p w:rsidR="009859D3" w:rsidRPr="009E03B6" w:rsidRDefault="00B030A6">
            <w:pPr>
              <w:pStyle w:val="TableContents"/>
              <w:jc w:val="both"/>
              <w:rPr>
                <w:rFonts w:asciiTheme="minorHAnsi" w:hAnsiTheme="minorHAnsi"/>
              </w:rPr>
            </w:pPr>
            <w:r w:rsidRPr="009E03B6">
              <w:rPr>
                <w:rFonts w:asciiTheme="minorHAnsi" w:hAnsiTheme="minorHAnsi"/>
              </w:rPr>
              <w:t>Name Ersteller</w:t>
            </w:r>
          </w:p>
        </w:tc>
        <w:tc>
          <w:tcPr>
            <w:tcW w:w="4540"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9859D3" w:rsidRPr="009E03B6" w:rsidRDefault="00B030A6">
            <w:pPr>
              <w:pStyle w:val="TableContents"/>
              <w:jc w:val="both"/>
              <w:rPr>
                <w:rFonts w:asciiTheme="minorHAnsi" w:hAnsiTheme="minorHAnsi"/>
              </w:rPr>
            </w:pPr>
            <w:r w:rsidRPr="009E03B6">
              <w:rPr>
                <w:rFonts w:asciiTheme="minorHAnsi" w:hAnsiTheme="minorHAnsi"/>
              </w:rPr>
              <w:t>Datum und Unterschrift:</w:t>
            </w:r>
          </w:p>
        </w:tc>
      </w:tr>
      <w:tr w:rsidR="009859D3" w:rsidRPr="009E03B6">
        <w:tc>
          <w:tcPr>
            <w:tcW w:w="1563" w:type="dxa"/>
            <w:tcBorders>
              <w:left w:val="single" w:sz="2" w:space="0" w:color="000001"/>
              <w:bottom w:val="single" w:sz="2" w:space="0" w:color="000001"/>
            </w:tcBorders>
            <w:tcMar>
              <w:top w:w="0" w:type="dxa"/>
              <w:left w:w="10" w:type="dxa"/>
              <w:bottom w:w="0" w:type="dxa"/>
              <w:right w:w="10" w:type="dxa"/>
            </w:tcMar>
          </w:tcPr>
          <w:p w:rsidR="009859D3" w:rsidRPr="009E03B6" w:rsidRDefault="00B030A6">
            <w:pPr>
              <w:pStyle w:val="TableContents"/>
              <w:jc w:val="both"/>
              <w:rPr>
                <w:rFonts w:asciiTheme="minorHAnsi" w:hAnsiTheme="minorHAnsi"/>
              </w:rPr>
            </w:pPr>
            <w:r w:rsidRPr="009E03B6">
              <w:rPr>
                <w:rFonts w:asciiTheme="minorHAnsi" w:hAnsiTheme="minorHAnsi"/>
              </w:rPr>
              <w:t>Geprüft:</w:t>
            </w:r>
          </w:p>
        </w:tc>
        <w:tc>
          <w:tcPr>
            <w:tcW w:w="3535" w:type="dxa"/>
            <w:tcBorders>
              <w:left w:val="single" w:sz="2" w:space="0" w:color="000001"/>
              <w:bottom w:val="single" w:sz="2" w:space="0" w:color="000001"/>
            </w:tcBorders>
            <w:tcMar>
              <w:top w:w="0" w:type="dxa"/>
              <w:left w:w="10" w:type="dxa"/>
              <w:bottom w:w="0" w:type="dxa"/>
              <w:right w:w="10" w:type="dxa"/>
            </w:tcMar>
          </w:tcPr>
          <w:p w:rsidR="009859D3" w:rsidRPr="009E03B6" w:rsidRDefault="00B030A6">
            <w:pPr>
              <w:pStyle w:val="TableContents"/>
              <w:jc w:val="both"/>
              <w:rPr>
                <w:rFonts w:asciiTheme="minorHAnsi" w:hAnsiTheme="minorHAnsi"/>
              </w:rPr>
            </w:pPr>
            <w:r w:rsidRPr="009E03B6">
              <w:rPr>
                <w:rFonts w:asciiTheme="minorHAnsi" w:hAnsiTheme="minorHAnsi"/>
              </w:rPr>
              <w:t>Name der prüfenden Person</w:t>
            </w:r>
          </w:p>
        </w:tc>
        <w:tc>
          <w:tcPr>
            <w:tcW w:w="4540" w:type="dxa"/>
            <w:tcBorders>
              <w:left w:val="single" w:sz="2" w:space="0" w:color="000001"/>
              <w:bottom w:val="single" w:sz="2" w:space="0" w:color="000001"/>
              <w:right w:val="single" w:sz="2" w:space="0" w:color="000001"/>
            </w:tcBorders>
            <w:tcMar>
              <w:top w:w="0" w:type="dxa"/>
              <w:left w:w="10" w:type="dxa"/>
              <w:bottom w:w="0" w:type="dxa"/>
              <w:right w:w="10" w:type="dxa"/>
            </w:tcMar>
          </w:tcPr>
          <w:p w:rsidR="009859D3" w:rsidRPr="009E03B6" w:rsidRDefault="00B030A6">
            <w:pPr>
              <w:pStyle w:val="TableContents"/>
              <w:jc w:val="both"/>
              <w:rPr>
                <w:rFonts w:asciiTheme="minorHAnsi" w:hAnsiTheme="minorHAnsi"/>
              </w:rPr>
            </w:pPr>
            <w:r w:rsidRPr="009E03B6">
              <w:rPr>
                <w:rFonts w:asciiTheme="minorHAnsi" w:hAnsiTheme="minorHAnsi"/>
              </w:rPr>
              <w:t>Datum und Unterschrift:</w:t>
            </w:r>
          </w:p>
        </w:tc>
      </w:tr>
      <w:tr w:rsidR="009859D3" w:rsidRPr="009E03B6">
        <w:tc>
          <w:tcPr>
            <w:tcW w:w="1563" w:type="dxa"/>
            <w:tcBorders>
              <w:left w:val="single" w:sz="2" w:space="0" w:color="000001"/>
              <w:bottom w:val="single" w:sz="2" w:space="0" w:color="000001"/>
            </w:tcBorders>
            <w:tcMar>
              <w:top w:w="0" w:type="dxa"/>
              <w:left w:w="10" w:type="dxa"/>
              <w:bottom w:w="0" w:type="dxa"/>
              <w:right w:w="10" w:type="dxa"/>
            </w:tcMar>
          </w:tcPr>
          <w:p w:rsidR="009859D3" w:rsidRPr="009E03B6" w:rsidRDefault="00B030A6">
            <w:pPr>
              <w:pStyle w:val="TableContents"/>
              <w:jc w:val="both"/>
              <w:rPr>
                <w:rFonts w:asciiTheme="minorHAnsi" w:hAnsiTheme="minorHAnsi"/>
              </w:rPr>
            </w:pPr>
            <w:r w:rsidRPr="009E03B6">
              <w:rPr>
                <w:rFonts w:asciiTheme="minorHAnsi" w:hAnsiTheme="minorHAnsi"/>
              </w:rPr>
              <w:t>Freigegeben:</w:t>
            </w:r>
          </w:p>
        </w:tc>
        <w:tc>
          <w:tcPr>
            <w:tcW w:w="3535" w:type="dxa"/>
            <w:tcBorders>
              <w:left w:val="single" w:sz="2" w:space="0" w:color="000001"/>
              <w:bottom w:val="single" w:sz="2" w:space="0" w:color="000001"/>
            </w:tcBorders>
            <w:tcMar>
              <w:top w:w="0" w:type="dxa"/>
              <w:left w:w="10" w:type="dxa"/>
              <w:bottom w:w="0" w:type="dxa"/>
              <w:right w:w="10" w:type="dxa"/>
            </w:tcMar>
          </w:tcPr>
          <w:p w:rsidR="009859D3" w:rsidRPr="009E03B6" w:rsidRDefault="00B030A6">
            <w:pPr>
              <w:pStyle w:val="TableContents"/>
              <w:jc w:val="both"/>
              <w:rPr>
                <w:rFonts w:asciiTheme="minorHAnsi" w:hAnsiTheme="minorHAnsi"/>
              </w:rPr>
            </w:pPr>
            <w:r w:rsidRPr="009E03B6">
              <w:rPr>
                <w:rFonts w:asciiTheme="minorHAnsi" w:hAnsiTheme="minorHAnsi"/>
              </w:rPr>
              <w:t>Name der freigebenden Person</w:t>
            </w:r>
          </w:p>
        </w:tc>
        <w:tc>
          <w:tcPr>
            <w:tcW w:w="4540" w:type="dxa"/>
            <w:tcBorders>
              <w:left w:val="single" w:sz="2" w:space="0" w:color="000001"/>
              <w:bottom w:val="single" w:sz="2" w:space="0" w:color="000001"/>
              <w:right w:val="single" w:sz="2" w:space="0" w:color="000001"/>
            </w:tcBorders>
            <w:tcMar>
              <w:top w:w="0" w:type="dxa"/>
              <w:left w:w="10" w:type="dxa"/>
              <w:bottom w:w="0" w:type="dxa"/>
              <w:right w:w="10" w:type="dxa"/>
            </w:tcMar>
          </w:tcPr>
          <w:p w:rsidR="009859D3" w:rsidRPr="009E03B6" w:rsidRDefault="00B030A6">
            <w:pPr>
              <w:pStyle w:val="TableContents"/>
              <w:jc w:val="both"/>
              <w:rPr>
                <w:rFonts w:asciiTheme="minorHAnsi" w:hAnsiTheme="minorHAnsi"/>
              </w:rPr>
            </w:pPr>
            <w:r w:rsidRPr="009E03B6">
              <w:rPr>
                <w:rFonts w:asciiTheme="minorHAnsi" w:hAnsiTheme="minorHAnsi"/>
              </w:rPr>
              <w:t>Datum und Unterschrift:</w:t>
            </w:r>
          </w:p>
        </w:tc>
      </w:tr>
    </w:tbl>
    <w:p w:rsidR="009859D3" w:rsidRPr="009E03B6" w:rsidRDefault="009859D3">
      <w:pPr>
        <w:jc w:val="both"/>
        <w:rPr>
          <w:rFonts w:asciiTheme="minorHAnsi" w:hAnsiTheme="minorHAnsi"/>
        </w:rPr>
      </w:pPr>
    </w:p>
    <w:p w:rsidR="009859D3" w:rsidRPr="009E03B6" w:rsidRDefault="009859D3">
      <w:pPr>
        <w:rPr>
          <w:rFonts w:asciiTheme="minorHAnsi" w:hAnsiTheme="minorHAnsi"/>
        </w:rPr>
      </w:pPr>
    </w:p>
    <w:sectPr w:rsidR="009859D3" w:rsidRPr="009E03B6" w:rsidSect="00FC4A4A">
      <w:headerReference w:type="default" r:id="rId7"/>
      <w:footerReference w:type="default" r:id="rId8"/>
      <w:pgSz w:w="11906" w:h="16838"/>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AED" w:rsidRDefault="00D37AED">
      <w:r>
        <w:separator/>
      </w:r>
    </w:p>
  </w:endnote>
  <w:endnote w:type="continuationSeparator" w:id="0">
    <w:p w:rsidR="00D37AED" w:rsidRDefault="00D3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Cambria">
    <w:charset w:val="00"/>
    <w:family w:val="roman"/>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0" w:type="dxa"/>
      <w:tblLayout w:type="fixed"/>
      <w:tblCellMar>
        <w:left w:w="10" w:type="dxa"/>
        <w:right w:w="10" w:type="dxa"/>
      </w:tblCellMar>
      <w:tblLook w:val="04A0" w:firstRow="1" w:lastRow="0" w:firstColumn="1" w:lastColumn="0" w:noHBand="0" w:noVBand="1"/>
    </w:tblPr>
    <w:tblGrid>
      <w:gridCol w:w="1615"/>
      <w:gridCol w:w="5811"/>
      <w:gridCol w:w="2694"/>
    </w:tblGrid>
    <w:tr w:rsidR="00FC4A4A" w:rsidRPr="009E03B6" w:rsidTr="00FD32E4">
      <w:tc>
        <w:tcPr>
          <w:tcW w:w="1615" w:type="dxa"/>
          <w:tcBorders>
            <w:top w:val="single" w:sz="2" w:space="0" w:color="000000"/>
            <w:left w:val="single" w:sz="2" w:space="0" w:color="000000"/>
            <w:bottom w:val="single" w:sz="2" w:space="0" w:color="000000"/>
          </w:tcBorders>
          <w:tcMar>
            <w:top w:w="55" w:type="dxa"/>
            <w:left w:w="55" w:type="dxa"/>
            <w:bottom w:w="55" w:type="dxa"/>
            <w:right w:w="55" w:type="dxa"/>
          </w:tcMar>
        </w:tcPr>
        <w:p w:rsidR="00FC4A4A" w:rsidRPr="009E03B6" w:rsidRDefault="00FD32E4" w:rsidP="00FC4A4A">
          <w:pPr>
            <w:pStyle w:val="QEP-FuzeileUV"/>
            <w:snapToGrid w:val="0"/>
            <w:rPr>
              <w:rFonts w:asciiTheme="minorHAnsi" w:hAnsiTheme="minorHAnsi" w:cs="Arial"/>
              <w:color w:val="808080"/>
            </w:rPr>
          </w:pPr>
          <w:r>
            <w:rPr>
              <w:rFonts w:asciiTheme="minorHAnsi" w:hAnsiTheme="minorHAnsi" w:cs="Arial"/>
              <w:color w:val="808080"/>
            </w:rPr>
            <w:t>Revision:</w:t>
          </w:r>
        </w:p>
      </w:tc>
      <w:tc>
        <w:tcPr>
          <w:tcW w:w="5811" w:type="dxa"/>
          <w:tcBorders>
            <w:top w:val="single" w:sz="2" w:space="0" w:color="000000"/>
            <w:left w:val="single" w:sz="2" w:space="0" w:color="000000"/>
            <w:bottom w:val="single" w:sz="2" w:space="0" w:color="000000"/>
          </w:tcBorders>
          <w:tcMar>
            <w:top w:w="55" w:type="dxa"/>
            <w:left w:w="55" w:type="dxa"/>
            <w:bottom w:w="55" w:type="dxa"/>
            <w:right w:w="55" w:type="dxa"/>
          </w:tcMar>
        </w:tcPr>
        <w:p w:rsidR="00FC4A4A" w:rsidRPr="009E03B6" w:rsidRDefault="00FC4A4A" w:rsidP="00FC4A4A">
          <w:pPr>
            <w:pStyle w:val="QEP-FuzeileUV"/>
            <w:snapToGrid w:val="0"/>
            <w:rPr>
              <w:rFonts w:asciiTheme="minorHAnsi" w:hAnsiTheme="minorHAnsi" w:cs="Arial"/>
              <w:color w:val="808080"/>
            </w:rPr>
          </w:pPr>
          <w:r w:rsidRPr="009E03B6">
            <w:rPr>
              <w:rFonts w:asciiTheme="minorHAnsi" w:hAnsiTheme="minorHAnsi" w:cs="Arial"/>
              <w:color w:val="808080"/>
            </w:rPr>
            <w:fldChar w:fldCharType="begin"/>
          </w:r>
          <w:r w:rsidRPr="009E03B6">
            <w:rPr>
              <w:rFonts w:asciiTheme="minorHAnsi" w:hAnsiTheme="minorHAnsi" w:cs="Arial"/>
              <w:color w:val="808080"/>
            </w:rPr>
            <w:instrText xml:space="preserve"> FILENAME   \* MERGEFORMAT </w:instrText>
          </w:r>
          <w:r w:rsidRPr="009E03B6">
            <w:rPr>
              <w:rFonts w:asciiTheme="minorHAnsi" w:hAnsiTheme="minorHAnsi" w:cs="Arial"/>
              <w:color w:val="808080"/>
            </w:rPr>
            <w:fldChar w:fldCharType="separate"/>
          </w:r>
          <w:r w:rsidR="00FD32E4">
            <w:rPr>
              <w:rFonts w:asciiTheme="minorHAnsi" w:hAnsiTheme="minorHAnsi" w:cs="Arial"/>
              <w:noProof/>
              <w:color w:val="808080"/>
            </w:rPr>
            <w:t>07.2b_GBN_Hinweise_Probennahme_Gewebe.docx</w:t>
          </w:r>
          <w:r w:rsidRPr="009E03B6">
            <w:rPr>
              <w:rFonts w:asciiTheme="minorHAnsi" w:hAnsiTheme="minorHAnsi" w:cs="Arial"/>
              <w:color w:val="808080"/>
            </w:rPr>
            <w:fldChar w:fldCharType="end"/>
          </w: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C4A4A" w:rsidRPr="009E03B6" w:rsidRDefault="00FC4A4A" w:rsidP="00FC4A4A">
          <w:pPr>
            <w:pStyle w:val="QEP-FuzeileUV"/>
            <w:snapToGrid w:val="0"/>
            <w:jc w:val="right"/>
            <w:rPr>
              <w:rFonts w:asciiTheme="minorHAnsi" w:hAnsiTheme="minorHAnsi" w:cs="Arial"/>
              <w:color w:val="808080"/>
            </w:rPr>
          </w:pPr>
          <w:r w:rsidRPr="009E03B6">
            <w:rPr>
              <w:rFonts w:asciiTheme="minorHAnsi" w:hAnsiTheme="minorHAnsi" w:cs="Arial"/>
              <w:color w:val="808080"/>
            </w:rPr>
            <w:t>Seite:</w:t>
          </w:r>
        </w:p>
      </w:tc>
    </w:tr>
  </w:tbl>
  <w:p w:rsidR="00455006" w:rsidRPr="00117DC4" w:rsidRDefault="00455006" w:rsidP="00455006">
    <w:pPr>
      <w:rPr>
        <w:sz w:val="4"/>
        <w:szCs w:val="17"/>
      </w:rPr>
    </w:pPr>
  </w:p>
  <w:p w:rsidR="00B030A6" w:rsidRPr="00615CF5" w:rsidRDefault="00615CF5" w:rsidP="00615CF5">
    <w:pPr>
      <w:rPr>
        <w:rFonts w:ascii="Calibri" w:hAnsi="Calibri"/>
        <w:i/>
        <w:sz w:val="17"/>
        <w:szCs w:val="17"/>
      </w:rPr>
    </w:pPr>
    <w:r w:rsidRPr="00DA4DD0">
      <w:rPr>
        <w:i/>
        <w:sz w:val="17"/>
        <w:szCs w:val="17"/>
      </w:rPr>
      <w:t xml:space="preserve">Das Urheberrecht (Copyright) für dieses Dokument liegt beim German </w:t>
    </w:r>
    <w:proofErr w:type="spellStart"/>
    <w:r w:rsidRPr="00DA4DD0">
      <w:rPr>
        <w:i/>
        <w:sz w:val="17"/>
        <w:szCs w:val="17"/>
      </w:rPr>
      <w:t>Biobank</w:t>
    </w:r>
    <w:proofErr w:type="spellEnd"/>
    <w:r w:rsidRPr="00DA4DD0">
      <w:rPr>
        <w:i/>
        <w:sz w:val="17"/>
        <w:szCs w:val="17"/>
      </w:rPr>
      <w:t xml:space="preserve"> </w:t>
    </w:r>
    <w:proofErr w:type="spellStart"/>
    <w:r w:rsidRPr="00DA4DD0">
      <w:rPr>
        <w:i/>
        <w:sz w:val="17"/>
        <w:szCs w:val="17"/>
      </w:rPr>
      <w:t>Node</w:t>
    </w:r>
    <w:proofErr w:type="spellEnd"/>
    <w:r w:rsidRPr="00DA4DD0">
      <w:rPr>
        <w:i/>
        <w:sz w:val="17"/>
        <w:szCs w:val="17"/>
      </w:rPr>
      <w:t xml:space="preserve"> (GBN). Die Weitergabe der Inhalte an Dritte ist nicht gestattet.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AED" w:rsidRDefault="00D37AED">
      <w:r>
        <w:rPr>
          <w:color w:val="000000"/>
        </w:rPr>
        <w:separator/>
      </w:r>
    </w:p>
  </w:footnote>
  <w:footnote w:type="continuationSeparator" w:id="0">
    <w:p w:rsidR="00D37AED" w:rsidRDefault="00D37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3B6" w:rsidRDefault="009E03B6">
    <w:pPr>
      <w:pStyle w:val="Kopfzeile"/>
    </w:pPr>
    <w:r>
      <w:rPr>
        <w:noProof/>
        <w:lang w:eastAsia="de-DE" w:bidi="ar-SA"/>
      </w:rPr>
      <w:drawing>
        <wp:anchor distT="0" distB="0" distL="114300" distR="114300" simplePos="0" relativeHeight="251658752" behindDoc="1" locked="0" layoutInCell="1" allowOverlap="1" wp14:anchorId="57A34397" wp14:editId="2D64CE66">
          <wp:simplePos x="0" y="0"/>
          <wp:positionH relativeFrom="column">
            <wp:posOffset>4458970</wp:posOffset>
          </wp:positionH>
          <wp:positionV relativeFrom="paragraph">
            <wp:posOffset>-344805</wp:posOffset>
          </wp:positionV>
          <wp:extent cx="2044700" cy="926465"/>
          <wp:effectExtent l="0" t="0" r="0"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N_RGB_schwa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926465"/>
                  </a:xfrm>
                  <a:prstGeom prst="rect">
                    <a:avLst/>
                  </a:prstGeom>
                </pic:spPr>
              </pic:pic>
            </a:graphicData>
          </a:graphic>
          <wp14:sizeRelH relativeFrom="page">
            <wp14:pctWidth>0</wp14:pctWidth>
          </wp14:sizeRelH>
          <wp14:sizeRelV relativeFrom="page">
            <wp14:pctHeight>0</wp14:pctHeight>
          </wp14:sizeRelV>
        </wp:anchor>
      </w:drawing>
    </w:r>
  </w:p>
  <w:p w:rsidR="009E03B6" w:rsidRDefault="009E03B6">
    <w:pPr>
      <w:pStyle w:val="Kopfzeile"/>
    </w:pPr>
  </w:p>
  <w:p w:rsidR="00B030A6" w:rsidRDefault="00B030A6">
    <w:pPr>
      <w:pStyle w:val="Kopfzeile"/>
    </w:pPr>
  </w:p>
  <w:tbl>
    <w:tblPr>
      <w:tblW w:w="10027" w:type="dxa"/>
      <w:tblInd w:w="35" w:type="dxa"/>
      <w:tblLayout w:type="fixed"/>
      <w:tblCellMar>
        <w:left w:w="10" w:type="dxa"/>
        <w:right w:w="10" w:type="dxa"/>
      </w:tblCellMar>
      <w:tblLook w:val="0000" w:firstRow="0" w:lastRow="0" w:firstColumn="0" w:lastColumn="0" w:noHBand="0" w:noVBand="0"/>
    </w:tblPr>
    <w:tblGrid>
      <w:gridCol w:w="3211"/>
      <w:gridCol w:w="3602"/>
      <w:gridCol w:w="3214"/>
    </w:tblGrid>
    <w:tr w:rsidR="009E03B6" w:rsidRPr="005E1667" w:rsidTr="00994B42">
      <w:tc>
        <w:tcPr>
          <w:tcW w:w="3211" w:type="dxa"/>
          <w:tcBorders>
            <w:top w:val="single" w:sz="2" w:space="0" w:color="000001"/>
            <w:left w:val="single" w:sz="2" w:space="0" w:color="000001"/>
            <w:bottom w:val="single" w:sz="2" w:space="0" w:color="000001"/>
          </w:tcBorders>
          <w:tcMar>
            <w:top w:w="0" w:type="dxa"/>
            <w:left w:w="10" w:type="dxa"/>
            <w:bottom w:w="0" w:type="dxa"/>
            <w:right w:w="10" w:type="dxa"/>
          </w:tcMar>
        </w:tcPr>
        <w:p w:rsidR="009E03B6" w:rsidRPr="005E1667" w:rsidRDefault="009E03B6" w:rsidP="00994B42">
          <w:pPr>
            <w:pStyle w:val="TableContents"/>
            <w:rPr>
              <w:rFonts w:asciiTheme="minorHAnsi" w:hAnsiTheme="minorHAnsi"/>
              <w:sz w:val="28"/>
              <w:szCs w:val="28"/>
            </w:rPr>
          </w:pPr>
          <w:r w:rsidRPr="005E1667">
            <w:rPr>
              <w:rFonts w:asciiTheme="minorHAnsi" w:hAnsiTheme="minorHAnsi"/>
              <w:sz w:val="28"/>
              <w:szCs w:val="28"/>
            </w:rPr>
            <w:t xml:space="preserve">Name der </w:t>
          </w:r>
          <w:proofErr w:type="spellStart"/>
          <w:r w:rsidRPr="005E1667">
            <w:rPr>
              <w:rFonts w:asciiTheme="minorHAnsi" w:hAnsiTheme="minorHAnsi"/>
              <w:sz w:val="28"/>
              <w:szCs w:val="28"/>
            </w:rPr>
            <w:t>Biobank</w:t>
          </w:r>
          <w:proofErr w:type="spellEnd"/>
        </w:p>
      </w:tc>
      <w:tc>
        <w:tcPr>
          <w:tcW w:w="3602" w:type="dxa"/>
          <w:vMerge w:val="restart"/>
          <w:tcBorders>
            <w:top w:val="single" w:sz="2" w:space="0" w:color="000001"/>
            <w:left w:val="single" w:sz="2" w:space="0" w:color="000001"/>
            <w:bottom w:val="single" w:sz="2" w:space="0" w:color="000001"/>
          </w:tcBorders>
          <w:shd w:val="clear" w:color="auto" w:fill="939FAD"/>
          <w:tcMar>
            <w:top w:w="0" w:type="dxa"/>
            <w:left w:w="10" w:type="dxa"/>
            <w:bottom w:w="0" w:type="dxa"/>
            <w:right w:w="10" w:type="dxa"/>
          </w:tcMar>
          <w:vAlign w:val="center"/>
        </w:tcPr>
        <w:p w:rsidR="009E03B6" w:rsidRPr="005E1667" w:rsidRDefault="009E03B6" w:rsidP="00994B42">
          <w:pPr>
            <w:pStyle w:val="KeinLeerraum"/>
            <w:jc w:val="center"/>
            <w:rPr>
              <w:rFonts w:asciiTheme="minorHAnsi" w:hAnsiTheme="minorHAnsi"/>
              <w:b/>
              <w:color w:val="FFFFFF" w:themeColor="background1"/>
              <w:sz w:val="28"/>
              <w:szCs w:val="28"/>
            </w:rPr>
          </w:pPr>
          <w:r w:rsidRPr="005E1667">
            <w:rPr>
              <w:rFonts w:asciiTheme="minorHAnsi" w:hAnsiTheme="minorHAnsi"/>
              <w:b/>
              <w:color w:val="FFFFFF" w:themeColor="background1"/>
              <w:sz w:val="28"/>
              <w:szCs w:val="28"/>
            </w:rPr>
            <w:t xml:space="preserve">Hinweise zur </w:t>
          </w:r>
          <w:proofErr w:type="spellStart"/>
          <w:r w:rsidRPr="005E1667">
            <w:rPr>
              <w:rFonts w:asciiTheme="minorHAnsi" w:hAnsiTheme="minorHAnsi"/>
              <w:b/>
              <w:color w:val="FFFFFF" w:themeColor="background1"/>
              <w:sz w:val="28"/>
              <w:szCs w:val="28"/>
            </w:rPr>
            <w:t>Primärprobennahme</w:t>
          </w:r>
          <w:proofErr w:type="spellEnd"/>
        </w:p>
        <w:p w:rsidR="009E03B6" w:rsidRPr="005E1667" w:rsidRDefault="009E03B6" w:rsidP="00994B42">
          <w:pPr>
            <w:pStyle w:val="KeinLeerraum"/>
            <w:jc w:val="center"/>
            <w:rPr>
              <w:rFonts w:asciiTheme="minorHAnsi" w:hAnsiTheme="minorHAnsi"/>
              <w:b/>
              <w:color w:val="FFFFFF" w:themeColor="background1"/>
              <w:sz w:val="28"/>
              <w:szCs w:val="28"/>
            </w:rPr>
          </w:pPr>
          <w:r w:rsidRPr="005E1667">
            <w:rPr>
              <w:rFonts w:asciiTheme="minorHAnsi" w:hAnsiTheme="minorHAnsi"/>
              <w:b/>
              <w:color w:val="FFFFFF" w:themeColor="background1"/>
              <w:sz w:val="28"/>
              <w:szCs w:val="28"/>
            </w:rPr>
            <w:t>Gewebe</w:t>
          </w:r>
        </w:p>
      </w:tc>
      <w:tc>
        <w:tcPr>
          <w:tcW w:w="3214"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9E03B6" w:rsidRPr="005E1667" w:rsidRDefault="009E03B6" w:rsidP="00994B42">
          <w:pPr>
            <w:pStyle w:val="TableContents"/>
            <w:rPr>
              <w:rFonts w:asciiTheme="minorHAnsi" w:hAnsiTheme="minorHAnsi"/>
              <w:sz w:val="28"/>
              <w:szCs w:val="28"/>
            </w:rPr>
          </w:pPr>
          <w:r w:rsidRPr="005E1667">
            <w:rPr>
              <w:rFonts w:asciiTheme="minorHAnsi" w:hAnsiTheme="minorHAnsi"/>
              <w:sz w:val="28"/>
              <w:szCs w:val="28"/>
            </w:rPr>
            <w:t xml:space="preserve">Leitung der </w:t>
          </w:r>
          <w:proofErr w:type="spellStart"/>
          <w:r w:rsidRPr="005E1667">
            <w:rPr>
              <w:rFonts w:asciiTheme="minorHAnsi" w:hAnsiTheme="minorHAnsi"/>
              <w:sz w:val="28"/>
              <w:szCs w:val="28"/>
            </w:rPr>
            <w:t>Biobank</w:t>
          </w:r>
          <w:proofErr w:type="spellEnd"/>
          <w:r w:rsidRPr="005E1667">
            <w:rPr>
              <w:rFonts w:asciiTheme="minorHAnsi" w:hAnsiTheme="minorHAnsi"/>
              <w:sz w:val="28"/>
              <w:szCs w:val="28"/>
            </w:rPr>
            <w:t xml:space="preserve"> XXX</w:t>
          </w:r>
        </w:p>
      </w:tc>
    </w:tr>
    <w:tr w:rsidR="009E03B6" w:rsidRPr="005E1667" w:rsidTr="00994B42">
      <w:trPr>
        <w:trHeight w:val="1213"/>
      </w:trPr>
      <w:tc>
        <w:tcPr>
          <w:tcW w:w="3211" w:type="dxa"/>
          <w:tcBorders>
            <w:left w:val="single" w:sz="2" w:space="0" w:color="000001"/>
            <w:bottom w:val="single" w:sz="2" w:space="0" w:color="000001"/>
          </w:tcBorders>
          <w:tcMar>
            <w:top w:w="0" w:type="dxa"/>
            <w:left w:w="10" w:type="dxa"/>
            <w:bottom w:w="0" w:type="dxa"/>
            <w:right w:w="10" w:type="dxa"/>
          </w:tcMar>
          <w:vAlign w:val="center"/>
        </w:tcPr>
        <w:p w:rsidR="009E03B6" w:rsidRPr="005E1667" w:rsidRDefault="009E03B6" w:rsidP="00994B42">
          <w:pPr>
            <w:pStyle w:val="TableContents"/>
            <w:jc w:val="center"/>
            <w:rPr>
              <w:rFonts w:asciiTheme="minorHAnsi" w:hAnsiTheme="minorHAnsi"/>
              <w:sz w:val="28"/>
              <w:szCs w:val="28"/>
            </w:rPr>
          </w:pPr>
          <w:r w:rsidRPr="005E1667">
            <w:rPr>
              <w:rFonts w:asciiTheme="minorHAnsi" w:hAnsiTheme="minorHAnsi"/>
              <w:sz w:val="28"/>
              <w:szCs w:val="28"/>
            </w:rPr>
            <w:t>Evtl. Logo</w:t>
          </w:r>
        </w:p>
      </w:tc>
      <w:tc>
        <w:tcPr>
          <w:tcW w:w="3602" w:type="dxa"/>
          <w:vMerge/>
          <w:tcBorders>
            <w:top w:val="single" w:sz="2" w:space="0" w:color="000001"/>
            <w:left w:val="single" w:sz="2" w:space="0" w:color="000001"/>
            <w:bottom w:val="single" w:sz="2" w:space="0" w:color="000001"/>
          </w:tcBorders>
          <w:shd w:val="clear" w:color="auto" w:fill="939FAD"/>
          <w:tcMar>
            <w:top w:w="0" w:type="dxa"/>
            <w:left w:w="10" w:type="dxa"/>
            <w:bottom w:w="0" w:type="dxa"/>
            <w:right w:w="10" w:type="dxa"/>
          </w:tcMar>
        </w:tcPr>
        <w:p w:rsidR="009E03B6" w:rsidRPr="005E1667" w:rsidRDefault="009E03B6" w:rsidP="00994B42">
          <w:pPr>
            <w:rPr>
              <w:rFonts w:asciiTheme="minorHAnsi" w:hAnsiTheme="minorHAnsi"/>
              <w:sz w:val="28"/>
              <w:szCs w:val="28"/>
            </w:rPr>
          </w:pPr>
        </w:p>
      </w:tc>
      <w:tc>
        <w:tcPr>
          <w:tcW w:w="3214" w:type="dxa"/>
          <w:tcBorders>
            <w:left w:val="single" w:sz="2" w:space="0" w:color="000001"/>
            <w:bottom w:val="single" w:sz="2" w:space="0" w:color="000001"/>
            <w:right w:val="single" w:sz="2" w:space="0" w:color="000001"/>
          </w:tcBorders>
          <w:tcMar>
            <w:top w:w="0" w:type="dxa"/>
            <w:left w:w="10" w:type="dxa"/>
            <w:bottom w:w="0" w:type="dxa"/>
            <w:right w:w="10" w:type="dxa"/>
          </w:tcMar>
          <w:vAlign w:val="center"/>
        </w:tcPr>
        <w:p w:rsidR="009E03B6" w:rsidRPr="005E1667" w:rsidRDefault="009E03B6" w:rsidP="00994B42">
          <w:pPr>
            <w:pStyle w:val="TableContents"/>
            <w:jc w:val="center"/>
            <w:rPr>
              <w:rFonts w:asciiTheme="minorHAnsi" w:hAnsiTheme="minorHAnsi"/>
              <w:sz w:val="28"/>
              <w:szCs w:val="28"/>
            </w:rPr>
          </w:pPr>
          <w:r w:rsidRPr="005E1667">
            <w:rPr>
              <w:rFonts w:asciiTheme="minorHAnsi" w:hAnsiTheme="minorHAnsi"/>
              <w:sz w:val="28"/>
              <w:szCs w:val="28"/>
            </w:rPr>
            <w:t>Formblatt</w:t>
          </w:r>
        </w:p>
      </w:tc>
    </w:tr>
  </w:tbl>
  <w:p w:rsidR="009E03B6" w:rsidRDefault="009E03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5A0"/>
    <w:multiLevelType w:val="hybridMultilevel"/>
    <w:tmpl w:val="0E8673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F76D53"/>
    <w:multiLevelType w:val="hybridMultilevel"/>
    <w:tmpl w:val="A3FCA80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15:restartNumberingAfterBreak="0">
    <w:nsid w:val="2DFA1B41"/>
    <w:multiLevelType w:val="hybridMultilevel"/>
    <w:tmpl w:val="9904D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5362C2"/>
    <w:multiLevelType w:val="multilevel"/>
    <w:tmpl w:val="D368F3A0"/>
    <w:styleLink w:val="WWNum2"/>
    <w:lvl w:ilvl="0">
      <w:numFmt w:val="bullet"/>
      <w:lvlText w:val=""/>
      <w:lvlJc w:val="left"/>
      <w:rPr>
        <w:rFonts w:ascii="Symbol" w:hAnsi="Symbol"/>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4F1408B4"/>
    <w:multiLevelType w:val="multilevel"/>
    <w:tmpl w:val="2B70F772"/>
    <w:styleLink w:val="WWNum1"/>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rPr>
        <w:rFonts w:eastAsia="OpenSymbol" w:cs="OpenSymbol"/>
      </w:rPr>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abstractNum w:abstractNumId="5" w15:restartNumberingAfterBreak="0">
    <w:nsid w:val="66231896"/>
    <w:multiLevelType w:val="multilevel"/>
    <w:tmpl w:val="EFF4F6E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6CDC0C52"/>
    <w:multiLevelType w:val="multilevel"/>
    <w:tmpl w:val="B1D84CCE"/>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78994E49"/>
    <w:multiLevelType w:val="multilevel"/>
    <w:tmpl w:val="FD148620"/>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3"/>
  </w:num>
  <w:num w:numId="3">
    <w:abstractNumId w:val="5"/>
  </w:num>
  <w:num w:numId="4">
    <w:abstractNumId w:val="7"/>
  </w:num>
  <w:num w:numId="5">
    <w:abstractNumId w:val="6"/>
  </w:num>
  <w:num w:numId="6">
    <w:abstractNumId w:val="7"/>
    <w:lvlOverride w:ilvl="0">
      <w:startOverride w:val="1"/>
    </w:lvlOverride>
  </w:num>
  <w:num w:numId="7">
    <w:abstractNumId w:val="3"/>
  </w:num>
  <w:num w:numId="8">
    <w:abstractNumId w:val="7"/>
    <w:lvlOverride w:ilvl="0">
      <w:startOverride w:val="1"/>
    </w:lvlOverride>
  </w:num>
  <w:num w:numId="9">
    <w:abstractNumId w:val="5"/>
  </w:num>
  <w:num w:numId="10">
    <w:abstractNumId w:val="7"/>
    <w:lvlOverride w:ilvl="0">
      <w:startOverride w:val="1"/>
    </w:lvlOverride>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D3"/>
    <w:rsid w:val="00021684"/>
    <w:rsid w:val="003C4121"/>
    <w:rsid w:val="00455006"/>
    <w:rsid w:val="005E1667"/>
    <w:rsid w:val="00615CF5"/>
    <w:rsid w:val="006D4CBD"/>
    <w:rsid w:val="00751FBF"/>
    <w:rsid w:val="008640E7"/>
    <w:rsid w:val="008D6054"/>
    <w:rsid w:val="009859D3"/>
    <w:rsid w:val="009E03B6"/>
    <w:rsid w:val="00AF5FD3"/>
    <w:rsid w:val="00B030A6"/>
    <w:rsid w:val="00C42792"/>
    <w:rsid w:val="00D37AED"/>
    <w:rsid w:val="00D5632E"/>
    <w:rsid w:val="00E20900"/>
    <w:rsid w:val="00FC4A4A"/>
    <w:rsid w:val="00FD3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C039D"/>
  <w15:docId w15:val="{BA56E169-8A21-4452-B20F-CB5353C4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ahoma"/>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autoSpaceDN w:val="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QEP-Fuzeile">
    <w:name w:val="QEP-Fußzeile"/>
    <w:basedOn w:val="Standard"/>
  </w:style>
  <w:style w:type="paragraph" w:customStyle="1" w:styleId="QEP-FuzeileUV">
    <w:name w:val="QEP-Fußzeile UV"/>
    <w:basedOn w:val="QEP-Fuzeile"/>
  </w:style>
  <w:style w:type="paragraph" w:styleId="Listenabsatz">
    <w:name w:val="List Paragraph"/>
    <w:basedOn w:val="Standard"/>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style>
  <w:style w:type="paragraph" w:customStyle="1" w:styleId="Default">
    <w:name w:val="Default"/>
    <w:basedOn w:val="Standard"/>
    <w:pPr>
      <w:autoSpaceDE w:val="0"/>
    </w:pPr>
    <w:rPr>
      <w:rFonts w:ascii="Cambria, Cambria" w:eastAsia="Cambria, Cambria" w:hAnsi="Cambria, Cambria" w:cs="Cambria, Cambria"/>
      <w:color w:val="000000"/>
    </w:rPr>
  </w:style>
  <w:style w:type="character" w:customStyle="1" w:styleId="ListLabel1">
    <w:name w:val="ListLabel 1"/>
    <w:rPr>
      <w:rFonts w:eastAsia="OpenSymbol" w:cs="OpenSymbol"/>
    </w:rPr>
  </w:style>
  <w:style w:type="character" w:customStyle="1" w:styleId="ListLabel2">
    <w:name w:val="ListLabel 2"/>
    <w:rPr>
      <w:color w:val="00000A"/>
      <w:u w:val="none"/>
    </w:rPr>
  </w:style>
  <w:style w:type="character" w:customStyle="1" w:styleId="ListLabel3">
    <w:name w:val="ListLabel 3"/>
    <w:rPr>
      <w:rFonts w:cs="Courier New"/>
    </w:rPr>
  </w:style>
  <w:style w:type="character" w:customStyle="1" w:styleId="BulletSymbols">
    <w:name w:val="Bullet Symbols"/>
    <w:rPr>
      <w:rFonts w:ascii="OpenSymbol" w:eastAsia="OpenSymbol" w:hAnsi="OpenSymbol" w:cs="OpenSymbol"/>
    </w:rPr>
  </w:style>
  <w:style w:type="character" w:customStyle="1" w:styleId="SprechblasentextZchn">
    <w:name w:val="Sprechblasentext Zchn"/>
    <w:basedOn w:val="Absatz-Standardschriftart"/>
  </w:style>
  <w:style w:type="character" w:styleId="Kommentarzeichen">
    <w:name w:val="annotation reference"/>
    <w:basedOn w:val="Absatz-Standardschriftart"/>
  </w:style>
  <w:style w:type="character" w:customStyle="1" w:styleId="KommentartextZchn">
    <w:name w:val="Kommentartext Zchn"/>
    <w:basedOn w:val="Absatz-Standardschriftart"/>
  </w:style>
  <w:style w:type="character" w:customStyle="1" w:styleId="KommentarthemaZchn">
    <w:name w:val="Kommentarthema Zchn"/>
    <w:basedOn w:val="KommentartextZchn"/>
  </w:style>
  <w:style w:type="character" w:styleId="Zeilennummer">
    <w:name w:val="line number"/>
    <w:basedOn w:val="Absatz-Standardschriftart"/>
  </w:style>
  <w:style w:type="character" w:customStyle="1" w:styleId="Linenumbering">
    <w:name w:val="Line numbering"/>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paragraph" w:styleId="KeinLeerraum">
    <w:name w:val="No Spacing"/>
    <w:uiPriority w:val="1"/>
    <w:qFormat/>
    <w:rsid w:val="005E1667"/>
    <w:pPr>
      <w:suppressAutoHyphens/>
      <w:autoSpaceDN w:val="0"/>
      <w:textAlignment w:val="baseline"/>
    </w:pPr>
    <w:rPr>
      <w:rFonts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Schmitt</dc:creator>
  <cp:lastModifiedBy>Hartfeldt, Christiane</cp:lastModifiedBy>
  <cp:revision>7</cp:revision>
  <dcterms:created xsi:type="dcterms:W3CDTF">2017-05-04T11:50:00Z</dcterms:created>
  <dcterms:modified xsi:type="dcterms:W3CDTF">2018-10-16T09:19:00Z</dcterms:modified>
</cp:coreProperties>
</file>