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6C" w:rsidRPr="00BB6E3D" w:rsidRDefault="0089006C" w:rsidP="0089006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BB6E3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Table 1.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Impact Factors by Area</w:t>
      </w:r>
    </w:p>
    <w:tbl>
      <w:tblPr>
        <w:tblW w:w="9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973"/>
        <w:gridCol w:w="818"/>
        <w:gridCol w:w="190"/>
        <w:gridCol w:w="410"/>
        <w:gridCol w:w="1007"/>
        <w:gridCol w:w="331"/>
        <w:gridCol w:w="399"/>
        <w:gridCol w:w="728"/>
      </w:tblGrid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D75188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Agregated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4*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Area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Psychology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(General)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667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D75188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General </w:t>
            </w:r>
            <w:proofErr w:type="spellStart"/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gm</w:t>
            </w: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</w:t>
            </w:r>
            <w:proofErr w:type="spellEnd"/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 Ethics, Gender &amp; Social Resp.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372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D75188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International Business and Area Studies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869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Sector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Studies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Strategy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461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D75188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Entrepreneurship and Small Business Management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D75188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Operations Research and Management Science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301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Innovation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495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035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Information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Management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016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Operations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and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Technology Management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207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Social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Sciences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027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297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D75188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Public Sector and Health Care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473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Psychology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Organisational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130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Organisational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Studies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691</w:t>
            </w:r>
          </w:p>
        </w:tc>
      </w:tr>
      <w:tr w:rsidR="0089006C" w:rsidRPr="00DE43E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Economics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Econometrics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and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Statistics</w:t>
            </w:r>
            <w:proofErr w:type="spellEnd"/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174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Finance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746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Accounting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825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Management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Development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and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Education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D75188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75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Human Res.  Management &amp; Employment Studies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Regional studies, planning &amp; environment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Business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and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Economic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History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89006C" w:rsidRPr="00424940" w:rsidTr="0089006C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6C" w:rsidRPr="00424940" w:rsidRDefault="0089006C" w:rsidP="00DF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416</w:t>
            </w:r>
          </w:p>
        </w:tc>
      </w:tr>
    </w:tbl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>Average impact factor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journals classified by area of knowledge which are at the top of the list prepared by the Chartered Association of Business Schools (2018). Note: The Chartered Association of Business Schools publishes the </w:t>
      </w:r>
      <w:r w:rsidRPr="00BB6E3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Academic Journal Guide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>, which is updated every 3 years, with its most recent edition being published in 2018. This publication lists scientific journals in the area of business, using a scale of 5 ratings, ranging from 1 (the most basic) to 4* (the highest). N = Number of journals with the highest ratings in the 2018 ABS list; IF = Impact Factor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2017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006C" w:rsidRPr="00BB6E3D" w:rsidRDefault="0089006C" w:rsidP="00890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BB6E3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lastRenderedPageBreak/>
        <w:t>Table 2.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Increasing Research Visibility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198"/>
      </w:tblGrid>
      <w:tr w:rsidR="0089006C" w:rsidRPr="00DF7C7E" w:rsidTr="00DF7C7E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Tips to increase research visibility</w:t>
            </w:r>
          </w:p>
        </w:tc>
      </w:tr>
      <w:tr w:rsidR="0089006C" w:rsidRPr="00DF7C7E" w:rsidTr="00DF7C7E">
        <w:tc>
          <w:tcPr>
            <w:tcW w:w="533" w:type="dxa"/>
            <w:tcBorders>
              <w:top w:val="single" w:sz="4" w:space="0" w:color="auto"/>
            </w:tcBorders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872" w:type="dxa"/>
            <w:tcBorders>
              <w:top w:val="single" w:sz="4" w:space="0" w:color="auto"/>
            </w:tcBorders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Expand your base of co-authors and include relevant stakeholders from the beginning of the research process, and do not forget that ideas travel through the internet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through </w:t>
            </w: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relationships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tabs>
                <w:tab w:val="left" w:pos="33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Select a title that represents the main results obtained by the article,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 perceptive in the choice and use of keywords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Give preference to open access journals, and include your articles in repositories dedicated to open access: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Researchgate</w:t>
            </w:r>
            <w:proofErr w:type="spellEnd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SSRN, and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Econpapers</w:t>
            </w:r>
            <w:proofErr w:type="spellEnd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among others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Make effective use of social media: Twitter, Facebook, LinkedIn</w:t>
            </w:r>
          </w:p>
        </w:tc>
      </w:tr>
      <w:tr w:rsidR="0089006C" w:rsidRPr="00BB6E3D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Create and share podcasts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resear</w:t>
            </w:r>
            <w:bookmarkStart w:id="0" w:name="_GoBack"/>
            <w:bookmarkEnd w:id="0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 is not just text and figures. Seek to describe your research and consider sharing your podcast via YouTube or Vimeo. See, for example, the </w:t>
            </w:r>
            <w:hyperlink r:id="rId5">
              <w:r w:rsidRPr="0089006C">
                <w:rPr>
                  <w:rStyle w:val="Hyperlink"/>
                  <w:rFonts w:ascii="Courier New" w:eastAsia="Courier New" w:hAnsi="Courier New" w:cs="Courier New"/>
                  <w:color w:val="auto"/>
                  <w:sz w:val="18"/>
                  <w:szCs w:val="18"/>
                  <w:lang w:val="en-US"/>
                </w:rPr>
                <w:t>Washington University Channel</w:t>
              </w:r>
            </w:hyperlink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on YouTube 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Share your research results via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SlideShare</w:t>
            </w:r>
            <w:proofErr w:type="spellEnd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Scribd</w:t>
            </w:r>
            <w:proofErr w:type="spellEnd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Data Dryad,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Zenodo</w:t>
            </w:r>
            <w:proofErr w:type="spellEnd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and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figshare</w:t>
            </w:r>
            <w:proofErr w:type="spellEnd"/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Disseminate your research via personal blogs: Tumblr,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Wordpress</w:t>
            </w:r>
            <w:proofErr w:type="spellEnd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Research blogging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Obtain and use an author identifier ORCID to distinguish yourself from other researchers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Write and disseminate executive summaries that allow the lay public to understand what you have done, and use these documents as a tool to communicate your research results in an effective manner to the most relevant policy makers and stakeholders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Use other forms of dissemination: Kudos, </w:t>
            </w:r>
            <w:proofErr w:type="spellStart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ImpactStory</w:t>
            </w:r>
            <w:proofErr w:type="spellEnd"/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Google Scholar, and the inclusion of personal email subscriptions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which</w:t>
            </w: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contain links to the researchers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profiles on social networks</w:t>
            </w:r>
          </w:p>
        </w:tc>
      </w:tr>
      <w:tr w:rsidR="0089006C" w:rsidRPr="00DF7C7E" w:rsidTr="00DF7C7E">
        <w:tc>
          <w:tcPr>
            <w:tcW w:w="533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872" w:type="dxa"/>
          </w:tcPr>
          <w:p w:rsidR="0089006C" w:rsidRPr="00BB6E3D" w:rsidRDefault="0089006C" w:rsidP="00DF7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6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Find a Wikipedia page related to your research topic and add a link to your article</w:t>
            </w:r>
          </w:p>
        </w:tc>
      </w:tr>
    </w:tbl>
    <w:p w:rsidR="0089006C" w:rsidRPr="00BB6E3D" w:rsidRDefault="0089006C" w:rsidP="0089006C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>Tips to increase the visibility and dissemination of research results.</w:t>
      </w:r>
      <w:proofErr w:type="gramEnd"/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This table represents a non-exhaustive list of strategies to increase the dissemination of research results to facilitate the effective impact of published scientific works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issues relat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ed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works </w:t>
      </w:r>
      <w:r w:rsidRPr="00BB6E3D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per se </w:t>
      </w:r>
      <w:r w:rsidRPr="00BB6E3D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are not addressed in this table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>. To illustrate this: there are those who argue that more editing tends to lead to more citations, vis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vis unedited research articles. More than five thousand scientific articles are published daily, which is why it is necessary to make the greatest effort possible to obtain visibility. Even a small effort to promote our articles can make it easier for our research to be discovered. Source: Adapted from </w:t>
      </w:r>
      <w:proofErr w:type="spellStart"/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>Tripathy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et al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.,</w:t>
      </w:r>
      <w:r w:rsidRPr="00BB6E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(2017, p. 11).</w:t>
      </w:r>
    </w:p>
    <w:p w:rsidR="0089006C" w:rsidRPr="0089006C" w:rsidRDefault="0089006C" w:rsidP="0089006C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9006C" w:rsidRPr="00890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6C"/>
    <w:rsid w:val="0089006C"/>
    <w:rsid w:val="009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wustl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Mendes-Da-Silva</dc:creator>
  <cp:lastModifiedBy>Wesley Mendes-Da-Silva</cp:lastModifiedBy>
  <cp:revision>1</cp:revision>
  <dcterms:created xsi:type="dcterms:W3CDTF">2018-07-06T18:16:00Z</dcterms:created>
  <dcterms:modified xsi:type="dcterms:W3CDTF">2018-07-06T18:19:00Z</dcterms:modified>
</cp:coreProperties>
</file>