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C1312C" w14:textId="77777777" w:rsidR="006B7DAA" w:rsidRDefault="009F7F24" w:rsidP="009F7F24">
      <w:pPr>
        <w:pStyle w:val="Heading1"/>
      </w:pPr>
      <w:r>
        <w:t>SIGMA project</w:t>
      </w:r>
    </w:p>
    <w:p w14:paraId="3A883861" w14:textId="77777777" w:rsidR="009F7F24" w:rsidRDefault="009F7F24" w:rsidP="009F7F24">
      <w:pPr>
        <w:pStyle w:val="Heading2"/>
      </w:pPr>
      <w:r>
        <w:t>Background</w:t>
      </w:r>
    </w:p>
    <w:p w14:paraId="16E7C173" w14:textId="1B913E82" w:rsidR="005F16A5" w:rsidRDefault="009F7F24" w:rsidP="000A1669">
      <w:pPr>
        <w:pStyle w:val="EFSABODYCOPY1"/>
        <w:jc w:val="both"/>
        <w:rPr>
          <w:rFonts w:cs="Verdana"/>
        </w:rPr>
      </w:pPr>
      <w:r w:rsidRPr="009045C9">
        <w:t xml:space="preserve">The European Commission is asking EFSA for scientific and technical support in the epidemiological analysis of animal disease outbreaks (i.e. African swine fever, lumpy skin disease and avian influenza) and to assess surveillance data (i.e. </w:t>
      </w:r>
      <w:r w:rsidRPr="009045C9">
        <w:rPr>
          <w:i/>
        </w:rPr>
        <w:t>Echinococcus multilocularis</w:t>
      </w:r>
      <w:r w:rsidRPr="009045C9">
        <w:t xml:space="preserve"> and avian influenza). For this purpose, EFSA</w:t>
      </w:r>
      <w:r w:rsidR="003F5133">
        <w:t>’s Animal Health and Welfare team</w:t>
      </w:r>
      <w:r w:rsidRPr="009045C9">
        <w:t xml:space="preserve"> has been performing </w:t>
      </w:r>
      <w:r w:rsidRPr="006B7DAA">
        <w:rPr>
          <w:i/>
        </w:rPr>
        <w:t>ad hoc</w:t>
      </w:r>
      <w:r w:rsidRPr="009045C9">
        <w:t xml:space="preserve"> </w:t>
      </w:r>
      <w:r w:rsidR="006B7DAA">
        <w:t xml:space="preserve">animal health </w:t>
      </w:r>
      <w:r w:rsidRPr="009045C9">
        <w:t>data collections, gathering specific information on outbreaks, surveillance activities and concerned animal populations (i.e. poultry, domestic pigs, cattle and wildlife such as wild boar) related to these diseases.</w:t>
      </w:r>
      <w:r>
        <w:t xml:space="preserve"> </w:t>
      </w:r>
      <w:r w:rsidR="003D5691">
        <w:t xml:space="preserve">Data collection </w:t>
      </w:r>
      <w:r w:rsidR="006B7DAA">
        <w:t>activities</w:t>
      </w:r>
      <w:r w:rsidRPr="009F7F24">
        <w:t xml:space="preserve"> </w:t>
      </w:r>
      <w:r w:rsidR="003D5691">
        <w:t>on</w:t>
      </w:r>
      <w:r w:rsidR="00F5056C">
        <w:t xml:space="preserve"> susceptible animal populations and zoonoses control programmes </w:t>
      </w:r>
      <w:r w:rsidRPr="009F7F24">
        <w:t xml:space="preserve">are also </w:t>
      </w:r>
      <w:r w:rsidR="00F5056C">
        <w:t>annually run by EFSA</w:t>
      </w:r>
      <w:r w:rsidR="003F5133">
        <w:t>’s Biomonitoring team</w:t>
      </w:r>
      <w:r w:rsidR="00F5056C">
        <w:t xml:space="preserve"> in the framework of the production of the joint annual </w:t>
      </w:r>
      <w:r w:rsidRPr="00517589">
        <w:t xml:space="preserve">EFSA-ECDC </w:t>
      </w:r>
      <w:r w:rsidR="00F5056C">
        <w:t xml:space="preserve">EU </w:t>
      </w:r>
      <w:r w:rsidRPr="00517589">
        <w:t>summary</w:t>
      </w:r>
      <w:r w:rsidRPr="009F7F24">
        <w:t xml:space="preserve"> report</w:t>
      </w:r>
      <w:r w:rsidR="00F5056C">
        <w:t xml:space="preserve">s, </w:t>
      </w:r>
      <w:r w:rsidRPr="009F7F24">
        <w:t xml:space="preserve">and by </w:t>
      </w:r>
      <w:r w:rsidR="006B7DAA">
        <w:t>other European institutions (</w:t>
      </w:r>
      <w:r w:rsidRPr="009F7F24">
        <w:t>EUROSTAT</w:t>
      </w:r>
      <w:r w:rsidR="006B7DAA">
        <w:t>)</w:t>
      </w:r>
      <w:r w:rsidRPr="009F7F24">
        <w:t xml:space="preserve">, but the </w:t>
      </w:r>
      <w:r w:rsidR="006B7DAA">
        <w:t xml:space="preserve">overall quality and </w:t>
      </w:r>
      <w:r w:rsidRPr="009F7F24">
        <w:t xml:space="preserve">resolution </w:t>
      </w:r>
      <w:r w:rsidR="006B7DAA">
        <w:t xml:space="preserve">of the data </w:t>
      </w:r>
      <w:r w:rsidRPr="009F7F24">
        <w:t>is not sufficient to be used in analytical epidemiology and risk assessments.</w:t>
      </w:r>
      <w:r w:rsidR="000A1669">
        <w:t xml:space="preserve"> </w:t>
      </w:r>
      <w:r w:rsidR="000A1669">
        <w:rPr>
          <w:rFonts w:cs="Verdana"/>
        </w:rPr>
        <w:t xml:space="preserve">In addition, </w:t>
      </w:r>
      <w:r w:rsidR="006B7DAA">
        <w:rPr>
          <w:rFonts w:cs="Verdana"/>
        </w:rPr>
        <w:t>these</w:t>
      </w:r>
      <w:r w:rsidR="000A1669">
        <w:rPr>
          <w:rFonts w:cs="Verdana"/>
        </w:rPr>
        <w:t xml:space="preserve"> </w:t>
      </w:r>
      <w:r w:rsidR="000A1669">
        <w:rPr>
          <w:rFonts w:ascii="Verdana-Italic" w:hAnsi="Verdana-Italic" w:cs="Verdana-Italic"/>
          <w:i/>
          <w:iCs/>
        </w:rPr>
        <w:t xml:space="preserve">ad hoc </w:t>
      </w:r>
      <w:r w:rsidR="000A1669">
        <w:rPr>
          <w:rFonts w:cs="Verdana"/>
        </w:rPr>
        <w:t xml:space="preserve">data model </w:t>
      </w:r>
      <w:r w:rsidR="006B7DAA">
        <w:rPr>
          <w:rFonts w:cs="Verdana"/>
        </w:rPr>
        <w:t xml:space="preserve">are heavily </w:t>
      </w:r>
      <w:r w:rsidR="000A1669">
        <w:rPr>
          <w:rFonts w:cs="Verdana"/>
        </w:rPr>
        <w:t xml:space="preserve">tailored to </w:t>
      </w:r>
      <w:r w:rsidR="005F16A5">
        <w:rPr>
          <w:rFonts w:cs="Verdana"/>
        </w:rPr>
        <w:t>each</w:t>
      </w:r>
      <w:r w:rsidR="000A1669">
        <w:rPr>
          <w:rFonts w:cs="Verdana"/>
        </w:rPr>
        <w:t xml:space="preserve"> disease, </w:t>
      </w:r>
      <w:r w:rsidR="005F16A5">
        <w:rPr>
          <w:rFonts w:cs="Verdana"/>
        </w:rPr>
        <w:t>implying sometimes a</w:t>
      </w:r>
      <w:r w:rsidR="000A1669">
        <w:rPr>
          <w:rFonts w:cs="Verdana"/>
        </w:rPr>
        <w:t xml:space="preserve"> lack of harmonisation across them. </w:t>
      </w:r>
    </w:p>
    <w:p w14:paraId="53F514F2" w14:textId="546A00B5" w:rsidR="009F7F24" w:rsidRPr="009045C9" w:rsidRDefault="000A1669" w:rsidP="000A1669">
      <w:pPr>
        <w:pStyle w:val="EFSABODYCOPY1"/>
        <w:jc w:val="both"/>
      </w:pPr>
      <w:r>
        <w:rPr>
          <w:rFonts w:cs="Verdana"/>
        </w:rPr>
        <w:t xml:space="preserve">The first objective of </w:t>
      </w:r>
      <w:r w:rsidR="006B7DAA">
        <w:rPr>
          <w:rFonts w:cs="Verdana"/>
        </w:rPr>
        <w:t xml:space="preserve">the SIGMA </w:t>
      </w:r>
      <w:r>
        <w:rPr>
          <w:rFonts w:cs="Verdana"/>
        </w:rPr>
        <w:t xml:space="preserve">project is to </w:t>
      </w:r>
      <w:r w:rsidR="005F16A5">
        <w:rPr>
          <w:rFonts w:cs="Verdana"/>
        </w:rPr>
        <w:t>perform a full</w:t>
      </w:r>
      <w:r>
        <w:rPr>
          <w:rFonts w:cs="Verdana"/>
        </w:rPr>
        <w:t xml:space="preserve"> harmonisation </w:t>
      </w:r>
      <w:r w:rsidR="005F16A5">
        <w:rPr>
          <w:rFonts w:cs="Verdana"/>
        </w:rPr>
        <w:t>of</w:t>
      </w:r>
      <w:r>
        <w:rPr>
          <w:rFonts w:cs="Verdana"/>
        </w:rPr>
        <w:t xml:space="preserve"> the </w:t>
      </w:r>
      <w:r>
        <w:rPr>
          <w:rFonts w:ascii="Verdana-Italic" w:hAnsi="Verdana-Italic" w:cs="Verdana-Italic"/>
          <w:i/>
          <w:iCs/>
        </w:rPr>
        <w:t xml:space="preserve">ad hoc </w:t>
      </w:r>
      <w:r>
        <w:rPr>
          <w:rFonts w:cs="Verdana"/>
        </w:rPr>
        <w:t xml:space="preserve">animal health data collections </w:t>
      </w:r>
      <w:r w:rsidR="005F16A5">
        <w:rPr>
          <w:rFonts w:cs="Verdana"/>
        </w:rPr>
        <w:t xml:space="preserve">and </w:t>
      </w:r>
      <w:r>
        <w:rPr>
          <w:rFonts w:cs="Verdana"/>
        </w:rPr>
        <w:t>the development of a unique EFSA Animal Disease data Model (</w:t>
      </w:r>
      <w:r>
        <w:rPr>
          <w:rFonts w:ascii="TimesNewRomanPSMT" w:hAnsi="TimesNewRomanPSMT" w:cs="TimesNewRomanPSMT"/>
        </w:rPr>
        <w:t>Ϭ</w:t>
      </w:r>
      <w:r>
        <w:rPr>
          <w:rFonts w:cs="Verdana"/>
        </w:rPr>
        <w:t>-ADM).</w:t>
      </w:r>
    </w:p>
    <w:p w14:paraId="7C315C48" w14:textId="2E17C470" w:rsidR="005F16A5" w:rsidRDefault="009F7F24" w:rsidP="009F7F24">
      <w:pPr>
        <w:tabs>
          <w:tab w:val="left" w:pos="567"/>
        </w:tabs>
        <w:jc w:val="both"/>
        <w:rPr>
          <w:rFonts w:ascii="Verdana" w:hAnsi="Verdana" w:cs="Arial"/>
          <w:sz w:val="20"/>
          <w:szCs w:val="20"/>
        </w:rPr>
      </w:pPr>
      <w:r w:rsidRPr="009045C9">
        <w:rPr>
          <w:rFonts w:ascii="Verdana" w:hAnsi="Verdana" w:cs="Arial"/>
          <w:sz w:val="20"/>
          <w:szCs w:val="20"/>
        </w:rPr>
        <w:t xml:space="preserve">At the moment, the </w:t>
      </w:r>
      <w:r w:rsidRPr="009F7F24">
        <w:rPr>
          <w:rFonts w:ascii="Verdana" w:hAnsi="Verdana" w:cs="Arial"/>
          <w:i/>
          <w:sz w:val="20"/>
          <w:szCs w:val="20"/>
        </w:rPr>
        <w:t>ad hoc</w:t>
      </w:r>
      <w:r w:rsidRPr="009045C9">
        <w:rPr>
          <w:rFonts w:ascii="Verdana" w:hAnsi="Verdana" w:cs="Arial"/>
          <w:sz w:val="20"/>
          <w:szCs w:val="20"/>
        </w:rPr>
        <w:t xml:space="preserve"> animal health data collections are labour intensive for both EFSA and the data providers of the </w:t>
      </w:r>
      <w:r w:rsidR="00F5056C" w:rsidRPr="009045C9">
        <w:rPr>
          <w:rFonts w:ascii="Verdana" w:hAnsi="Verdana" w:cs="Arial"/>
          <w:sz w:val="20"/>
          <w:szCs w:val="20"/>
        </w:rPr>
        <w:t xml:space="preserve">Member States </w:t>
      </w:r>
      <w:r w:rsidRPr="009045C9">
        <w:rPr>
          <w:rFonts w:ascii="Verdana" w:hAnsi="Verdana" w:cs="Arial"/>
          <w:sz w:val="20"/>
          <w:szCs w:val="20"/>
        </w:rPr>
        <w:t>(MS) since (</w:t>
      </w:r>
      <w:proofErr w:type="spellStart"/>
      <w:r w:rsidRPr="009045C9">
        <w:rPr>
          <w:rFonts w:ascii="Verdana" w:hAnsi="Verdana" w:cs="Arial"/>
          <w:sz w:val="20"/>
          <w:szCs w:val="20"/>
        </w:rPr>
        <w:t>i</w:t>
      </w:r>
      <w:proofErr w:type="spellEnd"/>
      <w:r w:rsidRPr="009045C9">
        <w:rPr>
          <w:rFonts w:ascii="Verdana" w:hAnsi="Verdana" w:cs="Arial"/>
          <w:sz w:val="20"/>
          <w:szCs w:val="20"/>
        </w:rPr>
        <w:t xml:space="preserve">) </w:t>
      </w:r>
      <w:r w:rsidR="005F16A5">
        <w:rPr>
          <w:rFonts w:ascii="Verdana" w:hAnsi="Verdana" w:cs="Arial"/>
          <w:sz w:val="20"/>
          <w:szCs w:val="20"/>
        </w:rPr>
        <w:t xml:space="preserve">the different </w:t>
      </w:r>
      <w:r w:rsidRPr="009045C9">
        <w:rPr>
          <w:rFonts w:ascii="Verdana" w:hAnsi="Verdana" w:cs="Arial"/>
          <w:sz w:val="20"/>
          <w:szCs w:val="20"/>
        </w:rPr>
        <w:t>data models are not completely harmonised</w:t>
      </w:r>
      <w:r w:rsidR="005F16A5">
        <w:rPr>
          <w:rFonts w:ascii="Verdana" w:hAnsi="Verdana" w:cs="Arial"/>
          <w:sz w:val="20"/>
          <w:szCs w:val="20"/>
        </w:rPr>
        <w:t xml:space="preserve"> across the </w:t>
      </w:r>
      <w:r w:rsidR="00F5056C">
        <w:rPr>
          <w:rFonts w:ascii="Verdana" w:hAnsi="Verdana" w:cs="Arial"/>
          <w:sz w:val="20"/>
          <w:szCs w:val="20"/>
        </w:rPr>
        <w:t>MS</w:t>
      </w:r>
      <w:r w:rsidRPr="009045C9">
        <w:rPr>
          <w:rFonts w:ascii="Verdana" w:hAnsi="Verdana" w:cs="Arial"/>
          <w:sz w:val="20"/>
          <w:szCs w:val="20"/>
        </w:rPr>
        <w:t>, (ii) EFSA’s data collection</w:t>
      </w:r>
      <w:r w:rsidR="005F16A5">
        <w:rPr>
          <w:rFonts w:ascii="Verdana" w:hAnsi="Verdana" w:cs="Arial"/>
          <w:sz w:val="20"/>
          <w:szCs w:val="20"/>
        </w:rPr>
        <w:t>s</w:t>
      </w:r>
      <w:r w:rsidRPr="009045C9">
        <w:rPr>
          <w:rFonts w:ascii="Verdana" w:hAnsi="Verdana" w:cs="Arial"/>
          <w:sz w:val="20"/>
          <w:szCs w:val="20"/>
        </w:rPr>
        <w:t xml:space="preserve"> </w:t>
      </w:r>
      <w:r w:rsidR="005F16A5">
        <w:rPr>
          <w:rFonts w:ascii="Verdana" w:hAnsi="Verdana" w:cs="Arial"/>
          <w:sz w:val="20"/>
          <w:szCs w:val="20"/>
        </w:rPr>
        <w:t>are</w:t>
      </w:r>
      <w:r w:rsidR="005F16A5" w:rsidRPr="009045C9">
        <w:rPr>
          <w:rFonts w:ascii="Verdana" w:hAnsi="Verdana" w:cs="Arial"/>
          <w:sz w:val="20"/>
          <w:szCs w:val="20"/>
        </w:rPr>
        <w:t xml:space="preserve"> </w:t>
      </w:r>
      <w:r w:rsidRPr="009045C9">
        <w:rPr>
          <w:rFonts w:ascii="Verdana" w:hAnsi="Verdana" w:cs="Arial"/>
          <w:sz w:val="20"/>
          <w:szCs w:val="20"/>
        </w:rPr>
        <w:t xml:space="preserve">not </w:t>
      </w:r>
      <w:r w:rsidR="005F16A5">
        <w:rPr>
          <w:rFonts w:ascii="Verdana" w:hAnsi="Verdana" w:cs="Arial"/>
          <w:sz w:val="20"/>
          <w:szCs w:val="20"/>
        </w:rPr>
        <w:t xml:space="preserve">directly </w:t>
      </w:r>
      <w:r w:rsidRPr="009045C9">
        <w:rPr>
          <w:rFonts w:ascii="Verdana" w:hAnsi="Verdana" w:cs="Arial"/>
          <w:sz w:val="20"/>
          <w:szCs w:val="20"/>
        </w:rPr>
        <w:t xml:space="preserve">connected </w:t>
      </w:r>
      <w:r w:rsidR="005F16A5">
        <w:rPr>
          <w:rFonts w:ascii="Verdana" w:hAnsi="Verdana" w:cs="Arial"/>
          <w:sz w:val="20"/>
          <w:szCs w:val="20"/>
        </w:rPr>
        <w:t>to</w:t>
      </w:r>
      <w:r w:rsidR="005F16A5" w:rsidRPr="009045C9">
        <w:rPr>
          <w:rFonts w:ascii="Verdana" w:hAnsi="Verdana" w:cs="Arial"/>
          <w:sz w:val="20"/>
          <w:szCs w:val="20"/>
        </w:rPr>
        <w:t xml:space="preserve"> </w:t>
      </w:r>
      <w:r w:rsidRPr="009045C9">
        <w:rPr>
          <w:rFonts w:ascii="Verdana" w:hAnsi="Verdana" w:cs="Arial"/>
          <w:sz w:val="20"/>
          <w:szCs w:val="20"/>
        </w:rPr>
        <w:t xml:space="preserve">the EC’s Animal Disease Notification System (ADNS) and (iii) data </w:t>
      </w:r>
      <w:r w:rsidR="005F16A5">
        <w:rPr>
          <w:rFonts w:ascii="Verdana" w:hAnsi="Verdana" w:cs="Arial"/>
          <w:sz w:val="20"/>
          <w:szCs w:val="20"/>
        </w:rPr>
        <w:t>extraction from national databases and data transformation</w:t>
      </w:r>
      <w:r w:rsidRPr="009045C9">
        <w:rPr>
          <w:rFonts w:ascii="Verdana" w:hAnsi="Verdana" w:cs="Arial"/>
          <w:sz w:val="20"/>
          <w:szCs w:val="20"/>
        </w:rPr>
        <w:t xml:space="preserve"> </w:t>
      </w:r>
      <w:r w:rsidR="005F16A5">
        <w:rPr>
          <w:rFonts w:ascii="Verdana" w:hAnsi="Verdana" w:cs="Arial"/>
          <w:sz w:val="20"/>
          <w:szCs w:val="20"/>
        </w:rPr>
        <w:t xml:space="preserve">to comply with EFSA standards </w:t>
      </w:r>
      <w:r w:rsidRPr="009045C9">
        <w:rPr>
          <w:rFonts w:ascii="Verdana" w:hAnsi="Verdana" w:cs="Arial"/>
          <w:sz w:val="20"/>
          <w:szCs w:val="20"/>
        </w:rPr>
        <w:t xml:space="preserve">is not automated. In fact, data submission is now mainly </w:t>
      </w:r>
      <w:r w:rsidR="005F16A5">
        <w:rPr>
          <w:rFonts w:ascii="Verdana" w:hAnsi="Verdana" w:cs="Arial"/>
          <w:sz w:val="20"/>
          <w:szCs w:val="20"/>
        </w:rPr>
        <w:t xml:space="preserve">based on manual search, extraction and input and subsequent </w:t>
      </w:r>
      <w:r w:rsidRPr="009045C9">
        <w:rPr>
          <w:rFonts w:ascii="Verdana" w:hAnsi="Verdana" w:cs="Arial"/>
          <w:sz w:val="20"/>
          <w:szCs w:val="20"/>
        </w:rPr>
        <w:t xml:space="preserve">exchange </w:t>
      </w:r>
      <w:r w:rsidR="005F16A5" w:rsidRPr="009045C9">
        <w:rPr>
          <w:rFonts w:ascii="Verdana" w:hAnsi="Verdana" w:cs="Arial"/>
          <w:sz w:val="20"/>
          <w:szCs w:val="20"/>
        </w:rPr>
        <w:t>via e-mail</w:t>
      </w:r>
      <w:r w:rsidR="005F16A5">
        <w:rPr>
          <w:rFonts w:ascii="Verdana" w:hAnsi="Verdana" w:cs="Arial"/>
          <w:sz w:val="20"/>
          <w:szCs w:val="20"/>
        </w:rPr>
        <w:t xml:space="preserve"> </w:t>
      </w:r>
      <w:r w:rsidRPr="009045C9">
        <w:rPr>
          <w:rFonts w:ascii="Verdana" w:hAnsi="Verdana" w:cs="Arial"/>
          <w:sz w:val="20"/>
          <w:szCs w:val="20"/>
        </w:rPr>
        <w:t>of Excel/xml files</w:t>
      </w:r>
      <w:r w:rsidR="005F16A5">
        <w:rPr>
          <w:rFonts w:ascii="Verdana" w:hAnsi="Verdana" w:cs="Arial"/>
          <w:sz w:val="20"/>
          <w:szCs w:val="20"/>
        </w:rPr>
        <w:t>. This is</w:t>
      </w:r>
      <w:r w:rsidRPr="009045C9">
        <w:rPr>
          <w:rFonts w:ascii="Verdana" w:hAnsi="Verdana" w:cs="Arial"/>
          <w:sz w:val="20"/>
          <w:szCs w:val="20"/>
        </w:rPr>
        <w:t xml:space="preserve"> time consuming, prone to human error</w:t>
      </w:r>
      <w:r w:rsidR="005F16A5">
        <w:rPr>
          <w:rFonts w:ascii="Verdana" w:hAnsi="Verdana" w:cs="Arial"/>
          <w:sz w:val="20"/>
          <w:szCs w:val="20"/>
        </w:rPr>
        <w:t>,</w:t>
      </w:r>
      <w:r w:rsidRPr="009045C9">
        <w:rPr>
          <w:rFonts w:ascii="Verdana" w:hAnsi="Verdana" w:cs="Arial"/>
          <w:sz w:val="20"/>
          <w:szCs w:val="20"/>
        </w:rPr>
        <w:t xml:space="preserve"> cannot exclude wrong reporting of variables</w:t>
      </w:r>
      <w:r w:rsidR="005F16A5">
        <w:rPr>
          <w:rFonts w:ascii="Verdana" w:hAnsi="Verdana" w:cs="Arial"/>
          <w:sz w:val="20"/>
          <w:szCs w:val="20"/>
        </w:rPr>
        <w:t xml:space="preserve"> due to different interpretations of the required input and, last, leads to double reporting when the data requestors are different (e.g. EFSA, EC, ADNS, </w:t>
      </w:r>
      <w:r w:rsidR="005A59B8">
        <w:rPr>
          <w:rFonts w:ascii="Verdana" w:hAnsi="Verdana" w:cs="Arial"/>
          <w:sz w:val="20"/>
          <w:szCs w:val="20"/>
        </w:rPr>
        <w:t>OIE</w:t>
      </w:r>
      <w:r w:rsidR="005F16A5">
        <w:rPr>
          <w:rFonts w:ascii="Verdana" w:hAnsi="Verdana" w:cs="Arial"/>
          <w:sz w:val="20"/>
          <w:szCs w:val="20"/>
        </w:rPr>
        <w:t>, etc.)</w:t>
      </w:r>
      <w:r w:rsidRPr="009045C9">
        <w:rPr>
          <w:rFonts w:ascii="Verdana" w:hAnsi="Verdana" w:cs="Arial"/>
          <w:sz w:val="20"/>
          <w:szCs w:val="20"/>
        </w:rPr>
        <w:t xml:space="preserve">. Therefore, there is a clear need to improve EFSA’s technical capacity to collect data on </w:t>
      </w:r>
      <w:r w:rsidR="007A2404">
        <w:rPr>
          <w:rFonts w:ascii="Verdana" w:hAnsi="Verdana" w:cs="Arial"/>
          <w:sz w:val="20"/>
          <w:szCs w:val="20"/>
        </w:rPr>
        <w:t xml:space="preserve">specified </w:t>
      </w:r>
      <w:r w:rsidRPr="009045C9">
        <w:rPr>
          <w:rFonts w:ascii="Verdana" w:hAnsi="Verdana" w:cs="Arial"/>
          <w:sz w:val="20"/>
          <w:szCs w:val="20"/>
        </w:rPr>
        <w:t xml:space="preserve">animal diseases from MS and to make the processes as automated as possible to increase the overall quality of the requested data and to </w:t>
      </w:r>
      <w:r w:rsidR="005F16A5">
        <w:rPr>
          <w:rFonts w:ascii="Verdana" w:hAnsi="Verdana" w:cs="Arial"/>
          <w:sz w:val="20"/>
          <w:szCs w:val="20"/>
        </w:rPr>
        <w:t>minimise</w:t>
      </w:r>
      <w:r w:rsidR="005F16A5" w:rsidRPr="009045C9">
        <w:rPr>
          <w:rFonts w:ascii="Verdana" w:hAnsi="Verdana" w:cs="Arial"/>
          <w:sz w:val="20"/>
          <w:szCs w:val="20"/>
        </w:rPr>
        <w:t xml:space="preserve"> </w:t>
      </w:r>
      <w:r w:rsidRPr="009045C9">
        <w:rPr>
          <w:rFonts w:ascii="Verdana" w:hAnsi="Verdana" w:cs="Arial"/>
          <w:sz w:val="20"/>
          <w:szCs w:val="20"/>
        </w:rPr>
        <w:t xml:space="preserve">the </w:t>
      </w:r>
      <w:r w:rsidR="005F16A5">
        <w:rPr>
          <w:rFonts w:ascii="Verdana" w:hAnsi="Verdana" w:cs="Arial"/>
          <w:sz w:val="20"/>
          <w:szCs w:val="20"/>
        </w:rPr>
        <w:t>effort</w:t>
      </w:r>
      <w:r w:rsidR="005F16A5" w:rsidRPr="009045C9">
        <w:rPr>
          <w:rFonts w:ascii="Verdana" w:hAnsi="Verdana" w:cs="Arial"/>
          <w:sz w:val="20"/>
          <w:szCs w:val="20"/>
        </w:rPr>
        <w:t xml:space="preserve"> </w:t>
      </w:r>
      <w:r w:rsidR="00FD4066">
        <w:rPr>
          <w:rFonts w:ascii="Verdana" w:hAnsi="Verdana" w:cs="Arial"/>
          <w:sz w:val="20"/>
          <w:szCs w:val="20"/>
        </w:rPr>
        <w:t>put by the</w:t>
      </w:r>
      <w:r w:rsidRPr="009045C9">
        <w:rPr>
          <w:rFonts w:ascii="Verdana" w:hAnsi="Verdana" w:cs="Arial"/>
          <w:sz w:val="20"/>
          <w:szCs w:val="20"/>
        </w:rPr>
        <w:t xml:space="preserve"> </w:t>
      </w:r>
      <w:proofErr w:type="spellStart"/>
      <w:r w:rsidRPr="009045C9">
        <w:rPr>
          <w:rFonts w:ascii="Verdana" w:hAnsi="Verdana" w:cs="Arial"/>
          <w:sz w:val="20"/>
          <w:szCs w:val="20"/>
        </w:rPr>
        <w:t>MS</w:t>
      </w:r>
      <w:r w:rsidR="00FD4066">
        <w:rPr>
          <w:rFonts w:ascii="Verdana" w:hAnsi="Verdana" w:cs="Arial"/>
          <w:sz w:val="20"/>
          <w:szCs w:val="20"/>
        </w:rPr>
        <w:t>s</w:t>
      </w:r>
      <w:r w:rsidRPr="009045C9">
        <w:rPr>
          <w:rFonts w:ascii="Verdana" w:hAnsi="Verdana" w:cs="Arial"/>
          <w:sz w:val="20"/>
          <w:szCs w:val="20"/>
        </w:rPr>
        <w:t>.</w:t>
      </w:r>
      <w:proofErr w:type="spellEnd"/>
      <w:r w:rsidRPr="009045C9">
        <w:rPr>
          <w:rFonts w:ascii="Verdana" w:hAnsi="Verdana" w:cs="Arial"/>
          <w:sz w:val="20"/>
          <w:szCs w:val="20"/>
        </w:rPr>
        <w:t xml:space="preserve"> </w:t>
      </w:r>
    </w:p>
    <w:p w14:paraId="0CAE243B" w14:textId="7AEF41FD" w:rsidR="009F7F24" w:rsidRDefault="009F7F24" w:rsidP="009F7F24">
      <w:pPr>
        <w:tabs>
          <w:tab w:val="left" w:pos="567"/>
        </w:tabs>
        <w:jc w:val="both"/>
        <w:rPr>
          <w:rFonts w:ascii="Verdana" w:hAnsi="Verdana" w:cs="Arial"/>
          <w:sz w:val="20"/>
          <w:szCs w:val="20"/>
        </w:rPr>
      </w:pPr>
      <w:r w:rsidRPr="009045C9">
        <w:rPr>
          <w:rFonts w:ascii="Verdana" w:hAnsi="Verdana" w:cs="Arial"/>
          <w:sz w:val="20"/>
          <w:szCs w:val="20"/>
        </w:rPr>
        <w:t xml:space="preserve">The </w:t>
      </w:r>
      <w:r w:rsidR="006B7DAA">
        <w:rPr>
          <w:rFonts w:ascii="Verdana" w:hAnsi="Verdana" w:cs="Arial"/>
          <w:sz w:val="20"/>
          <w:szCs w:val="20"/>
        </w:rPr>
        <w:t>mid/</w:t>
      </w:r>
      <w:r w:rsidRPr="009045C9">
        <w:rPr>
          <w:rFonts w:ascii="Verdana" w:hAnsi="Verdana" w:cs="Arial"/>
          <w:sz w:val="20"/>
          <w:szCs w:val="20"/>
        </w:rPr>
        <w:t xml:space="preserve">long term objective is to </w:t>
      </w:r>
      <w:r w:rsidR="007A2404">
        <w:rPr>
          <w:rFonts w:ascii="Verdana" w:hAnsi="Verdana" w:cs="Arial"/>
          <w:sz w:val="20"/>
          <w:szCs w:val="20"/>
        </w:rPr>
        <w:t xml:space="preserve">set </w:t>
      </w:r>
      <w:r w:rsidR="003D14A0">
        <w:rPr>
          <w:rFonts w:ascii="Verdana" w:hAnsi="Verdana" w:cs="Arial"/>
          <w:sz w:val="20"/>
          <w:szCs w:val="20"/>
        </w:rPr>
        <w:t xml:space="preserve">a data exchange between the national database </w:t>
      </w:r>
      <w:r w:rsidRPr="009045C9">
        <w:rPr>
          <w:rFonts w:ascii="Verdana" w:hAnsi="Verdana" w:cs="Arial"/>
          <w:sz w:val="20"/>
          <w:szCs w:val="20"/>
        </w:rPr>
        <w:t xml:space="preserve">EFSA’ Data Warehouse (DWH), allowing automated </w:t>
      </w:r>
      <w:r w:rsidR="00FD4066">
        <w:rPr>
          <w:rFonts w:ascii="Verdana" w:hAnsi="Verdana" w:cs="Arial"/>
          <w:sz w:val="20"/>
          <w:szCs w:val="20"/>
        </w:rPr>
        <w:t xml:space="preserve">extraction, transformation and, if required, </w:t>
      </w:r>
      <w:r w:rsidRPr="009045C9">
        <w:rPr>
          <w:rFonts w:ascii="Verdana" w:hAnsi="Verdana" w:cs="Arial"/>
          <w:sz w:val="20"/>
          <w:szCs w:val="20"/>
        </w:rPr>
        <w:t xml:space="preserve">data transmission by means of dedicated </w:t>
      </w:r>
      <w:r w:rsidR="003D14A0">
        <w:rPr>
          <w:rFonts w:ascii="Verdana" w:hAnsi="Verdana" w:cs="Arial"/>
          <w:sz w:val="20"/>
          <w:szCs w:val="20"/>
        </w:rPr>
        <w:t>specific data web service</w:t>
      </w:r>
      <w:r w:rsidRPr="009045C9">
        <w:rPr>
          <w:rFonts w:ascii="Verdana" w:hAnsi="Verdana" w:cs="Arial"/>
          <w:sz w:val="20"/>
          <w:szCs w:val="20"/>
        </w:rPr>
        <w:t xml:space="preserve"> upon bilateral agreement and based on EFSA’s policy on data confidentiality. It is the objective of this project to have automated </w:t>
      </w:r>
      <w:r w:rsidRPr="00E243F8">
        <w:rPr>
          <w:rFonts w:ascii="Verdana" w:hAnsi="Verdana" w:cs="Arial"/>
          <w:i/>
          <w:sz w:val="20"/>
          <w:szCs w:val="20"/>
        </w:rPr>
        <w:t>ad hoc</w:t>
      </w:r>
      <w:r w:rsidRPr="009045C9">
        <w:rPr>
          <w:rFonts w:ascii="Verdana" w:hAnsi="Verdana" w:cs="Arial"/>
          <w:sz w:val="20"/>
          <w:szCs w:val="20"/>
        </w:rPr>
        <w:t xml:space="preserve"> animal health data collections in place for several MS within the 3-year time frame of this project. It is likely that the implementation of automated data flows in all MS will require more time</w:t>
      </w:r>
      <w:r w:rsidR="006B7DAA">
        <w:rPr>
          <w:rFonts w:ascii="Verdana" w:hAnsi="Verdana" w:cs="Arial"/>
          <w:sz w:val="20"/>
          <w:szCs w:val="20"/>
        </w:rPr>
        <w:t xml:space="preserve"> and, possibly, different solutions according to the different types of national infrastructures</w:t>
      </w:r>
      <w:r w:rsidRPr="009045C9">
        <w:rPr>
          <w:rFonts w:ascii="Verdana" w:hAnsi="Verdana" w:cs="Arial"/>
          <w:sz w:val="20"/>
          <w:szCs w:val="20"/>
        </w:rPr>
        <w:t>.</w:t>
      </w:r>
    </w:p>
    <w:p w14:paraId="0FB09878" w14:textId="33D56D44" w:rsidR="009F7F24" w:rsidRPr="009045C9" w:rsidRDefault="009F7F24" w:rsidP="009F7F24">
      <w:pPr>
        <w:tabs>
          <w:tab w:val="left" w:pos="567"/>
        </w:tabs>
        <w:jc w:val="both"/>
        <w:rPr>
          <w:rFonts w:ascii="Verdana" w:hAnsi="Verdana" w:cs="Arial"/>
          <w:sz w:val="20"/>
          <w:szCs w:val="20"/>
        </w:rPr>
      </w:pPr>
      <w:r w:rsidRPr="009045C9">
        <w:rPr>
          <w:rFonts w:ascii="Verdana" w:hAnsi="Verdana" w:cs="Arial"/>
          <w:sz w:val="20"/>
          <w:szCs w:val="20"/>
        </w:rPr>
        <w:t xml:space="preserve">Storing consistent and harmonised data related to current and past animal disease outbreaks and surveillance, together with data on animal populations (including wildlife) in the EFSA’s data warehouse will </w:t>
      </w:r>
      <w:r w:rsidR="007A2404">
        <w:rPr>
          <w:rFonts w:ascii="Verdana" w:hAnsi="Verdana" w:cs="Arial"/>
          <w:sz w:val="20"/>
          <w:szCs w:val="20"/>
        </w:rPr>
        <w:t xml:space="preserve">enable to </w:t>
      </w:r>
      <w:r w:rsidRPr="009045C9">
        <w:rPr>
          <w:rFonts w:ascii="Verdana" w:hAnsi="Verdana" w:cs="Arial"/>
          <w:sz w:val="20"/>
          <w:szCs w:val="20"/>
        </w:rPr>
        <w:t xml:space="preserve">create interaction </w:t>
      </w:r>
      <w:r w:rsidR="007A2404">
        <w:rPr>
          <w:rFonts w:ascii="Verdana" w:hAnsi="Verdana" w:cs="Arial"/>
          <w:sz w:val="20"/>
          <w:szCs w:val="20"/>
        </w:rPr>
        <w:t xml:space="preserve">between </w:t>
      </w:r>
      <w:r w:rsidRPr="009045C9">
        <w:rPr>
          <w:rFonts w:ascii="Verdana" w:hAnsi="Verdana" w:cs="Arial"/>
          <w:sz w:val="20"/>
          <w:szCs w:val="20"/>
        </w:rPr>
        <w:t xml:space="preserve">and mutual feed with other ongoing processes and projects such as dedicated literature reviews (e.g. </w:t>
      </w:r>
      <w:r w:rsidRPr="009045C9">
        <w:rPr>
          <w:rFonts w:ascii="Verdana" w:hAnsi="Verdana" w:cs="Arial"/>
          <w:sz w:val="20"/>
          <w:szCs w:val="20"/>
        </w:rPr>
        <w:lastRenderedPageBreak/>
        <w:t xml:space="preserve">DACRAH), vector presence and abundance mapping (VECTORNET), wild boar density mapping (ENETWILD project) and model exercises (e.g. MINTRISK). </w:t>
      </w:r>
    </w:p>
    <w:p w14:paraId="04D5ED71" w14:textId="3B2FC43A" w:rsidR="009F7F24" w:rsidRDefault="009F7F24" w:rsidP="009F7F24">
      <w:pPr>
        <w:tabs>
          <w:tab w:val="left" w:pos="567"/>
        </w:tabs>
        <w:jc w:val="both"/>
        <w:rPr>
          <w:rFonts w:ascii="Verdana" w:hAnsi="Verdana" w:cs="Arial"/>
          <w:sz w:val="20"/>
          <w:szCs w:val="20"/>
        </w:rPr>
      </w:pPr>
      <w:r w:rsidRPr="009045C9">
        <w:rPr>
          <w:rFonts w:ascii="Verdana" w:hAnsi="Verdana" w:cs="Arial"/>
          <w:sz w:val="20"/>
          <w:szCs w:val="20"/>
        </w:rPr>
        <w:t xml:space="preserve">The data brought together via EFSA’s </w:t>
      </w:r>
      <w:r w:rsidRPr="00E243F8">
        <w:rPr>
          <w:rFonts w:ascii="Verdana" w:hAnsi="Verdana" w:cs="Arial"/>
          <w:i/>
          <w:sz w:val="20"/>
          <w:szCs w:val="20"/>
        </w:rPr>
        <w:t>ad hoc</w:t>
      </w:r>
      <w:r w:rsidRPr="009045C9">
        <w:rPr>
          <w:rFonts w:ascii="Verdana" w:hAnsi="Verdana" w:cs="Arial"/>
          <w:sz w:val="20"/>
          <w:szCs w:val="20"/>
        </w:rPr>
        <w:t xml:space="preserve"> animal health data collections is currently only used for EFSA scientific outputs. IT tools should be linked with EFSA’s DWH allowing MS to download the data they submitted, </w:t>
      </w:r>
      <w:r w:rsidR="003D14A0">
        <w:rPr>
          <w:rFonts w:ascii="Verdana" w:hAnsi="Verdana" w:cs="Arial"/>
          <w:sz w:val="20"/>
          <w:szCs w:val="20"/>
        </w:rPr>
        <w:t xml:space="preserve">but also </w:t>
      </w:r>
      <w:r w:rsidRPr="009045C9">
        <w:rPr>
          <w:rFonts w:ascii="Verdana" w:hAnsi="Verdana" w:cs="Arial"/>
          <w:sz w:val="20"/>
          <w:szCs w:val="20"/>
        </w:rPr>
        <w:t xml:space="preserve">performing </w:t>
      </w:r>
      <w:r w:rsidR="003D14A0">
        <w:rPr>
          <w:rFonts w:ascii="Verdana" w:hAnsi="Verdana" w:cs="Arial"/>
          <w:sz w:val="20"/>
          <w:szCs w:val="20"/>
        </w:rPr>
        <w:t xml:space="preserve">on-line </w:t>
      </w:r>
      <w:r w:rsidRPr="009045C9">
        <w:rPr>
          <w:rFonts w:ascii="Verdana" w:hAnsi="Verdana" w:cs="Arial"/>
          <w:sz w:val="20"/>
          <w:szCs w:val="20"/>
        </w:rPr>
        <w:t xml:space="preserve">epidemiological analysis and </w:t>
      </w:r>
      <w:r w:rsidR="003D14A0">
        <w:rPr>
          <w:rFonts w:ascii="Verdana" w:hAnsi="Verdana" w:cs="Arial"/>
          <w:sz w:val="20"/>
          <w:szCs w:val="20"/>
        </w:rPr>
        <w:t>viewing/</w:t>
      </w:r>
      <w:r w:rsidRPr="009045C9">
        <w:rPr>
          <w:rFonts w:ascii="Verdana" w:hAnsi="Verdana" w:cs="Arial"/>
          <w:sz w:val="20"/>
          <w:szCs w:val="20"/>
        </w:rPr>
        <w:t xml:space="preserve">reporting the results in a </w:t>
      </w:r>
      <w:r w:rsidR="003D14A0">
        <w:rPr>
          <w:rFonts w:ascii="Verdana" w:hAnsi="Verdana" w:cs="Arial"/>
          <w:sz w:val="20"/>
          <w:szCs w:val="20"/>
        </w:rPr>
        <w:t xml:space="preserve">timely and </w:t>
      </w:r>
      <w:r w:rsidRPr="009045C9">
        <w:rPr>
          <w:rFonts w:ascii="Verdana" w:hAnsi="Verdana" w:cs="Arial"/>
          <w:sz w:val="20"/>
          <w:szCs w:val="20"/>
        </w:rPr>
        <w:t xml:space="preserve">harmonised manner. This aims </w:t>
      </w:r>
      <w:r w:rsidR="00FD4066">
        <w:rPr>
          <w:rFonts w:ascii="Verdana" w:hAnsi="Verdana" w:cs="Arial"/>
          <w:sz w:val="20"/>
          <w:szCs w:val="20"/>
        </w:rPr>
        <w:t>at</w:t>
      </w:r>
      <w:r w:rsidR="00FD4066" w:rsidRPr="009045C9">
        <w:rPr>
          <w:rFonts w:ascii="Verdana" w:hAnsi="Verdana" w:cs="Arial"/>
          <w:sz w:val="20"/>
          <w:szCs w:val="20"/>
        </w:rPr>
        <w:t xml:space="preserve"> </w:t>
      </w:r>
      <w:r w:rsidR="00FD4066">
        <w:rPr>
          <w:rFonts w:ascii="Verdana" w:hAnsi="Verdana" w:cs="Arial"/>
          <w:sz w:val="20"/>
          <w:szCs w:val="20"/>
        </w:rPr>
        <w:t>giving</w:t>
      </w:r>
      <w:r w:rsidR="00FD4066" w:rsidRPr="009045C9">
        <w:rPr>
          <w:rFonts w:ascii="Verdana" w:hAnsi="Verdana" w:cs="Arial"/>
          <w:sz w:val="20"/>
          <w:szCs w:val="20"/>
        </w:rPr>
        <w:t xml:space="preserve"> </w:t>
      </w:r>
      <w:r w:rsidR="00FD4066">
        <w:rPr>
          <w:rFonts w:ascii="Verdana" w:hAnsi="Verdana" w:cs="Arial"/>
          <w:sz w:val="20"/>
          <w:szCs w:val="20"/>
        </w:rPr>
        <w:t xml:space="preserve">to the </w:t>
      </w:r>
      <w:r w:rsidRPr="009045C9">
        <w:rPr>
          <w:rFonts w:ascii="Verdana" w:hAnsi="Verdana" w:cs="Arial"/>
          <w:sz w:val="20"/>
          <w:szCs w:val="20"/>
        </w:rPr>
        <w:t>MS</w:t>
      </w:r>
      <w:r w:rsidR="00FD4066">
        <w:rPr>
          <w:rFonts w:ascii="Verdana" w:hAnsi="Verdana" w:cs="Arial"/>
          <w:sz w:val="20"/>
          <w:szCs w:val="20"/>
        </w:rPr>
        <w:t>s</w:t>
      </w:r>
      <w:r w:rsidRPr="009045C9">
        <w:rPr>
          <w:rFonts w:ascii="Verdana" w:hAnsi="Verdana" w:cs="Arial"/>
          <w:sz w:val="20"/>
          <w:szCs w:val="20"/>
        </w:rPr>
        <w:t xml:space="preserve"> added value after submitting data to EFSA and to guarantee that national and EU risk assessment bodies have access to the same data and </w:t>
      </w:r>
      <w:r w:rsidR="00FD4066">
        <w:rPr>
          <w:rFonts w:ascii="Verdana" w:hAnsi="Verdana" w:cs="Arial"/>
          <w:sz w:val="20"/>
          <w:szCs w:val="20"/>
        </w:rPr>
        <w:t xml:space="preserve">are able to </w:t>
      </w:r>
      <w:r w:rsidRPr="009045C9">
        <w:rPr>
          <w:rFonts w:ascii="Verdana" w:hAnsi="Verdana" w:cs="Arial"/>
          <w:sz w:val="20"/>
          <w:szCs w:val="20"/>
        </w:rPr>
        <w:t xml:space="preserve">report the outcomes of risk assessments in a comparable manner. </w:t>
      </w:r>
    </w:p>
    <w:p w14:paraId="1E02C438" w14:textId="77777777" w:rsidR="005826BE" w:rsidRDefault="005826BE" w:rsidP="00E243F8">
      <w:pPr>
        <w:pStyle w:val="Heading2"/>
        <w:rPr>
          <w:rFonts w:eastAsiaTheme="minorHAnsi"/>
        </w:rPr>
      </w:pPr>
    </w:p>
    <w:p w14:paraId="6B2E6CB6" w14:textId="77777777" w:rsidR="009F7F24" w:rsidRPr="00FB4DB3" w:rsidRDefault="00E243F8" w:rsidP="00E243F8">
      <w:pPr>
        <w:pStyle w:val="Heading2"/>
        <w:rPr>
          <w:rFonts w:eastAsiaTheme="minorHAnsi"/>
        </w:rPr>
      </w:pPr>
      <w:r w:rsidRPr="00FB4DB3">
        <w:rPr>
          <w:rFonts w:eastAsiaTheme="minorHAnsi"/>
        </w:rPr>
        <w:t>Objectives</w:t>
      </w:r>
    </w:p>
    <w:p w14:paraId="6F0D702F" w14:textId="77777777" w:rsidR="00E243F8" w:rsidRPr="00E243F8" w:rsidRDefault="00E243F8" w:rsidP="005826BE">
      <w:pPr>
        <w:pStyle w:val="EFSABODYCOPY1"/>
        <w:numPr>
          <w:ilvl w:val="0"/>
          <w:numId w:val="1"/>
        </w:numPr>
        <w:jc w:val="both"/>
        <w:rPr>
          <w:rFonts w:eastAsiaTheme="minorHAnsi"/>
          <w:position w:val="0"/>
          <w:szCs w:val="20"/>
        </w:rPr>
      </w:pPr>
      <w:r w:rsidRPr="00E243F8">
        <w:rPr>
          <w:rFonts w:eastAsiaTheme="minorHAnsi"/>
          <w:position w:val="0"/>
          <w:szCs w:val="20"/>
        </w:rPr>
        <w:t>Development of a unique EFSA Animal Disease data Model (</w:t>
      </w:r>
      <w:r w:rsidRPr="00E243F8">
        <w:rPr>
          <w:rFonts w:ascii="Arial" w:hAnsi="Arial"/>
          <w:szCs w:val="20"/>
        </w:rPr>
        <w:t>Ϭ</w:t>
      </w:r>
      <w:r w:rsidRPr="00E243F8">
        <w:rPr>
          <w:rFonts w:cs="Verdana"/>
          <w:szCs w:val="20"/>
        </w:rPr>
        <w:t>-ADM</w:t>
      </w:r>
      <w:r w:rsidRPr="00E243F8">
        <w:rPr>
          <w:rFonts w:eastAsiaTheme="minorHAnsi"/>
          <w:position w:val="0"/>
          <w:szCs w:val="20"/>
        </w:rPr>
        <w:t>);</w:t>
      </w:r>
    </w:p>
    <w:p w14:paraId="7195B4D4" w14:textId="77777777" w:rsidR="00FD4066" w:rsidRDefault="00E243F8" w:rsidP="005826BE">
      <w:pPr>
        <w:pStyle w:val="EFSABODYCOPY1"/>
        <w:numPr>
          <w:ilvl w:val="0"/>
          <w:numId w:val="1"/>
        </w:numPr>
        <w:jc w:val="both"/>
        <w:rPr>
          <w:rFonts w:eastAsiaTheme="minorHAnsi"/>
          <w:position w:val="0"/>
          <w:szCs w:val="20"/>
        </w:rPr>
      </w:pPr>
      <w:r w:rsidRPr="00E243F8">
        <w:rPr>
          <w:rFonts w:eastAsiaTheme="minorHAnsi"/>
          <w:position w:val="0"/>
          <w:szCs w:val="20"/>
        </w:rPr>
        <w:t xml:space="preserve">Listing </w:t>
      </w:r>
      <w:r w:rsidR="00FD4066">
        <w:rPr>
          <w:rFonts w:eastAsiaTheme="minorHAnsi"/>
          <w:position w:val="0"/>
          <w:szCs w:val="20"/>
        </w:rPr>
        <w:t>of the national data providers in each MS</w:t>
      </w:r>
    </w:p>
    <w:p w14:paraId="17472FAA" w14:textId="1DCD90BD" w:rsidR="00FD4066" w:rsidRDefault="00FD4066" w:rsidP="005826BE">
      <w:pPr>
        <w:pStyle w:val="EFSABODYCOPY1"/>
        <w:numPr>
          <w:ilvl w:val="0"/>
          <w:numId w:val="1"/>
        </w:numPr>
        <w:jc w:val="both"/>
        <w:rPr>
          <w:rFonts w:eastAsiaTheme="minorHAnsi"/>
          <w:position w:val="0"/>
          <w:szCs w:val="20"/>
        </w:rPr>
      </w:pPr>
      <w:r>
        <w:rPr>
          <w:rFonts w:eastAsiaTheme="minorHAnsi"/>
          <w:position w:val="0"/>
          <w:szCs w:val="20"/>
        </w:rPr>
        <w:t xml:space="preserve">Infrastructure analysis </w:t>
      </w:r>
      <w:r w:rsidR="003D14A0">
        <w:rPr>
          <w:rFonts w:eastAsiaTheme="minorHAnsi"/>
          <w:position w:val="0"/>
          <w:szCs w:val="20"/>
        </w:rPr>
        <w:t xml:space="preserve">from Member States </w:t>
      </w:r>
      <w:r>
        <w:rPr>
          <w:rFonts w:eastAsiaTheme="minorHAnsi"/>
          <w:position w:val="0"/>
          <w:szCs w:val="20"/>
        </w:rPr>
        <w:t xml:space="preserve">to propose solutions </w:t>
      </w:r>
      <w:r w:rsidR="003D14A0">
        <w:rPr>
          <w:rFonts w:eastAsiaTheme="minorHAnsi"/>
          <w:position w:val="0"/>
          <w:szCs w:val="20"/>
        </w:rPr>
        <w:t xml:space="preserve">and guidance </w:t>
      </w:r>
      <w:r>
        <w:rPr>
          <w:rFonts w:eastAsiaTheme="minorHAnsi"/>
          <w:position w:val="0"/>
          <w:szCs w:val="20"/>
        </w:rPr>
        <w:t xml:space="preserve">for automation of the data </w:t>
      </w:r>
      <w:r w:rsidR="003D14A0">
        <w:rPr>
          <w:rFonts w:eastAsiaTheme="minorHAnsi"/>
          <w:position w:val="0"/>
          <w:szCs w:val="20"/>
        </w:rPr>
        <w:t>management procedure to transmit data to EFSA with ultimate goal of their storage in the EFSA Scientific Data Warehouse</w:t>
      </w:r>
      <w:r w:rsidR="003D14A0" w:rsidDel="003D14A0">
        <w:rPr>
          <w:rFonts w:eastAsiaTheme="minorHAnsi"/>
          <w:position w:val="0"/>
          <w:szCs w:val="20"/>
        </w:rPr>
        <w:t xml:space="preserve"> </w:t>
      </w:r>
    </w:p>
    <w:p w14:paraId="20FC4FF9" w14:textId="60059411" w:rsidR="00E243F8" w:rsidRPr="00E243F8" w:rsidRDefault="00FD4066" w:rsidP="005826BE">
      <w:pPr>
        <w:pStyle w:val="EFSABODYCOPY1"/>
        <w:numPr>
          <w:ilvl w:val="0"/>
          <w:numId w:val="1"/>
        </w:numPr>
        <w:jc w:val="both"/>
        <w:rPr>
          <w:rFonts w:eastAsiaTheme="minorHAnsi"/>
          <w:position w:val="0"/>
          <w:szCs w:val="20"/>
        </w:rPr>
      </w:pPr>
      <w:r>
        <w:rPr>
          <w:rFonts w:eastAsiaTheme="minorHAnsi"/>
          <w:position w:val="0"/>
          <w:szCs w:val="20"/>
        </w:rPr>
        <w:t>Development of</w:t>
      </w:r>
      <w:r w:rsidRPr="00E243F8">
        <w:rPr>
          <w:rFonts w:eastAsiaTheme="minorHAnsi"/>
          <w:position w:val="0"/>
          <w:szCs w:val="20"/>
        </w:rPr>
        <w:t xml:space="preserve"> automated processes for data interoperability, data integration, data validation, data warehousing </w:t>
      </w:r>
      <w:r>
        <w:rPr>
          <w:rFonts w:eastAsiaTheme="minorHAnsi"/>
          <w:position w:val="0"/>
          <w:szCs w:val="20"/>
        </w:rPr>
        <w:t xml:space="preserve">to facilitate data exchange between the national data retrieved in a harmonised way and the data already available in the official systems </w:t>
      </w:r>
      <w:r w:rsidR="000A1669">
        <w:rPr>
          <w:rFonts w:eastAsiaTheme="minorHAnsi"/>
          <w:position w:val="0"/>
          <w:szCs w:val="20"/>
        </w:rPr>
        <w:t>(e.g.</w:t>
      </w:r>
      <w:r w:rsidR="00E243F8" w:rsidRPr="00E243F8">
        <w:rPr>
          <w:rFonts w:eastAsiaTheme="minorHAnsi"/>
          <w:position w:val="0"/>
          <w:szCs w:val="20"/>
        </w:rPr>
        <w:t xml:space="preserve"> ADNS</w:t>
      </w:r>
      <w:r>
        <w:rPr>
          <w:rFonts w:eastAsiaTheme="minorHAnsi"/>
          <w:position w:val="0"/>
          <w:szCs w:val="20"/>
        </w:rPr>
        <w:t>, ADIS, WAHIS, etc.</w:t>
      </w:r>
      <w:r w:rsidR="00E243F8" w:rsidRPr="00E243F8">
        <w:rPr>
          <w:rFonts w:eastAsiaTheme="minorHAnsi"/>
          <w:position w:val="0"/>
          <w:szCs w:val="20"/>
        </w:rPr>
        <w:t xml:space="preserve">); </w:t>
      </w:r>
    </w:p>
    <w:p w14:paraId="05D62507" w14:textId="2AB2C175" w:rsidR="009F7F24" w:rsidRDefault="003D14A0" w:rsidP="005826BE">
      <w:pPr>
        <w:pStyle w:val="EFSABODYCOPY1"/>
        <w:numPr>
          <w:ilvl w:val="0"/>
          <w:numId w:val="1"/>
        </w:numPr>
        <w:jc w:val="both"/>
        <w:rPr>
          <w:rFonts w:eastAsiaTheme="minorHAnsi"/>
          <w:position w:val="0"/>
          <w:szCs w:val="20"/>
        </w:rPr>
      </w:pPr>
      <w:r>
        <w:rPr>
          <w:rFonts w:eastAsiaTheme="minorHAnsi"/>
          <w:position w:val="0"/>
          <w:szCs w:val="20"/>
        </w:rPr>
        <w:t xml:space="preserve">Availability of web accessible </w:t>
      </w:r>
      <w:r w:rsidR="000059A2">
        <w:rPr>
          <w:rFonts w:eastAsiaTheme="minorHAnsi"/>
          <w:position w:val="0"/>
          <w:szCs w:val="20"/>
        </w:rPr>
        <w:t xml:space="preserve">data analysis and reporting tools </w:t>
      </w:r>
      <w:r>
        <w:rPr>
          <w:rFonts w:eastAsiaTheme="minorHAnsi"/>
          <w:position w:val="0"/>
          <w:szCs w:val="20"/>
        </w:rPr>
        <w:t>to support on-line data analysis on data immediately available in the EFSA’s Scientific Data Warehouse</w:t>
      </w:r>
      <w:r w:rsidR="00E243F8" w:rsidRPr="00E243F8">
        <w:rPr>
          <w:rFonts w:eastAsiaTheme="minorHAnsi"/>
          <w:position w:val="0"/>
          <w:szCs w:val="20"/>
        </w:rPr>
        <w:t>.</w:t>
      </w:r>
    </w:p>
    <w:p w14:paraId="0357275B" w14:textId="77777777" w:rsidR="005826BE" w:rsidRDefault="005826BE" w:rsidP="000059A2">
      <w:pPr>
        <w:pStyle w:val="Heading2"/>
        <w:rPr>
          <w:rFonts w:eastAsiaTheme="minorHAnsi"/>
        </w:rPr>
      </w:pPr>
    </w:p>
    <w:p w14:paraId="418D8F2C" w14:textId="77777777" w:rsidR="000059A2" w:rsidRDefault="000059A2" w:rsidP="000059A2">
      <w:pPr>
        <w:pStyle w:val="Heading2"/>
        <w:rPr>
          <w:rFonts w:eastAsiaTheme="minorHAnsi"/>
        </w:rPr>
      </w:pPr>
      <w:r>
        <w:rPr>
          <w:rFonts w:eastAsiaTheme="minorHAnsi"/>
        </w:rPr>
        <w:t>Collaboration</w:t>
      </w:r>
    </w:p>
    <w:p w14:paraId="6EBA5EE7" w14:textId="77777777" w:rsidR="000059A2" w:rsidRDefault="000059A2" w:rsidP="00FB4DB3">
      <w:pPr>
        <w:pStyle w:val="EFSABODYCOPY1"/>
        <w:spacing w:before="240"/>
      </w:pPr>
      <w:r>
        <w:t>The project will be implemented via a collaboration between:</w:t>
      </w:r>
    </w:p>
    <w:p w14:paraId="7ED7AE8A" w14:textId="04B57633" w:rsidR="000059A2" w:rsidRPr="001E5AE7" w:rsidRDefault="000059A2" w:rsidP="00FB4DB3">
      <w:pPr>
        <w:pStyle w:val="EFSABODYCOPY1"/>
        <w:numPr>
          <w:ilvl w:val="0"/>
          <w:numId w:val="2"/>
        </w:numPr>
      </w:pPr>
      <w:r>
        <w:t xml:space="preserve">the </w:t>
      </w:r>
      <w:r w:rsidRPr="00FB4DB3">
        <w:rPr>
          <w:i/>
        </w:rPr>
        <w:t>ad hoc</w:t>
      </w:r>
      <w:r>
        <w:t xml:space="preserve"> SIGMA working </w:t>
      </w:r>
      <w:r w:rsidRPr="001E5AE7">
        <w:t>group</w:t>
      </w:r>
      <w:r w:rsidR="005826BE" w:rsidRPr="001E5AE7">
        <w:t xml:space="preserve"> (</w:t>
      </w:r>
      <w:hyperlink r:id="rId6" w:history="1">
        <w:r w:rsidR="005826BE" w:rsidRPr="001E5AE7">
          <w:rPr>
            <w:rStyle w:val="Hyperlink"/>
          </w:rPr>
          <w:t>link</w:t>
        </w:r>
      </w:hyperlink>
      <w:r w:rsidR="005826BE" w:rsidRPr="001E5AE7">
        <w:t>)</w:t>
      </w:r>
    </w:p>
    <w:p w14:paraId="334FD041" w14:textId="14ACBA1F" w:rsidR="000059A2" w:rsidRPr="001E5AE7" w:rsidRDefault="000059A2" w:rsidP="00FB4DB3">
      <w:pPr>
        <w:pStyle w:val="EFSABODYCOPY1"/>
        <w:numPr>
          <w:ilvl w:val="0"/>
          <w:numId w:val="2"/>
        </w:numPr>
      </w:pPr>
      <w:r w:rsidRPr="001E5AE7">
        <w:t>the Animal Health and Welfare (AHAW) Panel</w:t>
      </w:r>
      <w:r w:rsidR="005826BE" w:rsidRPr="001E5AE7">
        <w:t xml:space="preserve"> (</w:t>
      </w:r>
      <w:hyperlink r:id="rId7" w:history="1">
        <w:r w:rsidR="005826BE" w:rsidRPr="001E5AE7">
          <w:rPr>
            <w:rStyle w:val="Hyperlink"/>
          </w:rPr>
          <w:t>link</w:t>
        </w:r>
      </w:hyperlink>
      <w:r w:rsidR="005826BE" w:rsidRPr="001E5AE7">
        <w:t>)</w:t>
      </w:r>
    </w:p>
    <w:p w14:paraId="17F52BA7" w14:textId="36C1BBE6" w:rsidR="000059A2" w:rsidRPr="001E5AE7" w:rsidRDefault="000059A2" w:rsidP="00FB4DB3">
      <w:pPr>
        <w:pStyle w:val="EFSABODYCOPY1"/>
        <w:numPr>
          <w:ilvl w:val="0"/>
          <w:numId w:val="2"/>
        </w:numPr>
      </w:pPr>
      <w:r w:rsidRPr="001E5AE7">
        <w:t>the AHAW Network with representatives of all MSs</w:t>
      </w:r>
      <w:r w:rsidR="005826BE" w:rsidRPr="001E5AE7">
        <w:t xml:space="preserve"> (</w:t>
      </w:r>
      <w:hyperlink r:id="rId8" w:history="1">
        <w:r w:rsidR="005826BE" w:rsidRPr="001E5AE7">
          <w:rPr>
            <w:rStyle w:val="Hyperlink"/>
          </w:rPr>
          <w:t>link</w:t>
        </w:r>
      </w:hyperlink>
      <w:r w:rsidR="005826BE" w:rsidRPr="001E5AE7">
        <w:t>)</w:t>
      </w:r>
    </w:p>
    <w:p w14:paraId="33985792" w14:textId="169F63F7" w:rsidR="00DC4A75" w:rsidRPr="001E5AE7" w:rsidRDefault="00DC4A75" w:rsidP="00FB4DB3">
      <w:pPr>
        <w:pStyle w:val="EFSABODYCOPY1"/>
        <w:numPr>
          <w:ilvl w:val="0"/>
          <w:numId w:val="2"/>
        </w:numPr>
      </w:pPr>
      <w:r w:rsidRPr="001E5AE7">
        <w:t xml:space="preserve">the </w:t>
      </w:r>
      <w:r w:rsidR="003D5691" w:rsidRPr="001E5AE7">
        <w:t xml:space="preserve">DATA Network on </w:t>
      </w:r>
      <w:proofErr w:type="spellStart"/>
      <w:r w:rsidR="003D5691" w:rsidRPr="001E5AE7">
        <w:t>zoonoses</w:t>
      </w:r>
      <w:proofErr w:type="spellEnd"/>
      <w:r w:rsidR="003D5691" w:rsidRPr="001E5AE7">
        <w:t xml:space="preserve"> monitoring data</w:t>
      </w:r>
      <w:r w:rsidRPr="001E5AE7">
        <w:t xml:space="preserve"> </w:t>
      </w:r>
      <w:r w:rsidR="00517589" w:rsidRPr="001E5AE7">
        <w:t>(</w:t>
      </w:r>
      <w:hyperlink r:id="rId9" w:history="1">
        <w:r w:rsidR="00517589" w:rsidRPr="001E5AE7">
          <w:rPr>
            <w:rStyle w:val="Hyperlink"/>
          </w:rPr>
          <w:t>link</w:t>
        </w:r>
      </w:hyperlink>
      <w:r w:rsidR="00517589" w:rsidRPr="001E5AE7">
        <w:t>)</w:t>
      </w:r>
    </w:p>
    <w:p w14:paraId="766454D3" w14:textId="70AA2477" w:rsidR="000059A2" w:rsidRPr="000059A2" w:rsidRDefault="000059A2" w:rsidP="00FB4DB3">
      <w:pPr>
        <w:pStyle w:val="EFSABODYCOPY1"/>
        <w:numPr>
          <w:ilvl w:val="0"/>
          <w:numId w:val="2"/>
        </w:numPr>
      </w:pPr>
      <w:r>
        <w:t>a consortium of scientific institutes</w:t>
      </w:r>
      <w:r w:rsidR="005826BE">
        <w:t xml:space="preserve"> </w:t>
      </w:r>
      <w:r w:rsidR="00FA14A3">
        <w:t>(to be defined)</w:t>
      </w:r>
      <w:bookmarkStart w:id="0" w:name="_GoBack"/>
      <w:bookmarkEnd w:id="0"/>
    </w:p>
    <w:p w14:paraId="02172C3A" w14:textId="77777777" w:rsidR="009F7F24" w:rsidRDefault="009F7F24" w:rsidP="009F7F24">
      <w:pPr>
        <w:spacing w:line="240" w:lineRule="auto"/>
        <w:jc w:val="both"/>
      </w:pPr>
    </w:p>
    <w:p w14:paraId="4E084D10" w14:textId="77777777" w:rsidR="009F7F24" w:rsidRDefault="009F7F24" w:rsidP="009F7F24">
      <w:pPr>
        <w:spacing w:line="240" w:lineRule="auto"/>
        <w:jc w:val="both"/>
      </w:pPr>
    </w:p>
    <w:p w14:paraId="2F814E29" w14:textId="77777777" w:rsidR="009F7F24" w:rsidRDefault="009F7F24"/>
    <w:sectPr w:rsidR="009F7F24">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D46130" w15:done="0"/>
  <w15:commentEx w15:paraId="43A1540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TimesNewRomanPSMT">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E4271E"/>
    <w:multiLevelType w:val="hybridMultilevel"/>
    <w:tmpl w:val="BD86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AAC3299"/>
    <w:multiLevelType w:val="hybridMultilevel"/>
    <w:tmpl w:val="A8042400"/>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ANCANARO Gabriele">
    <w15:presenceInfo w15:providerId="AD" w15:userId="S-1-5-21-1801674531-1390067357-725345543-11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4D9"/>
    <w:rsid w:val="000014D9"/>
    <w:rsid w:val="000059A2"/>
    <w:rsid w:val="000A1669"/>
    <w:rsid w:val="001E5AE7"/>
    <w:rsid w:val="002E3850"/>
    <w:rsid w:val="003D14A0"/>
    <w:rsid w:val="003D5691"/>
    <w:rsid w:val="003F5133"/>
    <w:rsid w:val="00517589"/>
    <w:rsid w:val="005826BE"/>
    <w:rsid w:val="005A59B8"/>
    <w:rsid w:val="005D7161"/>
    <w:rsid w:val="005F16A5"/>
    <w:rsid w:val="006B7DAA"/>
    <w:rsid w:val="007A2404"/>
    <w:rsid w:val="007E3D11"/>
    <w:rsid w:val="007E4D7B"/>
    <w:rsid w:val="009F7F24"/>
    <w:rsid w:val="00DC4A75"/>
    <w:rsid w:val="00E243F8"/>
    <w:rsid w:val="00EB7EBB"/>
    <w:rsid w:val="00F5056C"/>
    <w:rsid w:val="00FA14A3"/>
    <w:rsid w:val="00FB4DB3"/>
    <w:rsid w:val="00FD40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D4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F7F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F7F2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7F2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F7F24"/>
    <w:rPr>
      <w:rFonts w:asciiTheme="majorHAnsi" w:eastAsiaTheme="majorEastAsia" w:hAnsiTheme="majorHAnsi" w:cstheme="majorBidi"/>
      <w:b/>
      <w:bCs/>
      <w:color w:val="4F81BD" w:themeColor="accent1"/>
      <w:sz w:val="26"/>
      <w:szCs w:val="26"/>
    </w:rPr>
  </w:style>
  <w:style w:type="paragraph" w:styleId="CommentText">
    <w:name w:val="annotation text"/>
    <w:basedOn w:val="Normal"/>
    <w:link w:val="CommentTextChar"/>
    <w:uiPriority w:val="99"/>
    <w:rsid w:val="009F7F24"/>
    <w:pPr>
      <w:overflowPunct w:val="0"/>
      <w:autoSpaceDE w:val="0"/>
      <w:autoSpaceDN w:val="0"/>
      <w:adjustRightInd w:val="0"/>
      <w:spacing w:after="0" w:line="240" w:lineRule="auto"/>
      <w:jc w:val="both"/>
      <w:textAlignment w:val="baseline"/>
    </w:pPr>
    <w:rPr>
      <w:rFonts w:ascii="Arial" w:eastAsia="Times New Roman" w:hAnsi="Arial" w:cs="Arial"/>
      <w:sz w:val="20"/>
      <w:szCs w:val="20"/>
    </w:rPr>
  </w:style>
  <w:style w:type="character" w:customStyle="1" w:styleId="CommentTextChar">
    <w:name w:val="Comment Text Char"/>
    <w:basedOn w:val="DefaultParagraphFont"/>
    <w:link w:val="CommentText"/>
    <w:uiPriority w:val="99"/>
    <w:rsid w:val="009F7F24"/>
    <w:rPr>
      <w:rFonts w:ascii="Arial" w:eastAsia="Times New Roman" w:hAnsi="Arial" w:cs="Arial"/>
      <w:sz w:val="20"/>
      <w:szCs w:val="20"/>
    </w:rPr>
  </w:style>
  <w:style w:type="character" w:styleId="CommentReference">
    <w:name w:val="annotation reference"/>
    <w:uiPriority w:val="99"/>
    <w:rsid w:val="009F7F24"/>
    <w:rPr>
      <w:rFonts w:cs="Times New Roman"/>
      <w:sz w:val="16"/>
      <w:szCs w:val="16"/>
    </w:rPr>
  </w:style>
  <w:style w:type="paragraph" w:styleId="BalloonText">
    <w:name w:val="Balloon Text"/>
    <w:basedOn w:val="Normal"/>
    <w:link w:val="BalloonTextChar"/>
    <w:uiPriority w:val="99"/>
    <w:semiHidden/>
    <w:unhideWhenUsed/>
    <w:rsid w:val="009F7F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7F24"/>
    <w:rPr>
      <w:rFonts w:ascii="Tahoma" w:hAnsi="Tahoma" w:cs="Tahoma"/>
      <w:sz w:val="16"/>
      <w:szCs w:val="16"/>
    </w:rPr>
  </w:style>
  <w:style w:type="paragraph" w:customStyle="1" w:styleId="EFSABODYCOPY1">
    <w:name w:val="EFSA BODY COPY 1"/>
    <w:basedOn w:val="Normal"/>
    <w:qFormat/>
    <w:rsid w:val="00E243F8"/>
    <w:pPr>
      <w:widowControl w:val="0"/>
      <w:autoSpaceDE w:val="0"/>
      <w:autoSpaceDN w:val="0"/>
      <w:adjustRightInd w:val="0"/>
      <w:spacing w:after="240" w:line="240" w:lineRule="auto"/>
    </w:pPr>
    <w:rPr>
      <w:rFonts w:ascii="Verdana" w:eastAsia="Cambria" w:hAnsi="Verdana" w:cs="Arial"/>
      <w:position w:val="6"/>
      <w:sz w:val="20"/>
    </w:rPr>
  </w:style>
  <w:style w:type="paragraph" w:styleId="ListParagraph">
    <w:name w:val="List Paragraph"/>
    <w:basedOn w:val="Normal"/>
    <w:uiPriority w:val="34"/>
    <w:qFormat/>
    <w:rsid w:val="000059A2"/>
    <w:pPr>
      <w:ind w:left="720"/>
      <w:contextualSpacing/>
    </w:pPr>
  </w:style>
  <w:style w:type="paragraph" w:styleId="CommentSubject">
    <w:name w:val="annotation subject"/>
    <w:basedOn w:val="CommentText"/>
    <w:next w:val="CommentText"/>
    <w:link w:val="CommentSubjectChar"/>
    <w:uiPriority w:val="99"/>
    <w:semiHidden/>
    <w:unhideWhenUsed/>
    <w:rsid w:val="006B7DAA"/>
    <w:pPr>
      <w:overflowPunct/>
      <w:autoSpaceDE/>
      <w:autoSpaceDN/>
      <w:adjustRightInd/>
      <w:spacing w:after="200"/>
      <w:jc w:val="left"/>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6B7DAA"/>
    <w:rPr>
      <w:rFonts w:ascii="Arial" w:eastAsia="Times New Roman" w:hAnsi="Arial" w:cs="Arial"/>
      <w:b/>
      <w:bCs/>
      <w:sz w:val="20"/>
      <w:szCs w:val="20"/>
    </w:rPr>
  </w:style>
  <w:style w:type="paragraph" w:styleId="Revision">
    <w:name w:val="Revision"/>
    <w:hidden/>
    <w:uiPriority w:val="99"/>
    <w:semiHidden/>
    <w:rsid w:val="007A2404"/>
    <w:pPr>
      <w:spacing w:after="0" w:line="240" w:lineRule="auto"/>
    </w:pPr>
  </w:style>
  <w:style w:type="character" w:styleId="Hyperlink">
    <w:name w:val="Hyperlink"/>
    <w:basedOn w:val="DefaultParagraphFont"/>
    <w:uiPriority w:val="99"/>
    <w:unhideWhenUsed/>
    <w:rsid w:val="001E5AE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F7F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F7F2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7F2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F7F24"/>
    <w:rPr>
      <w:rFonts w:asciiTheme="majorHAnsi" w:eastAsiaTheme="majorEastAsia" w:hAnsiTheme="majorHAnsi" w:cstheme="majorBidi"/>
      <w:b/>
      <w:bCs/>
      <w:color w:val="4F81BD" w:themeColor="accent1"/>
      <w:sz w:val="26"/>
      <w:szCs w:val="26"/>
    </w:rPr>
  </w:style>
  <w:style w:type="paragraph" w:styleId="CommentText">
    <w:name w:val="annotation text"/>
    <w:basedOn w:val="Normal"/>
    <w:link w:val="CommentTextChar"/>
    <w:uiPriority w:val="99"/>
    <w:rsid w:val="009F7F24"/>
    <w:pPr>
      <w:overflowPunct w:val="0"/>
      <w:autoSpaceDE w:val="0"/>
      <w:autoSpaceDN w:val="0"/>
      <w:adjustRightInd w:val="0"/>
      <w:spacing w:after="0" w:line="240" w:lineRule="auto"/>
      <w:jc w:val="both"/>
      <w:textAlignment w:val="baseline"/>
    </w:pPr>
    <w:rPr>
      <w:rFonts w:ascii="Arial" w:eastAsia="Times New Roman" w:hAnsi="Arial" w:cs="Arial"/>
      <w:sz w:val="20"/>
      <w:szCs w:val="20"/>
    </w:rPr>
  </w:style>
  <w:style w:type="character" w:customStyle="1" w:styleId="CommentTextChar">
    <w:name w:val="Comment Text Char"/>
    <w:basedOn w:val="DefaultParagraphFont"/>
    <w:link w:val="CommentText"/>
    <w:uiPriority w:val="99"/>
    <w:rsid w:val="009F7F24"/>
    <w:rPr>
      <w:rFonts w:ascii="Arial" w:eastAsia="Times New Roman" w:hAnsi="Arial" w:cs="Arial"/>
      <w:sz w:val="20"/>
      <w:szCs w:val="20"/>
    </w:rPr>
  </w:style>
  <w:style w:type="character" w:styleId="CommentReference">
    <w:name w:val="annotation reference"/>
    <w:uiPriority w:val="99"/>
    <w:rsid w:val="009F7F24"/>
    <w:rPr>
      <w:rFonts w:cs="Times New Roman"/>
      <w:sz w:val="16"/>
      <w:szCs w:val="16"/>
    </w:rPr>
  </w:style>
  <w:style w:type="paragraph" w:styleId="BalloonText">
    <w:name w:val="Balloon Text"/>
    <w:basedOn w:val="Normal"/>
    <w:link w:val="BalloonTextChar"/>
    <w:uiPriority w:val="99"/>
    <w:semiHidden/>
    <w:unhideWhenUsed/>
    <w:rsid w:val="009F7F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7F24"/>
    <w:rPr>
      <w:rFonts w:ascii="Tahoma" w:hAnsi="Tahoma" w:cs="Tahoma"/>
      <w:sz w:val="16"/>
      <w:szCs w:val="16"/>
    </w:rPr>
  </w:style>
  <w:style w:type="paragraph" w:customStyle="1" w:styleId="EFSABODYCOPY1">
    <w:name w:val="EFSA BODY COPY 1"/>
    <w:basedOn w:val="Normal"/>
    <w:qFormat/>
    <w:rsid w:val="00E243F8"/>
    <w:pPr>
      <w:widowControl w:val="0"/>
      <w:autoSpaceDE w:val="0"/>
      <w:autoSpaceDN w:val="0"/>
      <w:adjustRightInd w:val="0"/>
      <w:spacing w:after="240" w:line="240" w:lineRule="auto"/>
    </w:pPr>
    <w:rPr>
      <w:rFonts w:ascii="Verdana" w:eastAsia="Cambria" w:hAnsi="Verdana" w:cs="Arial"/>
      <w:position w:val="6"/>
      <w:sz w:val="20"/>
    </w:rPr>
  </w:style>
  <w:style w:type="paragraph" w:styleId="ListParagraph">
    <w:name w:val="List Paragraph"/>
    <w:basedOn w:val="Normal"/>
    <w:uiPriority w:val="34"/>
    <w:qFormat/>
    <w:rsid w:val="000059A2"/>
    <w:pPr>
      <w:ind w:left="720"/>
      <w:contextualSpacing/>
    </w:pPr>
  </w:style>
  <w:style w:type="paragraph" w:styleId="CommentSubject">
    <w:name w:val="annotation subject"/>
    <w:basedOn w:val="CommentText"/>
    <w:next w:val="CommentText"/>
    <w:link w:val="CommentSubjectChar"/>
    <w:uiPriority w:val="99"/>
    <w:semiHidden/>
    <w:unhideWhenUsed/>
    <w:rsid w:val="006B7DAA"/>
    <w:pPr>
      <w:overflowPunct/>
      <w:autoSpaceDE/>
      <w:autoSpaceDN/>
      <w:adjustRightInd/>
      <w:spacing w:after="200"/>
      <w:jc w:val="left"/>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6B7DAA"/>
    <w:rPr>
      <w:rFonts w:ascii="Arial" w:eastAsia="Times New Roman" w:hAnsi="Arial" w:cs="Arial"/>
      <w:b/>
      <w:bCs/>
      <w:sz w:val="20"/>
      <w:szCs w:val="20"/>
    </w:rPr>
  </w:style>
  <w:style w:type="paragraph" w:styleId="Revision">
    <w:name w:val="Revision"/>
    <w:hidden/>
    <w:uiPriority w:val="99"/>
    <w:semiHidden/>
    <w:rsid w:val="007A2404"/>
    <w:pPr>
      <w:spacing w:after="0" w:line="240" w:lineRule="auto"/>
    </w:pPr>
  </w:style>
  <w:style w:type="character" w:styleId="Hyperlink">
    <w:name w:val="Hyperlink"/>
    <w:basedOn w:val="DefaultParagraphFont"/>
    <w:uiPriority w:val="99"/>
    <w:unhideWhenUsed/>
    <w:rsid w:val="001E5AE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fsa.europa.eu/en/animal-health-and-welfare/networks" TargetMode="Externa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hyperlink" Target="http://www.efsa.europa.eu/en/panels/ahaw" TargetMode="Externa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s.efsa.europa.eu/doi/doiweb/wg/684450"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fsa.europa.eu/en/data/networ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D9CDE45B</Template>
  <TotalTime>9</TotalTime>
  <Pages>2</Pages>
  <Words>838</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EFSA</Company>
  <LinksUpToDate>false</LinksUpToDate>
  <CharactersWithSpaces>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VERDONCK Frank</dc:creator>
  <cp:lastModifiedBy>VERDONCK Frank</cp:lastModifiedBy>
  <cp:revision>6</cp:revision>
  <dcterms:created xsi:type="dcterms:W3CDTF">2018-03-15T08:08:00Z</dcterms:created>
  <dcterms:modified xsi:type="dcterms:W3CDTF">2018-03-20T12:55:00Z</dcterms:modified>
</cp:coreProperties>
</file>