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3CE2" w:rsidRDefault="00FF3CE2" w:rsidP="00FF3CE2">
      <w:pPr>
        <w:keepNext/>
        <w:spacing w:after="0" w:line="360" w:lineRule="auto"/>
        <w:rPr>
          <w:rFonts w:ascii="Times New Roman" w:eastAsia="Times New Roman" w:hAnsi="Times New Roman" w:cs="Times New Roman"/>
          <w:b/>
          <w:kern w:val="24"/>
          <w:sz w:val="24"/>
          <w:szCs w:val="24"/>
          <w:lang w:eastAsia="en-AU"/>
        </w:rPr>
      </w:pPr>
      <w:r w:rsidRPr="00D24CD1">
        <w:rPr>
          <w:rFonts w:ascii="Times New Roman" w:eastAsia="Times New Roman" w:hAnsi="Times New Roman" w:cs="Times New Roman"/>
          <w:b/>
          <w:kern w:val="24"/>
          <w:sz w:val="24"/>
          <w:szCs w:val="24"/>
          <w:lang w:eastAsia="en-AU"/>
        </w:rPr>
        <w:t xml:space="preserve">Applying surrogate species presences to correct sample bias in species distribution models; a case study using the Pilbara population of the Northern Quoll. </w:t>
      </w:r>
    </w:p>
    <w:p w:rsidR="00FF3CE2" w:rsidRDefault="00FF3CE2" w:rsidP="00FF3CE2">
      <w:pPr>
        <w:keepNext/>
        <w:spacing w:after="0" w:line="360" w:lineRule="auto"/>
        <w:rPr>
          <w:rFonts w:ascii="Times New Roman" w:eastAsia="Times New Roman" w:hAnsi="Times New Roman" w:cs="Times New Roman"/>
          <w:b/>
          <w:kern w:val="24"/>
          <w:sz w:val="24"/>
          <w:szCs w:val="24"/>
          <w:lang w:eastAsia="en-AU"/>
        </w:rPr>
      </w:pPr>
    </w:p>
    <w:p w:rsidR="00FF3CE2" w:rsidRDefault="00FF3CE2" w:rsidP="00FF3CE2">
      <w:pPr>
        <w:keepNext/>
        <w:spacing w:after="0" w:line="360" w:lineRule="auto"/>
        <w:rPr>
          <w:rFonts w:ascii="Times New Roman" w:eastAsia="Times New Roman" w:hAnsi="Times New Roman" w:cs="Times New Roman"/>
          <w:b/>
          <w:kern w:val="24"/>
          <w:sz w:val="24"/>
          <w:szCs w:val="24"/>
          <w:lang w:eastAsia="en-AU"/>
        </w:rPr>
      </w:pPr>
      <w:r>
        <w:rPr>
          <w:rFonts w:ascii="Times New Roman" w:eastAsia="Times New Roman" w:hAnsi="Times New Roman" w:cs="Times New Roman"/>
          <w:b/>
          <w:kern w:val="24"/>
          <w:sz w:val="24"/>
          <w:szCs w:val="24"/>
          <w:lang w:eastAsia="en-AU"/>
        </w:rPr>
        <w:t>Supplementary data file 2</w:t>
      </w:r>
      <w:r w:rsidRPr="00D85649">
        <w:rPr>
          <w:rFonts w:ascii="Times New Roman" w:eastAsia="Times New Roman" w:hAnsi="Times New Roman" w:cs="Times New Roman"/>
          <w:b/>
          <w:kern w:val="24"/>
          <w:sz w:val="24"/>
          <w:szCs w:val="24"/>
          <w:lang w:eastAsia="en-AU"/>
        </w:rPr>
        <w:t xml:space="preserve">: </w:t>
      </w:r>
    </w:p>
    <w:p w:rsidR="00FF3CE2" w:rsidRPr="00D85649" w:rsidRDefault="00FF3CE2" w:rsidP="00FF3CE2">
      <w:pPr>
        <w:keepNext/>
        <w:spacing w:after="0" w:line="360" w:lineRule="auto"/>
        <w:rPr>
          <w:rFonts w:ascii="Times New Roman" w:eastAsia="Times New Roman" w:hAnsi="Times New Roman" w:cs="Times New Roman"/>
          <w:kern w:val="24"/>
          <w:sz w:val="24"/>
          <w:szCs w:val="24"/>
          <w:lang w:eastAsia="en-AU"/>
        </w:rPr>
      </w:pPr>
    </w:p>
    <w:p w:rsidR="00FF3CE2" w:rsidRPr="00030914" w:rsidRDefault="00FF3CE2" w:rsidP="00FF3CE2">
      <w:pPr>
        <w:spacing w:after="240" w:line="360" w:lineRule="auto"/>
        <w:jc w:val="both"/>
        <w:rPr>
          <w:rFonts w:ascii="Times New Roman" w:eastAsia="Times New Roman" w:hAnsi="Times New Roman" w:cs="Times New Roman"/>
          <w:b/>
          <w:kern w:val="24"/>
          <w:sz w:val="24"/>
          <w:szCs w:val="24"/>
          <w:lang w:eastAsia="en-AU"/>
        </w:rPr>
      </w:pPr>
      <w:bookmarkStart w:id="0" w:name="_GoBack"/>
      <w:r w:rsidRPr="00030914">
        <w:rPr>
          <w:rFonts w:ascii="Times New Roman" w:eastAsia="Times New Roman" w:hAnsi="Times New Roman" w:cs="Times New Roman"/>
          <w:b/>
          <w:kern w:val="24"/>
          <w:sz w:val="24"/>
          <w:szCs w:val="24"/>
          <w:lang w:eastAsia="en-AU"/>
        </w:rPr>
        <w:t>Full readout for the MaxEnt northern quoll SDM.</w:t>
      </w:r>
    </w:p>
    <w:bookmarkEnd w:id="0"/>
    <w:p w:rsidR="009C1603" w:rsidRPr="009C1603" w:rsidRDefault="00030914" w:rsidP="009C1603">
      <w:r>
        <w:pict>
          <v:rect id="_x0000_i1025" style="width:0;height:1.5pt" o:hralign="center" o:hrstd="t" o:hrnoshade="t" o:hr="t" fillcolor="black" stroked="f"/>
        </w:pict>
      </w:r>
    </w:p>
    <w:p w:rsidR="009C1603" w:rsidRPr="009C1603" w:rsidRDefault="009C1603" w:rsidP="009C1603">
      <w:pPr>
        <w:rPr>
          <w:b/>
          <w:bCs/>
        </w:rPr>
      </w:pPr>
      <w:r w:rsidRPr="009C1603">
        <w:rPr>
          <w:b/>
          <w:bCs/>
        </w:rPr>
        <w:t>Analysis of omission/commission</w:t>
      </w:r>
    </w:p>
    <w:p w:rsidR="009C1603" w:rsidRPr="009C1603" w:rsidRDefault="009C1603" w:rsidP="009C1603">
      <w:r w:rsidRPr="009C1603">
        <w:t>The following picture shows the training omission rate and predicted area as a function of the cumulative threshold, averaged over the replicate runs. </w:t>
      </w:r>
      <w:r w:rsidRPr="009C1603">
        <w:br/>
      </w:r>
      <w:r w:rsidRPr="009C1603">
        <w:rPr>
          <w:noProof/>
          <w:lang w:eastAsia="en-AU"/>
        </w:rPr>
        <w:drawing>
          <wp:inline distT="0" distB="0" distL="0" distR="0">
            <wp:extent cx="5400052" cy="3472160"/>
            <wp:effectExtent l="0" t="0" r="0" b="0"/>
            <wp:docPr id="21" name="Picture 21" descr="C:\NQ1\NQ1Yweight\maxent\plots\1_omis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NQ1\NQ1Yweight\maxent\plots\1_omission.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408830" cy="3477804"/>
                    </a:xfrm>
                    <a:prstGeom prst="rect">
                      <a:avLst/>
                    </a:prstGeom>
                    <a:noFill/>
                    <a:ln>
                      <a:noFill/>
                    </a:ln>
                  </pic:spPr>
                </pic:pic>
              </a:graphicData>
            </a:graphic>
          </wp:inline>
        </w:drawing>
      </w:r>
      <w:r w:rsidRPr="009C1603">
        <w:br/>
      </w:r>
      <w:r w:rsidRPr="009C1603">
        <w:br/>
        <w:t xml:space="preserve">The next picture is the receiver operating characteristic (ROC) curve for the same data, again averaged over the replicate runs. Note that the specificity is defined using predicted area, rather than true commission (see the paper by Phillips, Anderson and </w:t>
      </w:r>
      <w:proofErr w:type="spellStart"/>
      <w:r w:rsidRPr="009C1603">
        <w:t>Schapire</w:t>
      </w:r>
      <w:proofErr w:type="spellEnd"/>
      <w:r w:rsidRPr="009C1603">
        <w:t xml:space="preserve"> cited on the help page for discussion of what this means). The average training AUC for the replicate runs is 0.895, and the standard deviation is 0.005. </w:t>
      </w:r>
      <w:r w:rsidRPr="009C1603">
        <w:br/>
      </w:r>
      <w:r w:rsidRPr="009C1603">
        <w:rPr>
          <w:noProof/>
          <w:lang w:eastAsia="en-AU"/>
        </w:rPr>
        <w:lastRenderedPageBreak/>
        <w:drawing>
          <wp:inline distT="0" distB="0" distL="0" distR="0">
            <wp:extent cx="5460680" cy="3511143"/>
            <wp:effectExtent l="0" t="0" r="6985" b="0"/>
            <wp:docPr id="20" name="Picture 20" descr="C:\NQ1\NQ1Yweight\maxent\plots\1_r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Q1\NQ1Yweight\maxent\plots\1_roc.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63991" cy="3513272"/>
                    </a:xfrm>
                    <a:prstGeom prst="rect">
                      <a:avLst/>
                    </a:prstGeom>
                    <a:noFill/>
                    <a:ln>
                      <a:noFill/>
                    </a:ln>
                  </pic:spPr>
                </pic:pic>
              </a:graphicData>
            </a:graphic>
          </wp:inline>
        </w:drawing>
      </w:r>
      <w:r w:rsidRPr="009C1603">
        <w:br/>
      </w:r>
    </w:p>
    <w:p w:rsidR="009C1603" w:rsidRPr="009C1603" w:rsidRDefault="00030914" w:rsidP="009C1603">
      <w:r>
        <w:pict>
          <v:rect id="_x0000_i1026" style="width:0;height:1.5pt" o:hralign="center" o:hrstd="t" o:hrnoshade="t" o:hr="t" fillcolor="black" stroked="f"/>
        </w:pict>
      </w:r>
    </w:p>
    <w:p w:rsidR="009C1603" w:rsidRPr="009C1603" w:rsidRDefault="009C1603" w:rsidP="009C1603">
      <w:pPr>
        <w:rPr>
          <w:b/>
          <w:bCs/>
        </w:rPr>
      </w:pPr>
      <w:r w:rsidRPr="009C1603">
        <w:rPr>
          <w:b/>
          <w:bCs/>
        </w:rPr>
        <w:t>Pictures of the model</w:t>
      </w:r>
    </w:p>
    <w:p w:rsidR="009C1603" w:rsidRPr="009C1603" w:rsidRDefault="009C1603" w:rsidP="009C1603">
      <w:r w:rsidRPr="009C1603">
        <w:t>The following two pictures show the point-wise mean and standard deviation of the 10 output grids. Other available summary grids are </w:t>
      </w:r>
      <w:hyperlink r:id="rId6" w:history="1">
        <w:r w:rsidRPr="009C1603">
          <w:rPr>
            <w:rStyle w:val="Hyperlink"/>
          </w:rPr>
          <w:t>min</w:t>
        </w:r>
      </w:hyperlink>
      <w:r w:rsidRPr="009C1603">
        <w:t>, </w:t>
      </w:r>
      <w:hyperlink r:id="rId7" w:history="1">
        <w:r w:rsidRPr="009C1603">
          <w:rPr>
            <w:rStyle w:val="Hyperlink"/>
          </w:rPr>
          <w:t>max</w:t>
        </w:r>
      </w:hyperlink>
      <w:r w:rsidRPr="009C1603">
        <w:t> and </w:t>
      </w:r>
      <w:hyperlink r:id="rId8" w:history="1">
        <w:r w:rsidRPr="009C1603">
          <w:rPr>
            <w:rStyle w:val="Hyperlink"/>
          </w:rPr>
          <w:t>median</w:t>
        </w:r>
      </w:hyperlink>
      <w:r w:rsidRPr="009C1603">
        <w:t>.</w:t>
      </w:r>
      <w:r w:rsidRPr="009C1603">
        <w:br/>
      </w:r>
      <w:r w:rsidRPr="009C1603">
        <w:rPr>
          <w:noProof/>
          <w:lang w:eastAsia="en-AU"/>
        </w:rPr>
        <w:drawing>
          <wp:inline distT="0" distB="0" distL="0" distR="0">
            <wp:extent cx="5710555" cy="3347085"/>
            <wp:effectExtent l="0" t="0" r="4445" b="5715"/>
            <wp:docPr id="19" name="Picture 19" descr="C:\NQ1\NQ1Yweight\maxent\plots\1_avg.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NQ1\NQ1Yweight\maxent\plots\1_avg.png">
                      <a:hlinkClick r:id="rId9"/>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0555" cy="3347085"/>
                    </a:xfrm>
                    <a:prstGeom prst="rect">
                      <a:avLst/>
                    </a:prstGeom>
                    <a:noFill/>
                    <a:ln>
                      <a:noFill/>
                    </a:ln>
                  </pic:spPr>
                </pic:pic>
              </a:graphicData>
            </a:graphic>
          </wp:inline>
        </w:drawing>
      </w:r>
      <w:r w:rsidRPr="009C1603">
        <w:t> </w:t>
      </w:r>
      <w:r w:rsidRPr="009C1603">
        <w:rPr>
          <w:noProof/>
          <w:lang w:eastAsia="en-AU"/>
        </w:rPr>
        <w:lastRenderedPageBreak/>
        <w:drawing>
          <wp:inline distT="0" distB="0" distL="0" distR="0">
            <wp:extent cx="5710555" cy="3347085"/>
            <wp:effectExtent l="0" t="0" r="4445" b="5715"/>
            <wp:docPr id="18" name="Picture 18" descr="C:\NQ1\NQ1Yweight\maxent\plots\1_stddev.pn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NQ1\NQ1Yweight\maxent\plots\1_stddev.png">
                      <a:hlinkClick r:id="rId11"/>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0555" cy="3347085"/>
                    </a:xfrm>
                    <a:prstGeom prst="rect">
                      <a:avLst/>
                    </a:prstGeom>
                    <a:noFill/>
                    <a:ln>
                      <a:noFill/>
                    </a:ln>
                  </pic:spPr>
                </pic:pic>
              </a:graphicData>
            </a:graphic>
          </wp:inline>
        </w:drawing>
      </w:r>
      <w:r w:rsidRPr="009C1603">
        <w:t> </w:t>
      </w:r>
      <w:r w:rsidRPr="009C1603">
        <w:br/>
      </w:r>
    </w:p>
    <w:p w:rsidR="009C1603" w:rsidRPr="009C1603" w:rsidRDefault="00030914" w:rsidP="009C1603">
      <w:r>
        <w:pict>
          <v:rect id="_x0000_i1027" style="width:0;height:1.5pt" o:hralign="center" o:hrstd="t" o:hrnoshade="t" o:hr="t" fillcolor="black" stroked="f"/>
        </w:pict>
      </w:r>
    </w:p>
    <w:p w:rsidR="009C1603" w:rsidRPr="009C1603" w:rsidRDefault="009C1603" w:rsidP="009C1603">
      <w:pPr>
        <w:rPr>
          <w:b/>
          <w:bCs/>
        </w:rPr>
      </w:pPr>
      <w:r w:rsidRPr="009C1603">
        <w:rPr>
          <w:b/>
          <w:bCs/>
        </w:rPr>
        <w:t>Response curves</w:t>
      </w:r>
    </w:p>
    <w:p w:rsidR="009C1603" w:rsidRPr="009C1603" w:rsidRDefault="009C1603" w:rsidP="009C1603">
      <w:r w:rsidRPr="009C1603">
        <w:br/>
        <w:t xml:space="preserve">These curves show how each environmental variable affects the </w:t>
      </w:r>
      <w:proofErr w:type="spellStart"/>
      <w:r w:rsidRPr="009C1603">
        <w:t>Maxent</w:t>
      </w:r>
      <w:proofErr w:type="spellEnd"/>
      <w:r w:rsidRPr="009C1603">
        <w:t xml:space="preserve"> prediction. The curves show how the logistic prediction changes as each environmental variable is varied, keeping all other environmental variables at their average sample value. Click on a response curve to see a larger version. Note that the curves can be hard to interpret if you have strongly correlated variables, as the model may depend on the correlations in ways that are not evident in the curves. In other words, the curves show the marginal effect of changing exactly one variable, whereas the model may take advantage of sets of variables changing together. The curves show the mean response of the 10 replicate </w:t>
      </w:r>
      <w:proofErr w:type="spellStart"/>
      <w:r w:rsidRPr="009C1603">
        <w:t>Maxent</w:t>
      </w:r>
      <w:proofErr w:type="spellEnd"/>
      <w:r w:rsidRPr="009C1603">
        <w:t xml:space="preserve"> runs (red) and </w:t>
      </w:r>
      <w:proofErr w:type="spellStart"/>
      <w:r w:rsidRPr="009C1603">
        <w:t>and</w:t>
      </w:r>
      <w:proofErr w:type="spellEnd"/>
      <w:r w:rsidRPr="009C1603">
        <w:t xml:space="preserve"> the mean +/- one standard deviation (blue, two shades for categorical variables).</w:t>
      </w:r>
      <w:r w:rsidRPr="009C1603">
        <w:br/>
      </w:r>
      <w:r w:rsidRPr="009C1603">
        <w:br/>
      </w:r>
      <w:r w:rsidRPr="009C1603">
        <w:rPr>
          <w:noProof/>
          <w:lang w:eastAsia="en-AU"/>
        </w:rPr>
        <w:drawing>
          <wp:inline distT="0" distB="0" distL="0" distR="0">
            <wp:extent cx="2001520" cy="1337310"/>
            <wp:effectExtent l="0" t="0" r="0" b="0"/>
            <wp:docPr id="17" name="Picture 17" descr="C:\NQ1\NQ1Yweight\maxent\plots\1_bio_18_thumb.p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NQ1\NQ1Yweight\maxent\plots\1_bio_18_thumb.pn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1520" cy="1337310"/>
                    </a:xfrm>
                    <a:prstGeom prst="rect">
                      <a:avLst/>
                    </a:prstGeom>
                    <a:noFill/>
                    <a:ln>
                      <a:noFill/>
                    </a:ln>
                  </pic:spPr>
                </pic:pic>
              </a:graphicData>
            </a:graphic>
          </wp:inline>
        </w:drawing>
      </w:r>
      <w:r w:rsidRPr="009C1603">
        <w:t> </w:t>
      </w:r>
      <w:r w:rsidRPr="009C1603">
        <w:rPr>
          <w:noProof/>
          <w:lang w:eastAsia="en-AU"/>
        </w:rPr>
        <w:drawing>
          <wp:inline distT="0" distB="0" distL="0" distR="0">
            <wp:extent cx="2001520" cy="1337310"/>
            <wp:effectExtent l="0" t="0" r="0" b="0"/>
            <wp:docPr id="16" name="Picture 16" descr="C:\NQ1\NQ1Yweight\maxent\plots\1_bio_19_thumb.pn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NQ1\NQ1Yweight\maxent\plots\1_bio_19_thumb.png">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01520" cy="1337310"/>
                    </a:xfrm>
                    <a:prstGeom prst="rect">
                      <a:avLst/>
                    </a:prstGeom>
                    <a:noFill/>
                    <a:ln>
                      <a:noFill/>
                    </a:ln>
                  </pic:spPr>
                </pic:pic>
              </a:graphicData>
            </a:graphic>
          </wp:inline>
        </w:drawing>
      </w:r>
      <w:r w:rsidRPr="009C1603">
        <w:t> </w:t>
      </w:r>
      <w:r w:rsidRPr="009C1603">
        <w:rPr>
          <w:noProof/>
          <w:lang w:eastAsia="en-AU"/>
        </w:rPr>
        <w:lastRenderedPageBreak/>
        <w:drawing>
          <wp:inline distT="0" distB="0" distL="0" distR="0">
            <wp:extent cx="2001520" cy="1337310"/>
            <wp:effectExtent l="0" t="0" r="0" b="0"/>
            <wp:docPr id="15" name="Picture 15" descr="C:\NQ1\NQ1Yweight\maxent\plots\1_bio_9_thumb.p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NQ1\NQ1Yweight\maxent\plots\1_bio_9_thumb.png">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01520" cy="1337310"/>
                    </a:xfrm>
                    <a:prstGeom prst="rect">
                      <a:avLst/>
                    </a:prstGeom>
                    <a:noFill/>
                    <a:ln>
                      <a:noFill/>
                    </a:ln>
                  </pic:spPr>
                </pic:pic>
              </a:graphicData>
            </a:graphic>
          </wp:inline>
        </w:drawing>
      </w:r>
      <w:r w:rsidRPr="009C1603">
        <w:t> </w:t>
      </w:r>
      <w:r w:rsidRPr="009C1603">
        <w:rPr>
          <w:noProof/>
          <w:lang w:eastAsia="en-AU"/>
        </w:rPr>
        <w:drawing>
          <wp:inline distT="0" distB="0" distL="0" distR="0">
            <wp:extent cx="2001520" cy="1337310"/>
            <wp:effectExtent l="0" t="0" r="0" b="0"/>
            <wp:docPr id="14" name="Picture 14" descr="C:\NQ1\NQ1Yweight\maxent\plots\1_dem_thumb.p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NQ1\NQ1Yweight\maxent\plots\1_dem_thumb.png">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01520" cy="1337310"/>
                    </a:xfrm>
                    <a:prstGeom prst="rect">
                      <a:avLst/>
                    </a:prstGeom>
                    <a:noFill/>
                    <a:ln>
                      <a:noFill/>
                    </a:ln>
                  </pic:spPr>
                </pic:pic>
              </a:graphicData>
            </a:graphic>
          </wp:inline>
        </w:drawing>
      </w:r>
      <w:r w:rsidRPr="009C1603">
        <w:t> </w:t>
      </w:r>
      <w:r w:rsidRPr="009C1603">
        <w:rPr>
          <w:noProof/>
          <w:lang w:eastAsia="en-AU"/>
        </w:rPr>
        <w:drawing>
          <wp:inline distT="0" distB="0" distL="0" distR="0">
            <wp:extent cx="2001520" cy="1337310"/>
            <wp:effectExtent l="0" t="0" r="0" b="0"/>
            <wp:docPr id="13" name="Picture 13" descr="C:\NQ1\NQ1Yweight\maxent\plots\1_slope_thumb.pn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NQ1\NQ1Yweight\maxent\plots\1_slope_thumb.png">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01520" cy="1337310"/>
                    </a:xfrm>
                    <a:prstGeom prst="rect">
                      <a:avLst/>
                    </a:prstGeom>
                    <a:noFill/>
                    <a:ln>
                      <a:noFill/>
                    </a:ln>
                  </pic:spPr>
                </pic:pic>
              </a:graphicData>
            </a:graphic>
          </wp:inline>
        </w:drawing>
      </w:r>
      <w:r w:rsidRPr="009C1603">
        <w:rPr>
          <w:noProof/>
          <w:lang w:eastAsia="en-AU"/>
        </w:rPr>
        <w:drawing>
          <wp:inline distT="0" distB="0" distL="0" distR="0">
            <wp:extent cx="2001520" cy="1337310"/>
            <wp:effectExtent l="0" t="0" r="0" b="0"/>
            <wp:docPr id="12" name="Picture 12" descr="C:\NQ1\NQ1Yweight\maxent\plots\1_vegag_thumb.pn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NQ1\NQ1Yweight\maxent\plots\1_vegag_thumb.png">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01520" cy="1337310"/>
                    </a:xfrm>
                    <a:prstGeom prst="rect">
                      <a:avLst/>
                    </a:prstGeom>
                    <a:noFill/>
                    <a:ln>
                      <a:noFill/>
                    </a:ln>
                  </pic:spPr>
                </pic:pic>
              </a:graphicData>
            </a:graphic>
          </wp:inline>
        </w:drawing>
      </w:r>
      <w:r w:rsidRPr="009C1603">
        <w:t> </w:t>
      </w:r>
      <w:r w:rsidRPr="009C1603">
        <w:rPr>
          <w:noProof/>
          <w:lang w:eastAsia="en-AU"/>
        </w:rPr>
        <w:drawing>
          <wp:inline distT="0" distB="0" distL="0" distR="0">
            <wp:extent cx="2001520" cy="1337310"/>
            <wp:effectExtent l="0" t="0" r="0" b="0"/>
            <wp:docPr id="11" name="Picture 11" descr="C:\NQ1\NQ1Yweight\maxent\plots\1_water_thumb.pn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NQ1\NQ1Yweight\maxent\plots\1_water_thumb.png">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01520" cy="1337310"/>
                    </a:xfrm>
                    <a:prstGeom prst="rect">
                      <a:avLst/>
                    </a:prstGeom>
                    <a:noFill/>
                    <a:ln>
                      <a:noFill/>
                    </a:ln>
                  </pic:spPr>
                </pic:pic>
              </a:graphicData>
            </a:graphic>
          </wp:inline>
        </w:drawing>
      </w:r>
      <w:r w:rsidRPr="009C1603">
        <w:t> </w:t>
      </w:r>
      <w:r w:rsidRPr="009C1603">
        <w:br/>
      </w:r>
      <w:r w:rsidRPr="009C1603">
        <w:br/>
        <w:t xml:space="preserve">In contrast to the above marginal response curves, each of the following curves represents a different model, namely, a </w:t>
      </w:r>
      <w:proofErr w:type="spellStart"/>
      <w:r w:rsidRPr="009C1603">
        <w:t>Maxent</w:t>
      </w:r>
      <w:proofErr w:type="spellEnd"/>
      <w:r w:rsidRPr="009C1603">
        <w:t xml:space="preserve"> model created using only the corresponding variable. These plots reflect the dependence of predicted suitability both on the selected variable and on dependencies induced by correlations between the selected variable and other variables. They may be easier to interpret if there are strong correlations between variables.</w:t>
      </w:r>
      <w:r w:rsidRPr="009C1603">
        <w:br/>
      </w:r>
      <w:r w:rsidRPr="009C1603">
        <w:br/>
      </w:r>
      <w:r w:rsidRPr="009C1603">
        <w:rPr>
          <w:noProof/>
          <w:lang w:eastAsia="en-AU"/>
        </w:rPr>
        <w:drawing>
          <wp:inline distT="0" distB="0" distL="0" distR="0">
            <wp:extent cx="2001520" cy="1337310"/>
            <wp:effectExtent l="0" t="0" r="0" b="0"/>
            <wp:docPr id="10" name="Picture 10" descr="C:\NQ1\NQ1Yweight\maxent\plots\1_bio_18_only_thumb.pn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NQ1\NQ1Yweight\maxent\plots\1_bio_18_only_thumb.png">
                      <a:hlinkClick r:id="rId27"/>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01520" cy="1337310"/>
                    </a:xfrm>
                    <a:prstGeom prst="rect">
                      <a:avLst/>
                    </a:prstGeom>
                    <a:noFill/>
                    <a:ln>
                      <a:noFill/>
                    </a:ln>
                  </pic:spPr>
                </pic:pic>
              </a:graphicData>
            </a:graphic>
          </wp:inline>
        </w:drawing>
      </w:r>
      <w:r w:rsidRPr="009C1603">
        <w:t> </w:t>
      </w:r>
      <w:r w:rsidRPr="009C1603">
        <w:rPr>
          <w:noProof/>
          <w:lang w:eastAsia="en-AU"/>
        </w:rPr>
        <w:drawing>
          <wp:inline distT="0" distB="0" distL="0" distR="0">
            <wp:extent cx="2001520" cy="1337310"/>
            <wp:effectExtent l="0" t="0" r="0" b="0"/>
            <wp:docPr id="9" name="Picture 9" descr="C:\NQ1\NQ1Yweight\maxent\plots\1_bio_19_only_thumb.pn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NQ1\NQ1Yweight\maxent\plots\1_bio_19_only_thumb.png">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01520" cy="1337310"/>
                    </a:xfrm>
                    <a:prstGeom prst="rect">
                      <a:avLst/>
                    </a:prstGeom>
                    <a:noFill/>
                    <a:ln>
                      <a:noFill/>
                    </a:ln>
                  </pic:spPr>
                </pic:pic>
              </a:graphicData>
            </a:graphic>
          </wp:inline>
        </w:drawing>
      </w:r>
      <w:r w:rsidRPr="009C1603">
        <w:t> </w:t>
      </w:r>
      <w:r w:rsidRPr="009C1603">
        <w:rPr>
          <w:noProof/>
          <w:lang w:eastAsia="en-AU"/>
        </w:rPr>
        <w:drawing>
          <wp:inline distT="0" distB="0" distL="0" distR="0">
            <wp:extent cx="2001520" cy="1337310"/>
            <wp:effectExtent l="0" t="0" r="0" b="0"/>
            <wp:docPr id="8" name="Picture 8" descr="C:\NQ1\NQ1Yweight\maxent\plots\1_bio_9_only_thumb.pn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NQ1\NQ1Yweight\maxent\plots\1_bio_9_only_thumb.png">
                      <a:hlinkClick r:id="rId31"/>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01520" cy="1337310"/>
                    </a:xfrm>
                    <a:prstGeom prst="rect">
                      <a:avLst/>
                    </a:prstGeom>
                    <a:noFill/>
                    <a:ln>
                      <a:noFill/>
                    </a:ln>
                  </pic:spPr>
                </pic:pic>
              </a:graphicData>
            </a:graphic>
          </wp:inline>
        </w:drawing>
      </w:r>
      <w:r w:rsidRPr="009C1603">
        <w:t> </w:t>
      </w:r>
      <w:r w:rsidRPr="009C1603">
        <w:rPr>
          <w:noProof/>
          <w:lang w:eastAsia="en-AU"/>
        </w:rPr>
        <w:drawing>
          <wp:inline distT="0" distB="0" distL="0" distR="0">
            <wp:extent cx="2001520" cy="1337310"/>
            <wp:effectExtent l="0" t="0" r="0" b="0"/>
            <wp:docPr id="7" name="Picture 7" descr="C:\NQ1\NQ1Yweight\maxent\plots\1_dem_only_thumb.png">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NQ1\NQ1Yweight\maxent\plots\1_dem_only_thumb.png">
                      <a:hlinkClick r:id="rId3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01520" cy="1337310"/>
                    </a:xfrm>
                    <a:prstGeom prst="rect">
                      <a:avLst/>
                    </a:prstGeom>
                    <a:noFill/>
                    <a:ln>
                      <a:noFill/>
                    </a:ln>
                  </pic:spPr>
                </pic:pic>
              </a:graphicData>
            </a:graphic>
          </wp:inline>
        </w:drawing>
      </w:r>
      <w:r w:rsidRPr="009C1603">
        <w:t> </w:t>
      </w:r>
      <w:r w:rsidRPr="009C1603">
        <w:rPr>
          <w:noProof/>
          <w:lang w:eastAsia="en-AU"/>
        </w:rPr>
        <w:lastRenderedPageBreak/>
        <w:drawing>
          <wp:inline distT="0" distB="0" distL="0" distR="0">
            <wp:extent cx="2001520" cy="1337310"/>
            <wp:effectExtent l="0" t="0" r="0" b="0"/>
            <wp:docPr id="6" name="Picture 6" descr="C:\NQ1\NQ1Yweight\maxent\plots\1_slope_only_thumb.png">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NQ1\NQ1Yweight\maxent\plots\1_slope_only_thumb.png">
                      <a:hlinkClick r:id="rId35"/>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01520" cy="1337310"/>
                    </a:xfrm>
                    <a:prstGeom prst="rect">
                      <a:avLst/>
                    </a:prstGeom>
                    <a:noFill/>
                    <a:ln>
                      <a:noFill/>
                    </a:ln>
                  </pic:spPr>
                </pic:pic>
              </a:graphicData>
            </a:graphic>
          </wp:inline>
        </w:drawing>
      </w:r>
      <w:r w:rsidRPr="009C1603">
        <w:rPr>
          <w:noProof/>
          <w:lang w:eastAsia="en-AU"/>
        </w:rPr>
        <w:drawing>
          <wp:inline distT="0" distB="0" distL="0" distR="0">
            <wp:extent cx="2001520" cy="1337310"/>
            <wp:effectExtent l="0" t="0" r="0" b="0"/>
            <wp:docPr id="5" name="Picture 5" descr="C:\NQ1\NQ1Yweight\maxent\plots\1_vegag_only_thumb.png">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NQ1\NQ1Yweight\maxent\plots\1_vegag_only_thumb.png">
                      <a:hlinkClick r:id="rId37"/>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01520" cy="1337310"/>
                    </a:xfrm>
                    <a:prstGeom prst="rect">
                      <a:avLst/>
                    </a:prstGeom>
                    <a:noFill/>
                    <a:ln>
                      <a:noFill/>
                    </a:ln>
                  </pic:spPr>
                </pic:pic>
              </a:graphicData>
            </a:graphic>
          </wp:inline>
        </w:drawing>
      </w:r>
      <w:r w:rsidRPr="009C1603">
        <w:t> </w:t>
      </w:r>
      <w:r w:rsidRPr="009C1603">
        <w:rPr>
          <w:noProof/>
          <w:lang w:eastAsia="en-AU"/>
        </w:rPr>
        <w:drawing>
          <wp:inline distT="0" distB="0" distL="0" distR="0">
            <wp:extent cx="2001520" cy="1337310"/>
            <wp:effectExtent l="0" t="0" r="0" b="0"/>
            <wp:docPr id="4" name="Picture 4" descr="C:\NQ1\NQ1Yweight\maxent\plots\1_water_only_thumb.png">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NQ1\NQ1Yweight\maxent\plots\1_water_only_thumb.png">
                      <a:hlinkClick r:id="rId39"/>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001520" cy="1337310"/>
                    </a:xfrm>
                    <a:prstGeom prst="rect">
                      <a:avLst/>
                    </a:prstGeom>
                    <a:noFill/>
                    <a:ln>
                      <a:noFill/>
                    </a:ln>
                  </pic:spPr>
                </pic:pic>
              </a:graphicData>
            </a:graphic>
          </wp:inline>
        </w:drawing>
      </w:r>
      <w:r w:rsidRPr="009C1603">
        <w:t> </w:t>
      </w:r>
    </w:p>
    <w:p w:rsidR="009C1603" w:rsidRPr="009C1603" w:rsidRDefault="00030914" w:rsidP="009C1603">
      <w:r>
        <w:pict>
          <v:rect id="_x0000_i1028" style="width:0;height:1.5pt" o:hralign="center" o:hrstd="t" o:hrnoshade="t" o:hr="t" fillcolor="black" stroked="f"/>
        </w:pict>
      </w:r>
    </w:p>
    <w:p w:rsidR="009C1603" w:rsidRPr="009C1603" w:rsidRDefault="009C1603" w:rsidP="009C1603">
      <w:pPr>
        <w:rPr>
          <w:b/>
          <w:bCs/>
        </w:rPr>
      </w:pPr>
      <w:r w:rsidRPr="009C1603">
        <w:rPr>
          <w:b/>
          <w:bCs/>
        </w:rPr>
        <w:t>Analysis of variable contributions</w:t>
      </w:r>
    </w:p>
    <w:p w:rsidR="009C1603" w:rsidRPr="009C1603" w:rsidRDefault="009C1603" w:rsidP="009C1603">
      <w:r w:rsidRPr="009C1603">
        <w:br/>
        <w:t xml:space="preserve">The following table gives estimates of relative contributions of the environmental variables to the </w:t>
      </w:r>
      <w:proofErr w:type="spellStart"/>
      <w:r w:rsidRPr="009C1603">
        <w:t>Maxent</w:t>
      </w:r>
      <w:proofErr w:type="spellEnd"/>
      <w:r w:rsidRPr="009C1603">
        <w:t xml:space="preserve"> model. To determine the first estimate, in each iteration of the training algorithm, the increase in regularized gain is added to the contribution of the corresponding variable, or subtracted from it if the change to the absolute value of lambda is negative. For the second estimate, for each environmental variable in turn, the values of that variable on training presence and background data are randomly permuted. The model is </w:t>
      </w:r>
      <w:proofErr w:type="spellStart"/>
      <w:r w:rsidRPr="009C1603">
        <w:t>reevaluated</w:t>
      </w:r>
      <w:proofErr w:type="spellEnd"/>
      <w:r w:rsidRPr="009C1603">
        <w:t xml:space="preserve"> on the permuted data, and the resulting drop in training AUC is shown in the table, normalized to percentages. As with the variable </w:t>
      </w:r>
      <w:proofErr w:type="spellStart"/>
      <w:r w:rsidRPr="009C1603">
        <w:t>jackknife</w:t>
      </w:r>
      <w:proofErr w:type="spellEnd"/>
      <w:r w:rsidRPr="009C1603">
        <w:t>, variable contributions should be interpreted with caution when the predictor variables are correlated. Values shown are averages over replicate runs.</w:t>
      </w:r>
      <w:r w:rsidRPr="009C1603">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8"/>
        <w:gridCol w:w="1953"/>
        <w:gridCol w:w="2333"/>
      </w:tblGrid>
      <w:tr w:rsidR="009C1603" w:rsidRPr="009C1603" w:rsidTr="009C1603">
        <w:trPr>
          <w:tblCellSpacing w:w="15" w:type="dxa"/>
        </w:trPr>
        <w:tc>
          <w:tcPr>
            <w:tcW w:w="0" w:type="auto"/>
            <w:vAlign w:val="center"/>
            <w:hideMark/>
          </w:tcPr>
          <w:p w:rsidR="009C1603" w:rsidRPr="009C1603" w:rsidRDefault="009C1603" w:rsidP="009C1603">
            <w:pPr>
              <w:rPr>
                <w:b/>
                <w:bCs/>
              </w:rPr>
            </w:pPr>
            <w:r w:rsidRPr="009C1603">
              <w:rPr>
                <w:b/>
                <w:bCs/>
              </w:rPr>
              <w:t>Variable</w:t>
            </w:r>
          </w:p>
        </w:tc>
        <w:tc>
          <w:tcPr>
            <w:tcW w:w="0" w:type="auto"/>
            <w:vAlign w:val="center"/>
            <w:hideMark/>
          </w:tcPr>
          <w:p w:rsidR="009C1603" w:rsidRPr="009C1603" w:rsidRDefault="009C1603" w:rsidP="009C1603">
            <w:pPr>
              <w:rPr>
                <w:b/>
                <w:bCs/>
              </w:rPr>
            </w:pPr>
            <w:r w:rsidRPr="009C1603">
              <w:rPr>
                <w:b/>
                <w:bCs/>
              </w:rPr>
              <w:t>Percent contribution</w:t>
            </w:r>
          </w:p>
        </w:tc>
        <w:tc>
          <w:tcPr>
            <w:tcW w:w="0" w:type="auto"/>
            <w:vAlign w:val="center"/>
            <w:hideMark/>
          </w:tcPr>
          <w:p w:rsidR="009C1603" w:rsidRPr="009C1603" w:rsidRDefault="009C1603" w:rsidP="009C1603">
            <w:pPr>
              <w:rPr>
                <w:b/>
                <w:bCs/>
              </w:rPr>
            </w:pPr>
            <w:r w:rsidRPr="009C1603">
              <w:rPr>
                <w:b/>
                <w:bCs/>
              </w:rPr>
              <w:t>Permutation importance</w:t>
            </w:r>
          </w:p>
        </w:tc>
      </w:tr>
      <w:tr w:rsidR="009C1603" w:rsidRPr="009C1603" w:rsidTr="009C1603">
        <w:trPr>
          <w:tblCellSpacing w:w="15" w:type="dxa"/>
        </w:trPr>
        <w:tc>
          <w:tcPr>
            <w:tcW w:w="0" w:type="auto"/>
            <w:vAlign w:val="center"/>
            <w:hideMark/>
          </w:tcPr>
          <w:p w:rsidR="009C1603" w:rsidRPr="009C1603" w:rsidRDefault="009C1603" w:rsidP="009C1603">
            <w:r w:rsidRPr="009C1603">
              <w:t>vegag</w:t>
            </w:r>
          </w:p>
        </w:tc>
        <w:tc>
          <w:tcPr>
            <w:tcW w:w="0" w:type="auto"/>
            <w:vAlign w:val="center"/>
            <w:hideMark/>
          </w:tcPr>
          <w:p w:rsidR="009C1603" w:rsidRPr="009C1603" w:rsidRDefault="009C1603" w:rsidP="009C1603">
            <w:r w:rsidRPr="009C1603">
              <w:t>35</w:t>
            </w:r>
          </w:p>
        </w:tc>
        <w:tc>
          <w:tcPr>
            <w:tcW w:w="0" w:type="auto"/>
            <w:vAlign w:val="center"/>
            <w:hideMark/>
          </w:tcPr>
          <w:p w:rsidR="009C1603" w:rsidRPr="009C1603" w:rsidRDefault="009C1603" w:rsidP="009C1603">
            <w:r w:rsidRPr="009C1603">
              <w:t>15.5</w:t>
            </w:r>
          </w:p>
        </w:tc>
      </w:tr>
      <w:tr w:rsidR="009C1603" w:rsidRPr="009C1603" w:rsidTr="009C1603">
        <w:trPr>
          <w:tblCellSpacing w:w="15" w:type="dxa"/>
        </w:trPr>
        <w:tc>
          <w:tcPr>
            <w:tcW w:w="0" w:type="auto"/>
            <w:vAlign w:val="center"/>
            <w:hideMark/>
          </w:tcPr>
          <w:p w:rsidR="009C1603" w:rsidRPr="009C1603" w:rsidRDefault="009C1603" w:rsidP="009C1603">
            <w:r w:rsidRPr="009C1603">
              <w:t>dem</w:t>
            </w:r>
          </w:p>
        </w:tc>
        <w:tc>
          <w:tcPr>
            <w:tcW w:w="0" w:type="auto"/>
            <w:vAlign w:val="center"/>
            <w:hideMark/>
          </w:tcPr>
          <w:p w:rsidR="009C1603" w:rsidRPr="009C1603" w:rsidRDefault="009C1603" w:rsidP="009C1603">
            <w:r w:rsidRPr="009C1603">
              <w:t>26.2</w:t>
            </w:r>
          </w:p>
        </w:tc>
        <w:tc>
          <w:tcPr>
            <w:tcW w:w="0" w:type="auto"/>
            <w:vAlign w:val="center"/>
            <w:hideMark/>
          </w:tcPr>
          <w:p w:rsidR="009C1603" w:rsidRPr="009C1603" w:rsidRDefault="009C1603" w:rsidP="009C1603">
            <w:r w:rsidRPr="009C1603">
              <w:t>37.4</w:t>
            </w:r>
          </w:p>
        </w:tc>
      </w:tr>
      <w:tr w:rsidR="009C1603" w:rsidRPr="009C1603" w:rsidTr="009C1603">
        <w:trPr>
          <w:tblCellSpacing w:w="15" w:type="dxa"/>
        </w:trPr>
        <w:tc>
          <w:tcPr>
            <w:tcW w:w="0" w:type="auto"/>
            <w:vAlign w:val="center"/>
            <w:hideMark/>
          </w:tcPr>
          <w:p w:rsidR="009C1603" w:rsidRPr="009C1603" w:rsidRDefault="009C1603" w:rsidP="009C1603">
            <w:r w:rsidRPr="009C1603">
              <w:t>bio_18</w:t>
            </w:r>
          </w:p>
        </w:tc>
        <w:tc>
          <w:tcPr>
            <w:tcW w:w="0" w:type="auto"/>
            <w:vAlign w:val="center"/>
            <w:hideMark/>
          </w:tcPr>
          <w:p w:rsidR="009C1603" w:rsidRPr="009C1603" w:rsidRDefault="009C1603" w:rsidP="009C1603">
            <w:r w:rsidRPr="009C1603">
              <w:t>15.1</w:t>
            </w:r>
          </w:p>
        </w:tc>
        <w:tc>
          <w:tcPr>
            <w:tcW w:w="0" w:type="auto"/>
            <w:vAlign w:val="center"/>
            <w:hideMark/>
          </w:tcPr>
          <w:p w:rsidR="009C1603" w:rsidRPr="009C1603" w:rsidRDefault="009C1603" w:rsidP="009C1603">
            <w:r w:rsidRPr="009C1603">
              <w:t>16.3</w:t>
            </w:r>
          </w:p>
        </w:tc>
      </w:tr>
      <w:tr w:rsidR="009C1603" w:rsidRPr="009C1603" w:rsidTr="009C1603">
        <w:trPr>
          <w:tblCellSpacing w:w="15" w:type="dxa"/>
        </w:trPr>
        <w:tc>
          <w:tcPr>
            <w:tcW w:w="0" w:type="auto"/>
            <w:vAlign w:val="center"/>
            <w:hideMark/>
          </w:tcPr>
          <w:p w:rsidR="009C1603" w:rsidRPr="009C1603" w:rsidRDefault="009C1603" w:rsidP="009C1603">
            <w:r w:rsidRPr="009C1603">
              <w:t>slope</w:t>
            </w:r>
          </w:p>
        </w:tc>
        <w:tc>
          <w:tcPr>
            <w:tcW w:w="0" w:type="auto"/>
            <w:vAlign w:val="center"/>
            <w:hideMark/>
          </w:tcPr>
          <w:p w:rsidR="009C1603" w:rsidRPr="009C1603" w:rsidRDefault="009C1603" w:rsidP="009C1603">
            <w:r w:rsidRPr="009C1603">
              <w:t>11.5</w:t>
            </w:r>
          </w:p>
        </w:tc>
        <w:tc>
          <w:tcPr>
            <w:tcW w:w="0" w:type="auto"/>
            <w:vAlign w:val="center"/>
            <w:hideMark/>
          </w:tcPr>
          <w:p w:rsidR="009C1603" w:rsidRPr="009C1603" w:rsidRDefault="009C1603" w:rsidP="009C1603">
            <w:r w:rsidRPr="009C1603">
              <w:t>14</w:t>
            </w:r>
          </w:p>
        </w:tc>
      </w:tr>
      <w:tr w:rsidR="009C1603" w:rsidRPr="009C1603" w:rsidTr="009C1603">
        <w:trPr>
          <w:tblCellSpacing w:w="15" w:type="dxa"/>
        </w:trPr>
        <w:tc>
          <w:tcPr>
            <w:tcW w:w="0" w:type="auto"/>
            <w:vAlign w:val="center"/>
            <w:hideMark/>
          </w:tcPr>
          <w:p w:rsidR="009C1603" w:rsidRPr="009C1603" w:rsidRDefault="009C1603" w:rsidP="009C1603">
            <w:r w:rsidRPr="009C1603">
              <w:t>bio_9</w:t>
            </w:r>
          </w:p>
        </w:tc>
        <w:tc>
          <w:tcPr>
            <w:tcW w:w="0" w:type="auto"/>
            <w:vAlign w:val="center"/>
            <w:hideMark/>
          </w:tcPr>
          <w:p w:rsidR="009C1603" w:rsidRPr="009C1603" w:rsidRDefault="009C1603" w:rsidP="009C1603">
            <w:r w:rsidRPr="009C1603">
              <w:t>4.7</w:t>
            </w:r>
          </w:p>
        </w:tc>
        <w:tc>
          <w:tcPr>
            <w:tcW w:w="0" w:type="auto"/>
            <w:vAlign w:val="center"/>
            <w:hideMark/>
          </w:tcPr>
          <w:p w:rsidR="009C1603" w:rsidRPr="009C1603" w:rsidRDefault="009C1603" w:rsidP="009C1603">
            <w:r w:rsidRPr="009C1603">
              <w:t>3.3</w:t>
            </w:r>
          </w:p>
        </w:tc>
      </w:tr>
      <w:tr w:rsidR="009C1603" w:rsidRPr="009C1603" w:rsidTr="009C1603">
        <w:trPr>
          <w:tblCellSpacing w:w="15" w:type="dxa"/>
        </w:trPr>
        <w:tc>
          <w:tcPr>
            <w:tcW w:w="0" w:type="auto"/>
            <w:vAlign w:val="center"/>
            <w:hideMark/>
          </w:tcPr>
          <w:p w:rsidR="009C1603" w:rsidRPr="009C1603" w:rsidRDefault="009C1603" w:rsidP="009C1603">
            <w:r w:rsidRPr="009C1603">
              <w:t>bio_19</w:t>
            </w:r>
          </w:p>
        </w:tc>
        <w:tc>
          <w:tcPr>
            <w:tcW w:w="0" w:type="auto"/>
            <w:vAlign w:val="center"/>
            <w:hideMark/>
          </w:tcPr>
          <w:p w:rsidR="009C1603" w:rsidRPr="009C1603" w:rsidRDefault="009C1603" w:rsidP="009C1603">
            <w:r w:rsidRPr="009C1603">
              <w:t>4.1</w:t>
            </w:r>
          </w:p>
        </w:tc>
        <w:tc>
          <w:tcPr>
            <w:tcW w:w="0" w:type="auto"/>
            <w:vAlign w:val="center"/>
            <w:hideMark/>
          </w:tcPr>
          <w:p w:rsidR="009C1603" w:rsidRPr="009C1603" w:rsidRDefault="009C1603" w:rsidP="009C1603">
            <w:r w:rsidRPr="009C1603">
              <w:t>9.3</w:t>
            </w:r>
          </w:p>
        </w:tc>
      </w:tr>
      <w:tr w:rsidR="009C1603" w:rsidRPr="009C1603" w:rsidTr="009C1603">
        <w:trPr>
          <w:tblCellSpacing w:w="15" w:type="dxa"/>
        </w:trPr>
        <w:tc>
          <w:tcPr>
            <w:tcW w:w="0" w:type="auto"/>
            <w:vAlign w:val="center"/>
            <w:hideMark/>
          </w:tcPr>
          <w:p w:rsidR="009C1603" w:rsidRPr="009C1603" w:rsidRDefault="009C1603" w:rsidP="009C1603">
            <w:r w:rsidRPr="009C1603">
              <w:t>water</w:t>
            </w:r>
          </w:p>
        </w:tc>
        <w:tc>
          <w:tcPr>
            <w:tcW w:w="0" w:type="auto"/>
            <w:vAlign w:val="center"/>
            <w:hideMark/>
          </w:tcPr>
          <w:p w:rsidR="009C1603" w:rsidRPr="009C1603" w:rsidRDefault="009C1603" w:rsidP="009C1603">
            <w:r w:rsidRPr="009C1603">
              <w:t>3.4</w:t>
            </w:r>
          </w:p>
        </w:tc>
        <w:tc>
          <w:tcPr>
            <w:tcW w:w="0" w:type="auto"/>
            <w:vAlign w:val="center"/>
            <w:hideMark/>
          </w:tcPr>
          <w:p w:rsidR="009C1603" w:rsidRPr="009C1603" w:rsidRDefault="009C1603" w:rsidP="009C1603">
            <w:r w:rsidRPr="009C1603">
              <w:t>4.2</w:t>
            </w:r>
          </w:p>
        </w:tc>
      </w:tr>
    </w:tbl>
    <w:p w:rsidR="009C1603" w:rsidRPr="009C1603" w:rsidRDefault="009C1603" w:rsidP="009C1603">
      <w:r w:rsidRPr="009C1603">
        <w:br/>
      </w:r>
      <w:r w:rsidRPr="009C1603">
        <w:br/>
        <w:t xml:space="preserve">The following picture shows the results of the </w:t>
      </w:r>
      <w:proofErr w:type="spellStart"/>
      <w:r w:rsidRPr="009C1603">
        <w:t>jackknife</w:t>
      </w:r>
      <w:proofErr w:type="spellEnd"/>
      <w:r w:rsidRPr="009C1603">
        <w:t xml:space="preserve"> test of variable importance. The </w:t>
      </w:r>
      <w:r w:rsidRPr="009C1603">
        <w:lastRenderedPageBreak/>
        <w:t>environmental variable with highest gain when used in isolation is vegag, which therefore appears to have the most useful information by itself. The environmental variable that decreases the gain the most when it is omitted is vegag, which therefore appears to have the most information that isn't present in the other variables. Values shown are averages over replicate runs.</w:t>
      </w:r>
      <w:r w:rsidRPr="009C1603">
        <w:br/>
      </w:r>
      <w:r w:rsidRPr="009C1603">
        <w:br/>
      </w:r>
      <w:r w:rsidRPr="009C1603">
        <w:rPr>
          <w:noProof/>
          <w:lang w:eastAsia="en-AU"/>
        </w:rPr>
        <w:drawing>
          <wp:inline distT="0" distB="0" distL="0" distR="0">
            <wp:extent cx="5607086" cy="2255970"/>
            <wp:effectExtent l="0" t="0" r="0" b="0"/>
            <wp:docPr id="3" name="Picture 3" descr="C:\NQ1\NQ1Yweight\maxent\plots\1_jacknif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NQ1\NQ1Yweight\maxent\plots\1_jacknife.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621142" cy="2261625"/>
                    </a:xfrm>
                    <a:prstGeom prst="rect">
                      <a:avLst/>
                    </a:prstGeom>
                    <a:noFill/>
                    <a:ln>
                      <a:noFill/>
                    </a:ln>
                  </pic:spPr>
                </pic:pic>
              </a:graphicData>
            </a:graphic>
          </wp:inline>
        </w:drawing>
      </w:r>
      <w:r w:rsidRPr="009C1603">
        <w:br/>
      </w:r>
      <w:r w:rsidRPr="009C1603">
        <w:br/>
        <w:t xml:space="preserve">The next picture shows the same </w:t>
      </w:r>
      <w:proofErr w:type="spellStart"/>
      <w:r w:rsidRPr="009C1603">
        <w:t>jackknife</w:t>
      </w:r>
      <w:proofErr w:type="spellEnd"/>
      <w:r w:rsidRPr="009C1603">
        <w:t xml:space="preserve"> test, using test gain instead of training gain. Note that conclusions about which variables are most important can change, now that we're looking at test data. </w:t>
      </w:r>
      <w:r w:rsidRPr="009C1603">
        <w:br/>
      </w:r>
      <w:r w:rsidRPr="009C1603">
        <w:rPr>
          <w:noProof/>
          <w:lang w:eastAsia="en-AU"/>
        </w:rPr>
        <w:drawing>
          <wp:inline distT="0" distB="0" distL="0" distR="0">
            <wp:extent cx="5650218" cy="2273324"/>
            <wp:effectExtent l="0" t="0" r="8255" b="0"/>
            <wp:docPr id="2" name="Picture 2" descr="C:\NQ1\NQ1Yweight\maxent\plots\1_jacknife_te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NQ1\NQ1Yweight\maxent\plots\1_jacknife_test.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661651" cy="2277924"/>
                    </a:xfrm>
                    <a:prstGeom prst="rect">
                      <a:avLst/>
                    </a:prstGeom>
                    <a:noFill/>
                    <a:ln>
                      <a:noFill/>
                    </a:ln>
                  </pic:spPr>
                </pic:pic>
              </a:graphicData>
            </a:graphic>
          </wp:inline>
        </w:drawing>
      </w:r>
      <w:r w:rsidRPr="009C1603">
        <w:br/>
      </w:r>
      <w:r w:rsidRPr="009C1603">
        <w:br/>
        <w:t xml:space="preserve">Lastly, we have the same </w:t>
      </w:r>
      <w:proofErr w:type="spellStart"/>
      <w:r w:rsidRPr="009C1603">
        <w:t>jackknife</w:t>
      </w:r>
      <w:proofErr w:type="spellEnd"/>
      <w:r w:rsidRPr="009C1603">
        <w:t xml:space="preserve"> test, using AUC on test data. </w:t>
      </w:r>
      <w:r w:rsidRPr="009C1603">
        <w:br/>
      </w:r>
      <w:r w:rsidRPr="009C1603">
        <w:rPr>
          <w:noProof/>
          <w:lang w:eastAsia="en-AU"/>
        </w:rPr>
        <w:lastRenderedPageBreak/>
        <w:drawing>
          <wp:inline distT="0" distB="0" distL="0" distR="0">
            <wp:extent cx="5607086" cy="2255970"/>
            <wp:effectExtent l="0" t="0" r="0" b="0"/>
            <wp:docPr id="1" name="Picture 1" descr="C:\NQ1\NQ1Yweight\maxent\plots\1_jacknife_au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NQ1\NQ1Yweight\maxent\plots\1_jacknife_auc.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616970" cy="2259947"/>
                    </a:xfrm>
                    <a:prstGeom prst="rect">
                      <a:avLst/>
                    </a:prstGeom>
                    <a:noFill/>
                    <a:ln>
                      <a:noFill/>
                    </a:ln>
                  </pic:spPr>
                </pic:pic>
              </a:graphicData>
            </a:graphic>
          </wp:inline>
        </w:drawing>
      </w:r>
      <w:r w:rsidRPr="009C1603">
        <w:br/>
      </w:r>
    </w:p>
    <w:p w:rsidR="009C1603" w:rsidRPr="009C1603" w:rsidRDefault="00030914" w:rsidP="009C1603">
      <w:r>
        <w:pict>
          <v:rect id="_x0000_i1029" style="width:0;height:1.5pt" o:hralign="center" o:hrstd="t" o:hrnoshade="t" o:hr="t" fillcolor="black" stroked="f"/>
        </w:pict>
      </w:r>
    </w:p>
    <w:p w:rsidR="00C356FD" w:rsidRDefault="009C1603" w:rsidP="009C1603">
      <w:r w:rsidRPr="009C1603">
        <w:br/>
      </w:r>
    </w:p>
    <w:sectPr w:rsidR="00C356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603"/>
    <w:rsid w:val="00030914"/>
    <w:rsid w:val="00212F82"/>
    <w:rsid w:val="009C1603"/>
    <w:rsid w:val="00C356FD"/>
    <w:rsid w:val="00CD0C06"/>
    <w:rsid w:val="00FF3CE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2EB12A-824D-4D44-A095-4085ABC9F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C160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C1603"/>
    <w:rPr>
      <w:color w:val="0563C1" w:themeColor="hyperlink"/>
      <w:u w:val="single"/>
    </w:rPr>
  </w:style>
  <w:style w:type="character" w:customStyle="1" w:styleId="Heading1Char">
    <w:name w:val="Heading 1 Char"/>
    <w:basedOn w:val="DefaultParagraphFont"/>
    <w:link w:val="Heading1"/>
    <w:uiPriority w:val="9"/>
    <w:rsid w:val="009C160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886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NQ1\NQ1Yweight\maxent\plots\1_median.png" TargetMode="External"/><Relationship Id="rId13" Type="http://schemas.openxmlformats.org/officeDocument/2006/relationships/hyperlink" Target="file:///C:\NQ1\NQ1Yweight\maxent\plots\1_bio_18.png" TargetMode="External"/><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hyperlink" Target="file:///C:\NQ1\NQ1Yweight\maxent\plots\1_water_only.png" TargetMode="External"/><Relationship Id="rId3" Type="http://schemas.openxmlformats.org/officeDocument/2006/relationships/webSettings" Target="webSettings.xml"/><Relationship Id="rId21" Type="http://schemas.openxmlformats.org/officeDocument/2006/relationships/hyperlink" Target="file:///C:\NQ1\NQ1Yweight\maxent\plots\1_slope.png" TargetMode="External"/><Relationship Id="rId34" Type="http://schemas.openxmlformats.org/officeDocument/2006/relationships/image" Target="media/image15.png"/><Relationship Id="rId42" Type="http://schemas.openxmlformats.org/officeDocument/2006/relationships/image" Target="media/image20.png"/><Relationship Id="rId7" Type="http://schemas.openxmlformats.org/officeDocument/2006/relationships/hyperlink" Target="file:///C:\NQ1\NQ1Yweight\maxent\plots\1_max.png" TargetMode="External"/><Relationship Id="rId12" Type="http://schemas.openxmlformats.org/officeDocument/2006/relationships/image" Target="media/image4.png"/><Relationship Id="rId17" Type="http://schemas.openxmlformats.org/officeDocument/2006/relationships/hyperlink" Target="file:///C:\NQ1\NQ1Yweight\maxent\plots\1_bio_9.png" TargetMode="External"/><Relationship Id="rId25" Type="http://schemas.openxmlformats.org/officeDocument/2006/relationships/hyperlink" Target="file:///C:\NQ1\NQ1Yweight\maxent\plots\1_water.png" TargetMode="External"/><Relationship Id="rId33" Type="http://schemas.openxmlformats.org/officeDocument/2006/relationships/hyperlink" Target="file:///C:\NQ1\NQ1Yweight\maxent\plots\1_dem_only.png" TargetMode="External"/><Relationship Id="rId38" Type="http://schemas.openxmlformats.org/officeDocument/2006/relationships/image" Target="media/image17.png"/><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hyperlink" Target="file:///C:\NQ1\NQ1Yweight\maxent\plots\1_bio_19_only.png" TargetMode="External"/><Relationship Id="rId41" Type="http://schemas.openxmlformats.org/officeDocument/2006/relationships/image" Target="media/image19.png"/><Relationship Id="rId1" Type="http://schemas.openxmlformats.org/officeDocument/2006/relationships/styles" Target="styles.xml"/><Relationship Id="rId6" Type="http://schemas.openxmlformats.org/officeDocument/2006/relationships/hyperlink" Target="file:///C:\NQ1\NQ1Yweight\maxent\plots\1_min.png" TargetMode="External"/><Relationship Id="rId11" Type="http://schemas.openxmlformats.org/officeDocument/2006/relationships/hyperlink" Target="file:///C:\NQ1\NQ1Yweight\maxent\plots\1_stddev.png" TargetMode="External"/><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hyperlink" Target="file:///C:\NQ1\NQ1Yweight\maxent\plots\1_vegag_only.png" TargetMode="External"/><Relationship Id="rId40" Type="http://schemas.openxmlformats.org/officeDocument/2006/relationships/image" Target="media/image18.png"/><Relationship Id="rId45" Type="http://schemas.openxmlformats.org/officeDocument/2006/relationships/theme" Target="theme/theme1.xml"/><Relationship Id="rId5" Type="http://schemas.openxmlformats.org/officeDocument/2006/relationships/image" Target="media/image2.png"/><Relationship Id="rId15" Type="http://schemas.openxmlformats.org/officeDocument/2006/relationships/hyperlink" Target="file:///C:\NQ1\NQ1Yweight\maxent\plots\1_bio_19.png" TargetMode="External"/><Relationship Id="rId23" Type="http://schemas.openxmlformats.org/officeDocument/2006/relationships/hyperlink" Target="file:///C:\NQ1\NQ1Yweight\maxent\plots\1_vegag.png" TargetMode="External"/><Relationship Id="rId28" Type="http://schemas.openxmlformats.org/officeDocument/2006/relationships/image" Target="media/image12.png"/><Relationship Id="rId36"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hyperlink" Target="file:///C:\NQ1\NQ1Yweight\maxent\plots\1_dem.png" TargetMode="External"/><Relationship Id="rId31" Type="http://schemas.openxmlformats.org/officeDocument/2006/relationships/hyperlink" Target="file:///C:\NQ1\NQ1Yweight\maxent\plots\1_bio_9_only.png" TargetMode="External"/><Relationship Id="rId44"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file:///C:\NQ1\NQ1Yweight\maxent\plots\1_avg.png"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hyperlink" Target="file:///C:\NQ1\NQ1Yweight\maxent\plots\1_bio_18_only.png" TargetMode="External"/><Relationship Id="rId30" Type="http://schemas.openxmlformats.org/officeDocument/2006/relationships/image" Target="media/image13.png"/><Relationship Id="rId35" Type="http://schemas.openxmlformats.org/officeDocument/2006/relationships/hyperlink" Target="file:///C:\NQ1\NQ1Yweight\maxent\plots\1_slope_only.png" TargetMode="External"/><Relationship Id="rId43"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648</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Shaun Molloy</dc:creator>
  <cp:keywords/>
  <dc:description/>
  <cp:lastModifiedBy>Shaun Molloy</cp:lastModifiedBy>
  <cp:revision>4</cp:revision>
  <dcterms:created xsi:type="dcterms:W3CDTF">2016-12-30T06:32:00Z</dcterms:created>
  <dcterms:modified xsi:type="dcterms:W3CDTF">2016-12-31T02:16:00Z</dcterms:modified>
</cp:coreProperties>
</file>