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46FD" w14:textId="02BB345C" w:rsidR="00A45569" w:rsidRPr="00023AC5" w:rsidRDefault="00A45569" w:rsidP="00AA3E5C">
      <w:pPr>
        <w:pStyle w:val="a8"/>
        <w:rPr>
          <w:rFonts w:ascii="Palatino Linotype" w:hAnsi="Palatino Linotype" w:cstheme="majorHAnsi"/>
          <w:sz w:val="18"/>
          <w:szCs w:val="18"/>
        </w:rPr>
      </w:pPr>
      <w:r w:rsidRPr="001466D8">
        <w:rPr>
          <w:rFonts w:ascii="Palatino Linotype" w:hAnsi="Palatino Linotype" w:cstheme="majorHAnsi"/>
          <w:b/>
          <w:bCs/>
          <w:color w:val="FF0000"/>
          <w:sz w:val="18"/>
          <w:szCs w:val="18"/>
        </w:rPr>
        <w:t xml:space="preserve">Table </w:t>
      </w:r>
      <w:r w:rsidR="00AA3E5C" w:rsidRPr="001466D8">
        <w:rPr>
          <w:rFonts w:ascii="Palatino Linotype" w:hAnsi="Palatino Linotype" w:cstheme="majorHAnsi"/>
          <w:b/>
          <w:bCs/>
          <w:color w:val="FF0000"/>
          <w:sz w:val="18"/>
          <w:szCs w:val="18"/>
        </w:rPr>
        <w:t>S</w:t>
      </w:r>
      <w:r w:rsidR="001466D8" w:rsidRPr="001466D8">
        <w:rPr>
          <w:rFonts w:ascii="Palatino Linotype" w:hAnsi="Palatino Linotype" w:cstheme="majorHAnsi"/>
          <w:b/>
          <w:bCs/>
          <w:color w:val="FF0000"/>
          <w:sz w:val="18"/>
          <w:szCs w:val="18"/>
        </w:rPr>
        <w:t>5</w:t>
      </w:r>
      <w:r w:rsidRPr="00023AC5">
        <w:rPr>
          <w:rFonts w:ascii="Palatino Linotype" w:hAnsi="Palatino Linotype" w:cstheme="majorHAnsi"/>
          <w:b/>
          <w:bCs/>
          <w:sz w:val="18"/>
          <w:szCs w:val="18"/>
        </w:rPr>
        <w:t>.</w:t>
      </w:r>
      <w:r w:rsidRPr="00023AC5">
        <w:rPr>
          <w:rFonts w:ascii="Palatino Linotype" w:hAnsi="Palatino Linotype" w:cstheme="majorHAnsi"/>
          <w:b/>
          <w:sz w:val="18"/>
          <w:szCs w:val="18"/>
        </w:rPr>
        <w:t xml:space="preserve"> </w:t>
      </w:r>
      <w:r w:rsidRPr="00023AC5">
        <w:rPr>
          <w:rFonts w:ascii="Palatino Linotype" w:hAnsi="Palatino Linotype" w:cstheme="majorHAnsi"/>
          <w:sz w:val="18"/>
          <w:szCs w:val="18"/>
        </w:rPr>
        <w:t>Characteristics of patients with unresectable hepatocellular carcinoma treated with and without conversion therapy in propensity score matching cohort.</w:t>
      </w:r>
    </w:p>
    <w:tbl>
      <w:tblPr>
        <w:tblStyle w:val="a3"/>
        <w:tblW w:w="1015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701"/>
        <w:gridCol w:w="1843"/>
        <w:gridCol w:w="1815"/>
        <w:gridCol w:w="1247"/>
      </w:tblGrid>
      <w:tr w:rsidR="00A45569" w:rsidRPr="00AA3E5C" w14:paraId="0A00B210" w14:textId="77777777" w:rsidTr="00471C42">
        <w:trPr>
          <w:trHeight w:val="454"/>
          <w:jc w:val="center"/>
        </w:trPr>
        <w:tc>
          <w:tcPr>
            <w:tcW w:w="354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F4395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Characteristics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085A4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All</w:t>
            </w:r>
          </w:p>
          <w:p w14:paraId="0803CE9B" w14:textId="49A321C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(</w:t>
            </w:r>
            <w:r w:rsidRPr="00023AC5">
              <w:rPr>
                <w:rFonts w:ascii="Palatino Linotype" w:hAnsi="Palatino Linotype" w:cstheme="majorHAnsi"/>
                <w:b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=</w:t>
            </w:r>
            <w:r w:rsidR="009C44DE"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20</w:t>
            </w: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9C49D" w14:textId="513AB47D" w:rsidR="00A45569" w:rsidRPr="00023AC5" w:rsidRDefault="008674D9" w:rsidP="00AA3E5C">
            <w:pPr>
              <w:pStyle w:val="a8"/>
              <w:rPr>
                <w:rFonts w:ascii="Palatino Linotype" w:eastAsiaTheme="minorEastAsia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b/>
                <w:sz w:val="20"/>
                <w:szCs w:val="20"/>
                <w:lang w:val="en-US"/>
              </w:rPr>
              <w:t xml:space="preserve">Conversion + </w:t>
            </w:r>
          </w:p>
          <w:p w14:paraId="18986646" w14:textId="6FCF6B31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 xml:space="preserve"> (</w:t>
            </w:r>
            <w:r w:rsidRPr="00023AC5">
              <w:rPr>
                <w:rFonts w:ascii="Palatino Linotype" w:hAnsi="Palatino Linotype" w:cstheme="majorHAnsi"/>
                <w:b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=</w:t>
            </w:r>
            <w:r w:rsidR="00774C41" w:rsidRPr="00023AC5">
              <w:rPr>
                <w:rFonts w:ascii="Palatino Linotype" w:eastAsia="ＭＳ 明朝" w:hAnsi="Palatino Linotype" w:cstheme="majorHAnsi"/>
                <w:b/>
                <w:sz w:val="20"/>
                <w:szCs w:val="20"/>
                <w:lang w:val="en-US"/>
              </w:rPr>
              <w:t>10</w:t>
            </w: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8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8377D" w14:textId="5A286DD3" w:rsidR="00A45569" w:rsidRPr="00023AC5" w:rsidRDefault="008674D9" w:rsidP="00AA3E5C">
            <w:pPr>
              <w:pStyle w:val="a8"/>
              <w:rPr>
                <w:rFonts w:ascii="Palatino Linotype" w:eastAsiaTheme="minorEastAsia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b/>
                <w:sz w:val="20"/>
                <w:szCs w:val="20"/>
                <w:lang w:val="en-US"/>
              </w:rPr>
              <w:t>Conversion -</w:t>
            </w:r>
          </w:p>
          <w:p w14:paraId="4F9588C1" w14:textId="0E43BB5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 xml:space="preserve"> (</w:t>
            </w:r>
            <w:r w:rsidRPr="00023AC5">
              <w:rPr>
                <w:rFonts w:ascii="Palatino Linotype" w:hAnsi="Palatino Linotype" w:cstheme="majorHAnsi"/>
                <w:b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=</w:t>
            </w:r>
            <w:r w:rsidR="00774C41"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10</w:t>
            </w:r>
            <w:r w:rsidRPr="00023AC5">
              <w:rPr>
                <w:rFonts w:ascii="Palatino Linotype" w:hAnsi="Palatino Linotype" w:cstheme="maj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4" w:space="0" w:color="auto"/>
            </w:tcBorders>
          </w:tcPr>
          <w:p w14:paraId="36AC45DB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b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b/>
                <w:i/>
                <w:iCs/>
                <w:sz w:val="20"/>
                <w:szCs w:val="20"/>
                <w:lang w:val="en-US"/>
              </w:rPr>
              <w:t>p</w:t>
            </w:r>
            <w:r w:rsidRPr="00023AC5">
              <w:rPr>
                <w:rFonts w:ascii="Palatino Linotype" w:eastAsiaTheme="minorEastAsia" w:hAnsi="Palatino Linotype" w:cstheme="majorHAnsi"/>
                <w:b/>
                <w:sz w:val="20"/>
                <w:szCs w:val="20"/>
                <w:lang w:val="en-US"/>
              </w:rPr>
              <w:t>-value</w:t>
            </w:r>
          </w:p>
        </w:tc>
      </w:tr>
      <w:tr w:rsidR="00A45569" w:rsidRPr="00AA3E5C" w14:paraId="4EAA47B2" w14:textId="77777777" w:rsidTr="00471C42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BBB893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Age, median</w:t>
            </w:r>
          </w:p>
          <w:p w14:paraId="57A4B20C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[Quartiles], (years)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4F5D9C" w14:textId="56434E1B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</w:t>
            </w:r>
          </w:p>
          <w:p w14:paraId="53C70F0D" w14:textId="253618D5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[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68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–78]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993659" w14:textId="768AD88D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</w:t>
            </w:r>
            <w:r w:rsidR="005409B7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3</w:t>
            </w:r>
          </w:p>
          <w:p w14:paraId="0EC6B8E5" w14:textId="447A359F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71–7</w:t>
            </w:r>
            <w:r w:rsidR="005409B7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FE462" w14:textId="31804A11" w:rsidR="00A45569" w:rsidRPr="00023AC5" w:rsidRDefault="00430E22" w:rsidP="00AA3E5C">
            <w:pPr>
              <w:pStyle w:val="a8"/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69</w:t>
            </w:r>
          </w:p>
          <w:p w14:paraId="0ED9707A" w14:textId="234BD1A6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6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5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77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6BCA8F3" w14:textId="26D63EBE" w:rsidR="00A45569" w:rsidRPr="00023AC5" w:rsidRDefault="00A45569" w:rsidP="00AA3E5C">
            <w:pPr>
              <w:pStyle w:val="a8"/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0.3</w:t>
            </w:r>
            <w:r w:rsidR="008A33DF"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5</w:t>
            </w:r>
          </w:p>
        </w:tc>
      </w:tr>
      <w:tr w:rsidR="00A45569" w:rsidRPr="00AA3E5C" w14:paraId="54B32E78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758D5433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Sex (male/female),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E40EE1" w14:textId="18D25FC9" w:rsidR="00A45569" w:rsidRPr="00023AC5" w:rsidRDefault="00640B06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15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1BAC5F" w14:textId="0CB6121D" w:rsidR="00A45569" w:rsidRPr="00023AC5" w:rsidRDefault="00430E22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9B0A229" w14:textId="25D35C1B" w:rsidR="00A45569" w:rsidRPr="00023AC5" w:rsidRDefault="00C242FF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/2</w:t>
            </w:r>
          </w:p>
        </w:tc>
        <w:tc>
          <w:tcPr>
            <w:tcW w:w="1247" w:type="dxa"/>
            <w:vAlign w:val="center"/>
          </w:tcPr>
          <w:p w14:paraId="4849DD14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  <w:tr w:rsidR="00A45569" w:rsidRPr="00AA3E5C" w14:paraId="140C8698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790A8223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ECOG-PS (0/1),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2F8309" w14:textId="4C6BFC49" w:rsidR="00A45569" w:rsidRPr="00023AC5" w:rsidRDefault="00640B06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18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C2AFBB" w14:textId="13DC70AF" w:rsidR="00A45569" w:rsidRPr="00023AC5" w:rsidRDefault="00430E22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7DC935D" w14:textId="36A72532" w:rsidR="00A45569" w:rsidRPr="00023AC5" w:rsidRDefault="00C242FF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10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247" w:type="dxa"/>
            <w:vAlign w:val="center"/>
          </w:tcPr>
          <w:p w14:paraId="640E4F7E" w14:textId="12290C4B" w:rsidR="00A45569" w:rsidRPr="00023AC5" w:rsidRDefault="008A33DF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0.47</w:t>
            </w:r>
          </w:p>
        </w:tc>
      </w:tr>
      <w:tr w:rsidR="00A45569" w:rsidRPr="00AA3E5C" w14:paraId="286A9701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3F942553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Etiology (HBV/HCV/NBNC), 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68AC28" w14:textId="3A1CE71D" w:rsidR="00A45569" w:rsidRPr="00023AC5" w:rsidRDefault="00640B06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3</w:t>
            </w:r>
            <w:r w:rsidR="00A45569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6</w:t>
            </w:r>
            <w:r w:rsidR="00A45569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A14D8E" w14:textId="10E71218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0/</w:t>
            </w:r>
            <w:r w:rsidR="00430E22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4</w:t>
            </w: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="00430E22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228FDF4" w14:textId="581B26DB" w:rsidR="00A45569" w:rsidRPr="00023AC5" w:rsidRDefault="00C242FF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3</w:t>
            </w:r>
            <w:r w:rsidR="00A45569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2</w:t>
            </w:r>
            <w:r w:rsidR="00A45569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47" w:type="dxa"/>
            <w:vAlign w:val="center"/>
          </w:tcPr>
          <w:p w14:paraId="19A34A6A" w14:textId="50C688DB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0.</w:t>
            </w:r>
            <w:r w:rsidR="008A33DF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16</w:t>
            </w:r>
          </w:p>
        </w:tc>
      </w:tr>
      <w:tr w:rsidR="00A45569" w:rsidRPr="00AA3E5C" w14:paraId="3D06260C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1C2FDAAE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Platelets, median</w:t>
            </w:r>
          </w:p>
          <w:p w14:paraId="72E50C77" w14:textId="20ADEC34" w:rsidR="00A45569" w:rsidRPr="00023AC5" w:rsidRDefault="00A45569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[Quartiles], (10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vertAlign w:val="superscript"/>
                <w:lang w:val="en-US"/>
              </w:rPr>
              <w:t>4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proofErr w:type="spellStart"/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μ</w:t>
            </w:r>
            <w:r w:rsidR="00F762C3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L</w:t>
            </w:r>
            <w:proofErr w:type="spellEnd"/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1C2777" w14:textId="27B74F20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6.1</w:t>
            </w:r>
          </w:p>
          <w:p w14:paraId="4B22F259" w14:textId="7280CF45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.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20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.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6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B80C50" w14:textId="6ED51729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18.</w:t>
            </w:r>
            <w:r w:rsidR="005409B7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</w:p>
          <w:p w14:paraId="2DBD1395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[14.2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–21.0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9A50FA6" w14:textId="00CF4DE4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2.6</w:t>
            </w:r>
          </w:p>
          <w:p w14:paraId="5C5628F2" w14:textId="44145F31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10.9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18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.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247" w:type="dxa"/>
            <w:vAlign w:val="center"/>
          </w:tcPr>
          <w:p w14:paraId="706DBD5A" w14:textId="0B4F71B5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0.</w:t>
            </w:r>
            <w:r w:rsidR="008A33DF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36</w:t>
            </w:r>
          </w:p>
        </w:tc>
      </w:tr>
      <w:tr w:rsidR="00A45569" w:rsidRPr="00AA3E5C" w14:paraId="120966D1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2FEE7A0B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M2BpGi</w:t>
            </w:r>
          </w:p>
          <w:p w14:paraId="6ACCD01C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[Quartiles] (C.O.I)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58B363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1.11</w:t>
            </w:r>
          </w:p>
          <w:p w14:paraId="3BE6C87D" w14:textId="63AE3AE4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0.97–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.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07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A62FFD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1.09</w:t>
            </w:r>
          </w:p>
          <w:p w14:paraId="458BC8D0" w14:textId="480C796B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0.97–1.</w:t>
            </w:r>
            <w:r w:rsidR="005409B7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4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EA3AD7B" w14:textId="418E6FD1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1.</w:t>
            </w:r>
            <w:r w:rsidR="00430E22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61</w:t>
            </w:r>
          </w:p>
          <w:p w14:paraId="0842F9F7" w14:textId="116028BF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0.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83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2.18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247" w:type="dxa"/>
            <w:vAlign w:val="center"/>
          </w:tcPr>
          <w:p w14:paraId="0C7C27A4" w14:textId="710A87A9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0.</w:t>
            </w:r>
            <w:r w:rsidR="00531D94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80</w:t>
            </w:r>
          </w:p>
        </w:tc>
      </w:tr>
      <w:tr w:rsidR="00A45569" w:rsidRPr="00AA3E5C" w14:paraId="6687F471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0DBA2829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Child–Pugh score (5/6),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A36444" w14:textId="607EBAFA" w:rsidR="00A45569" w:rsidRPr="00023AC5" w:rsidRDefault="00640B06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17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4A6775" w14:textId="267AD3C9" w:rsidR="00A45569" w:rsidRPr="00023AC5" w:rsidRDefault="00430E22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8</w:t>
            </w:r>
            <w:r w:rsidR="00A45569"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D6FDCC7" w14:textId="3CB2B07A" w:rsidR="00A45569" w:rsidRPr="00023AC5" w:rsidRDefault="00C242FF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/1</w:t>
            </w:r>
          </w:p>
        </w:tc>
        <w:tc>
          <w:tcPr>
            <w:tcW w:w="1247" w:type="dxa"/>
            <w:vAlign w:val="center"/>
          </w:tcPr>
          <w:p w14:paraId="2775A000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  <w:tr w:rsidR="00A45569" w:rsidRPr="00AA3E5C" w14:paraId="2CF61346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08B98818" w14:textId="437AE238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proofErr w:type="spellStart"/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mALBI</w:t>
            </w:r>
            <w:proofErr w:type="spellEnd"/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Grade (1/2a),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A6A98E" w14:textId="6FD95223" w:rsidR="00A45569" w:rsidRPr="00023AC5" w:rsidRDefault="00640B06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C38634" w14:textId="1C33F39A" w:rsidR="00A45569" w:rsidRPr="00023AC5" w:rsidRDefault="00430E22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4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C0035A7" w14:textId="265764A8" w:rsidR="00A45569" w:rsidRPr="00023AC5" w:rsidRDefault="00C242FF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4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247" w:type="dxa"/>
            <w:vAlign w:val="center"/>
          </w:tcPr>
          <w:p w14:paraId="2F1753C9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  <w:tr w:rsidR="00A45569" w:rsidRPr="00AA3E5C" w14:paraId="6C4D0ABD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774E2251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Portal vein invasion</w:t>
            </w:r>
          </w:p>
          <w:p w14:paraId="0B877EFB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(absent/present),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1F18E8" w14:textId="597A0C1E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0B5F31" w14:textId="5B633CD0" w:rsidR="00A45569" w:rsidRPr="00023AC5" w:rsidRDefault="005409B7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B4F8549" w14:textId="52FE8C1D" w:rsidR="00A45569" w:rsidRPr="00023AC5" w:rsidRDefault="00C242FF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/1</w:t>
            </w:r>
          </w:p>
        </w:tc>
        <w:tc>
          <w:tcPr>
            <w:tcW w:w="1247" w:type="dxa"/>
            <w:vAlign w:val="center"/>
          </w:tcPr>
          <w:p w14:paraId="24B91AFC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  <w:tr w:rsidR="00A45569" w:rsidRPr="00AA3E5C" w14:paraId="694EBCB3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62A1E2A7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Extrahepatic spread </w:t>
            </w:r>
          </w:p>
          <w:p w14:paraId="77811361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(absent/present),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D173F7" w14:textId="739C28E5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A8ACB" w14:textId="051702D0" w:rsidR="00A45569" w:rsidRPr="00023AC5" w:rsidRDefault="005409B7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10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78B7333" w14:textId="40CFDE82" w:rsidR="00A45569" w:rsidRPr="00023AC5" w:rsidRDefault="00C242FF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247" w:type="dxa"/>
            <w:vAlign w:val="center"/>
          </w:tcPr>
          <w:p w14:paraId="4BCF431E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  <w:tr w:rsidR="00A45569" w:rsidRPr="00AA3E5C" w14:paraId="12CEF5D9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0CAA00F6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AFP, median</w:t>
            </w:r>
          </w:p>
          <w:p w14:paraId="70F3A05A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[Quartiles] (ng/ml)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5B855F" w14:textId="5DE01A9E" w:rsidR="00A45569" w:rsidRPr="00023AC5" w:rsidRDefault="00A45569" w:rsidP="00AA3E5C">
            <w:pPr>
              <w:pStyle w:val="a8"/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1</w:t>
            </w:r>
            <w:r w:rsidR="00640B06"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9</w:t>
            </w:r>
          </w:p>
          <w:p w14:paraId="4B185DE9" w14:textId="146DCA42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[5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–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176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D789AB" w14:textId="2A2C6784" w:rsidR="00A45569" w:rsidRPr="00023AC5" w:rsidRDefault="005409B7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88</w:t>
            </w:r>
          </w:p>
          <w:p w14:paraId="67C90650" w14:textId="1602ADE1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8–</w:t>
            </w:r>
            <w:r w:rsidR="005409B7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256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60416D0" w14:textId="7B93CE65" w:rsidR="00A45569" w:rsidRPr="00023AC5" w:rsidRDefault="00430E22" w:rsidP="00AA3E5C">
            <w:pPr>
              <w:pStyle w:val="a8"/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19</w:t>
            </w:r>
          </w:p>
          <w:p w14:paraId="05EBF026" w14:textId="2270D0B3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[</w:t>
            </w:r>
            <w:r w:rsidR="00430E22"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6.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5–</w:t>
            </w:r>
            <w:r w:rsidR="00430E22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36</w:t>
            </w:r>
            <w:r w:rsidRPr="00023AC5">
              <w:rPr>
                <w:rFonts w:ascii="Palatino Linotype" w:eastAsia="ＭＳ 明朝" w:hAnsi="Palatino Linotype" w:cstheme="maj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247" w:type="dxa"/>
            <w:vAlign w:val="center"/>
          </w:tcPr>
          <w:p w14:paraId="47689954" w14:textId="6CE2EADD" w:rsidR="00A45569" w:rsidRPr="00023AC5" w:rsidRDefault="00A45569" w:rsidP="00AA3E5C">
            <w:pPr>
              <w:pStyle w:val="a8"/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0.</w:t>
            </w:r>
            <w:r w:rsidR="00531D94" w:rsidRPr="00023AC5">
              <w:rPr>
                <w:rFonts w:ascii="Palatino Linotype" w:eastAsia="游明朝" w:hAnsi="Palatino Linotype" w:cstheme="majorHAnsi"/>
                <w:sz w:val="20"/>
                <w:szCs w:val="20"/>
                <w:lang w:val="en-US"/>
              </w:rPr>
              <w:t>26</w:t>
            </w:r>
          </w:p>
        </w:tc>
      </w:tr>
      <w:tr w:rsidR="00A45569" w:rsidRPr="00AA3E5C" w14:paraId="7CE41E28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28BA4081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BCLC stage (B/C), </w:t>
            </w:r>
            <w:r w:rsidRPr="00023AC5">
              <w:rPr>
                <w:rFonts w:ascii="Palatino Linotype" w:hAnsi="Palatino Linotype" w:cstheme="majorHAnsi"/>
                <w:i/>
                <w:iCs/>
                <w:sz w:val="20"/>
                <w:szCs w:val="20"/>
                <w:lang w:val="en-US"/>
              </w:rPr>
              <w:t>n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950F6" w14:textId="39575C93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7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="00640B06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39467" w14:textId="2E198FD9" w:rsidR="00A45569" w:rsidRPr="00023AC5" w:rsidRDefault="005409B7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9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B51259C" w14:textId="32FEAADD" w:rsidR="00A45569" w:rsidRPr="00023AC5" w:rsidRDefault="005409B7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8</w:t>
            </w:r>
            <w:r w:rsidR="00A45569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/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247" w:type="dxa"/>
            <w:vAlign w:val="center"/>
          </w:tcPr>
          <w:p w14:paraId="031CA49F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  <w:tr w:rsidR="009C4A03" w:rsidRPr="00AA3E5C" w14:paraId="3474DE8A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3BA1FC92" w14:textId="640B493E" w:rsidR="009C4A03" w:rsidRPr="00023AC5" w:rsidRDefault="009C4A03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Drug therapy</w:t>
            </w:r>
          </w:p>
          <w:p w14:paraId="23E9F222" w14:textId="77777777" w:rsidR="00D222B6" w:rsidRPr="00023AC5" w:rsidRDefault="009C4A03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(Lenvatinib/Atezolizumab+</w:t>
            </w:r>
          </w:p>
          <w:p w14:paraId="044D5065" w14:textId="25074B8C" w:rsidR="009C4A03" w:rsidRPr="00023AC5" w:rsidRDefault="009C4A03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Bevacizumab)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11EC9D" w14:textId="3C53B00A" w:rsidR="009C4A03" w:rsidRPr="00023AC5" w:rsidRDefault="009C4A03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12/8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AF062C" w14:textId="36AB4642" w:rsidR="009C4A03" w:rsidRPr="00023AC5" w:rsidRDefault="009C4A03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6/4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48C963C" w14:textId="2C8A0528" w:rsidR="009C4A03" w:rsidRPr="00023AC5" w:rsidRDefault="009C4A03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6/4</w:t>
            </w:r>
          </w:p>
        </w:tc>
        <w:tc>
          <w:tcPr>
            <w:tcW w:w="1247" w:type="dxa"/>
            <w:vAlign w:val="center"/>
          </w:tcPr>
          <w:p w14:paraId="606C43E0" w14:textId="6B7D19C4" w:rsidR="009C4A03" w:rsidRPr="00023AC5" w:rsidRDefault="008A33DF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</w:rPr>
              <w:t>1</w:t>
            </w:r>
          </w:p>
        </w:tc>
      </w:tr>
      <w:tr w:rsidR="00A45569" w:rsidRPr="00AA3E5C" w14:paraId="2293D0C4" w14:textId="77777777" w:rsidTr="00471C42">
        <w:trPr>
          <w:trHeight w:val="454"/>
          <w:jc w:val="center"/>
        </w:trPr>
        <w:tc>
          <w:tcPr>
            <w:tcW w:w="3544" w:type="dxa"/>
            <w:shd w:val="clear" w:color="auto" w:fill="auto"/>
            <w:vAlign w:val="center"/>
          </w:tcPr>
          <w:p w14:paraId="5665DFCA" w14:textId="77777777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Treatment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 xml:space="preserve"> line </w:t>
            </w:r>
          </w:p>
          <w:p w14:paraId="1D473182" w14:textId="6E4CAF03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(first line/</w:t>
            </w:r>
            <w:r w:rsidR="00737EAF"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later line</w:t>
            </w:r>
            <w:r w:rsidRPr="00023AC5">
              <w:rPr>
                <w:rFonts w:ascii="Palatino Linotype" w:hAnsi="Palatino Linotype" w:cstheme="majorHAnsi"/>
                <w:sz w:val="20"/>
                <w:szCs w:val="20"/>
                <w:lang w:val="en-US"/>
              </w:rPr>
              <w:t>), 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431BFF" w14:textId="156FA5C5" w:rsidR="00A45569" w:rsidRPr="00023AC5" w:rsidRDefault="00A45569" w:rsidP="00AA3E5C">
            <w:pPr>
              <w:pStyle w:val="a8"/>
              <w:rPr>
                <w:rFonts w:ascii="Palatino Linotype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  <w:r w:rsidR="00332F9B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9</w:t>
            </w: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="00332F9B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95E252" w14:textId="30C401A6" w:rsidR="00A45569" w:rsidRPr="00023AC5" w:rsidRDefault="005409B7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10</w:t>
            </w:r>
            <w:r w:rsidR="00A45569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D185813" w14:textId="04F322AF" w:rsidR="00A45569" w:rsidRPr="00023AC5" w:rsidRDefault="00C242FF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9</w:t>
            </w:r>
            <w:r w:rsidR="00A45569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/</w:t>
            </w:r>
            <w:r w:rsidR="005409B7"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247" w:type="dxa"/>
            <w:vAlign w:val="center"/>
          </w:tcPr>
          <w:p w14:paraId="29F7CD83" w14:textId="77777777" w:rsidR="00A45569" w:rsidRPr="00023AC5" w:rsidRDefault="00A45569" w:rsidP="00AA3E5C">
            <w:pPr>
              <w:pStyle w:val="a8"/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</w:pPr>
            <w:r w:rsidRPr="00023AC5">
              <w:rPr>
                <w:rFonts w:ascii="Palatino Linotype" w:eastAsiaTheme="minorEastAsia" w:hAnsi="Palatino Linotype" w:cstheme="majorHAnsi"/>
                <w:sz w:val="20"/>
                <w:szCs w:val="20"/>
                <w:lang w:val="en-US"/>
              </w:rPr>
              <w:t>1</w:t>
            </w:r>
          </w:p>
        </w:tc>
      </w:tr>
    </w:tbl>
    <w:p w14:paraId="7B44CBA8" w14:textId="72A40FE4" w:rsidR="00AA3E5C" w:rsidRPr="00023AC5" w:rsidRDefault="00AA3E5C" w:rsidP="00AA3E5C">
      <w:pPr>
        <w:pStyle w:val="a8"/>
        <w:rPr>
          <w:rFonts w:ascii="Palatino Linotype" w:hAnsi="Palatino Linotype" w:cstheme="majorHAnsi"/>
          <w:sz w:val="18"/>
          <w:szCs w:val="18"/>
        </w:rPr>
      </w:pPr>
      <w:r w:rsidRPr="00023AC5">
        <w:rPr>
          <w:rFonts w:ascii="Palatino Linotype" w:hAnsi="Palatino Linotype" w:cstheme="majorHAnsi"/>
          <w:sz w:val="18"/>
          <w:szCs w:val="18"/>
        </w:rPr>
        <w:t>AFP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alpha-fetoprotein; ALBI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albumin–bilirubin; BCLC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Barcelona Clinic Liver Cancer; ECOG-PS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Eastern Cooperative Oncology Group performance status; HBV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hepatitis B virus; HCV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hepatitis C virus; </w:t>
      </w:r>
      <w:r w:rsidRPr="00023AC5">
        <w:rPr>
          <w:rFonts w:ascii="Palatino Linotype" w:hAnsi="Palatino Linotype" w:cstheme="majorHAnsi"/>
          <w:iCs/>
          <w:sz w:val="18"/>
          <w:szCs w:val="18"/>
        </w:rPr>
        <w:t>LEN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, lenvatinib; </w:t>
      </w:r>
      <w:r w:rsidRPr="00023AC5">
        <w:rPr>
          <w:rFonts w:ascii="Palatino Linotype" w:hAnsi="Palatino Linotype" w:cstheme="majorHAnsi"/>
          <w:iCs/>
          <w:sz w:val="18"/>
          <w:szCs w:val="18"/>
        </w:rPr>
        <w:t xml:space="preserve">M2BPGi </w:t>
      </w:r>
      <w:r w:rsidRPr="00023AC5">
        <w:rPr>
          <w:rFonts w:ascii="Palatino Linotype" w:hAnsi="Palatino Linotype" w:cstheme="majorHAnsi"/>
          <w:sz w:val="18"/>
          <w:szCs w:val="18"/>
        </w:rPr>
        <w:t>mac-2 binding protein glycosylation isomer; NBNC</w:t>
      </w:r>
      <w:r w:rsidRPr="00023AC5">
        <w:rPr>
          <w:rFonts w:ascii="Palatino Linotype" w:hAnsi="Palatino Linotype" w:cstheme="majorHAnsi"/>
          <w:iCs/>
          <w:sz w:val="18"/>
          <w:szCs w:val="18"/>
        </w:rPr>
        <w:t>,</w:t>
      </w:r>
      <w:r w:rsidRPr="00023AC5">
        <w:rPr>
          <w:rFonts w:ascii="Palatino Linotype" w:hAnsi="Palatino Linotype" w:cstheme="majorHAnsi"/>
          <w:sz w:val="18"/>
          <w:szCs w:val="18"/>
        </w:rPr>
        <w:t xml:space="preserve"> non-B non-C; TAE/TACE, transcatheter embolization/chemoembolization</w:t>
      </w:r>
    </w:p>
    <w:p w14:paraId="63CC2304" w14:textId="77777777" w:rsidR="009C16C0" w:rsidRPr="00AA3E5C" w:rsidRDefault="009C16C0" w:rsidP="00AA3E5C">
      <w:pPr>
        <w:pStyle w:val="a8"/>
        <w:rPr>
          <w:rFonts w:ascii="Palatino Linotype" w:hAnsi="Palatino Linotype" w:cstheme="majorHAnsi"/>
        </w:rPr>
      </w:pPr>
    </w:p>
    <w:sectPr w:rsidR="009C16C0" w:rsidRPr="00AA3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0FB5F" w14:textId="77777777" w:rsidR="00331654" w:rsidRDefault="00331654" w:rsidP="00D222B6">
      <w:r>
        <w:separator/>
      </w:r>
    </w:p>
  </w:endnote>
  <w:endnote w:type="continuationSeparator" w:id="0">
    <w:p w14:paraId="039D9F93" w14:textId="77777777" w:rsidR="00331654" w:rsidRDefault="00331654" w:rsidP="00D22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6CD01" w14:textId="77777777" w:rsidR="00331654" w:rsidRDefault="00331654" w:rsidP="00D222B6">
      <w:r>
        <w:separator/>
      </w:r>
    </w:p>
  </w:footnote>
  <w:footnote w:type="continuationSeparator" w:id="0">
    <w:p w14:paraId="70017ABE" w14:textId="77777777" w:rsidR="00331654" w:rsidRDefault="00331654" w:rsidP="00D22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69"/>
    <w:rsid w:val="00023AC5"/>
    <w:rsid w:val="001466D8"/>
    <w:rsid w:val="002552AC"/>
    <w:rsid w:val="00331654"/>
    <w:rsid w:val="00332F9B"/>
    <w:rsid w:val="00343FF8"/>
    <w:rsid w:val="00430E22"/>
    <w:rsid w:val="00471C42"/>
    <w:rsid w:val="004868E2"/>
    <w:rsid w:val="0050686D"/>
    <w:rsid w:val="00531D94"/>
    <w:rsid w:val="005409B7"/>
    <w:rsid w:val="00583FAB"/>
    <w:rsid w:val="00640B06"/>
    <w:rsid w:val="00737EAF"/>
    <w:rsid w:val="00774C41"/>
    <w:rsid w:val="008674D9"/>
    <w:rsid w:val="008A33DF"/>
    <w:rsid w:val="00915C6C"/>
    <w:rsid w:val="00987310"/>
    <w:rsid w:val="009C16C0"/>
    <w:rsid w:val="009C44DE"/>
    <w:rsid w:val="009C4A03"/>
    <w:rsid w:val="00A45569"/>
    <w:rsid w:val="00AA3E5C"/>
    <w:rsid w:val="00AB2A11"/>
    <w:rsid w:val="00B308A3"/>
    <w:rsid w:val="00BA710D"/>
    <w:rsid w:val="00C242FF"/>
    <w:rsid w:val="00CD4011"/>
    <w:rsid w:val="00D222B6"/>
    <w:rsid w:val="00D22E7A"/>
    <w:rsid w:val="00F762C3"/>
    <w:rsid w:val="00F836FD"/>
    <w:rsid w:val="00F900C1"/>
    <w:rsid w:val="00FC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92DBE"/>
  <w15:chartTrackingRefBased/>
  <w15:docId w15:val="{A8F00567-3C9A-44F1-869D-C6CDFACE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120" w:line="480" w:lineRule="auto"/>
        <w:ind w:firstLine="4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569"/>
    <w:pPr>
      <w:spacing w:before="0" w:after="0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569"/>
    <w:pPr>
      <w:spacing w:before="0" w:after="0" w:line="240" w:lineRule="auto"/>
      <w:ind w:firstLine="0"/>
    </w:pPr>
    <w:rPr>
      <w:rFonts w:ascii="Times New Roman" w:eastAsia="SimSun" w:hAnsi="Times New Roman" w:cs="Times New Roman"/>
      <w:kern w:val="0"/>
      <w:sz w:val="20"/>
      <w:szCs w:val="20"/>
      <w:lang w:val="en-IN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A45569"/>
    <w:pPr>
      <w:adjustRightInd w:val="0"/>
      <w:snapToGrid w:val="0"/>
      <w:spacing w:before="0" w:after="160" w:line="260" w:lineRule="atLeast"/>
      <w:ind w:left="425" w:right="425" w:firstLine="0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23heading3">
    <w:name w:val="MDPI_2.3_heading3"/>
    <w:qFormat/>
    <w:rsid w:val="00A45569"/>
    <w:pPr>
      <w:adjustRightInd w:val="0"/>
      <w:snapToGrid w:val="0"/>
      <w:spacing w:before="0" w:after="160" w:line="260" w:lineRule="atLeast"/>
      <w:ind w:firstLine="0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3tablefooter">
    <w:name w:val="MDPI_4.3_table_footer"/>
    <w:next w:val="a"/>
    <w:qFormat/>
    <w:rsid w:val="00A45569"/>
    <w:pPr>
      <w:adjustRightInd w:val="0"/>
      <w:snapToGrid w:val="0"/>
      <w:spacing w:before="0" w:after="240" w:line="260" w:lineRule="atLeast"/>
      <w:ind w:firstLine="0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styleId="a4">
    <w:name w:val="header"/>
    <w:basedOn w:val="a"/>
    <w:link w:val="a5"/>
    <w:uiPriority w:val="99"/>
    <w:unhideWhenUsed/>
    <w:rsid w:val="00D22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22B6"/>
    <w:rPr>
      <w:rFonts w:ascii="Times New Roman" w:eastAsia="Times New Roman" w:hAnsi="Times New Roman" w:cs="Times New Roman"/>
      <w:kern w:val="0"/>
      <w:sz w:val="24"/>
      <w:szCs w:val="24"/>
      <w:lang w:val=""/>
    </w:rPr>
  </w:style>
  <w:style w:type="paragraph" w:styleId="a6">
    <w:name w:val="footer"/>
    <w:basedOn w:val="a"/>
    <w:link w:val="a7"/>
    <w:uiPriority w:val="99"/>
    <w:unhideWhenUsed/>
    <w:rsid w:val="00D22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22B6"/>
    <w:rPr>
      <w:rFonts w:ascii="Times New Roman" w:eastAsia="Times New Roman" w:hAnsi="Times New Roman" w:cs="Times New Roman"/>
      <w:kern w:val="0"/>
      <w:sz w:val="24"/>
      <w:szCs w:val="24"/>
      <w:lang w:val=""/>
    </w:rPr>
  </w:style>
  <w:style w:type="paragraph" w:styleId="a8">
    <w:name w:val="No Spacing"/>
    <w:uiPriority w:val="1"/>
    <w:qFormat/>
    <w:rsid w:val="00D222B6"/>
    <w:pPr>
      <w:spacing w:before="0" w:after="0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val=""/>
    </w:rPr>
  </w:style>
  <w:style w:type="paragraph" w:styleId="a9">
    <w:name w:val="Revision"/>
    <w:hidden/>
    <w:uiPriority w:val="99"/>
    <w:semiHidden/>
    <w:rsid w:val="00CD4011"/>
    <w:pPr>
      <w:spacing w:before="0" w:after="0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 Tomonari</dc:creator>
  <cp:keywords/>
  <dc:description/>
  <cp:lastModifiedBy>Tetsu Tomonari</cp:lastModifiedBy>
  <cp:revision>2</cp:revision>
  <dcterms:created xsi:type="dcterms:W3CDTF">2023-10-08T13:21:00Z</dcterms:created>
  <dcterms:modified xsi:type="dcterms:W3CDTF">2023-10-08T13:21:00Z</dcterms:modified>
</cp:coreProperties>
</file>