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9B901" w14:textId="0CAAB41F" w:rsidR="0001683E" w:rsidRPr="004221DF" w:rsidRDefault="00F64C62" w:rsidP="004221DF">
      <w:pPr>
        <w:spacing w:after="120"/>
        <w:ind w:left="2259" w:hangingChars="1250" w:hanging="2259"/>
        <w:rPr>
          <w:rFonts w:ascii="Palatino Linotype" w:hAnsi="Palatino Linotype" w:cs="Arial"/>
          <w:sz w:val="18"/>
          <w:szCs w:val="18"/>
        </w:rPr>
      </w:pPr>
      <w:r w:rsidRPr="004221DF">
        <w:rPr>
          <w:rFonts w:ascii="Palatino Linotype" w:hAnsi="Palatino Linotype" w:cs="Arial"/>
          <w:b/>
          <w:bCs/>
          <w:sz w:val="18"/>
          <w:szCs w:val="18"/>
        </w:rPr>
        <w:t>Table S1</w:t>
      </w:r>
      <w:r w:rsidR="0001683E" w:rsidRPr="004221DF">
        <w:rPr>
          <w:rFonts w:ascii="Palatino Linotype" w:hAnsi="Palatino Linotype" w:cs="Arial"/>
          <w:b/>
          <w:bCs/>
          <w:sz w:val="18"/>
          <w:szCs w:val="18"/>
        </w:rPr>
        <w:t xml:space="preserve">.  </w:t>
      </w:r>
      <w:r w:rsidR="0001683E" w:rsidRPr="004221DF">
        <w:rPr>
          <w:rFonts w:ascii="Palatino Linotype" w:hAnsi="Palatino Linotype" w:cs="Arial"/>
          <w:sz w:val="18"/>
          <w:szCs w:val="18"/>
        </w:rPr>
        <w:t>Response to treatment with lenvatinib and atezolizumab plus bevacizumab for hepatocellular carcinoma</w:t>
      </w:r>
      <w:r w:rsidR="0017007B">
        <w:rPr>
          <w:rFonts w:ascii="Palatino Linotype" w:hAnsi="Palatino Linotype" w:cs="Arial"/>
          <w:sz w:val="18"/>
          <w:szCs w:val="18"/>
        </w:rPr>
        <w:t>.</w:t>
      </w:r>
    </w:p>
    <w:tbl>
      <w:tblPr>
        <w:tblStyle w:val="a5"/>
        <w:tblpPr w:leftFromText="142" w:rightFromText="142" w:vertAnchor="page" w:horzAnchor="margin" w:tblpXSpec="center" w:tblpY="1966"/>
        <w:tblW w:w="8045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605"/>
        <w:gridCol w:w="2605"/>
      </w:tblGrid>
      <w:tr w:rsidR="00F64C62" w:rsidRPr="00F64C62" w14:paraId="10D5B984" w14:textId="77777777" w:rsidTr="00F64C62">
        <w:trPr>
          <w:trHeight w:val="547"/>
        </w:trPr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DF738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 w:firstLineChars="400" w:firstLine="785"/>
              <w:rPr>
                <w:rFonts w:eastAsiaTheme="minorEastAsia" w:cs="Arial"/>
                <w:b/>
                <w:color w:val="auto"/>
                <w:sz w:val="20"/>
                <w:lang w:val="en-US" w:eastAsia="ja-JP"/>
              </w:rPr>
            </w:pPr>
            <w:r w:rsidRPr="004221DF">
              <w:rPr>
                <w:rFonts w:eastAsiaTheme="minorEastAsia" w:cs="Arial"/>
                <w:b/>
                <w:color w:val="auto"/>
                <w:sz w:val="20"/>
                <w:szCs w:val="22"/>
                <w:lang w:eastAsia="ja-JP"/>
              </w:rPr>
              <w:t xml:space="preserve">Evaluation </w:t>
            </w:r>
          </w:p>
          <w:p w14:paraId="01F1F3A4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b/>
                <w:color w:val="auto"/>
                <w:sz w:val="20"/>
                <w:lang w:val="en-US" w:eastAsia="ja-JP"/>
              </w:rPr>
            </w:pPr>
            <w:r w:rsidRPr="004221DF">
              <w:rPr>
                <w:rFonts w:eastAsiaTheme="minorEastAsia" w:cs="Arial"/>
                <w:b/>
                <w:color w:val="auto"/>
                <w:sz w:val="20"/>
                <w:szCs w:val="22"/>
                <w:lang w:eastAsia="ja-JP"/>
              </w:rPr>
              <w:t xml:space="preserve"> (RECIST version 1.1)</w:t>
            </w:r>
          </w:p>
        </w:tc>
        <w:tc>
          <w:tcPr>
            <w:tcW w:w="2605" w:type="dxa"/>
            <w:tcBorders>
              <w:top w:val="single" w:sz="8" w:space="0" w:color="auto"/>
              <w:bottom w:val="single" w:sz="4" w:space="0" w:color="auto"/>
            </w:tcBorders>
          </w:tcPr>
          <w:p w14:paraId="3A1C9B51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b/>
                <w:color w:val="auto"/>
                <w:lang w:val="en-US" w:eastAsia="ja-JP"/>
              </w:rPr>
            </w:pPr>
            <w:proofErr w:type="spellStart"/>
            <w:r w:rsidRPr="004221DF">
              <w:rPr>
                <w:rFonts w:eastAsiaTheme="minorEastAsia" w:cs="Arial"/>
                <w:b/>
                <w:color w:val="auto"/>
                <w:szCs w:val="22"/>
                <w:lang w:eastAsia="ja-JP"/>
              </w:rPr>
              <w:t>Atezo+Bev</w:t>
            </w:r>
            <w:proofErr w:type="spellEnd"/>
          </w:p>
          <w:p w14:paraId="767F49DE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b/>
                <w:i/>
                <w:iCs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b/>
                <w:i/>
                <w:iCs/>
                <w:color w:val="auto"/>
                <w:szCs w:val="22"/>
                <w:lang w:eastAsia="ja-JP"/>
              </w:rPr>
              <w:t>n (%)</w:t>
            </w:r>
          </w:p>
          <w:p w14:paraId="0C41B985" w14:textId="29191EA6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b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b/>
                <w:i/>
                <w:iCs/>
                <w:color w:val="auto"/>
                <w:szCs w:val="22"/>
                <w:lang w:eastAsia="ja-JP"/>
              </w:rPr>
              <w:t>(n=113)</w:t>
            </w:r>
          </w:p>
        </w:tc>
        <w:tc>
          <w:tcPr>
            <w:tcW w:w="2605" w:type="dxa"/>
            <w:tcBorders>
              <w:top w:val="single" w:sz="8" w:space="0" w:color="auto"/>
              <w:bottom w:val="single" w:sz="4" w:space="0" w:color="auto"/>
            </w:tcBorders>
          </w:tcPr>
          <w:p w14:paraId="5076DE22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b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b/>
                <w:color w:val="auto"/>
                <w:szCs w:val="22"/>
                <w:lang w:eastAsia="ja-JP"/>
              </w:rPr>
              <w:t>LEN</w:t>
            </w:r>
          </w:p>
          <w:p w14:paraId="7B34AEBE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b/>
                <w:i/>
                <w:iCs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b/>
                <w:i/>
                <w:iCs/>
                <w:color w:val="auto"/>
                <w:szCs w:val="22"/>
                <w:lang w:eastAsia="ja-JP"/>
              </w:rPr>
              <w:t>n (%)</w:t>
            </w:r>
          </w:p>
          <w:p w14:paraId="2F209A8C" w14:textId="43B98CAA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b/>
                <w:color w:val="auto"/>
                <w:lang w:eastAsia="ja-JP"/>
              </w:rPr>
            </w:pPr>
            <w:r w:rsidRPr="004221DF">
              <w:rPr>
                <w:rFonts w:eastAsiaTheme="minorEastAsia" w:cs="Arial"/>
                <w:b/>
                <w:i/>
                <w:iCs/>
                <w:color w:val="auto"/>
                <w:szCs w:val="22"/>
                <w:lang w:eastAsia="ja-JP"/>
              </w:rPr>
              <w:t>(n=131)</w:t>
            </w:r>
          </w:p>
        </w:tc>
      </w:tr>
      <w:tr w:rsidR="00F64C62" w:rsidRPr="00F64C62" w14:paraId="4B1C5AC3" w14:textId="77777777" w:rsidTr="00F64C62">
        <w:tc>
          <w:tcPr>
            <w:tcW w:w="28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3AA975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ind w:firstLineChars="150" w:firstLine="300"/>
              <w:outlineLvl w:val="9"/>
              <w:rPr>
                <w:rFonts w:eastAsiaTheme="minorEastAsia" w:cs="Arial"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Complete response</w:t>
            </w:r>
          </w:p>
        </w:tc>
        <w:tc>
          <w:tcPr>
            <w:tcW w:w="2605" w:type="dxa"/>
            <w:tcBorders>
              <w:top w:val="single" w:sz="4" w:space="0" w:color="auto"/>
              <w:bottom w:val="nil"/>
            </w:tcBorders>
          </w:tcPr>
          <w:p w14:paraId="4F83E9A9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1 (0.8)</w:t>
            </w:r>
          </w:p>
        </w:tc>
        <w:tc>
          <w:tcPr>
            <w:tcW w:w="2605" w:type="dxa"/>
            <w:tcBorders>
              <w:top w:val="single" w:sz="4" w:space="0" w:color="auto"/>
              <w:bottom w:val="nil"/>
            </w:tcBorders>
          </w:tcPr>
          <w:p w14:paraId="12A7D17D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color w:val="auto"/>
                <w:lang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2 (1.5)</w:t>
            </w:r>
          </w:p>
        </w:tc>
      </w:tr>
      <w:tr w:rsidR="00F64C62" w:rsidRPr="00F64C62" w14:paraId="2DE7097D" w14:textId="77777777" w:rsidTr="00F64C62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D2C714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Partial response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14:paraId="462C14BF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22 (19.5)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14:paraId="2424ABFF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33 (25.1)</w:t>
            </w:r>
          </w:p>
        </w:tc>
      </w:tr>
      <w:tr w:rsidR="00F64C62" w:rsidRPr="00F64C62" w14:paraId="19E19F4C" w14:textId="77777777" w:rsidTr="00F64C62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63CE90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cs="Arial"/>
                <w:color w:val="auto"/>
                <w:sz w:val="20"/>
                <w:lang w:val="en-US"/>
              </w:rPr>
            </w:pPr>
            <w:r w:rsidRPr="004221DF">
              <w:rPr>
                <w:rFonts w:cs="Arial"/>
                <w:color w:val="auto"/>
                <w:sz w:val="20"/>
                <w:szCs w:val="22"/>
              </w:rPr>
              <w:t>Stable disease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14:paraId="76F82F18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67 (59.3)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14:paraId="2A33A22F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82 (62.6)</w:t>
            </w:r>
          </w:p>
        </w:tc>
      </w:tr>
      <w:tr w:rsidR="00F64C62" w:rsidRPr="00F64C62" w14:paraId="6A912BE4" w14:textId="77777777" w:rsidTr="00F64C62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A8DF40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 w:firstLineChars="150" w:firstLine="300"/>
              <w:rPr>
                <w:rFonts w:cs="Arial"/>
                <w:color w:val="auto"/>
                <w:sz w:val="20"/>
                <w:lang w:val="en-US"/>
              </w:rPr>
            </w:pPr>
            <w:r w:rsidRPr="004221DF">
              <w:rPr>
                <w:rFonts w:cs="Arial"/>
                <w:color w:val="auto"/>
                <w:sz w:val="20"/>
                <w:szCs w:val="22"/>
              </w:rPr>
              <w:t>Progressive disease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14:paraId="0C89A6BE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23 (20.4)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14:paraId="17CE90AE" w14:textId="77777777" w:rsidR="00F64C62" w:rsidRPr="004221DF" w:rsidRDefault="00F64C62" w:rsidP="004221DF">
            <w:pPr>
              <w:pStyle w:val="MDPI41tablecaption"/>
              <w:autoSpaceDE w:val="0"/>
              <w:autoSpaceDN w:val="0"/>
              <w:spacing w:line="240" w:lineRule="auto"/>
              <w:ind w:left="0" w:right="0"/>
              <w:jc w:val="center"/>
              <w:rPr>
                <w:rFonts w:eastAsiaTheme="minorEastAsia" w:cs="Arial"/>
                <w:color w:val="auto"/>
                <w:sz w:val="20"/>
                <w:lang w:eastAsia="ja-JP"/>
              </w:rPr>
            </w:pPr>
            <w:r w:rsidRPr="004221DF">
              <w:rPr>
                <w:rFonts w:eastAsiaTheme="minorEastAsia" w:cs="Arial"/>
                <w:color w:val="auto"/>
                <w:sz w:val="20"/>
                <w:szCs w:val="22"/>
                <w:lang w:eastAsia="ja-JP"/>
              </w:rPr>
              <w:t>14 (10.7)</w:t>
            </w:r>
          </w:p>
        </w:tc>
      </w:tr>
      <w:tr w:rsidR="00F64C62" w:rsidRPr="00F64C62" w14:paraId="02B6B9D1" w14:textId="77777777" w:rsidTr="00F64C62">
        <w:tc>
          <w:tcPr>
            <w:tcW w:w="28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E4DAB02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outlineLvl w:val="9"/>
              <w:rPr>
                <w:rFonts w:eastAsiaTheme="minorEastAsia" w:cs="Arial"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Objective response rate (%)</w:t>
            </w:r>
          </w:p>
        </w:tc>
        <w:tc>
          <w:tcPr>
            <w:tcW w:w="2605" w:type="dxa"/>
            <w:tcBorders>
              <w:top w:val="single" w:sz="4" w:space="0" w:color="auto"/>
              <w:bottom w:val="nil"/>
            </w:tcBorders>
          </w:tcPr>
          <w:p w14:paraId="64A65C1E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ind w:firstLineChars="500" w:firstLine="1000"/>
              <w:outlineLvl w:val="9"/>
              <w:rPr>
                <w:rFonts w:eastAsiaTheme="minorEastAsia" w:cs="Arial"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20.4</w:t>
            </w:r>
          </w:p>
        </w:tc>
        <w:tc>
          <w:tcPr>
            <w:tcW w:w="2605" w:type="dxa"/>
            <w:tcBorders>
              <w:top w:val="single" w:sz="4" w:space="0" w:color="auto"/>
              <w:bottom w:val="nil"/>
            </w:tcBorders>
          </w:tcPr>
          <w:p w14:paraId="5D28D66B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ind w:firstLineChars="500" w:firstLine="1000"/>
              <w:outlineLvl w:val="9"/>
              <w:rPr>
                <w:rFonts w:eastAsiaTheme="minorEastAsia" w:cs="Arial"/>
                <w:color w:val="auto"/>
                <w:lang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26.7*</w:t>
            </w:r>
          </w:p>
        </w:tc>
      </w:tr>
      <w:tr w:rsidR="00F64C62" w:rsidRPr="00F64C62" w14:paraId="03C30A33" w14:textId="77777777" w:rsidTr="00F64C62"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14:paraId="37032C77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jc w:val="center"/>
              <w:outlineLvl w:val="9"/>
              <w:rPr>
                <w:rFonts w:eastAsiaTheme="minorEastAsia" w:cs="Arial"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Disease control rate (%)</w:t>
            </w:r>
          </w:p>
        </w:tc>
        <w:tc>
          <w:tcPr>
            <w:tcW w:w="2605" w:type="dxa"/>
            <w:tcBorders>
              <w:top w:val="nil"/>
            </w:tcBorders>
          </w:tcPr>
          <w:p w14:paraId="0FCDAB26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ind w:firstLineChars="500" w:firstLine="1000"/>
              <w:outlineLvl w:val="9"/>
              <w:rPr>
                <w:rFonts w:eastAsiaTheme="minorEastAsia" w:cs="Arial"/>
                <w:color w:val="auto"/>
                <w:lang w:val="en-US"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79.6</w:t>
            </w:r>
          </w:p>
        </w:tc>
        <w:tc>
          <w:tcPr>
            <w:tcW w:w="2605" w:type="dxa"/>
            <w:tcBorders>
              <w:top w:val="nil"/>
            </w:tcBorders>
          </w:tcPr>
          <w:p w14:paraId="602B9A15" w14:textId="77777777" w:rsidR="00F64C62" w:rsidRPr="004221DF" w:rsidRDefault="00F64C62" w:rsidP="004221DF">
            <w:pPr>
              <w:pStyle w:val="MDPI23heading3"/>
              <w:autoSpaceDE w:val="0"/>
              <w:autoSpaceDN w:val="0"/>
              <w:spacing w:line="240" w:lineRule="auto"/>
              <w:ind w:firstLineChars="500" w:firstLine="1000"/>
              <w:outlineLvl w:val="9"/>
              <w:rPr>
                <w:rFonts w:eastAsiaTheme="minorEastAsia" w:cs="Arial"/>
                <w:color w:val="auto"/>
                <w:lang w:eastAsia="ja-JP"/>
              </w:rPr>
            </w:pPr>
            <w:r w:rsidRPr="004221DF">
              <w:rPr>
                <w:rFonts w:eastAsiaTheme="minorEastAsia" w:cs="Arial"/>
                <w:color w:val="auto"/>
                <w:szCs w:val="22"/>
                <w:lang w:eastAsia="ja-JP"/>
              </w:rPr>
              <w:t>89.3</w:t>
            </w:r>
          </w:p>
        </w:tc>
      </w:tr>
    </w:tbl>
    <w:p w14:paraId="2B8B3E0C" w14:textId="77777777" w:rsidR="0001683E" w:rsidRPr="00F64C62" w:rsidRDefault="0001683E">
      <w:pPr>
        <w:spacing w:after="120"/>
        <w:rPr>
          <w:rFonts w:ascii="Palatino Linotype" w:eastAsiaTheme="minorEastAsia" w:hAnsi="Palatino Linotype" w:cs="Arial"/>
          <w:b/>
          <w:bCs/>
          <w:sz w:val="22"/>
        </w:rPr>
      </w:pPr>
    </w:p>
    <w:p w14:paraId="6D1AFF00" w14:textId="77777777" w:rsidR="0001683E" w:rsidRPr="00F64C62" w:rsidRDefault="0001683E">
      <w:pPr>
        <w:spacing w:after="120"/>
        <w:rPr>
          <w:rFonts w:ascii="Palatino Linotype" w:eastAsiaTheme="minorEastAsia" w:hAnsi="Palatino Linotype" w:cs="Arial"/>
          <w:b/>
          <w:bCs/>
          <w:sz w:val="22"/>
        </w:rPr>
      </w:pPr>
    </w:p>
    <w:p w14:paraId="3FB5A646" w14:textId="77777777" w:rsidR="0001683E" w:rsidRPr="00F64C62" w:rsidRDefault="0001683E">
      <w:pPr>
        <w:spacing w:after="120"/>
        <w:ind w:left="994" w:hangingChars="450" w:hanging="994"/>
        <w:rPr>
          <w:rFonts w:ascii="Palatino Linotype" w:hAnsi="Palatino Linotype" w:cs="Arial"/>
          <w:b/>
          <w:bCs/>
          <w:sz w:val="22"/>
        </w:rPr>
      </w:pPr>
    </w:p>
    <w:p w14:paraId="36B8AE43" w14:textId="77777777" w:rsidR="0001683E" w:rsidRPr="00F64C62" w:rsidRDefault="0001683E">
      <w:pPr>
        <w:spacing w:after="120"/>
        <w:ind w:left="994" w:hangingChars="450" w:hanging="994"/>
        <w:rPr>
          <w:rFonts w:ascii="Palatino Linotype" w:hAnsi="Palatino Linotype" w:cs="Arial"/>
          <w:b/>
          <w:bCs/>
          <w:sz w:val="22"/>
        </w:rPr>
      </w:pPr>
    </w:p>
    <w:p w14:paraId="66020A38" w14:textId="77777777" w:rsidR="0001683E" w:rsidRPr="00F64C62" w:rsidRDefault="0001683E">
      <w:pPr>
        <w:spacing w:after="120"/>
        <w:ind w:left="994" w:hangingChars="450" w:hanging="994"/>
        <w:rPr>
          <w:rFonts w:ascii="Palatino Linotype" w:hAnsi="Palatino Linotype" w:cs="Arial"/>
          <w:b/>
          <w:bCs/>
          <w:sz w:val="22"/>
        </w:rPr>
      </w:pPr>
    </w:p>
    <w:p w14:paraId="774EE3ED" w14:textId="493793DA" w:rsidR="0001683E" w:rsidRPr="00F64C62" w:rsidRDefault="00F64C62" w:rsidP="004221DF">
      <w:pPr>
        <w:pStyle w:val="a3"/>
        <w:ind w:firstLineChars="640" w:firstLine="1152"/>
        <w:rPr>
          <w:rFonts w:ascii="Palatino Linotype" w:hAnsi="Palatino Linotype" w:cs="Arial"/>
          <w:sz w:val="22"/>
        </w:rPr>
      </w:pPr>
      <w:r w:rsidRPr="004221DF">
        <w:rPr>
          <w:rFonts w:ascii="Palatino Linotype" w:hAnsi="Palatino Linotype" w:cs="Arial"/>
          <w:iCs/>
          <w:sz w:val="18"/>
          <w:szCs w:val="18"/>
        </w:rPr>
        <w:t>LEN</w:t>
      </w:r>
      <w:r w:rsidRPr="004221DF">
        <w:rPr>
          <w:rFonts w:ascii="Palatino Linotype" w:hAnsi="Palatino Linotype" w:cs="Arial"/>
          <w:sz w:val="18"/>
          <w:szCs w:val="18"/>
        </w:rPr>
        <w:t xml:space="preserve">, </w:t>
      </w:r>
      <w:proofErr w:type="spellStart"/>
      <w:r w:rsidRPr="004221DF">
        <w:rPr>
          <w:rFonts w:ascii="Palatino Linotype" w:hAnsi="Palatino Linotype" w:cs="Arial"/>
          <w:sz w:val="18"/>
          <w:szCs w:val="18"/>
        </w:rPr>
        <w:t>lenvatinib</w:t>
      </w:r>
      <w:proofErr w:type="spellEnd"/>
      <w:r w:rsidRPr="004221DF">
        <w:rPr>
          <w:rFonts w:ascii="Palatino Linotype" w:hAnsi="Palatino Linotype" w:cs="Arial"/>
          <w:sz w:val="18"/>
          <w:szCs w:val="18"/>
        </w:rPr>
        <w:t xml:space="preserve">; </w:t>
      </w:r>
      <w:r w:rsidR="0001683E" w:rsidRPr="004221DF">
        <w:rPr>
          <w:rFonts w:ascii="Palatino Linotype" w:hAnsi="Palatino Linotype" w:cs="Arial"/>
          <w:iCs/>
          <w:sz w:val="18"/>
          <w:szCs w:val="18"/>
        </w:rPr>
        <w:t>RECIST,</w:t>
      </w:r>
      <w:r w:rsidR="0001683E" w:rsidRPr="004221DF">
        <w:rPr>
          <w:rFonts w:ascii="Palatino Linotype" w:hAnsi="Palatino Linotype" w:cs="Arial"/>
          <w:sz w:val="18"/>
          <w:szCs w:val="18"/>
        </w:rPr>
        <w:t xml:space="preserve"> Response Evaluation Criteria in Solid Tumors </w:t>
      </w:r>
    </w:p>
    <w:p w14:paraId="5B4BA63D" w14:textId="77777777" w:rsidR="0065017F" w:rsidRPr="00F64C62" w:rsidRDefault="0065017F">
      <w:pPr>
        <w:rPr>
          <w:rFonts w:ascii="Palatino Linotype" w:hAnsi="Palatino Linotype" w:cs="Arial"/>
        </w:rPr>
      </w:pPr>
    </w:p>
    <w:sectPr w:rsidR="0065017F" w:rsidRPr="00F64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FDF2" w14:textId="77777777" w:rsidR="00F725DF" w:rsidRDefault="00F725DF" w:rsidP="001C11E5">
      <w:r>
        <w:separator/>
      </w:r>
    </w:p>
  </w:endnote>
  <w:endnote w:type="continuationSeparator" w:id="0">
    <w:p w14:paraId="3A29C556" w14:textId="77777777" w:rsidR="00F725DF" w:rsidRDefault="00F725DF" w:rsidP="001C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A9F2" w14:textId="77777777" w:rsidR="00F725DF" w:rsidRDefault="00F725DF" w:rsidP="001C11E5">
      <w:r>
        <w:separator/>
      </w:r>
    </w:p>
  </w:footnote>
  <w:footnote w:type="continuationSeparator" w:id="0">
    <w:p w14:paraId="6F4BD8A2" w14:textId="77777777" w:rsidR="00F725DF" w:rsidRDefault="00F725DF" w:rsidP="001C1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QwsDCxNDYzNjWzNDBR0lEKTi0uzszPAykwqgUAodYcQSwAAAA="/>
  </w:docVars>
  <w:rsids>
    <w:rsidRoot w:val="0001683E"/>
    <w:rsid w:val="000155E2"/>
    <w:rsid w:val="0001683E"/>
    <w:rsid w:val="000C1670"/>
    <w:rsid w:val="0017007B"/>
    <w:rsid w:val="001C11E5"/>
    <w:rsid w:val="0025460A"/>
    <w:rsid w:val="00287C0A"/>
    <w:rsid w:val="002F7ADD"/>
    <w:rsid w:val="003B3309"/>
    <w:rsid w:val="004221DF"/>
    <w:rsid w:val="0065017F"/>
    <w:rsid w:val="006E480C"/>
    <w:rsid w:val="008D6933"/>
    <w:rsid w:val="00AA2719"/>
    <w:rsid w:val="00B5385F"/>
    <w:rsid w:val="00B55AE8"/>
    <w:rsid w:val="00C6161A"/>
    <w:rsid w:val="00CB6744"/>
    <w:rsid w:val="00DC630E"/>
    <w:rsid w:val="00DD3045"/>
    <w:rsid w:val="00EA20B5"/>
    <w:rsid w:val="00F64C62"/>
    <w:rsid w:val="00F7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8E2DE"/>
  <w15:chartTrackingRefBased/>
  <w15:docId w15:val="{166FDF48-352D-44B8-9688-B26BCE16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8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"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1683E"/>
    <w:pPr>
      <w:spacing w:after="0" w:line="240" w:lineRule="auto"/>
      <w:ind w:firstLine="420"/>
    </w:pPr>
    <w:rPr>
      <w:sz w:val="21"/>
      <w:lang w:eastAsia="ja-JP"/>
      <w14:ligatures w14:val="none"/>
    </w:rPr>
  </w:style>
  <w:style w:type="character" w:customStyle="1" w:styleId="a4">
    <w:name w:val="行間詰め (文字)"/>
    <w:basedOn w:val="a0"/>
    <w:link w:val="a3"/>
    <w:uiPriority w:val="1"/>
    <w:rsid w:val="0001683E"/>
    <w:rPr>
      <w:rFonts w:eastAsiaTheme="minorEastAsia"/>
      <w:sz w:val="21"/>
      <w:lang w:eastAsia="ja-JP"/>
      <w14:ligatures w14:val="none"/>
    </w:rPr>
  </w:style>
  <w:style w:type="table" w:styleId="a5">
    <w:name w:val="Table Grid"/>
    <w:basedOn w:val="a1"/>
    <w:uiPriority w:val="59"/>
    <w:rsid w:val="0001683E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01683E"/>
    <w:pPr>
      <w:adjustRightInd w:val="0"/>
      <w:snapToGrid w:val="0"/>
      <w:spacing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  <w14:ligatures w14:val="none"/>
    </w:rPr>
  </w:style>
  <w:style w:type="paragraph" w:customStyle="1" w:styleId="MDPI23heading3">
    <w:name w:val="MDPI_2.3_heading3"/>
    <w:qFormat/>
    <w:rsid w:val="0001683E"/>
    <w:pPr>
      <w:adjustRightInd w:val="0"/>
      <w:snapToGrid w:val="0"/>
      <w:spacing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character" w:styleId="a6">
    <w:name w:val="annotation reference"/>
    <w:basedOn w:val="a0"/>
    <w:uiPriority w:val="99"/>
    <w:semiHidden/>
    <w:unhideWhenUsed/>
    <w:rsid w:val="0001683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1683E"/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rsid w:val="0001683E"/>
    <w:rPr>
      <w:rFonts w:ascii="Times New Roman" w:eastAsia="Times New Roman" w:hAnsi="Times New Roman" w:cs="Times New Roman"/>
      <w:kern w:val="0"/>
      <w:sz w:val="20"/>
      <w:szCs w:val="20"/>
      <w:lang w:val="" w:eastAsia="ja-JP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1683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01683E"/>
    <w:rPr>
      <w:rFonts w:ascii="Times New Roman" w:eastAsia="Times New Roman" w:hAnsi="Times New Roman" w:cs="Times New Roman"/>
      <w:b/>
      <w:bCs/>
      <w:kern w:val="0"/>
      <w:sz w:val="20"/>
      <w:szCs w:val="20"/>
      <w:lang w:val="" w:eastAsia="ja-JP"/>
      <w14:ligatures w14:val="none"/>
    </w:rPr>
  </w:style>
  <w:style w:type="paragraph" w:styleId="ab">
    <w:name w:val="header"/>
    <w:basedOn w:val="a"/>
    <w:link w:val="ac"/>
    <w:uiPriority w:val="99"/>
    <w:unhideWhenUsed/>
    <w:rsid w:val="001C11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C11E5"/>
    <w:rPr>
      <w:rFonts w:ascii="Times New Roman" w:eastAsia="Times New Roman" w:hAnsi="Times New Roman" w:cs="Times New Roman"/>
      <w:kern w:val="0"/>
      <w:sz w:val="24"/>
      <w:szCs w:val="24"/>
      <w:lang w:val="" w:eastAsia="ja-JP"/>
      <w14:ligatures w14:val="none"/>
    </w:rPr>
  </w:style>
  <w:style w:type="paragraph" w:styleId="ad">
    <w:name w:val="footer"/>
    <w:basedOn w:val="a"/>
    <w:link w:val="ae"/>
    <w:uiPriority w:val="99"/>
    <w:unhideWhenUsed/>
    <w:rsid w:val="001C11E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C11E5"/>
    <w:rPr>
      <w:rFonts w:ascii="Times New Roman" w:eastAsia="Times New Roman" w:hAnsi="Times New Roman" w:cs="Times New Roman"/>
      <w:kern w:val="0"/>
      <w:sz w:val="24"/>
      <w:szCs w:val="24"/>
      <w:lang w:val="" w:eastAsia="ja-JP"/>
      <w14:ligatures w14:val="none"/>
    </w:rPr>
  </w:style>
  <w:style w:type="paragraph" w:customStyle="1" w:styleId="EndNoteBibliographyTitle">
    <w:name w:val="EndNote Bibliography Title"/>
    <w:basedOn w:val="a"/>
    <w:link w:val="EndNoteBibliographyTitle0"/>
    <w:rsid w:val="00DC630E"/>
    <w:pPr>
      <w:spacing w:before="240" w:after="160" w:line="480" w:lineRule="auto"/>
      <w:ind w:firstLine="420"/>
      <w:jc w:val="center"/>
    </w:pPr>
    <w:rPr>
      <w:rFonts w:ascii="Century" w:eastAsiaTheme="minorEastAsia" w:hAnsi="Century" w:cstheme="minorBidi"/>
      <w:noProof/>
      <w:kern w:val="2"/>
      <w:sz w:val="20"/>
      <w:szCs w:val="22"/>
      <w:lang w:val="en-US"/>
    </w:rPr>
  </w:style>
  <w:style w:type="character" w:customStyle="1" w:styleId="EndNoteBibliographyTitle0">
    <w:name w:val="EndNote Bibliography Title (文字)"/>
    <w:basedOn w:val="a4"/>
    <w:link w:val="EndNoteBibliographyTitle"/>
    <w:rsid w:val="00DC630E"/>
    <w:rPr>
      <w:rFonts w:ascii="Century" w:eastAsiaTheme="minorEastAsia" w:hAnsi="Century"/>
      <w:noProof/>
      <w:sz w:val="20"/>
      <w:lang w:eastAsia="ja-JP"/>
      <w14:ligatures w14:val="none"/>
    </w:rPr>
  </w:style>
  <w:style w:type="paragraph" w:styleId="af">
    <w:name w:val="Revision"/>
    <w:hidden/>
    <w:uiPriority w:val="99"/>
    <w:semiHidden/>
    <w:rsid w:val="00EA20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"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Tetsu Tomonari</cp:lastModifiedBy>
  <cp:revision>2</cp:revision>
  <dcterms:created xsi:type="dcterms:W3CDTF">2023-09-19T06:15:00Z</dcterms:created>
  <dcterms:modified xsi:type="dcterms:W3CDTF">2023-09-19T06:15:00Z</dcterms:modified>
</cp:coreProperties>
</file>