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DB4C" w14:textId="77777777" w:rsidR="00EB77D0" w:rsidRPr="00971085" w:rsidRDefault="00EB77D0" w:rsidP="00EB77D0">
      <w:pPr>
        <w:adjustRightInd w:val="0"/>
        <w:snapToGrid w:val="0"/>
        <w:spacing w:after="160" w:line="240" w:lineRule="auto"/>
        <w:ind w:left="904" w:right="425" w:hangingChars="500" w:hanging="904"/>
        <w:rPr>
          <w:rFonts w:eastAsia="Times New Roman" w:cs="Calibri"/>
          <w:noProof w:val="0"/>
          <w:color w:val="FF0000"/>
          <w:sz w:val="18"/>
          <w:szCs w:val="18"/>
          <w:lang w:eastAsia="de-DE" w:bidi="en-US"/>
        </w:rPr>
      </w:pPr>
      <w:r w:rsidRPr="00971085">
        <w:rPr>
          <w:rFonts w:eastAsia="Times New Roman" w:cs="Calibri"/>
          <w:b/>
          <w:bCs/>
          <w:noProof w:val="0"/>
          <w:color w:val="FF0000"/>
          <w:sz w:val="18"/>
          <w:szCs w:val="18"/>
          <w:lang w:eastAsia="de-DE" w:bidi="en-US"/>
        </w:rPr>
        <w:t>Table S</w:t>
      </w:r>
      <w:r w:rsidRPr="00971085">
        <w:rPr>
          <w:rFonts w:eastAsia="ＭＳ 明朝" w:cs="Calibri"/>
          <w:b/>
          <w:bCs/>
          <w:noProof w:val="0"/>
          <w:color w:val="FF0000"/>
          <w:sz w:val="18"/>
          <w:szCs w:val="18"/>
          <w:lang w:eastAsia="ja-JP" w:bidi="en-US"/>
        </w:rPr>
        <w:t>4</w:t>
      </w:r>
      <w:r w:rsidRPr="00971085">
        <w:rPr>
          <w:rFonts w:eastAsia="Times New Roman" w:cs="Calibri"/>
          <w:b/>
          <w:bCs/>
          <w:noProof w:val="0"/>
          <w:color w:val="FF0000"/>
          <w:sz w:val="18"/>
          <w:szCs w:val="18"/>
          <w:lang w:eastAsia="de-DE" w:bidi="en-US"/>
        </w:rPr>
        <w:t>.</w:t>
      </w:r>
      <w:r w:rsidRPr="00971085">
        <w:rPr>
          <w:rFonts w:eastAsia="Times New Roman" w:cs="Calibri"/>
          <w:noProof w:val="0"/>
          <w:color w:val="FF0000"/>
          <w:sz w:val="18"/>
          <w:szCs w:val="18"/>
          <w:lang w:eastAsia="de-DE" w:bidi="en-US"/>
        </w:rPr>
        <w:t xml:space="preserve"> Univariate analyses of factors that influenced Atezolizumab + Bevacizumab conversion therapy.</w:t>
      </w:r>
    </w:p>
    <w:tbl>
      <w:tblPr>
        <w:tblStyle w:val="3"/>
        <w:tblW w:w="850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6"/>
        <w:gridCol w:w="1405"/>
        <w:gridCol w:w="1407"/>
        <w:gridCol w:w="1631"/>
        <w:gridCol w:w="1183"/>
        <w:gridCol w:w="133"/>
      </w:tblGrid>
      <w:tr w:rsidR="00971085" w:rsidRPr="00971085" w14:paraId="496B26DA" w14:textId="77777777" w:rsidTr="00F56C88">
        <w:trPr>
          <w:gridAfter w:val="1"/>
          <w:wAfter w:w="134" w:type="dxa"/>
          <w:trHeight w:val="333"/>
          <w:jc w:val="center"/>
        </w:trPr>
        <w:tc>
          <w:tcPr>
            <w:tcW w:w="275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B7AB1B4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ind w:firstLine="105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Variables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</w:tcBorders>
            <w:vAlign w:val="center"/>
          </w:tcPr>
          <w:p w14:paraId="4CFFF79E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Category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</w:tcBorders>
            <w:vAlign w:val="center"/>
          </w:tcPr>
          <w:p w14:paraId="12CB4F34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ind w:firstLineChars="300" w:firstLine="602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No. of Patients (%)</w:t>
            </w:r>
          </w:p>
        </w:tc>
        <w:tc>
          <w:tcPr>
            <w:tcW w:w="11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A3976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 xml:space="preserve">Univariate </w:t>
            </w:r>
          </w:p>
        </w:tc>
      </w:tr>
      <w:tr w:rsidR="00971085" w:rsidRPr="00971085" w14:paraId="214D1105" w14:textId="77777777" w:rsidTr="00F56C88">
        <w:trPr>
          <w:trHeight w:val="333"/>
          <w:jc w:val="center"/>
        </w:trPr>
        <w:tc>
          <w:tcPr>
            <w:tcW w:w="27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E61DF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</w:tcPr>
          <w:p w14:paraId="58BD7855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7BE4A4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proofErr w:type="spellStart"/>
            <w:r w:rsidRPr="00971085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>A</w:t>
            </w: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tezo+Bev</w:t>
            </w:r>
            <w:proofErr w:type="spellEnd"/>
          </w:p>
          <w:p w14:paraId="5A34EAEC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Conversion +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B254B42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 xml:space="preserve">　</w:t>
            </w:r>
            <w:proofErr w:type="spellStart"/>
            <w:r w:rsidRPr="00971085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>A</w:t>
            </w: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tezo+Bev</w:t>
            </w:r>
            <w:proofErr w:type="spellEnd"/>
          </w:p>
          <w:p w14:paraId="20C4EF8E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 xml:space="preserve">Conversion </w:t>
            </w:r>
          </w:p>
          <w:p w14:paraId="3E26E67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 xml:space="preserve">　</w:t>
            </w:r>
            <w:r w:rsidRPr="00971085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-</w:t>
            </w:r>
          </w:p>
          <w:p w14:paraId="75652352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  <w:p w14:paraId="4408FFCB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49E417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</w:p>
          <w:p w14:paraId="35C01BE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  <w:t>p-value</w:t>
            </w:r>
          </w:p>
          <w:p w14:paraId="25FC1736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</w:p>
          <w:p w14:paraId="53132A5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3B1DDD23" w14:textId="77777777" w:rsidTr="00F56C88">
        <w:trPr>
          <w:jc w:val="center"/>
        </w:trPr>
        <w:tc>
          <w:tcPr>
            <w:tcW w:w="27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92C17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Age, (years)</w:t>
            </w:r>
          </w:p>
          <w:p w14:paraId="2D1595A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ind w:firstLineChars="300" w:firstLine="600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nil"/>
            </w:tcBorders>
          </w:tcPr>
          <w:p w14:paraId="301A0453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  <w:t>≥75</w:t>
            </w:r>
          </w:p>
          <w:p w14:paraId="7124BEE3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  <w:t>&lt;75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</w:tcPr>
          <w:p w14:paraId="29BC0965" w14:textId="5A6DA0DD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67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2DC13625" w14:textId="039B406A" w:rsidR="00EB77D0" w:rsidRPr="00971085" w:rsidRDefault="00EB77D0" w:rsidP="00A22CB6">
            <w:pPr>
              <w:autoSpaceDE w:val="0"/>
              <w:autoSpaceDN w:val="0"/>
              <w:spacing w:line="240" w:lineRule="auto"/>
              <w:ind w:firstLineChars="150" w:firstLine="300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2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33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single" w:sz="4" w:space="0" w:color="auto"/>
              <w:bottom w:val="nil"/>
            </w:tcBorders>
          </w:tcPr>
          <w:p w14:paraId="6846E3BC" w14:textId="5CC7664C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49 (4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029B8947" w14:textId="35CE8154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58 (5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2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3EE2470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游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eastAsia="游明朝" w:cs="Calibri" w:hint="eastAsia"/>
                <w:noProof w:val="0"/>
                <w:snapToGrid w:val="0"/>
                <w:color w:val="FF0000"/>
                <w:lang w:eastAsia="ja-JP" w:bidi="en-US"/>
              </w:rPr>
              <w:t>0</w:t>
            </w:r>
            <w:r w:rsidRPr="00971085">
              <w:rPr>
                <w:rFonts w:eastAsia="游明朝" w:cs="Calibri"/>
                <w:noProof w:val="0"/>
                <w:snapToGrid w:val="0"/>
                <w:color w:val="FF0000"/>
                <w:lang w:eastAsia="ja-JP" w:bidi="en-US"/>
              </w:rPr>
              <w:t>.42</w:t>
            </w:r>
          </w:p>
          <w:p w14:paraId="01F8A6A6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  <w:tr w:rsidR="00971085" w:rsidRPr="00971085" w14:paraId="683F061C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B94F5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r w:rsidRPr="00971085">
              <w:rPr>
                <w:rFonts w:cs="Calibri"/>
                <w:noProof w:val="0"/>
                <w:color w:val="FF0000"/>
                <w:lang w:eastAsia="de-DE" w:bidi="en-US"/>
              </w:rPr>
              <w:t>Sex</w:t>
            </w:r>
          </w:p>
          <w:p w14:paraId="7725ECAF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04F5F03C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Male</w:t>
            </w:r>
          </w:p>
          <w:p w14:paraId="6A0DEE9C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Female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3387B515" w14:textId="33BECC3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4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783ABB5F" w14:textId="7B9FD9F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2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33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00331610" w14:textId="2BE87E49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93 (8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7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42E222AD" w14:textId="121324C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14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13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92FE5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0.20</w:t>
            </w:r>
          </w:p>
          <w:p w14:paraId="108F65BF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5B896AB3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DA4314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proofErr w:type="spellStart"/>
            <w:r w:rsidRPr="00971085">
              <w:rPr>
                <w:rFonts w:cs="Calibri"/>
                <w:noProof w:val="0"/>
                <w:color w:val="FF0000"/>
                <w:lang w:eastAsia="de-DE" w:bidi="en-US"/>
              </w:rPr>
              <w:t>Etiology</w:t>
            </w:r>
            <w:proofErr w:type="spellEnd"/>
          </w:p>
          <w:p w14:paraId="544C271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08855D0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Viral</w:t>
            </w:r>
          </w:p>
          <w:p w14:paraId="7F4D9E3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No-viral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5FBAABCB" w14:textId="457E05A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4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175D7D77" w14:textId="48719F1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2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33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78A2F53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52 (52)</w:t>
            </w:r>
          </w:p>
          <w:p w14:paraId="1EA6985A" w14:textId="45832D14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55 (4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8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2F65EC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0.10</w:t>
            </w:r>
          </w:p>
          <w:p w14:paraId="4D65F589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3783F651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CF3E60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r w:rsidRPr="00971085">
              <w:rPr>
                <w:rFonts w:cs="Calibri"/>
                <w:noProof w:val="0"/>
                <w:color w:val="FF0000"/>
                <w:lang w:eastAsia="de-DE" w:bidi="en-US"/>
              </w:rPr>
              <w:t>ECOG PS</w:t>
            </w:r>
          </w:p>
          <w:p w14:paraId="4698D18D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ind w:firstLineChars="400" w:firstLine="800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6FABDE8B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</w:t>
            </w:r>
          </w:p>
          <w:p w14:paraId="2F856FE9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2D230966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(17)</w:t>
            </w:r>
          </w:p>
          <w:p w14:paraId="342C5A08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 (83)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486C5CA" w14:textId="47EFB69D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24 (2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2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615EAAE6" w14:textId="19ACA668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 (8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CF359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</w:t>
            </w:r>
          </w:p>
          <w:p w14:paraId="3346A064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647935D5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8D6108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proofErr w:type="spellStart"/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mALBI</w:t>
            </w:r>
            <w:proofErr w:type="spellEnd"/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Grade 1+2a</w:t>
            </w:r>
          </w:p>
          <w:p w14:paraId="36D0676B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741C42D8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Yes</w:t>
            </w:r>
          </w:p>
          <w:p w14:paraId="7B3D438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7854F4B3" w14:textId="4D5C5E5C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100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6E3C62B2" w14:textId="790FDEF0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1DA3479E" w14:textId="1309969F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58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54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1BFF431B" w14:textId="42BE1439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49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46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BE19F5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0.03</w:t>
            </w:r>
          </w:p>
          <w:p w14:paraId="59F699D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38F19A90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130CF7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Child-Pugh score 5</w:t>
            </w:r>
          </w:p>
          <w:p w14:paraId="0AE5186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11E5010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Yes</w:t>
            </w:r>
          </w:p>
          <w:p w14:paraId="19644CF2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37E8A1A1" w14:textId="6B1F94B3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17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728D5C6D" w14:textId="59EAF0C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341FB19E" w14:textId="3F3B0A06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39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36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3EEDC327" w14:textId="47EA175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68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64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649752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0.42</w:t>
            </w:r>
          </w:p>
          <w:p w14:paraId="280DEAB3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13AB215E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C34F5F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BCLC stage</w:t>
            </w:r>
          </w:p>
          <w:p w14:paraId="0AC8A6D0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4EB42EFC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B</w:t>
            </w:r>
          </w:p>
          <w:p w14:paraId="717B66F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C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26290CE2" w14:textId="61C91CD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0FE01225" w14:textId="7D2BCC96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17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224D954" w14:textId="565654B5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60 (5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6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7AB234B8" w14:textId="5502BA1D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57 (</w:t>
            </w:r>
            <w:r w:rsidR="00A22CB6"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44</w:t>
            </w: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9D627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971085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0.16</w:t>
            </w:r>
          </w:p>
          <w:p w14:paraId="2DD65C99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971085" w:rsidRPr="00971085" w14:paraId="3555B880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2BC713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AFP level (ng/mL)</w:t>
            </w:r>
          </w:p>
          <w:p w14:paraId="5580F905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14:paraId="4FDE1BD8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≥400</w:t>
            </w:r>
          </w:p>
          <w:p w14:paraId="16DEFDF2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&lt;400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03C0E38A" w14:textId="0BA62F59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17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19E5E892" w14:textId="0B06FBAF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5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83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417EECD" w14:textId="056D71DD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38 (3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4530E612" w14:textId="249782E1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69 (6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F711D5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eastAsia="游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eastAsia="游明朝" w:cs="Calibri" w:hint="eastAsia"/>
                <w:noProof w:val="0"/>
                <w:snapToGrid w:val="0"/>
                <w:color w:val="FF0000"/>
                <w:lang w:eastAsia="ja-JP" w:bidi="en-US"/>
              </w:rPr>
              <w:t>0</w:t>
            </w:r>
            <w:r w:rsidRPr="00971085">
              <w:rPr>
                <w:rFonts w:eastAsia="游明朝" w:cs="Calibri"/>
                <w:noProof w:val="0"/>
                <w:snapToGrid w:val="0"/>
                <w:color w:val="FF0000"/>
                <w:lang w:eastAsia="ja-JP" w:bidi="en-US"/>
              </w:rPr>
              <w:t>.66</w:t>
            </w:r>
          </w:p>
          <w:p w14:paraId="44741BA7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  <w:tr w:rsidR="00971085" w:rsidRPr="00971085" w14:paraId="780EDE79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93D06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Treatment line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14:paraId="25ADF6D3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 xml:space="preserve">First line 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1DE2D179" w14:textId="30B20414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5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83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18ADA1D" w14:textId="422346E4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65 (6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DE4521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0.41</w:t>
            </w:r>
          </w:p>
        </w:tc>
      </w:tr>
      <w:tr w:rsidR="00EB77D0" w:rsidRPr="00971085" w14:paraId="28321671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79BFD7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  <w:vAlign w:val="center"/>
          </w:tcPr>
          <w:p w14:paraId="72C18CEB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Later line</w:t>
            </w:r>
          </w:p>
        </w:tc>
        <w:tc>
          <w:tcPr>
            <w:tcW w:w="1408" w:type="dxa"/>
            <w:tcBorders>
              <w:top w:val="nil"/>
              <w:bottom w:val="single" w:sz="4" w:space="0" w:color="auto"/>
            </w:tcBorders>
          </w:tcPr>
          <w:p w14:paraId="06481048" w14:textId="27E8805B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17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</w:tcPr>
          <w:p w14:paraId="15A545D8" w14:textId="23275382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42 (</w:t>
            </w:r>
            <w:r w:rsidR="00A22CB6"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39</w:t>
            </w:r>
            <w:r w:rsidRPr="00971085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751EFA" w14:textId="77777777" w:rsidR="00EB77D0" w:rsidRPr="00971085" w:rsidRDefault="00EB77D0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</w:tbl>
    <w:p w14:paraId="42121F46" w14:textId="77777777" w:rsidR="009C16C0" w:rsidRPr="00971085" w:rsidRDefault="009C16C0">
      <w:pPr>
        <w:rPr>
          <w:color w:val="FF0000"/>
        </w:rPr>
      </w:pPr>
    </w:p>
    <w:sectPr w:rsidR="009C16C0" w:rsidRPr="009710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458D" w14:textId="77777777" w:rsidR="00442637" w:rsidRDefault="00442637" w:rsidP="00A22CB6">
      <w:pPr>
        <w:spacing w:line="240" w:lineRule="auto"/>
      </w:pPr>
      <w:r>
        <w:separator/>
      </w:r>
    </w:p>
  </w:endnote>
  <w:endnote w:type="continuationSeparator" w:id="0">
    <w:p w14:paraId="7F14CE74" w14:textId="77777777" w:rsidR="00442637" w:rsidRDefault="00442637" w:rsidP="00A22C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F840" w14:textId="77777777" w:rsidR="00442637" w:rsidRDefault="00442637" w:rsidP="00A22CB6">
      <w:pPr>
        <w:spacing w:line="240" w:lineRule="auto"/>
      </w:pPr>
      <w:r>
        <w:separator/>
      </w:r>
    </w:p>
  </w:footnote>
  <w:footnote w:type="continuationSeparator" w:id="0">
    <w:p w14:paraId="466171C0" w14:textId="77777777" w:rsidR="00442637" w:rsidRDefault="00442637" w:rsidP="00A22C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D0"/>
    <w:rsid w:val="0035216E"/>
    <w:rsid w:val="00442637"/>
    <w:rsid w:val="00971085"/>
    <w:rsid w:val="00987310"/>
    <w:rsid w:val="009C16C0"/>
    <w:rsid w:val="00A22CB6"/>
    <w:rsid w:val="00EB77D0"/>
    <w:rsid w:val="00F836FD"/>
    <w:rsid w:val="00F900C1"/>
    <w:rsid w:val="00F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60F5B"/>
  <w15:chartTrackingRefBased/>
  <w15:docId w15:val="{DFDF4930-CEBD-4287-834E-DE0D81B2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120" w:line="480" w:lineRule="auto"/>
        <w:ind w:firstLine="4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7D0"/>
    <w:pPr>
      <w:spacing w:before="0" w:after="0" w:line="260" w:lineRule="atLeast"/>
      <w:ind w:firstLine="0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Πλέγμα πίνακα3"/>
    <w:basedOn w:val="a1"/>
    <w:next w:val="a3"/>
    <w:uiPriority w:val="59"/>
    <w:rsid w:val="00EB77D0"/>
    <w:pPr>
      <w:spacing w:before="0" w:after="0" w:line="240" w:lineRule="auto"/>
      <w:ind w:firstLine="0"/>
    </w:pPr>
    <w:rPr>
      <w:rFonts w:ascii="Times New Roman" w:eastAsia="SimSun" w:hAnsi="Times New Roman" w:cs="Times New Roman"/>
      <w:kern w:val="0"/>
      <w:sz w:val="20"/>
      <w:szCs w:val="20"/>
      <w:lang w:val="en-I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B77D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C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2CB6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A22C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2CB6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 Tomonari</dc:creator>
  <cp:keywords/>
  <dc:description/>
  <cp:lastModifiedBy>Tetsu Tomonari</cp:lastModifiedBy>
  <cp:revision>2</cp:revision>
  <dcterms:created xsi:type="dcterms:W3CDTF">2023-10-08T13:24:00Z</dcterms:created>
  <dcterms:modified xsi:type="dcterms:W3CDTF">2023-10-08T13:24:00Z</dcterms:modified>
</cp:coreProperties>
</file>