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880FF" w14:textId="14874965" w:rsidR="00310110" w:rsidRPr="002F7E55" w:rsidRDefault="00310110" w:rsidP="00310110">
      <w:pPr>
        <w:spacing w:before="240" w:after="240"/>
        <w:jc w:val="center"/>
        <w:rPr>
          <w:b/>
          <w:sz w:val="24"/>
          <w:szCs w:val="24"/>
        </w:rPr>
      </w:pPr>
      <w:proofErr w:type="spellStart"/>
      <w:r w:rsidRPr="002F7E55">
        <w:rPr>
          <w:b/>
          <w:sz w:val="24"/>
          <w:szCs w:val="24"/>
        </w:rPr>
        <w:t>ePEStemology</w:t>
      </w:r>
      <w:proofErr w:type="spellEnd"/>
      <w:r w:rsidR="002F7E55" w:rsidRPr="002F7E55">
        <w:rPr>
          <w:b/>
          <w:sz w:val="24"/>
          <w:szCs w:val="24"/>
        </w:rPr>
        <w:t xml:space="preserve"> database</w:t>
      </w:r>
    </w:p>
    <w:p w14:paraId="1A128654" w14:textId="697A21B6" w:rsidR="00310110" w:rsidRPr="002F7E55" w:rsidRDefault="002F7E55" w:rsidP="00310110">
      <w:pPr>
        <w:spacing w:before="240" w:after="24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by </w:t>
      </w:r>
      <w:r w:rsidRPr="002F7E55">
        <w:rPr>
          <w:b/>
          <w:sz w:val="20"/>
          <w:szCs w:val="20"/>
        </w:rPr>
        <w:t xml:space="preserve">Vijay </w:t>
      </w:r>
      <w:r w:rsidR="00310110" w:rsidRPr="002F7E55">
        <w:rPr>
          <w:b/>
          <w:sz w:val="20"/>
          <w:szCs w:val="20"/>
        </w:rPr>
        <w:t>Kolinjivadi</w:t>
      </w:r>
      <w:r w:rsidRPr="002F7E55">
        <w:rPr>
          <w:b/>
          <w:sz w:val="20"/>
          <w:szCs w:val="20"/>
        </w:rPr>
        <w:t>,</w:t>
      </w:r>
      <w:r w:rsidR="00310110" w:rsidRPr="002F7E55">
        <w:rPr>
          <w:b/>
          <w:sz w:val="20"/>
          <w:szCs w:val="20"/>
        </w:rPr>
        <w:t xml:space="preserve"> </w:t>
      </w:r>
      <w:r w:rsidRPr="002F7E55">
        <w:rPr>
          <w:b/>
          <w:sz w:val="20"/>
          <w:szCs w:val="20"/>
        </w:rPr>
        <w:t xml:space="preserve">Gert </w:t>
      </w:r>
      <w:r w:rsidR="00DD3029" w:rsidRPr="002F7E55">
        <w:rPr>
          <w:b/>
          <w:sz w:val="20"/>
          <w:szCs w:val="20"/>
        </w:rPr>
        <w:t>Van Hecken</w:t>
      </w:r>
      <w:r w:rsidRPr="002F7E55">
        <w:rPr>
          <w:b/>
          <w:sz w:val="20"/>
          <w:szCs w:val="20"/>
        </w:rPr>
        <w:t xml:space="preserve">, Billal </w:t>
      </w:r>
      <w:proofErr w:type="spellStart"/>
      <w:r w:rsidRPr="002F7E55">
        <w:rPr>
          <w:b/>
          <w:sz w:val="20"/>
          <w:szCs w:val="20"/>
        </w:rPr>
        <w:t>Tabaichount</w:t>
      </w:r>
      <w:proofErr w:type="spellEnd"/>
      <w:r w:rsidRPr="002F7E55">
        <w:rPr>
          <w:b/>
          <w:sz w:val="20"/>
          <w:szCs w:val="20"/>
        </w:rPr>
        <w:t xml:space="preserve">, </w:t>
      </w:r>
      <w:r w:rsidRPr="002F7E55">
        <w:rPr>
          <w:b/>
        </w:rPr>
        <w:t>Céline Jacob</w:t>
      </w:r>
      <w:r w:rsidR="00DD3029" w:rsidRPr="002F7E55">
        <w:rPr>
          <w:b/>
        </w:rPr>
        <w:t>, Charlène Kermagoret, Brian E</w:t>
      </w:r>
      <w:r w:rsidRPr="002F7E55">
        <w:rPr>
          <w:b/>
        </w:rPr>
        <w:t>.</w:t>
      </w:r>
      <w:r w:rsidR="00DD3029" w:rsidRPr="002F7E55">
        <w:rPr>
          <w:b/>
        </w:rPr>
        <w:t xml:space="preserve"> Robinson</w:t>
      </w:r>
      <w:r w:rsidRPr="002F7E55">
        <w:rPr>
          <w:b/>
        </w:rPr>
        <w:t>, Jérôme Dupras</w:t>
      </w:r>
    </w:p>
    <w:p w14:paraId="5DAD2C10" w14:textId="2B50C85C" w:rsidR="00B87C87" w:rsidRDefault="00B87C87" w:rsidP="00B87C87">
      <w:pPr>
        <w:spacing w:before="240" w:after="24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Variable list with description and values, </w:t>
      </w:r>
      <w:proofErr w:type="spellStart"/>
      <w:r>
        <w:rPr>
          <w:b/>
          <w:sz w:val="20"/>
          <w:szCs w:val="20"/>
        </w:rPr>
        <w:t>ePEStemology</w:t>
      </w:r>
      <w:proofErr w:type="spellEnd"/>
      <w:r>
        <w:rPr>
          <w:b/>
          <w:sz w:val="20"/>
          <w:szCs w:val="20"/>
        </w:rPr>
        <w:t xml:space="preserve"> </w:t>
      </w:r>
      <w:r w:rsidR="002F7E55">
        <w:rPr>
          <w:b/>
          <w:sz w:val="20"/>
          <w:szCs w:val="20"/>
        </w:rPr>
        <w:t>database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09"/>
        <w:gridCol w:w="5401"/>
        <w:gridCol w:w="5930"/>
      </w:tblGrid>
      <w:tr w:rsidR="00B523C4" w14:paraId="79787983" w14:textId="77777777" w:rsidTr="00B523C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8045D7" w14:textId="77777777" w:rsidR="00B523C4" w:rsidRDefault="00B523C4">
            <w:pPr>
              <w:pStyle w:val="NormalWeb"/>
              <w:spacing w:before="0" w:beforeAutospacing="0" w:after="0" w:afterAutospacing="0" w:line="276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0435C0" w14:textId="77777777" w:rsidR="00B523C4" w:rsidRDefault="00B523C4">
            <w:pPr>
              <w:pStyle w:val="NormalWeb"/>
              <w:spacing w:before="0" w:beforeAutospacing="0" w:after="0" w:afterAutospacing="0" w:line="276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EEF21" w14:textId="77777777" w:rsidR="00B523C4" w:rsidRDefault="00B523C4">
            <w:pPr>
              <w:pStyle w:val="NormalWeb"/>
              <w:spacing w:before="0" w:beforeAutospacing="0" w:after="0" w:afterAutospacing="0" w:line="276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Values</w:t>
            </w:r>
          </w:p>
        </w:tc>
      </w:tr>
      <w:tr w:rsidR="0071539B" w14:paraId="13525005" w14:textId="77777777" w:rsidTr="007153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A7D18" w14:textId="3DB125EF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Author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DC7C6" w14:textId="50091A04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Name of the author(s) of the article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5F0C3" w14:textId="0837DD47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Author name</w:t>
            </w:r>
          </w:p>
        </w:tc>
      </w:tr>
      <w:tr w:rsidR="0071539B" w14:paraId="17E68070" w14:textId="77777777" w:rsidTr="007153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487DD" w14:textId="6230ADC1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Title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CFE08" w14:textId="0086B177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Title of the article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A3D17" w14:textId="4A52C85E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Title article</w:t>
            </w:r>
          </w:p>
        </w:tc>
      </w:tr>
      <w:tr w:rsidR="0071539B" w14:paraId="2E1F5755" w14:textId="77777777" w:rsidTr="007153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9FD71" w14:textId="64DDA972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DOI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C86BB" w14:textId="26BA63EA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Official Digital Object Identifier (DOI) of the article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993FE" w14:textId="5797D841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DOI links </w:t>
            </w:r>
          </w:p>
        </w:tc>
      </w:tr>
      <w:tr w:rsidR="0071539B" w14:paraId="71CE0600" w14:textId="77777777" w:rsidTr="007153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62C7A" w14:textId="7750240E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Year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4FA93" w14:textId="5884233F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Year of publication of the article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D79FE" w14:textId="604912F5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2005, 2006,…, 2019</w:t>
            </w:r>
          </w:p>
        </w:tc>
      </w:tr>
      <w:tr w:rsidR="0071539B" w14:paraId="5E77A939" w14:textId="77777777" w:rsidTr="0071539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9212B" w14:textId="6E69307F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Journal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A2924" w14:textId="54765CC4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Name of journal in which the article is published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91E9A" w14:textId="5BD1A2F1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Journal name</w:t>
            </w:r>
          </w:p>
        </w:tc>
      </w:tr>
      <w:tr w:rsidR="0071539B" w14:paraId="359137A4" w14:textId="77777777" w:rsidTr="0071539B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3E127" w14:textId="1464EC4B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Volume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15FCC" w14:textId="7EC9AC92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Volume of journal in which the article is published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EBA6" w14:textId="19EE4724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Journal volume</w:t>
            </w:r>
          </w:p>
        </w:tc>
      </w:tr>
      <w:tr w:rsidR="0071539B" w14:paraId="7C56C07D" w14:textId="77777777" w:rsidTr="0071539B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05DA1" w14:textId="652BEB58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Institution 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4B52A" w14:textId="60F082CE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Name of main institution to which the first author of the article is affiliated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6F7A1" w14:textId="05D71200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Institution name</w:t>
            </w:r>
          </w:p>
        </w:tc>
      </w:tr>
      <w:tr w:rsidR="0071539B" w14:paraId="0476E827" w14:textId="77777777" w:rsidTr="0071539B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375EB" w14:textId="26DA3277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Institution 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F919D" w14:textId="1BCEB601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Type of main institution to which the first author of the article is affiliated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1F453" w14:textId="642915BC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University (1); Government or government-financed institute (2); Independent organization / NGO (3); Private consultancy / think tank (4); Other (5)</w:t>
            </w:r>
          </w:p>
        </w:tc>
      </w:tr>
      <w:tr w:rsidR="0071539B" w14:paraId="28EC2E49" w14:textId="77777777" w:rsidTr="0071539B">
        <w:trPr>
          <w:trHeight w:val="2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4C508" w14:textId="1733B12E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Institution country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7ABD6" w14:textId="3520EA0F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Country in which the first author’s main institution is based. </w:t>
            </w:r>
            <w:r w:rsidRPr="00CB3D1E">
              <w:rPr>
                <w:rFonts w:ascii="Arial" w:hAnsi="Arial" w:cs="Arial"/>
                <w:sz w:val="16"/>
                <w:szCs w:val="16"/>
                <w:lang w:val="en-US"/>
              </w:rPr>
              <w:t>For simplicity and assuming greater responsibility of the research effort in the contributions of the first author, we use first author as a proxy for institutional basis.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7E1BE" w14:textId="4AC00BB4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Country name</w:t>
            </w:r>
          </w:p>
        </w:tc>
      </w:tr>
      <w:tr w:rsidR="0071539B" w14:paraId="28A4BCF0" w14:textId="77777777" w:rsidTr="0071539B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86E74" w14:textId="448DD274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Direct-indirect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21A01" w14:textId="0FCF92B9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Direct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studies focus on PES, either theoretically or empirically;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Indirect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studies do not directly theoretically or empirically engage with PES to any extent; they merely propose PES as a potential policy solution to address ecological challenges.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C653E" w14:textId="293C69DF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Indirect (0); Direct (1); </w:t>
            </w:r>
          </w:p>
        </w:tc>
      </w:tr>
      <w:tr w:rsidR="0071539B" w14:paraId="7AA294AD" w14:textId="77777777" w:rsidTr="0071539B">
        <w:trPr>
          <w:trHeight w:val="127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10C9E" w14:textId="0DB65F5D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Thematic focus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533F9" w14:textId="77777777" w:rsidR="0071539B" w:rsidRDefault="0071539B" w:rsidP="0071539B">
            <w:pPr>
              <w:pStyle w:val="NormalWeb"/>
              <w:suppressLineNumbers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Main thematic focus or objectives addressed in the article</w:t>
            </w:r>
          </w:p>
          <w:p w14:paraId="3357B259" w14:textId="41F5ABF9" w:rsidR="0071539B" w:rsidRPr="0071539B" w:rsidRDefault="0071539B" w:rsidP="0071539B">
            <w:pPr>
              <w:pStyle w:val="NormalWeb"/>
              <w:suppressLineNumbers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71539B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t>(</w:t>
            </w:r>
            <w:r w:rsidRPr="0071539B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  <w:t>multiple entries possible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  <w:t>;</w:t>
            </w:r>
            <w:r w:rsidRPr="0071539B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  <w:t xml:space="preserve"> maximum 2 entries</w:t>
            </w:r>
            <w:r w:rsidRPr="0071539B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t>)</w:t>
            </w:r>
          </w:p>
          <w:p w14:paraId="6C8EEC50" w14:textId="69FFFEAE" w:rsidR="0071539B" w:rsidRPr="005D4371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fr-F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CA855" w14:textId="4661C078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Market-based valuation of PES (1); Effectiveness of PES (2); PES design (3); Spatial or social targeting in PES (4); Payment entitlements (5); (Collective) participation in PES (6); Transaction costs (7); PES and poverty alleviation (8); PES and power relations (9); PES and forest/habitat/natural resource management (10); PES and degrowth (11); Motivations around PES (12); Private sector, Corporate Social Responsibility and PES (22); PES and the role of intermediaries (14); Multiple/relational/indigenous values in PES contexts (15); Gender and PES (16); PES social/equity trade-offs (17); Uncertainties in PES (18); Land use change analysis in PES (19); PES and agri-environmental policies (20); Climate change and PES (21)</w:t>
            </w:r>
          </w:p>
        </w:tc>
      </w:tr>
      <w:tr w:rsidR="0071539B" w14:paraId="0606BFB5" w14:textId="77777777" w:rsidTr="0071539B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E9BD8" w14:textId="2F21A804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Methods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74ED" w14:textId="77777777" w:rsidR="0071539B" w:rsidRDefault="0071539B" w:rsidP="0071539B">
            <w:pPr>
              <w:pStyle w:val="NormalWeb"/>
              <w:suppressLineNumbers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Primary method(s) used in the study </w:t>
            </w:r>
          </w:p>
          <w:p w14:paraId="7F101A05" w14:textId="00FE7D3E" w:rsidR="0071539B" w:rsidRPr="005D4371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fr-FR"/>
              </w:rPr>
            </w:pPr>
            <w:r w:rsidRPr="0071539B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t>(</w:t>
            </w:r>
            <w:r w:rsidRPr="0071539B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  <w:t>multiple entries possible; maximum 3 entries</w:t>
            </w:r>
            <w:r w:rsidRPr="0071539B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7C32F9F" w14:textId="0EFE910F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Case study (1); Document review (secondary sources) (2); Theoretical/analytical modeling (3); Natural science (modeling) &amp; bio-resource engineering (4); Choice experiments, contingent valuation &amp; auction approaches (5); Interviews, focus groups and discursive approaches (6); Survey/regressions (7); Econometric modeling (8); Framed field experiments based on behavioral models (9); Descriptive statistics (t-test, non-parametric) (10); GIS spatialization / remote sensing (11); Scenario analysis (12); Deliberative methods/analysis (13); Value Chain Analysis (14); Multi-criteria analysis (15); Other (16)</w:t>
            </w:r>
          </w:p>
        </w:tc>
      </w:tr>
      <w:tr w:rsidR="0071539B" w14:paraId="440B69FF" w14:textId="77777777" w:rsidTr="0071539B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5272B" w14:textId="570F9AD4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Methodological approach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C811A" w14:textId="0CB3A191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Overarching main methodological approach applied in the study ranging from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quantitative analyses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(including randomized control trials, geospatial analyses, framed-field experiments, and contingent valuation or choice experiments),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qualitative analyses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(e.g. discourse analysis of interviews), to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conceptual and institutional analyses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(e.g. prescriptive, legal, or policy-oriented), and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mixed methods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(e.g. social multi-criteria evaluation)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18C2E" w14:textId="6249F664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Quantitative (1); Qualitative (2); Mixed methods (3); Conceptual/institutional/prescriptive (4)</w:t>
            </w:r>
          </w:p>
        </w:tc>
      </w:tr>
      <w:tr w:rsidR="0071539B" w14:paraId="61FB0FB3" w14:textId="77777777" w:rsidTr="0071539B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E38B4" w14:textId="4A7E3571" w:rsidR="0071539B" w:rsidRDefault="0071539B" w:rsidP="0071539B">
            <w:pPr>
              <w:pStyle w:val="NormalWeb"/>
              <w:spacing w:before="0" w:beforeAutospacing="0" w:after="0" w:afterAutospacing="0" w:line="276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Theoretical-empirical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1F56E" w14:textId="66D50518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Theoretical studies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only discuss PES theory, theoretical concepts, or broad overarching policy discussions without reference to grounded examples;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Empirical studies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discuss PES on the basis of empirical information or examples;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Combined studies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use both strategies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164F6" w14:textId="153149C8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Theoretical study (1); Empirical study (2); Combined study (3)</w:t>
            </w:r>
          </w:p>
        </w:tc>
      </w:tr>
      <w:tr w:rsidR="0071539B" w14:paraId="26A021FB" w14:textId="77777777" w:rsidTr="0071539B">
        <w:trPr>
          <w:trHeight w:val="1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3A2A" w14:textId="1EE82BE4" w:rsidR="0071539B" w:rsidRDefault="0071539B" w:rsidP="0071539B">
            <w:pPr>
              <w:pStyle w:val="NormalWeb"/>
              <w:spacing w:before="0" w:beforeAutospacing="0" w:after="0" w:afterAutospacing="0" w:line="276" w:lineRule="auto"/>
              <w:jc w:val="both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Contextual engagement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24BED" w14:textId="4BE88013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The type of engagement with social, cultural and political contexts and dynamics in the PES study.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Studies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 xml:space="preserve">informed by the setting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engage with the social/cultural/political context and/or the qualitative, lived or emotional experiences of a particular setting or context (e.g. local meanings of ‘nature’, and/or power asymmetries of diverging positionalities of actors);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Externally-driven studies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are based upon broad policy analyses and/or largely employ external expert-developed models or strategies to interpret data or implement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programmes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and policies with an idealized design (e.g. a choice experiment to uncover values for stylized development scenarios);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  <w:lang w:val="en-US"/>
              </w:rPr>
              <w:t>Combined studies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use both strategies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lastRenderedPageBreak/>
              <w:t>by introducing an external model, while at the same time ensuring that such a model is informed and dependent on the social, political, or cultural context of where the model is applied (e.g. a social multi-criteria model)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7A7E0" w14:textId="31864639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lastRenderedPageBreak/>
              <w:t>Informed by setting (1); Externally-driven (2); Combined (3)</w:t>
            </w:r>
          </w:p>
        </w:tc>
      </w:tr>
      <w:tr w:rsidR="0071539B" w14:paraId="17782AD0" w14:textId="77777777" w:rsidTr="005D4371">
        <w:trPr>
          <w:trHeight w:val="2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DB19" w14:textId="1C82A208" w:rsidR="0071539B" w:rsidRPr="00CE418E" w:rsidRDefault="0071539B" w:rsidP="0071539B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CE418E">
              <w:rPr>
                <w:rFonts w:ascii="Arial" w:hAnsi="Arial" w:cs="Arial"/>
                <w:b/>
                <w:sz w:val="16"/>
                <w:szCs w:val="16"/>
              </w:rPr>
              <w:t>Ecosystem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6B196" w14:textId="72DE1968" w:rsidR="0071539B" w:rsidRDefault="00401B8C" w:rsidP="0071539B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Main</w:t>
            </w:r>
            <w:r w:rsidR="0071539B" w:rsidRPr="00CE418E">
              <w:rPr>
                <w:rFonts w:ascii="Arial" w:hAnsi="Arial" w:cs="Arial"/>
                <w:sz w:val="16"/>
                <w:szCs w:val="16"/>
              </w:rPr>
              <w:t xml:space="preserve"> ecosystem</w:t>
            </w:r>
            <w:r>
              <w:rPr>
                <w:rFonts w:ascii="Arial" w:hAnsi="Arial" w:cs="Arial"/>
                <w:sz w:val="16"/>
                <w:szCs w:val="16"/>
              </w:rPr>
              <w:t xml:space="preserve"> type</w:t>
            </w:r>
            <w:r w:rsidR="0071539B" w:rsidRPr="00CE418E">
              <w:rPr>
                <w:rFonts w:ascii="Arial" w:hAnsi="Arial" w:cs="Arial"/>
                <w:sz w:val="16"/>
                <w:szCs w:val="16"/>
              </w:rPr>
              <w:t xml:space="preserve"> the study focuses on</w:t>
            </w:r>
          </w:p>
          <w:p w14:paraId="19CF4D17" w14:textId="02229ACC" w:rsidR="0071539B" w:rsidRPr="005D4371" w:rsidRDefault="0071539B" w:rsidP="0071539B">
            <w:pPr>
              <w:spacing w:after="0" w:line="276" w:lineRule="auto"/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5D4371">
              <w:rPr>
                <w:rFonts w:ascii="Arial" w:hAnsi="Arial" w:cs="Arial"/>
                <w:sz w:val="16"/>
                <w:szCs w:val="16"/>
                <w:lang w:val="fr-FR"/>
              </w:rPr>
              <w:t>(</w:t>
            </w:r>
            <w:r w:rsidRPr="005D4371">
              <w:rPr>
                <w:rFonts w:ascii="Arial" w:hAnsi="Arial" w:cs="Arial"/>
                <w:i/>
                <w:sz w:val="16"/>
                <w:szCs w:val="16"/>
                <w:lang w:val="fr-FR"/>
              </w:rPr>
              <w:t xml:space="preserve">multiple entries possible; </w:t>
            </w:r>
            <w:r w:rsidRPr="005D4371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  <w:t>maximum 2 entries</w:t>
            </w:r>
            <w:r w:rsidRPr="005D4371">
              <w:rPr>
                <w:rFonts w:ascii="Arial" w:hAnsi="Arial"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D1A56" w14:textId="4AFCD90E" w:rsidR="0071539B" w:rsidRPr="00CE418E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CE418E">
              <w:rPr>
                <w:rFonts w:ascii="Arial" w:hAnsi="Arial" w:cs="Arial"/>
                <w:sz w:val="16"/>
                <w:szCs w:val="16"/>
                <w:lang w:val="en-US"/>
              </w:rPr>
              <w:t>Forest (1); Wetland (2); Tundra/arctic (3); Ocean/marine (4); Agricultural and/or watershed (5); Desert (6); Grassland/paramo/savanna (7); River/lake (8); Mediterranean (9); Mountains (10); Urban (11); None (12)</w:t>
            </w:r>
          </w:p>
        </w:tc>
      </w:tr>
      <w:tr w:rsidR="0071539B" w14:paraId="11A254B8" w14:textId="77777777" w:rsidTr="005D4371">
        <w:trPr>
          <w:trHeight w:val="1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43DE3" w14:textId="611FBEEF" w:rsidR="0071539B" w:rsidRPr="00CE418E" w:rsidRDefault="0071539B" w:rsidP="0071539B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CE418E">
              <w:rPr>
                <w:rFonts w:ascii="Arial" w:hAnsi="Arial" w:cs="Arial"/>
                <w:b/>
                <w:sz w:val="16"/>
                <w:szCs w:val="16"/>
              </w:rPr>
              <w:t>Ecosystem</w:t>
            </w:r>
            <w:proofErr w:type="spellEnd"/>
            <w:r w:rsidRPr="00CE418E">
              <w:rPr>
                <w:rFonts w:ascii="Arial" w:hAnsi="Arial" w:cs="Arial"/>
                <w:b/>
                <w:sz w:val="16"/>
                <w:szCs w:val="16"/>
              </w:rPr>
              <w:t xml:space="preserve"> Service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D8542" w14:textId="7B81319A" w:rsidR="0071539B" w:rsidRDefault="00401B8C" w:rsidP="0071539B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Main</w:t>
            </w:r>
            <w:r w:rsidR="0071539B" w:rsidRPr="00CE418E">
              <w:rPr>
                <w:rFonts w:ascii="Arial" w:hAnsi="Arial" w:cs="Arial"/>
                <w:sz w:val="16"/>
                <w:szCs w:val="16"/>
              </w:rPr>
              <w:t xml:space="preserve"> ecosystem service the </w:t>
            </w:r>
            <w:r>
              <w:rPr>
                <w:rFonts w:ascii="Arial" w:hAnsi="Arial" w:cs="Arial"/>
                <w:sz w:val="16"/>
                <w:szCs w:val="16"/>
              </w:rPr>
              <w:t>study</w:t>
            </w:r>
            <w:r w:rsidR="0071539B" w:rsidRPr="00CE418E">
              <w:rPr>
                <w:rFonts w:ascii="Arial" w:hAnsi="Arial" w:cs="Arial"/>
                <w:sz w:val="16"/>
                <w:szCs w:val="16"/>
              </w:rPr>
              <w:t xml:space="preserve"> identifies or considers in the context of PES</w:t>
            </w:r>
            <w:r w:rsidR="0071539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0B6F1A7" w14:textId="25BA963E" w:rsidR="0071539B" w:rsidRPr="005D4371" w:rsidRDefault="0071539B" w:rsidP="0071539B">
            <w:pPr>
              <w:spacing w:after="0" w:line="276" w:lineRule="auto"/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</w:pPr>
            <w:r w:rsidRPr="005D4371">
              <w:rPr>
                <w:rFonts w:ascii="Arial" w:hAnsi="Arial" w:cs="Arial"/>
                <w:sz w:val="16"/>
                <w:szCs w:val="16"/>
                <w:lang w:val="fr-FR"/>
              </w:rPr>
              <w:t>(</w:t>
            </w:r>
            <w:r w:rsidRPr="005D4371">
              <w:rPr>
                <w:rFonts w:ascii="Arial" w:hAnsi="Arial" w:cs="Arial"/>
                <w:i/>
                <w:sz w:val="16"/>
                <w:szCs w:val="16"/>
                <w:lang w:val="fr-FR"/>
              </w:rPr>
              <w:t xml:space="preserve">multiple entries possible; </w:t>
            </w:r>
            <w:r w:rsidRPr="005D4371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  <w:t>maximum 3 entries</w:t>
            </w:r>
            <w:r w:rsidRPr="005D4371">
              <w:rPr>
                <w:rFonts w:ascii="Arial" w:hAnsi="Arial"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15262" w14:textId="688EB2E5" w:rsidR="0071539B" w:rsidRPr="00CE418E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CE418E">
              <w:rPr>
                <w:rFonts w:ascii="Arial" w:hAnsi="Arial" w:cs="Arial"/>
                <w:sz w:val="16"/>
                <w:szCs w:val="16"/>
                <w:lang w:val="en-US"/>
              </w:rPr>
              <w:t>Biodiversity/wildlife (1); Carbon sequestration (2); Hydrological (3); Pollination (4); Cultural (5); Soil formation (6); Provisioning (7); Energy production (8); Storm protection (9); Fire protection (10); Fisheries (11); Pest management (12); Nutrient cycling (13); Not specified or general (14)</w:t>
            </w:r>
          </w:p>
        </w:tc>
      </w:tr>
      <w:tr w:rsidR="0071539B" w14:paraId="50231BC5" w14:textId="77777777" w:rsidTr="005D4371">
        <w:trPr>
          <w:trHeight w:val="3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BF5A7" w14:textId="6423101F" w:rsidR="0071539B" w:rsidRPr="00CE418E" w:rsidRDefault="0071539B" w:rsidP="0071539B">
            <w:pPr>
              <w:pStyle w:val="Norma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E418E">
              <w:rPr>
                <w:rFonts w:ascii="Arial" w:hAnsi="Arial" w:cs="Arial"/>
                <w:b/>
                <w:sz w:val="16"/>
                <w:szCs w:val="16"/>
              </w:rPr>
              <w:t>Discipline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E7338" w14:textId="0F6B79A1" w:rsidR="0071539B" w:rsidRPr="00CE418E" w:rsidRDefault="0071539B" w:rsidP="0071539B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CE418E">
              <w:rPr>
                <w:rFonts w:ascii="Arial" w:hAnsi="Arial" w:cs="Arial"/>
                <w:sz w:val="16"/>
                <w:szCs w:val="16"/>
              </w:rPr>
              <w:t>Key disciplinary approach of the study</w:t>
            </w:r>
          </w:p>
          <w:p w14:paraId="5C2BDEE2" w14:textId="46818950" w:rsidR="0071539B" w:rsidRPr="005D4371" w:rsidRDefault="0071539B" w:rsidP="0071539B">
            <w:pPr>
              <w:spacing w:after="0" w:line="276" w:lineRule="auto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5D4371">
              <w:rPr>
                <w:rFonts w:ascii="Arial" w:hAnsi="Arial" w:cs="Arial"/>
                <w:sz w:val="16"/>
                <w:szCs w:val="16"/>
                <w:lang w:val="fr-FR"/>
              </w:rPr>
              <w:t>(</w:t>
            </w:r>
            <w:r w:rsidRPr="005D4371">
              <w:rPr>
                <w:rFonts w:ascii="Arial" w:hAnsi="Arial" w:cs="Arial"/>
                <w:i/>
                <w:sz w:val="16"/>
                <w:szCs w:val="16"/>
                <w:lang w:val="fr-FR"/>
              </w:rPr>
              <w:t xml:space="preserve">multiple entries possible; </w:t>
            </w:r>
            <w:r w:rsidRPr="005D4371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  <w:t>maximum 5 entries</w:t>
            </w:r>
            <w:r w:rsidRPr="005D4371">
              <w:rPr>
                <w:rFonts w:ascii="Arial" w:hAnsi="Arial" w:cs="Arial"/>
                <w:sz w:val="16"/>
                <w:szCs w:val="16"/>
                <w:lang w:val="fr-FR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26E6D" w14:textId="01903997" w:rsidR="0071539B" w:rsidRPr="00CE418E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E418E">
              <w:rPr>
                <w:rFonts w:ascii="Arial" w:hAnsi="Arial" w:cs="Arial"/>
                <w:sz w:val="16"/>
                <w:szCs w:val="16"/>
                <w:lang w:val="en-US"/>
              </w:rPr>
              <w:t>Anthropology/sociology/political sciences (1); Ecology/biology/life sciences/natural sciences (2); Economics (neoclassical) (3); Psychology/behavioral (economics) sciences (4); Legal/policy-oriented (5); International development (6); Institutional/governance/commons (7); Gender and indigenous studies (8); Ecological/land use spatialization &amp; planning (9); (public) health (10)</w:t>
            </w:r>
          </w:p>
        </w:tc>
      </w:tr>
      <w:tr w:rsidR="0071539B" w14:paraId="26F9F23C" w14:textId="77777777" w:rsidTr="00B523C4">
        <w:trPr>
          <w:trHeight w:val="30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445959" w14:textId="76C3B8B3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Recommendation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A567BC" w14:textId="77777777" w:rsidR="0071539B" w:rsidRDefault="0071539B" w:rsidP="0071539B">
            <w:pPr>
              <w:pStyle w:val="NormalWeb"/>
              <w:suppressLineNumbers/>
              <w:spacing w:before="0" w:beforeAutospacing="0" w:after="0" w:afterAutospacing="0" w:line="276" w:lineRule="auto"/>
              <w:rPr>
                <w:lang w:val="en-US"/>
              </w:rPr>
            </w:pPr>
            <w:r w:rsidRPr="00E714D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Main conclusion, recommendation or concern of the study related to PES scholarship and/or specific </w:t>
            </w:r>
            <w:proofErr w:type="spellStart"/>
            <w:r w:rsidRPr="00E714D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programmes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 This could include points of attention for future research, recommendations regarding PES application and/or the applicability of PES more broadly.</w:t>
            </w:r>
          </w:p>
          <w:p w14:paraId="11CAD283" w14:textId="67B6E13C" w:rsidR="0071539B" w:rsidRPr="00D26A3F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fr-FR"/>
              </w:rPr>
            </w:pPr>
            <w:r w:rsidRPr="00D26A3F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t>(</w:t>
            </w:r>
            <w:r w:rsidRPr="00D26A3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  <w:t>multiple entries possible; maximum 3 entries</w:t>
            </w:r>
            <w:r w:rsidRPr="00D26A3F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FAA789" w14:textId="4F04E108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Efficiency concerns (1); Timing of PES and influence on long-term outcomes (2); Need of social contextualization (3); Optimization through targeting (4); Livelihood consideration and trade-offs (5); Need of more precise ecological science-backing (6); Need of more support and enforcement (7); More attentiveness to policy mixes and institutional arrangements across scales (8); More attentiveness to power relations (9); Concerns about effectiveness of outcomes (10); Concerns about land tenure and/or access to social capital (11); PES ineffectiveness (12); Risk aversion influencing PES (13); PES as state control/securitization (14); Gender concerns (15) </w:t>
            </w:r>
          </w:p>
        </w:tc>
      </w:tr>
      <w:tr w:rsidR="0071539B" w14:paraId="71E33C2B" w14:textId="77777777" w:rsidTr="00B523C4">
        <w:trPr>
          <w:trHeight w:val="1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CEBBDD" w14:textId="0C72CE3B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Author evaluation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A05D8" w14:textId="5E28E2C8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Authors’ overall evaluation of PES as a (potentially) successful strategy to achieve its stated objectives. 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val="en-US"/>
              </w:rPr>
              <w:t>Mixed evaluations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refer to PES as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offering potential but with some reservations/concerns to be addressed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8F1347" w14:textId="11DE7E04" w:rsidR="0071539B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Positive evaluation (1); Negative evaluation (2); Mixed evaluation (3)</w:t>
            </w:r>
          </w:p>
        </w:tc>
      </w:tr>
      <w:tr w:rsidR="0071539B" w14:paraId="43CA1A64" w14:textId="77777777" w:rsidTr="005D4371">
        <w:trPr>
          <w:trHeight w:val="1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CA3F0" w14:textId="62880F57" w:rsidR="0071539B" w:rsidRPr="005D4371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5D4371">
              <w:rPr>
                <w:rFonts w:ascii="Arial" w:hAnsi="Arial" w:cs="Arial"/>
                <w:b/>
                <w:sz w:val="16"/>
                <w:szCs w:val="16"/>
              </w:rPr>
              <w:t>Positionality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00A7D" w14:textId="1799F92D" w:rsidR="0071539B" w:rsidRDefault="0071539B" w:rsidP="0071539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5D4371">
              <w:rPr>
                <w:rFonts w:ascii="Arial" w:hAnsi="Arial" w:cs="Arial"/>
                <w:sz w:val="16"/>
                <w:szCs w:val="16"/>
              </w:rPr>
              <w:t xml:space="preserve">Explicit or implicit position and/or assumptions the authors of the study hold in relation to PES research, using three broad categories: </w:t>
            </w:r>
            <w:r w:rsidRPr="005D4371">
              <w:rPr>
                <w:rFonts w:ascii="Arial" w:hAnsi="Arial" w:cs="Arial"/>
                <w:i/>
                <w:sz w:val="16"/>
                <w:szCs w:val="16"/>
              </w:rPr>
              <w:t xml:space="preserve">Political Ecology </w:t>
            </w:r>
            <w:r w:rsidRPr="005D4371">
              <w:rPr>
                <w:rFonts w:ascii="Arial" w:hAnsi="Arial" w:cs="Arial"/>
                <w:sz w:val="16"/>
                <w:szCs w:val="16"/>
              </w:rPr>
              <w:t xml:space="preserve">perspectives are largely concerned with environmental/social </w:t>
            </w:r>
            <w:r w:rsidRPr="005D4371">
              <w:rPr>
                <w:rFonts w:ascii="Arial" w:hAnsi="Arial" w:cs="Arial"/>
                <w:sz w:val="16"/>
                <w:szCs w:val="16"/>
              </w:rPr>
              <w:lastRenderedPageBreak/>
              <w:t xml:space="preserve">justice implications and </w:t>
            </w:r>
            <w:r w:rsidR="00BE4CCE">
              <w:rPr>
                <w:rFonts w:ascii="Arial" w:hAnsi="Arial" w:cs="Arial"/>
                <w:sz w:val="16"/>
                <w:szCs w:val="16"/>
              </w:rPr>
              <w:t xml:space="preserve">explicitly PES on the basis of asymmetrical power relations between actors </w:t>
            </w:r>
            <w:r w:rsidR="00401B8C">
              <w:rPr>
                <w:rFonts w:ascii="Arial" w:hAnsi="Arial" w:cs="Arial"/>
                <w:sz w:val="16"/>
                <w:szCs w:val="16"/>
              </w:rPr>
              <w:t>(</w:t>
            </w:r>
            <w:r w:rsidRPr="005D4371">
              <w:rPr>
                <w:rFonts w:ascii="Arial" w:hAnsi="Arial" w:cs="Arial"/>
                <w:sz w:val="16"/>
                <w:szCs w:val="16"/>
              </w:rPr>
              <w:t xml:space="preserve">e.g. PES as a form of new commodity fetishism, or new forms of social exclusion induced by PES schemes); </w:t>
            </w:r>
            <w:r w:rsidRPr="005D4371">
              <w:rPr>
                <w:rFonts w:ascii="Arial" w:hAnsi="Arial" w:cs="Arial"/>
                <w:i/>
                <w:sz w:val="16"/>
                <w:szCs w:val="16"/>
              </w:rPr>
              <w:t>Environmental Economics</w:t>
            </w:r>
            <w:r w:rsidRPr="005D4371">
              <w:rPr>
                <w:rFonts w:ascii="Arial" w:hAnsi="Arial" w:cs="Arial"/>
                <w:sz w:val="16"/>
                <w:szCs w:val="16"/>
              </w:rPr>
              <w:t xml:space="preserve"> perspectives are mainly rooted in natural resource economics approaches and focus on prescriptive economic and managerial considerations to improve efficiency</w:t>
            </w:r>
            <w:r w:rsidR="00401B8C">
              <w:rPr>
                <w:rFonts w:ascii="Arial" w:hAnsi="Arial" w:cs="Arial"/>
                <w:sz w:val="16"/>
                <w:szCs w:val="16"/>
              </w:rPr>
              <w:t>, effectiveness,</w:t>
            </w:r>
            <w:r w:rsidRPr="005D4371">
              <w:rPr>
                <w:rFonts w:ascii="Arial" w:hAnsi="Arial" w:cs="Arial"/>
                <w:sz w:val="16"/>
                <w:szCs w:val="16"/>
              </w:rPr>
              <w:t xml:space="preserve"> or additionality of PES (e.g. designs that internalize nature’s costs into the economy, or spatial targeting for optimizing cost effectiveness); </w:t>
            </w:r>
            <w:r w:rsidRPr="005D4371">
              <w:rPr>
                <w:rFonts w:ascii="Arial" w:hAnsi="Arial" w:cs="Arial"/>
                <w:i/>
                <w:sz w:val="16"/>
                <w:szCs w:val="16"/>
              </w:rPr>
              <w:t>Ecological Economics</w:t>
            </w:r>
            <w:r w:rsidRPr="005D4371">
              <w:rPr>
                <w:rFonts w:ascii="Arial" w:hAnsi="Arial" w:cs="Arial"/>
                <w:sz w:val="16"/>
                <w:szCs w:val="16"/>
              </w:rPr>
              <w:t xml:space="preserve"> perspectives argue that PES should be analyzed and conceptualized as embedded within a broader socio-institutional context by integrating equity, justice and ecological-sustainability concerns into policy design (e.g. improving ways in which PES could lead to collective action and contextualized legitimacy, or as part of a broader policy mix).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D09F166" w14:textId="7B9CF8A9" w:rsidR="0071539B" w:rsidRPr="005D4371" w:rsidRDefault="0071539B" w:rsidP="0071539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D4371">
              <w:rPr>
                <w:rFonts w:ascii="Arial" w:hAnsi="Arial" w:cs="Arial"/>
                <w:sz w:val="16"/>
                <w:szCs w:val="16"/>
              </w:rPr>
              <w:t xml:space="preserve">For further details and examples of these positionalities, please refer to Kaiser et al. (2021), </w:t>
            </w:r>
            <w:proofErr w:type="spellStart"/>
            <w:r w:rsidRPr="005D4371">
              <w:rPr>
                <w:rFonts w:ascii="Arial" w:hAnsi="Arial" w:cs="Arial"/>
                <w:sz w:val="16"/>
                <w:szCs w:val="16"/>
              </w:rPr>
              <w:t>Tacconi</w:t>
            </w:r>
            <w:proofErr w:type="spellEnd"/>
            <w:r w:rsidRPr="005D4371">
              <w:rPr>
                <w:rFonts w:ascii="Arial" w:hAnsi="Arial" w:cs="Arial"/>
                <w:sz w:val="16"/>
                <w:szCs w:val="16"/>
              </w:rPr>
              <w:t xml:space="preserve"> (2012), and Van Hecken et al. (2015)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EAD46" w14:textId="527CC893" w:rsidR="0071539B" w:rsidRPr="005D4371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5D4371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Political Ecology (1); Environmental Economics (2); Ecological Economics (3); Other (4)</w:t>
            </w:r>
          </w:p>
        </w:tc>
      </w:tr>
      <w:tr w:rsidR="0071539B" w14:paraId="56AFC89B" w14:textId="77777777" w:rsidTr="005D4371">
        <w:trPr>
          <w:trHeight w:val="1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D44DD" w14:textId="04AB2458" w:rsidR="0071539B" w:rsidRPr="00BE4CCE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BE4CCE">
              <w:rPr>
                <w:rFonts w:ascii="Arial" w:hAnsi="Arial" w:cs="Arial"/>
                <w:b/>
                <w:bCs/>
                <w:sz w:val="16"/>
                <w:szCs w:val="16"/>
              </w:rPr>
              <w:t>Emphasis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46B35" w14:textId="2B528D2E" w:rsidR="0071539B" w:rsidRPr="00BE4CCE" w:rsidRDefault="00BE4CCE" w:rsidP="0071539B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BE4CCE">
              <w:rPr>
                <w:rFonts w:ascii="Arial" w:hAnsi="Arial" w:cs="Arial"/>
                <w:sz w:val="16"/>
                <w:szCs w:val="16"/>
              </w:rPr>
              <w:t xml:space="preserve">Overarching main emphasis of the </w:t>
            </w:r>
            <w:r w:rsidR="00554296">
              <w:rPr>
                <w:rFonts w:ascii="Arial" w:hAnsi="Arial" w:cs="Arial"/>
                <w:sz w:val="16"/>
                <w:szCs w:val="16"/>
              </w:rPr>
              <w:t xml:space="preserve">PES scheme in question within each paper. Drawing on Pascual et al (2010), the following categories are defined: </w:t>
            </w:r>
            <w:r w:rsidRPr="00BE4CCE">
              <w:rPr>
                <w:rFonts w:ascii="Arial" w:hAnsi="Arial" w:cs="Arial"/>
                <w:i/>
                <w:iCs/>
                <w:sz w:val="16"/>
                <w:szCs w:val="16"/>
              </w:rPr>
              <w:t>e</w:t>
            </w:r>
            <w:r w:rsidR="0071539B" w:rsidRPr="00BE4CCE">
              <w:rPr>
                <w:rFonts w:ascii="Arial" w:hAnsi="Arial" w:cs="Arial"/>
                <w:i/>
                <w:iCs/>
                <w:sz w:val="16"/>
                <w:szCs w:val="16"/>
              </w:rPr>
              <w:t>fficiency</w:t>
            </w:r>
            <w:r w:rsidR="0071539B" w:rsidRPr="00BE4CCE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554296">
              <w:rPr>
                <w:rFonts w:ascii="Arial" w:hAnsi="Arial" w:cs="Arial"/>
                <w:sz w:val="16"/>
                <w:szCs w:val="16"/>
              </w:rPr>
              <w:t xml:space="preserve">a focus on minimizing costs and maximizing return); </w:t>
            </w:r>
            <w:r w:rsidR="0071539B" w:rsidRPr="00BE4CCE">
              <w:rPr>
                <w:rFonts w:ascii="Arial" w:hAnsi="Arial" w:cs="Arial"/>
                <w:i/>
                <w:iCs/>
                <w:sz w:val="16"/>
                <w:szCs w:val="16"/>
              </w:rPr>
              <w:t>equity</w:t>
            </w:r>
            <w:r w:rsidRPr="00BE4CCE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554296">
              <w:rPr>
                <w:rFonts w:ascii="Arial" w:hAnsi="Arial" w:cs="Arial"/>
                <w:sz w:val="16"/>
                <w:szCs w:val="16"/>
              </w:rPr>
              <w:t xml:space="preserve">a focus on </w:t>
            </w:r>
            <w:r w:rsidRPr="00BE4CCE">
              <w:rPr>
                <w:rFonts w:ascii="Arial" w:hAnsi="Arial" w:cs="Arial"/>
                <w:sz w:val="16"/>
                <w:szCs w:val="16"/>
              </w:rPr>
              <w:t>justice</w:t>
            </w:r>
            <w:r w:rsidR="00554296">
              <w:rPr>
                <w:rFonts w:ascii="Arial" w:hAnsi="Arial" w:cs="Arial"/>
                <w:sz w:val="16"/>
                <w:szCs w:val="16"/>
              </w:rPr>
              <w:t xml:space="preserve"> and </w:t>
            </w:r>
            <w:r w:rsidRPr="00BE4CCE">
              <w:rPr>
                <w:rFonts w:ascii="Arial" w:hAnsi="Arial" w:cs="Arial"/>
                <w:sz w:val="16"/>
                <w:szCs w:val="16"/>
              </w:rPr>
              <w:t>fairness</w:t>
            </w:r>
            <w:r w:rsidR="00554296">
              <w:rPr>
                <w:rFonts w:ascii="Arial" w:hAnsi="Arial" w:cs="Arial"/>
                <w:sz w:val="16"/>
                <w:szCs w:val="16"/>
              </w:rPr>
              <w:t xml:space="preserve"> of PES schemes</w:t>
            </w:r>
            <w:r w:rsidR="0071539B" w:rsidRPr="00BE4CCE">
              <w:rPr>
                <w:rFonts w:ascii="Arial" w:hAnsi="Arial" w:cs="Arial"/>
                <w:sz w:val="16"/>
                <w:szCs w:val="16"/>
              </w:rPr>
              <w:t>);</w:t>
            </w:r>
            <w:r w:rsidRPr="00BE4C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E4CCE">
              <w:rPr>
                <w:rFonts w:ascii="Arial" w:hAnsi="Arial" w:cs="Arial"/>
                <w:i/>
                <w:iCs/>
                <w:sz w:val="16"/>
                <w:szCs w:val="16"/>
              </w:rPr>
              <w:t>a</w:t>
            </w:r>
            <w:r w:rsidR="0071539B" w:rsidRPr="00BE4CCE">
              <w:rPr>
                <w:rFonts w:ascii="Arial" w:hAnsi="Arial" w:cs="Arial"/>
                <w:i/>
                <w:iCs/>
                <w:sz w:val="16"/>
                <w:szCs w:val="16"/>
              </w:rPr>
              <w:t>dditionality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/conditionality </w:t>
            </w:r>
            <w:r w:rsidR="0071539B" w:rsidRPr="00BE4CCE">
              <w:rPr>
                <w:rFonts w:ascii="Arial" w:hAnsi="Arial" w:cs="Arial"/>
                <w:sz w:val="16"/>
                <w:szCs w:val="16"/>
              </w:rPr>
              <w:t>(</w:t>
            </w:r>
            <w:r w:rsidR="00554296">
              <w:rPr>
                <w:rFonts w:ascii="Arial" w:hAnsi="Arial" w:cs="Arial"/>
                <w:sz w:val="16"/>
                <w:szCs w:val="16"/>
              </w:rPr>
              <w:t>a focus on either ecolo</w:t>
            </w:r>
            <w:r w:rsidR="0071539B" w:rsidRPr="00BE4CCE">
              <w:rPr>
                <w:rFonts w:ascii="Arial" w:hAnsi="Arial" w:cs="Arial"/>
                <w:sz w:val="16"/>
                <w:szCs w:val="16"/>
              </w:rPr>
              <w:t>gical</w:t>
            </w:r>
            <w:r w:rsidR="00554296">
              <w:rPr>
                <w:rFonts w:ascii="Arial" w:hAnsi="Arial" w:cs="Arial"/>
                <w:sz w:val="16"/>
                <w:szCs w:val="16"/>
              </w:rPr>
              <w:t xml:space="preserve"> or </w:t>
            </w:r>
            <w:r w:rsidR="0071539B" w:rsidRPr="00BE4CCE">
              <w:rPr>
                <w:rFonts w:ascii="Arial" w:hAnsi="Arial" w:cs="Arial"/>
                <w:sz w:val="16"/>
                <w:szCs w:val="16"/>
              </w:rPr>
              <w:t xml:space="preserve">social-livelihood outcomes); </w:t>
            </w:r>
            <w:r w:rsidR="0071539B" w:rsidRPr="00BE4CCE">
              <w:rPr>
                <w:rFonts w:ascii="Arial" w:hAnsi="Arial" w:cs="Arial"/>
                <w:i/>
                <w:iCs/>
                <w:sz w:val="16"/>
                <w:szCs w:val="16"/>
              </w:rPr>
              <w:t>Institutional/policy conditions</w:t>
            </w:r>
            <w:r w:rsidR="0071539B" w:rsidRPr="00BE4CCE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="00554296">
              <w:rPr>
                <w:rFonts w:ascii="Arial" w:hAnsi="Arial" w:cs="Arial"/>
                <w:sz w:val="16"/>
                <w:szCs w:val="16"/>
              </w:rPr>
              <w:t xml:space="preserve">a focus on institutional factors, rules, </w:t>
            </w:r>
            <w:r w:rsidR="0071539B" w:rsidRPr="00BE4CCE">
              <w:rPr>
                <w:rFonts w:ascii="Arial" w:hAnsi="Arial" w:cs="Arial"/>
                <w:sz w:val="16"/>
                <w:szCs w:val="16"/>
              </w:rPr>
              <w:t>norms</w:t>
            </w:r>
            <w:r w:rsidR="00554296">
              <w:rPr>
                <w:rFonts w:ascii="Arial" w:hAnsi="Arial" w:cs="Arial"/>
                <w:sz w:val="16"/>
                <w:szCs w:val="16"/>
              </w:rPr>
              <w:t xml:space="preserve"> and policy architecture of putting PES in practice)</w:t>
            </w:r>
            <w:r w:rsidR="00D6715D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D6715D" w:rsidRPr="00D6715D">
              <w:rPr>
                <w:rFonts w:ascii="Arial" w:hAnsi="Arial" w:cs="Arial"/>
                <w:i/>
                <w:iCs/>
                <w:sz w:val="16"/>
                <w:szCs w:val="16"/>
              </w:rPr>
              <w:t>All of the above</w:t>
            </w:r>
            <w:r w:rsidR="00D6715D">
              <w:rPr>
                <w:rFonts w:ascii="Arial" w:hAnsi="Arial" w:cs="Arial"/>
                <w:sz w:val="16"/>
                <w:szCs w:val="16"/>
              </w:rPr>
              <w:t xml:space="preserve"> (a combined focus on all the categories mentioned above)</w:t>
            </w:r>
          </w:p>
          <w:p w14:paraId="0457C5C1" w14:textId="0A4EFB46" w:rsidR="0071539B" w:rsidRPr="00BE4CCE" w:rsidRDefault="0071539B" w:rsidP="0071539B">
            <w:pPr>
              <w:spacing w:after="0" w:line="276" w:lineRule="auto"/>
              <w:rPr>
                <w:rFonts w:ascii="Arial" w:hAnsi="Arial" w:cs="Arial"/>
                <w:i/>
                <w:iCs/>
                <w:sz w:val="16"/>
                <w:szCs w:val="16"/>
                <w:lang w:val="fr-FR"/>
              </w:rPr>
            </w:pPr>
            <w:r w:rsidRPr="00BE4CCE">
              <w:rPr>
                <w:rFonts w:ascii="Arial" w:hAnsi="Arial" w:cs="Arial"/>
                <w:i/>
                <w:iCs/>
                <w:sz w:val="16"/>
                <w:szCs w:val="16"/>
                <w:lang w:val="fr-FR"/>
              </w:rPr>
              <w:t>(multiple entries possible; maximum 3 entries)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A2D11" w14:textId="736996BF" w:rsidR="0071539B" w:rsidRPr="004165B5" w:rsidRDefault="0071539B" w:rsidP="0071539B">
            <w:pPr>
              <w:spacing w:after="0" w:line="276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E4CCE">
              <w:rPr>
                <w:rFonts w:ascii="Arial" w:hAnsi="Arial" w:cs="Arial"/>
                <w:sz w:val="16"/>
                <w:szCs w:val="16"/>
              </w:rPr>
              <w:t>Efficiency (1); Equity (2); Additionality</w:t>
            </w:r>
            <w:r w:rsidR="001D6620">
              <w:rPr>
                <w:rFonts w:ascii="Arial" w:hAnsi="Arial" w:cs="Arial"/>
                <w:sz w:val="16"/>
                <w:szCs w:val="16"/>
              </w:rPr>
              <w:t>/conditionality</w:t>
            </w:r>
            <w:r w:rsidRPr="00BE4CCE">
              <w:rPr>
                <w:rFonts w:ascii="Arial" w:hAnsi="Arial" w:cs="Arial"/>
                <w:sz w:val="16"/>
                <w:szCs w:val="16"/>
              </w:rPr>
              <w:t xml:space="preserve"> (3); Institutional/policy (4); All (5)</w:t>
            </w:r>
          </w:p>
        </w:tc>
      </w:tr>
      <w:tr w:rsidR="0071539B" w14:paraId="60238AE4" w14:textId="77777777" w:rsidTr="005D4371">
        <w:trPr>
          <w:trHeight w:val="1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58C32" w14:textId="57C5FBFB" w:rsidR="0071539B" w:rsidRPr="00865CEA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865CEA">
              <w:rPr>
                <w:rFonts w:ascii="Arial" w:hAnsi="Arial" w:cs="Arial"/>
                <w:b/>
                <w:bCs/>
                <w:sz w:val="16"/>
                <w:szCs w:val="16"/>
              </w:rPr>
              <w:t>Additionality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02FBC" w14:textId="413C07CE" w:rsidR="0071539B" w:rsidRPr="00865CEA" w:rsidRDefault="001D6620" w:rsidP="0071539B">
            <w:pPr>
              <w:spacing w:after="0" w:line="276" w:lineRule="auto"/>
              <w:rPr>
                <w:rFonts w:ascii="Arial" w:hAnsi="Arial" w:cs="Arial"/>
                <w:sz w:val="16"/>
                <w:szCs w:val="16"/>
              </w:rPr>
            </w:pPr>
            <w:r w:rsidRPr="00865CEA">
              <w:rPr>
                <w:rFonts w:ascii="Arial" w:hAnsi="Arial" w:cs="Arial"/>
                <w:sz w:val="16"/>
                <w:szCs w:val="16"/>
              </w:rPr>
              <w:t>If the variable “</w:t>
            </w:r>
            <w:r w:rsidRPr="00865CEA">
              <w:rPr>
                <w:rFonts w:ascii="Arial" w:hAnsi="Arial" w:cs="Arial"/>
                <w:i/>
                <w:iCs/>
                <w:sz w:val="16"/>
                <w:szCs w:val="16"/>
              </w:rPr>
              <w:t>Emphasis</w:t>
            </w:r>
            <w:r w:rsidRPr="00865CEA">
              <w:rPr>
                <w:rFonts w:ascii="Arial" w:hAnsi="Arial" w:cs="Arial"/>
                <w:sz w:val="16"/>
                <w:szCs w:val="16"/>
              </w:rPr>
              <w:t>”</w:t>
            </w:r>
            <w:r w:rsidR="0071539B" w:rsidRPr="00865CE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65CEA">
              <w:rPr>
                <w:rFonts w:ascii="Arial" w:hAnsi="Arial" w:cs="Arial"/>
                <w:sz w:val="16"/>
                <w:szCs w:val="16"/>
              </w:rPr>
              <w:t>is coded as “</w:t>
            </w:r>
            <w:r w:rsidR="0071539B" w:rsidRPr="00865CEA">
              <w:rPr>
                <w:rFonts w:ascii="Arial" w:hAnsi="Arial" w:cs="Arial"/>
                <w:sz w:val="16"/>
                <w:szCs w:val="16"/>
              </w:rPr>
              <w:t>additionality</w:t>
            </w:r>
            <w:r w:rsidRPr="00865CEA">
              <w:rPr>
                <w:rFonts w:ascii="Arial" w:hAnsi="Arial" w:cs="Arial"/>
                <w:sz w:val="16"/>
                <w:szCs w:val="16"/>
              </w:rPr>
              <w:t>/conditionality</w:t>
            </w:r>
            <w:r w:rsidR="0071539B" w:rsidRPr="00865CEA">
              <w:rPr>
                <w:rFonts w:ascii="Arial" w:hAnsi="Arial" w:cs="Arial"/>
                <w:sz w:val="16"/>
                <w:szCs w:val="16"/>
              </w:rPr>
              <w:t>”</w:t>
            </w:r>
            <w:r w:rsidRPr="00865CEA">
              <w:rPr>
                <w:rFonts w:ascii="Arial" w:hAnsi="Arial" w:cs="Arial"/>
                <w:sz w:val="16"/>
                <w:szCs w:val="16"/>
              </w:rPr>
              <w:t xml:space="preserve"> (3)</w:t>
            </w:r>
            <w:r w:rsidR="0071539B" w:rsidRPr="00865CEA">
              <w:rPr>
                <w:rFonts w:ascii="Arial" w:hAnsi="Arial" w:cs="Arial"/>
                <w:sz w:val="16"/>
                <w:szCs w:val="16"/>
              </w:rPr>
              <w:t>,</w:t>
            </w:r>
            <w:r w:rsidRPr="00865CEA">
              <w:rPr>
                <w:rFonts w:ascii="Arial" w:hAnsi="Arial" w:cs="Arial"/>
                <w:sz w:val="16"/>
                <w:szCs w:val="16"/>
              </w:rPr>
              <w:t xml:space="preserve"> then this variable further distinguishes additionality as a </w:t>
            </w:r>
            <w:r w:rsidR="0071539B" w:rsidRPr="00865CEA">
              <w:rPr>
                <w:rFonts w:ascii="Arial" w:hAnsi="Arial" w:cs="Arial"/>
                <w:sz w:val="16"/>
                <w:szCs w:val="16"/>
              </w:rPr>
              <w:t xml:space="preserve">focus primarily on </w:t>
            </w:r>
            <w:r w:rsidRPr="00865CEA">
              <w:rPr>
                <w:rFonts w:ascii="Arial" w:hAnsi="Arial" w:cs="Arial"/>
                <w:i/>
                <w:iCs/>
                <w:sz w:val="16"/>
                <w:szCs w:val="16"/>
              </w:rPr>
              <w:t>social outcomes</w:t>
            </w:r>
            <w:r w:rsidRPr="00865CEA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1539B" w:rsidRPr="00865CEA">
              <w:rPr>
                <w:rFonts w:ascii="Arial" w:hAnsi="Arial" w:cs="Arial"/>
                <w:i/>
                <w:iCs/>
                <w:sz w:val="16"/>
                <w:szCs w:val="16"/>
              </w:rPr>
              <w:t>ecological outcomes</w:t>
            </w:r>
            <w:r w:rsidR="0071539B" w:rsidRPr="00865CEA">
              <w:rPr>
                <w:rFonts w:ascii="Arial" w:hAnsi="Arial" w:cs="Arial"/>
                <w:sz w:val="16"/>
                <w:szCs w:val="16"/>
              </w:rPr>
              <w:t xml:space="preserve">, or </w:t>
            </w:r>
            <w:r w:rsidR="0071539B" w:rsidRPr="00865CEA">
              <w:rPr>
                <w:rFonts w:ascii="Arial" w:hAnsi="Arial" w:cs="Arial"/>
                <w:i/>
                <w:iCs/>
                <w:sz w:val="16"/>
                <w:szCs w:val="16"/>
              </w:rPr>
              <w:t>both</w:t>
            </w:r>
            <w:r w:rsidR="0071539B" w:rsidRPr="00865CEA">
              <w:rPr>
                <w:rFonts w:ascii="Arial" w:hAnsi="Arial" w:cs="Arial"/>
                <w:sz w:val="16"/>
                <w:szCs w:val="16"/>
              </w:rPr>
              <w:t xml:space="preserve"> (combining social and ecological outcomes)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40368" w14:textId="5ABEB0B5" w:rsidR="0071539B" w:rsidRPr="00865CEA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65CEA">
              <w:rPr>
                <w:rFonts w:ascii="Arial" w:hAnsi="Arial" w:cs="Arial"/>
                <w:sz w:val="16"/>
                <w:szCs w:val="16"/>
                <w:lang w:val="en-US"/>
              </w:rPr>
              <w:t>Social (1); Ecological (2) ; Both (3)</w:t>
            </w:r>
          </w:p>
        </w:tc>
      </w:tr>
      <w:tr w:rsidR="0071539B" w14:paraId="3065AA03" w14:textId="77777777" w:rsidTr="005D4371">
        <w:trPr>
          <w:trHeight w:val="1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F2389" w14:textId="08093A1B" w:rsidR="0071539B" w:rsidRPr="001A3E99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A3E99">
              <w:rPr>
                <w:rFonts w:ascii="Arial" w:hAnsi="Arial" w:cs="Arial"/>
                <w:b/>
                <w:sz w:val="16"/>
                <w:szCs w:val="16"/>
              </w:rPr>
              <w:t>Case</w:t>
            </w:r>
            <w:r w:rsidR="00865CE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1A3E99">
              <w:rPr>
                <w:rFonts w:ascii="Arial" w:hAnsi="Arial" w:cs="Arial"/>
                <w:b/>
                <w:sz w:val="16"/>
                <w:szCs w:val="16"/>
              </w:rPr>
              <w:t>examples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33FDE" w14:textId="02EB6B1B" w:rsidR="0071539B" w:rsidRPr="001A3E99" w:rsidRDefault="0071539B" w:rsidP="0071539B">
            <w:pPr>
              <w:spacing w:after="0" w:line="276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1A3E99">
              <w:rPr>
                <w:rFonts w:ascii="Arial" w:hAnsi="Arial" w:cs="Arial"/>
                <w:bCs/>
                <w:sz w:val="16"/>
                <w:szCs w:val="16"/>
              </w:rPr>
              <w:t xml:space="preserve">Number of empirical case studies or examples provided in the study: </w:t>
            </w:r>
            <w:r w:rsidRPr="001A3E99">
              <w:rPr>
                <w:rFonts w:ascii="Arial" w:hAnsi="Arial" w:cs="Arial"/>
                <w:bCs/>
                <w:i/>
                <w:sz w:val="16"/>
                <w:szCs w:val="16"/>
              </w:rPr>
              <w:t>single</w:t>
            </w:r>
            <w:r w:rsidRPr="001A3E99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1A3E99">
              <w:rPr>
                <w:rFonts w:ascii="Arial" w:hAnsi="Arial" w:cs="Arial"/>
                <w:bCs/>
                <w:i/>
                <w:sz w:val="16"/>
                <w:szCs w:val="16"/>
              </w:rPr>
              <w:t>multiple</w:t>
            </w:r>
            <w:r w:rsidRPr="001A3E99">
              <w:rPr>
                <w:rFonts w:ascii="Arial" w:hAnsi="Arial" w:cs="Arial"/>
                <w:bCs/>
                <w:sz w:val="16"/>
                <w:szCs w:val="16"/>
              </w:rPr>
              <w:t xml:space="preserve">, or </w:t>
            </w:r>
            <w:r w:rsidRPr="001A3E9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none </w:t>
            </w:r>
            <w:r w:rsidRPr="001A3E99">
              <w:rPr>
                <w:rFonts w:ascii="Arial" w:hAnsi="Arial" w:cs="Arial"/>
                <w:bCs/>
                <w:sz w:val="16"/>
                <w:szCs w:val="16"/>
              </w:rPr>
              <w:t xml:space="preserve">(for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strictly</w:t>
            </w:r>
            <w:r w:rsidRPr="001A3E99">
              <w:rPr>
                <w:rFonts w:ascii="Arial" w:hAnsi="Arial" w:cs="Arial"/>
                <w:bCs/>
                <w:sz w:val="16"/>
                <w:szCs w:val="16"/>
              </w:rPr>
              <w:t xml:space="preserve"> theoretical studies)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626A6" w14:textId="597F42FB" w:rsidR="0071539B" w:rsidRPr="001A3E99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1A3E99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Single 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case</w:t>
            </w:r>
            <w:r w:rsidRPr="001A3E99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(1); Multiple </w:t>
            </w: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cases</w:t>
            </w:r>
            <w:r w:rsidRPr="001A3E99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(2); None (theoretical) (3)</w:t>
            </w:r>
          </w:p>
        </w:tc>
      </w:tr>
      <w:tr w:rsidR="0071539B" w14:paraId="21C695E9" w14:textId="77777777" w:rsidTr="00A921EF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88325C" w14:textId="77777777" w:rsidR="0071539B" w:rsidRPr="001A3E99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A3E9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Country focus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00CD43" w14:textId="77777777" w:rsidR="0071539B" w:rsidRPr="001A3E99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A3E9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Country on which the study is focused</w:t>
            </w:r>
          </w:p>
          <w:p w14:paraId="4ACF5503" w14:textId="665A1DC7" w:rsidR="0071539B" w:rsidRPr="001A3E99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1A3E99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t>(</w:t>
            </w:r>
            <w:r w:rsidRPr="001A3E99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fr-FR"/>
              </w:rPr>
              <w:t>multiple entries possible; maximum 3 entries</w:t>
            </w:r>
            <w:r w:rsidRPr="001A3E99">
              <w:rPr>
                <w:rFonts w:ascii="Arial" w:hAnsi="Arial" w:cs="Arial"/>
                <w:color w:val="000000"/>
                <w:sz w:val="16"/>
                <w:szCs w:val="16"/>
                <w:lang w:val="fr-FR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D2D7C" w14:textId="77777777" w:rsidR="0071539B" w:rsidRPr="001A3E99" w:rsidRDefault="0071539B" w:rsidP="0071539B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A3E99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Country name</w:t>
            </w:r>
          </w:p>
        </w:tc>
      </w:tr>
    </w:tbl>
    <w:p w14:paraId="7A07638F" w14:textId="06E04E56" w:rsidR="00B87C87" w:rsidRDefault="00B87C87" w:rsidP="00B87C87">
      <w:pPr>
        <w:spacing w:before="240" w:after="240"/>
        <w:rPr>
          <w:sz w:val="19"/>
          <w:szCs w:val="19"/>
          <w:lang w:val="nl-NL"/>
        </w:rPr>
      </w:pPr>
    </w:p>
    <w:sectPr w:rsidR="00B87C87" w:rsidSect="00B523C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9B4564"/>
    <w:multiLevelType w:val="hybridMultilevel"/>
    <w:tmpl w:val="ECBCACE0"/>
    <w:lvl w:ilvl="0" w:tplc="8764A6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232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618"/>
    <w:rsid w:val="00062DC4"/>
    <w:rsid w:val="000746C8"/>
    <w:rsid w:val="000C618C"/>
    <w:rsid w:val="000F60CD"/>
    <w:rsid w:val="00153052"/>
    <w:rsid w:val="00153E94"/>
    <w:rsid w:val="00183CB1"/>
    <w:rsid w:val="001A3E99"/>
    <w:rsid w:val="001D6620"/>
    <w:rsid w:val="002B3F6F"/>
    <w:rsid w:val="002B7A8C"/>
    <w:rsid w:val="002F7E55"/>
    <w:rsid w:val="00310110"/>
    <w:rsid w:val="00330910"/>
    <w:rsid w:val="00355A24"/>
    <w:rsid w:val="003E686F"/>
    <w:rsid w:val="00400FAA"/>
    <w:rsid w:val="00401B8C"/>
    <w:rsid w:val="004165B5"/>
    <w:rsid w:val="004760F4"/>
    <w:rsid w:val="004873AE"/>
    <w:rsid w:val="00554296"/>
    <w:rsid w:val="005D4371"/>
    <w:rsid w:val="005D4618"/>
    <w:rsid w:val="0061223B"/>
    <w:rsid w:val="0071539B"/>
    <w:rsid w:val="00746701"/>
    <w:rsid w:val="007542D6"/>
    <w:rsid w:val="0078335F"/>
    <w:rsid w:val="0078581C"/>
    <w:rsid w:val="00817809"/>
    <w:rsid w:val="00865CEA"/>
    <w:rsid w:val="009705D8"/>
    <w:rsid w:val="0097580B"/>
    <w:rsid w:val="00A87F37"/>
    <w:rsid w:val="00A921EF"/>
    <w:rsid w:val="00B523C4"/>
    <w:rsid w:val="00B87C87"/>
    <w:rsid w:val="00BE4CCE"/>
    <w:rsid w:val="00C130D9"/>
    <w:rsid w:val="00C4446A"/>
    <w:rsid w:val="00CB1449"/>
    <w:rsid w:val="00CC4696"/>
    <w:rsid w:val="00CE418E"/>
    <w:rsid w:val="00D26A3F"/>
    <w:rsid w:val="00D6715D"/>
    <w:rsid w:val="00DD3029"/>
    <w:rsid w:val="00E446FF"/>
    <w:rsid w:val="00EB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E8DC5"/>
  <w15:chartTrackingRefBased/>
  <w15:docId w15:val="{E3ADA695-FD9D-4C80-BB6B-6AB03D83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2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BE" w:eastAsia="nl-BE"/>
    </w:rPr>
  </w:style>
  <w:style w:type="table" w:styleId="TableGrid">
    <w:name w:val="Table Grid"/>
    <w:basedOn w:val="TableNormal"/>
    <w:uiPriority w:val="39"/>
    <w:rsid w:val="00B523C4"/>
    <w:pPr>
      <w:spacing w:after="0" w:line="240" w:lineRule="auto"/>
    </w:pPr>
    <w:rPr>
      <w:lang w:val="n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92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1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1E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1E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87F3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1539B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fr" w:eastAsia="nl-BE"/>
    </w:rPr>
  </w:style>
  <w:style w:type="character" w:customStyle="1" w:styleId="TitleChar">
    <w:name w:val="Title Char"/>
    <w:basedOn w:val="DefaultParagraphFont"/>
    <w:link w:val="Title"/>
    <w:uiPriority w:val="10"/>
    <w:rsid w:val="0071539B"/>
    <w:rPr>
      <w:rFonts w:ascii="Arial" w:eastAsia="Arial" w:hAnsi="Arial" w:cs="Arial"/>
      <w:sz w:val="52"/>
      <w:szCs w:val="52"/>
      <w:lang w:val="fr" w:eastAsia="nl-BE"/>
    </w:rPr>
  </w:style>
  <w:style w:type="character" w:styleId="Hyperlink">
    <w:name w:val="Hyperlink"/>
    <w:basedOn w:val="DefaultParagraphFont"/>
    <w:uiPriority w:val="99"/>
    <w:semiHidden/>
    <w:unhideWhenUsed/>
    <w:rsid w:val="00DD30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1577</Words>
  <Characters>8675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Universiteit Antwerpen</Company>
  <LinksUpToDate>false</LinksUpToDate>
  <CharactersWithSpaces>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Hecken Gert</dc:creator>
  <cp:keywords/>
  <dc:description/>
  <cp:lastModifiedBy>Gert Van Hecken</cp:lastModifiedBy>
  <cp:revision>11</cp:revision>
  <dcterms:created xsi:type="dcterms:W3CDTF">2023-09-22T12:44:00Z</dcterms:created>
  <dcterms:modified xsi:type="dcterms:W3CDTF">2023-09-22T15:10:00Z</dcterms:modified>
</cp:coreProperties>
</file>