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1"/>
        <w:tblW w:w="99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178"/>
        <w:gridCol w:w="320"/>
        <w:gridCol w:w="5950"/>
        <w:gridCol w:w="2537"/>
      </w:tblGrid>
      <w:tr w:rsidR="00EA565D" w:rsidRPr="00EA565D" w:rsidTr="00EA565D">
        <w:trPr>
          <w:trHeight w:val="419"/>
        </w:trPr>
        <w:tc>
          <w:tcPr>
            <w:tcW w:w="7448" w:type="dxa"/>
            <w:gridSpan w:val="3"/>
          </w:tcPr>
          <w:p w:rsidR="00EA565D" w:rsidRPr="00EA565D" w:rsidRDefault="00EA565D" w:rsidP="00EA565D">
            <w:pPr>
              <w:rPr>
                <w:rFonts w:ascii="Arial" w:hAnsi="Arial" w:cs="Arial"/>
                <w:b/>
                <w:bCs/>
                <w:color w:val="0000FF"/>
              </w:rPr>
            </w:pPr>
            <w:r w:rsidRPr="00EA565D">
              <w:rPr>
                <w:rFonts w:ascii="Arial" w:hAnsi="Arial" w:cs="Arial"/>
                <w:b/>
                <w:bCs/>
                <w:color w:val="0000FF"/>
              </w:rPr>
              <w:t>International Journal of Medical and Pharmaceutical Research</w:t>
            </w:r>
          </w:p>
          <w:p w:rsidR="00EA565D" w:rsidRPr="00EA565D" w:rsidRDefault="00EA565D" w:rsidP="00EA565D">
            <w:pPr>
              <w:rPr>
                <w:rFonts w:ascii="Calibri" w:hAnsi="Calibri" w:cs="Vrinda"/>
                <w:sz w:val="20"/>
                <w:szCs w:val="20"/>
              </w:rPr>
            </w:pPr>
            <w:r w:rsidRPr="00EA565D">
              <w:rPr>
                <w:rFonts w:ascii="Calibri" w:hAnsi="Calibri" w:cs="Vrinda"/>
                <w:b/>
                <w:bCs/>
                <w:sz w:val="20"/>
                <w:szCs w:val="20"/>
              </w:rPr>
              <w:t>Website</w:t>
            </w:r>
            <w:r w:rsidRPr="00EA565D">
              <w:rPr>
                <w:rFonts w:ascii="Calibri" w:hAnsi="Calibri" w:cs="Vrinda"/>
                <w:sz w:val="20"/>
                <w:szCs w:val="20"/>
              </w:rPr>
              <w:t xml:space="preserve">: </w:t>
            </w:r>
            <w:hyperlink r:id="rId8" w:history="1">
              <w:r w:rsidRPr="00EA565D">
                <w:rPr>
                  <w:rFonts w:ascii="Calibri" w:hAnsi="Calibri" w:cs="Vrinda"/>
                  <w:color w:val="0000FF"/>
                  <w:sz w:val="20"/>
                  <w:u w:val="single"/>
                </w:rPr>
                <w:t>https://ijmpr.in/</w:t>
              </w:r>
            </w:hyperlink>
            <w:r w:rsidRPr="00EA565D">
              <w:rPr>
                <w:rFonts w:ascii="Calibri" w:hAnsi="Calibri" w:cs="Vrinda"/>
                <w:color w:val="0000FF"/>
                <w:sz w:val="20"/>
                <w:szCs w:val="20"/>
              </w:rPr>
              <w:t xml:space="preserve">| </w:t>
            </w:r>
            <w:r w:rsidRPr="00EA565D">
              <w:rPr>
                <w:rFonts w:ascii="Calibri" w:hAnsi="Calibri" w:cs="Vrinda"/>
                <w:sz w:val="20"/>
                <w:szCs w:val="20"/>
              </w:rPr>
              <w:t xml:space="preserve">Print ISSN: 2958-3675 </w:t>
            </w:r>
            <w:r w:rsidRPr="00EA565D">
              <w:rPr>
                <w:rFonts w:ascii="Calibri" w:hAnsi="Calibri" w:cs="Vrinda"/>
                <w:color w:val="0000FF"/>
                <w:sz w:val="20"/>
                <w:szCs w:val="20"/>
              </w:rPr>
              <w:t>|</w:t>
            </w:r>
            <w:r w:rsidRPr="00EA565D">
              <w:rPr>
                <w:rFonts w:ascii="Calibri" w:hAnsi="Calibri" w:cs="Vrinda"/>
                <w:sz w:val="20"/>
                <w:szCs w:val="20"/>
              </w:rPr>
              <w:t xml:space="preserve"> Online ISSN: 2958-3683</w:t>
            </w:r>
          </w:p>
        </w:tc>
        <w:tc>
          <w:tcPr>
            <w:tcW w:w="2537" w:type="dxa"/>
            <w:shd w:val="clear" w:color="auto" w:fill="17365D"/>
            <w:vAlign w:val="center"/>
          </w:tcPr>
          <w:p w:rsidR="00EA565D" w:rsidRPr="00EA565D" w:rsidRDefault="00EA565D" w:rsidP="00EA565D">
            <w:pPr>
              <w:jc w:val="center"/>
              <w:rPr>
                <w:rFonts w:ascii="Times New Roman" w:hAnsi="Times New Roman" w:cs="Times New Roman"/>
                <w:b/>
                <w:bCs/>
                <w:color w:val="FFFFFF"/>
                <w:sz w:val="30"/>
                <w:szCs w:val="30"/>
              </w:rPr>
            </w:pPr>
            <w:r w:rsidRPr="00EA565D">
              <w:rPr>
                <w:rFonts w:ascii="Times New Roman" w:hAnsi="Times New Roman" w:cs="Times New Roman"/>
                <w:b/>
                <w:bCs/>
                <w:color w:val="FFFFFF"/>
                <w:sz w:val="30"/>
                <w:szCs w:val="30"/>
              </w:rPr>
              <w:t>Original Article</w:t>
            </w:r>
          </w:p>
        </w:tc>
      </w:tr>
      <w:tr w:rsidR="00EA565D" w:rsidRPr="00EA565D" w:rsidTr="006C0E22">
        <w:trPr>
          <w:trHeight w:val="129"/>
        </w:trPr>
        <w:tc>
          <w:tcPr>
            <w:tcW w:w="9985" w:type="dxa"/>
            <w:gridSpan w:val="4"/>
          </w:tcPr>
          <w:p w:rsidR="00EA565D" w:rsidRPr="00EA565D" w:rsidRDefault="00EA565D" w:rsidP="00EA565D">
            <w:pPr>
              <w:rPr>
                <w:rFonts w:ascii="Arial MT" w:hAnsi="Arial MT" w:cs="Times New Roman"/>
                <w:b/>
                <w:bCs/>
                <w:sz w:val="20"/>
                <w:szCs w:val="20"/>
              </w:rPr>
            </w:pPr>
            <w:r w:rsidRPr="00EA565D">
              <w:rPr>
                <w:rFonts w:ascii="Calibri" w:eastAsia="Calibri" w:hAnsi="Calibri" w:cs="Times New Roman"/>
                <w:b/>
                <w:bCs/>
                <w:sz w:val="20"/>
                <w:szCs w:val="20"/>
                <w:lang w:val="en-US"/>
              </w:rPr>
              <w:t xml:space="preserve">NLM ID: </w:t>
            </w:r>
            <w:hyperlink r:id="rId9" w:history="1">
              <w:r w:rsidRPr="00EA565D">
                <w:rPr>
                  <w:rFonts w:ascii="Calibri" w:eastAsia="Calibri" w:hAnsi="Calibri" w:cs="Times New Roman"/>
                  <w:color w:val="0000FF"/>
                  <w:sz w:val="20"/>
                  <w:szCs w:val="20"/>
                  <w:u w:val="single"/>
                  <w:lang w:val="en-US"/>
                </w:rPr>
                <w:t>9918523075206676</w:t>
              </w:r>
            </w:hyperlink>
          </w:p>
          <w:p w:rsidR="00EA565D" w:rsidRPr="00EA565D" w:rsidRDefault="00EA565D" w:rsidP="00EA565D">
            <w:pPr>
              <w:rPr>
                <w:rFonts w:ascii="Arial MT" w:hAnsi="Arial MT" w:cs="Times New Roman"/>
                <w:sz w:val="20"/>
                <w:szCs w:val="20"/>
              </w:rPr>
            </w:pPr>
            <w:r w:rsidRPr="00EA565D">
              <w:rPr>
                <w:rFonts w:ascii="Arial" w:hAnsi="Arial" w:cs="Arial"/>
                <w:sz w:val="18"/>
                <w:szCs w:val="18"/>
              </w:rPr>
              <w:t>Volume: 4 Issue:4 (July-Aug 2023); Page No:</w:t>
            </w:r>
            <w:r w:rsidR="00AB1B00">
              <w:rPr>
                <w:rFonts w:ascii="Arial" w:hAnsi="Arial" w:cs="Arial"/>
                <w:sz w:val="18"/>
                <w:szCs w:val="18"/>
              </w:rPr>
              <w:t xml:space="preserve"> 254-259</w:t>
            </w:r>
          </w:p>
          <w:p w:rsidR="00EA565D" w:rsidRPr="00EA565D" w:rsidRDefault="00EA565D" w:rsidP="00EA565D">
            <w:pPr>
              <w:rPr>
                <w:rFonts w:ascii="Arial" w:hAnsi="Arial" w:cs="Arial"/>
                <w:sz w:val="20"/>
                <w:szCs w:val="20"/>
              </w:rPr>
            </w:pPr>
          </w:p>
        </w:tc>
      </w:tr>
      <w:tr w:rsidR="00EA565D" w:rsidRPr="00EA565D" w:rsidTr="00EA565D">
        <w:tc>
          <w:tcPr>
            <w:tcW w:w="1498" w:type="dxa"/>
            <w:gridSpan w:val="2"/>
            <w:tcBorders>
              <w:right w:val="dotted" w:sz="4" w:space="0" w:color="404040"/>
            </w:tcBorders>
          </w:tcPr>
          <w:p w:rsidR="00EA565D" w:rsidRPr="00EA565D" w:rsidRDefault="00EA565D" w:rsidP="00EA565D">
            <w:pPr>
              <w:jc w:val="center"/>
              <w:rPr>
                <w:rFonts w:ascii="Gabriola" w:hAnsi="Gabriola" w:cs="Vrinda"/>
                <w:sz w:val="20"/>
                <w:szCs w:val="20"/>
              </w:rPr>
            </w:pPr>
            <w:r w:rsidRPr="00EA565D">
              <w:rPr>
                <w:rFonts w:ascii="Gabriola" w:hAnsi="Gabriola" w:cs="Vrinda"/>
                <w:noProof/>
                <w:sz w:val="20"/>
                <w:szCs w:val="20"/>
                <w:lang w:bidi="as-IN"/>
              </w:rPr>
              <w:drawing>
                <wp:inline distT="0" distB="0" distL="0" distR="0">
                  <wp:extent cx="790326" cy="790326"/>
                  <wp:effectExtent l="19050" t="0" r="0" b="0"/>
                  <wp:docPr id="1" name="Picture 1" descr="D:\IJMPR Journal\Website Data\ROUND-PNG-1024x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JMPR Journal\Website Data\ROUND-PNG-1024x1024.png"/>
                          <pic:cNvPicPr>
                            <a:picLocks noChangeAspect="1" noChangeArrowheads="1"/>
                          </pic:cNvPicPr>
                        </pic:nvPicPr>
                        <pic:blipFill>
                          <a:blip r:embed="rId10" cstate="print"/>
                          <a:srcRect/>
                          <a:stretch>
                            <a:fillRect/>
                          </a:stretch>
                        </pic:blipFill>
                        <pic:spPr bwMode="auto">
                          <a:xfrm>
                            <a:off x="0" y="0"/>
                            <a:ext cx="800325" cy="800325"/>
                          </a:xfrm>
                          <a:prstGeom prst="rect">
                            <a:avLst/>
                          </a:prstGeom>
                          <a:noFill/>
                          <a:ln w="9525">
                            <a:noFill/>
                            <a:miter lim="800000"/>
                            <a:headEnd/>
                            <a:tailEnd/>
                          </a:ln>
                        </pic:spPr>
                      </pic:pic>
                    </a:graphicData>
                  </a:graphic>
                </wp:inline>
              </w:drawing>
            </w:r>
          </w:p>
          <w:p w:rsidR="00EA565D" w:rsidRPr="00EA565D" w:rsidRDefault="00EA565D" w:rsidP="00EA565D">
            <w:pPr>
              <w:jc w:val="center"/>
              <w:rPr>
                <w:rFonts w:ascii="Cambria" w:hAnsi="Cambria" w:cs="Vrinda"/>
                <w:b/>
                <w:bCs/>
                <w:sz w:val="24"/>
                <w:szCs w:val="24"/>
              </w:rPr>
            </w:pPr>
            <w:r w:rsidRPr="00EA565D">
              <w:rPr>
                <w:rFonts w:ascii="Cambria" w:hAnsi="Cambria" w:cs="Vrinda"/>
                <w:b/>
                <w:bCs/>
                <w:sz w:val="24"/>
                <w:szCs w:val="24"/>
              </w:rPr>
              <w:t>IJMPR</w:t>
            </w:r>
          </w:p>
          <w:p w:rsidR="00EA565D" w:rsidRPr="00EA565D" w:rsidRDefault="00EA565D" w:rsidP="00EA565D">
            <w:pPr>
              <w:jc w:val="center"/>
              <w:rPr>
                <w:rFonts w:ascii="Gabriola" w:hAnsi="Gabriola" w:cs="Vrinda"/>
                <w:sz w:val="20"/>
                <w:szCs w:val="20"/>
              </w:rPr>
            </w:pPr>
            <w:r w:rsidRPr="00EA565D">
              <w:rPr>
                <w:rFonts w:ascii="Gabriola" w:hAnsi="Gabriola" w:cs="Vrinda"/>
                <w:noProof/>
                <w:sz w:val="20"/>
                <w:szCs w:val="20"/>
                <w:lang w:bidi="as-IN"/>
              </w:rPr>
              <w:drawing>
                <wp:inline distT="0" distB="0" distL="0" distR="0">
                  <wp:extent cx="741731" cy="234086"/>
                  <wp:effectExtent l="19050" t="0" r="1219" b="0"/>
                  <wp:docPr id="2" name="Picture 11" descr="D:\IJMPR Journal\Website Data\cc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JMPR Journal\Website Data\ccby.jpg"/>
                          <pic:cNvPicPr>
                            <a:picLocks noChangeAspect="1" noChangeArrowheads="1"/>
                          </pic:cNvPicPr>
                        </pic:nvPicPr>
                        <pic:blipFill>
                          <a:blip r:embed="rId11"/>
                          <a:srcRect/>
                          <a:stretch>
                            <a:fillRect/>
                          </a:stretch>
                        </pic:blipFill>
                        <pic:spPr bwMode="auto">
                          <a:xfrm>
                            <a:off x="0" y="0"/>
                            <a:ext cx="766664" cy="241955"/>
                          </a:xfrm>
                          <a:prstGeom prst="rect">
                            <a:avLst/>
                          </a:prstGeom>
                          <a:noFill/>
                          <a:ln w="9525">
                            <a:noFill/>
                            <a:miter lim="800000"/>
                            <a:headEnd/>
                            <a:tailEnd/>
                          </a:ln>
                        </pic:spPr>
                      </pic:pic>
                    </a:graphicData>
                  </a:graphic>
                </wp:inline>
              </w:drawing>
            </w:r>
          </w:p>
          <w:p w:rsidR="00EA565D" w:rsidRPr="00EA565D" w:rsidRDefault="00EA565D" w:rsidP="00EA565D">
            <w:pPr>
              <w:jc w:val="center"/>
              <w:rPr>
                <w:rFonts w:ascii="Cambria" w:hAnsi="Cambria" w:cs="Vrinda"/>
                <w:sz w:val="12"/>
                <w:szCs w:val="12"/>
              </w:rPr>
            </w:pPr>
            <w:r w:rsidRPr="00EA565D">
              <w:rPr>
                <w:rFonts w:ascii="Cambria" w:hAnsi="Cambria" w:cs="Vrinda"/>
                <w:sz w:val="12"/>
                <w:szCs w:val="12"/>
              </w:rPr>
              <w:t>Copyright@IJMPR</w:t>
            </w:r>
          </w:p>
        </w:tc>
        <w:tc>
          <w:tcPr>
            <w:tcW w:w="8487" w:type="dxa"/>
            <w:gridSpan w:val="2"/>
            <w:tcBorders>
              <w:left w:val="dotted" w:sz="4" w:space="0" w:color="404040"/>
            </w:tcBorders>
          </w:tcPr>
          <w:p w:rsidR="00EA565D" w:rsidRPr="00EA565D" w:rsidRDefault="00EA565D" w:rsidP="00EA565D">
            <w:pPr>
              <w:rPr>
                <w:rFonts w:ascii="Tahoma" w:hAnsi="Tahoma" w:cs="Tahoma"/>
                <w:b/>
                <w:bCs/>
                <w:color w:val="0070C0"/>
                <w:spacing w:val="-96"/>
                <w:sz w:val="28"/>
                <w:szCs w:val="28"/>
              </w:rPr>
            </w:pPr>
            <w:r w:rsidRPr="00EA565D">
              <w:rPr>
                <w:rFonts w:ascii="Tahoma" w:hAnsi="Tahoma" w:cs="Tahoma"/>
                <w:b/>
                <w:bCs/>
                <w:color w:val="0070C0"/>
                <w:spacing w:val="-6"/>
                <w:sz w:val="28"/>
                <w:szCs w:val="28"/>
              </w:rPr>
              <w:t>The Efficacy of Risk Factors for Predicting Wound Dehiscence: A Prospective and Retrospective Study</w:t>
            </w:r>
          </w:p>
          <w:p w:rsidR="00EA565D" w:rsidRPr="00EA565D" w:rsidRDefault="00EA565D" w:rsidP="00EA565D">
            <w:pPr>
              <w:rPr>
                <w:rFonts w:ascii="Calibri" w:hAnsi="Calibri" w:cs="Vrinda"/>
                <w:sz w:val="20"/>
                <w:szCs w:val="20"/>
              </w:rPr>
            </w:pPr>
          </w:p>
          <w:p w:rsidR="00F66282" w:rsidRDefault="00F66282" w:rsidP="00EA565D">
            <w:pPr>
              <w:rPr>
                <w:rFonts w:ascii="Tahoma" w:hAnsi="Tahoma" w:cs="Tahoma"/>
                <w:b/>
                <w:bCs/>
                <w:sz w:val="19"/>
                <w:szCs w:val="19"/>
                <w:vertAlign w:val="superscript"/>
              </w:rPr>
            </w:pPr>
            <w:r w:rsidRPr="00EA565D">
              <w:rPr>
                <w:rFonts w:ascii="Tahoma" w:hAnsi="Tahoma" w:cs="Tahoma"/>
                <w:b/>
                <w:bCs/>
                <w:sz w:val="19"/>
                <w:szCs w:val="19"/>
              </w:rPr>
              <w:t>Dr Ravindra Singh Gound</w:t>
            </w:r>
            <w:r w:rsidRPr="00EA565D">
              <w:rPr>
                <w:rFonts w:ascii="Tahoma" w:hAnsi="Tahoma" w:cs="Tahoma"/>
                <w:b/>
                <w:bCs/>
                <w:sz w:val="19"/>
                <w:szCs w:val="19"/>
                <w:vertAlign w:val="superscript"/>
              </w:rPr>
              <w:t>1</w:t>
            </w:r>
            <w:r w:rsidRPr="00EA565D">
              <w:rPr>
                <w:rFonts w:ascii="Tahoma" w:hAnsi="Tahoma" w:cs="Tahoma"/>
                <w:b/>
                <w:bCs/>
                <w:sz w:val="19"/>
                <w:szCs w:val="19"/>
              </w:rPr>
              <w:t>; Dr Chandan Tiwari</w:t>
            </w:r>
            <w:r w:rsidRPr="00EA565D">
              <w:rPr>
                <w:rFonts w:ascii="Tahoma" w:hAnsi="Tahoma" w:cs="Tahoma"/>
                <w:b/>
                <w:bCs/>
                <w:sz w:val="19"/>
                <w:szCs w:val="19"/>
                <w:vertAlign w:val="superscript"/>
              </w:rPr>
              <w:t>2</w:t>
            </w:r>
            <w:r>
              <w:rPr>
                <w:rFonts w:ascii="Tahoma" w:hAnsi="Tahoma" w:cs="Tahoma"/>
                <w:b/>
                <w:bCs/>
                <w:sz w:val="19"/>
                <w:szCs w:val="19"/>
                <w:vertAlign w:val="superscript"/>
              </w:rPr>
              <w:t>*</w:t>
            </w:r>
            <w:r w:rsidRPr="00EA565D">
              <w:rPr>
                <w:rFonts w:ascii="Tahoma" w:hAnsi="Tahoma" w:cs="Tahoma"/>
                <w:b/>
                <w:bCs/>
                <w:sz w:val="19"/>
                <w:szCs w:val="19"/>
              </w:rPr>
              <w:t>; Dr Arvind Baghel</w:t>
            </w:r>
            <w:r w:rsidRPr="00EA565D">
              <w:rPr>
                <w:rFonts w:ascii="Tahoma" w:hAnsi="Tahoma" w:cs="Tahoma"/>
                <w:b/>
                <w:bCs/>
                <w:sz w:val="19"/>
                <w:szCs w:val="19"/>
                <w:vertAlign w:val="superscript"/>
              </w:rPr>
              <w:t>3</w:t>
            </w:r>
          </w:p>
          <w:p w:rsidR="00F66282" w:rsidRDefault="00F66282" w:rsidP="00EA565D">
            <w:pPr>
              <w:rPr>
                <w:rFonts w:ascii="Tahoma" w:hAnsi="Tahoma" w:cs="Tahoma"/>
                <w:b/>
                <w:bCs/>
                <w:sz w:val="19"/>
                <w:szCs w:val="19"/>
              </w:rPr>
            </w:pPr>
          </w:p>
          <w:p w:rsidR="00F66282" w:rsidRPr="00F66282" w:rsidRDefault="00F66282" w:rsidP="00EA565D">
            <w:pPr>
              <w:rPr>
                <w:rFonts w:ascii="Gabriola" w:hAnsi="Gabriola" w:cs="Tahoma"/>
                <w:sz w:val="20"/>
                <w:szCs w:val="20"/>
              </w:rPr>
            </w:pPr>
            <w:r w:rsidRPr="00F66282">
              <w:rPr>
                <w:rFonts w:ascii="Gabriola" w:hAnsi="Gabriola" w:cs="Tahoma"/>
                <w:sz w:val="20"/>
                <w:szCs w:val="20"/>
                <w:vertAlign w:val="superscript"/>
              </w:rPr>
              <w:t>1</w:t>
            </w:r>
            <w:r w:rsidR="00EA565D" w:rsidRPr="00F66282">
              <w:rPr>
                <w:rFonts w:ascii="Gabriola" w:hAnsi="Gabriola" w:cs="Tahoma"/>
                <w:sz w:val="20"/>
                <w:szCs w:val="20"/>
              </w:rPr>
              <w:t>Gound</w:t>
            </w:r>
            <w:r w:rsidR="005D520A" w:rsidRPr="00F66282">
              <w:rPr>
                <w:rFonts w:ascii="Gabriola" w:hAnsi="Gabriola" w:cs="Tahoma"/>
                <w:sz w:val="20"/>
                <w:szCs w:val="20"/>
              </w:rPr>
              <w:t xml:space="preserve"> senior resident NSCB medical college Jabalpur MP</w:t>
            </w:r>
          </w:p>
          <w:p w:rsidR="00F66282" w:rsidRPr="00F66282" w:rsidRDefault="00F66282" w:rsidP="00EA565D">
            <w:pPr>
              <w:rPr>
                <w:rFonts w:ascii="Gabriola" w:hAnsi="Gabriola" w:cs="Tahoma"/>
                <w:sz w:val="20"/>
                <w:szCs w:val="20"/>
              </w:rPr>
            </w:pPr>
            <w:r w:rsidRPr="00F66282">
              <w:rPr>
                <w:rFonts w:ascii="Gabriola" w:hAnsi="Gabriola" w:cs="Tahoma"/>
                <w:sz w:val="20"/>
                <w:szCs w:val="20"/>
                <w:vertAlign w:val="superscript"/>
              </w:rPr>
              <w:t>2</w:t>
            </w:r>
            <w:r w:rsidR="005D520A" w:rsidRPr="00F66282">
              <w:rPr>
                <w:rFonts w:ascii="Gabriola" w:hAnsi="Gabriola" w:cs="Tahoma"/>
                <w:sz w:val="20"/>
                <w:szCs w:val="20"/>
              </w:rPr>
              <w:t xml:space="preserve">Assistant </w:t>
            </w:r>
            <w:r w:rsidRPr="00F66282">
              <w:rPr>
                <w:rFonts w:ascii="Gabriola" w:hAnsi="Gabriola" w:cs="Tahoma"/>
                <w:sz w:val="20"/>
                <w:szCs w:val="20"/>
              </w:rPr>
              <w:t>Professor</w:t>
            </w:r>
            <w:r w:rsidR="005D520A" w:rsidRPr="00F66282">
              <w:rPr>
                <w:rFonts w:ascii="Gabriola" w:hAnsi="Gabriola" w:cs="Tahoma"/>
                <w:sz w:val="20"/>
                <w:szCs w:val="20"/>
              </w:rPr>
              <w:t xml:space="preserve"> NSCB medical college Jabalpur MP</w:t>
            </w:r>
          </w:p>
          <w:p w:rsidR="00EA565D" w:rsidRPr="00F66282" w:rsidRDefault="00F66282" w:rsidP="00EA565D">
            <w:pPr>
              <w:rPr>
                <w:rFonts w:ascii="Gabriola" w:hAnsi="Gabriola" w:cs="Tahoma"/>
                <w:sz w:val="20"/>
                <w:szCs w:val="20"/>
              </w:rPr>
            </w:pPr>
            <w:r w:rsidRPr="00F66282">
              <w:rPr>
                <w:rFonts w:ascii="Gabriola" w:hAnsi="Gabriola" w:cs="Tahoma"/>
                <w:sz w:val="20"/>
                <w:szCs w:val="20"/>
                <w:vertAlign w:val="superscript"/>
              </w:rPr>
              <w:t>3</w:t>
            </w:r>
            <w:r w:rsidR="005D520A" w:rsidRPr="00F66282">
              <w:rPr>
                <w:rFonts w:ascii="Gabriola" w:hAnsi="Gabriola" w:cs="Tahoma"/>
                <w:sz w:val="20"/>
                <w:szCs w:val="20"/>
              </w:rPr>
              <w:t xml:space="preserve">Associate </w:t>
            </w:r>
            <w:r w:rsidRPr="00F66282">
              <w:rPr>
                <w:rFonts w:ascii="Gabriola" w:hAnsi="Gabriola" w:cs="Tahoma"/>
                <w:sz w:val="20"/>
                <w:szCs w:val="20"/>
              </w:rPr>
              <w:t>Professor</w:t>
            </w:r>
            <w:r w:rsidR="005D520A" w:rsidRPr="00F66282">
              <w:rPr>
                <w:rFonts w:ascii="Gabriola" w:hAnsi="Gabriola" w:cs="Tahoma"/>
                <w:sz w:val="20"/>
                <w:szCs w:val="20"/>
              </w:rPr>
              <w:t xml:space="preserve"> NSCB medical college Jabalpur MP</w:t>
            </w:r>
          </w:p>
          <w:p w:rsidR="00EA565D" w:rsidRPr="005D520A" w:rsidRDefault="00EA565D" w:rsidP="00EA565D">
            <w:pPr>
              <w:spacing w:line="192" w:lineRule="auto"/>
              <w:rPr>
                <w:rFonts w:ascii="Gabriola" w:hAnsi="Gabriola" w:cs="Vrinda"/>
                <w:sz w:val="20"/>
                <w:szCs w:val="20"/>
                <w:highlight w:val="yellow"/>
              </w:rPr>
            </w:pPr>
          </w:p>
          <w:p w:rsidR="00EA565D" w:rsidRPr="00EA565D" w:rsidRDefault="00EA565D" w:rsidP="00EA565D">
            <w:pPr>
              <w:spacing w:line="192" w:lineRule="auto"/>
              <w:rPr>
                <w:rFonts w:ascii="Gabriola" w:hAnsi="Gabriola" w:cs="Vrinda"/>
                <w:sz w:val="20"/>
                <w:szCs w:val="20"/>
              </w:rPr>
            </w:pPr>
          </w:p>
        </w:tc>
      </w:tr>
      <w:tr w:rsidR="00EA565D" w:rsidRPr="00EA565D" w:rsidTr="00EA565D">
        <w:tc>
          <w:tcPr>
            <w:tcW w:w="9985" w:type="dxa"/>
            <w:gridSpan w:val="4"/>
            <w:shd w:val="clear" w:color="auto" w:fill="244061"/>
          </w:tcPr>
          <w:p w:rsidR="00EA565D" w:rsidRPr="00EA565D" w:rsidRDefault="00EA565D" w:rsidP="00EA565D">
            <w:pPr>
              <w:rPr>
                <w:rFonts w:ascii="Tahoma" w:hAnsi="Tahoma" w:cs="Tahoma"/>
                <w:b/>
                <w:bCs/>
                <w:color w:val="FFFFFF"/>
                <w:sz w:val="24"/>
                <w:szCs w:val="24"/>
              </w:rPr>
            </w:pPr>
            <w:r w:rsidRPr="00EA565D">
              <w:rPr>
                <w:rFonts w:ascii="Tahoma" w:hAnsi="Tahoma" w:cs="Tahoma"/>
                <w:b/>
                <w:bCs/>
                <w:color w:val="FFFFFF"/>
                <w:sz w:val="24"/>
                <w:szCs w:val="24"/>
              </w:rPr>
              <w:t>ABSTRACT</w:t>
            </w:r>
          </w:p>
        </w:tc>
      </w:tr>
      <w:tr w:rsidR="00EA565D" w:rsidRPr="00EA565D" w:rsidTr="006C0E22">
        <w:tc>
          <w:tcPr>
            <w:tcW w:w="9985" w:type="dxa"/>
            <w:gridSpan w:val="4"/>
            <w:tcBorders>
              <w:bottom w:val="single" w:sz="4" w:space="0" w:color="auto"/>
            </w:tcBorders>
          </w:tcPr>
          <w:p w:rsidR="00EA565D" w:rsidRPr="00EA565D" w:rsidRDefault="006F1E1C" w:rsidP="00EA565D">
            <w:pPr>
              <w:jc w:val="both"/>
              <w:rPr>
                <w:rFonts w:ascii="Times New Roman" w:hAnsi="Times New Roman" w:cs="Times New Roman"/>
                <w:sz w:val="20"/>
                <w:szCs w:val="20"/>
              </w:rPr>
            </w:pPr>
            <w:r w:rsidRPr="006F1E1C">
              <w:rPr>
                <w:rFonts w:ascii="Times New Roman" w:hAnsi="Times New Roman" w:cs="Times New Roman"/>
                <w:b/>
                <w:bCs/>
                <w:sz w:val="20"/>
                <w:szCs w:val="20"/>
              </w:rPr>
              <w:t>INTRODUCTIO</w:t>
            </w:r>
            <w:r w:rsidRPr="00986B85">
              <w:rPr>
                <w:rFonts w:ascii="Times New Roman" w:hAnsi="Times New Roman" w:cs="Times New Roman"/>
                <w:b/>
                <w:bCs/>
                <w:sz w:val="20"/>
                <w:szCs w:val="20"/>
              </w:rPr>
              <w:t>N</w:t>
            </w:r>
            <w:r w:rsidR="00986B85">
              <w:rPr>
                <w:rFonts w:ascii="Times New Roman" w:hAnsi="Times New Roman" w:cs="Times New Roman"/>
                <w:b/>
                <w:bCs/>
                <w:sz w:val="20"/>
                <w:szCs w:val="20"/>
              </w:rPr>
              <w:t>:</w:t>
            </w:r>
            <w:r>
              <w:rPr>
                <w:rFonts w:ascii="Times New Roman" w:hAnsi="Times New Roman" w:cs="Times New Roman"/>
                <w:sz w:val="20"/>
                <w:szCs w:val="20"/>
              </w:rPr>
              <w:t xml:space="preserve"> </w:t>
            </w:r>
            <w:r w:rsidR="005D520A">
              <w:rPr>
                <w:rFonts w:ascii="Times New Roman" w:hAnsi="Times New Roman" w:cs="Times New Roman"/>
                <w:sz w:val="20"/>
                <w:szCs w:val="20"/>
              </w:rPr>
              <w:t>Wo</w:t>
            </w:r>
            <w:r>
              <w:rPr>
                <w:rFonts w:ascii="Times New Roman" w:hAnsi="Times New Roman" w:cs="Times New Roman"/>
                <w:sz w:val="20"/>
                <w:szCs w:val="20"/>
              </w:rPr>
              <w:t>und</w:t>
            </w:r>
            <w:r w:rsidR="005D520A">
              <w:rPr>
                <w:rFonts w:ascii="Times New Roman" w:hAnsi="Times New Roman" w:cs="Times New Roman"/>
                <w:sz w:val="20"/>
                <w:szCs w:val="20"/>
              </w:rPr>
              <w:t xml:space="preserve"> dehiscence is among the most dreaded complications faced by surgeon and is of greatest concern because it leads to many other problems like increased morbidity and mortality ,prolonged  hospital stay ,economic burden on society</w:t>
            </w:r>
            <w:r w:rsidR="004B6288" w:rsidRPr="00EA565D">
              <w:rPr>
                <w:rFonts w:ascii="Times New Roman" w:hAnsi="Times New Roman" w:cs="Times New Roman"/>
                <w:sz w:val="20"/>
                <w:szCs w:val="20"/>
              </w:rPr>
              <w:t xml:space="preserve"> The mortality rate following wound dehiscence ranges from </w:t>
            </w:r>
            <w:r w:rsidR="004B6288" w:rsidRPr="00EA565D">
              <w:rPr>
                <w:rFonts w:ascii="Times New Roman" w:hAnsi="Times New Roman" w:cs="Times New Roman"/>
                <w:b/>
                <w:bCs/>
                <w:sz w:val="20"/>
                <w:szCs w:val="20"/>
              </w:rPr>
              <w:t>9%-43%</w:t>
            </w:r>
            <w:r w:rsidR="004B6288" w:rsidRPr="00EA565D">
              <w:rPr>
                <w:rFonts w:ascii="Times New Roman" w:hAnsi="Times New Roman" w:cs="Times New Roman"/>
                <w:sz w:val="20"/>
                <w:szCs w:val="20"/>
              </w:rPr>
              <w:t>.</w:t>
            </w:r>
            <w:r w:rsidR="005D520A">
              <w:rPr>
                <w:rFonts w:ascii="Times New Roman" w:hAnsi="Times New Roman" w:cs="Times New Roman"/>
                <w:sz w:val="20"/>
                <w:szCs w:val="20"/>
              </w:rPr>
              <w:t xml:space="preserve"> .there are many factors related to patient, related to disease, and also related to treatment like emergency surgery</w:t>
            </w:r>
            <w:r w:rsidR="0017310E">
              <w:rPr>
                <w:rFonts w:ascii="Times New Roman" w:hAnsi="Times New Roman" w:cs="Times New Roman"/>
                <w:sz w:val="20"/>
                <w:szCs w:val="20"/>
              </w:rPr>
              <w:t>,  Intraabdominal infections, malnutrition, advance age,  systemic disease, ascites, diabetes, postoperative  coughing etc.</w:t>
            </w:r>
            <w:r w:rsidR="003C0CA0">
              <w:rPr>
                <w:rFonts w:ascii="Times New Roman" w:hAnsi="Times New Roman" w:cs="Times New Roman"/>
                <w:sz w:val="20"/>
                <w:szCs w:val="20"/>
              </w:rPr>
              <w:t xml:space="preserve"> </w:t>
            </w:r>
            <w:r w:rsidRPr="006F1E1C">
              <w:rPr>
                <w:rFonts w:ascii="Times New Roman" w:hAnsi="Times New Roman" w:cs="Times New Roman"/>
                <w:b/>
                <w:bCs/>
                <w:sz w:val="20"/>
                <w:szCs w:val="20"/>
              </w:rPr>
              <w:t>METHOD and MATERIAL</w:t>
            </w:r>
            <w:r w:rsidR="00986B85">
              <w:rPr>
                <w:rFonts w:ascii="Times New Roman" w:hAnsi="Times New Roman" w:cs="Times New Roman"/>
                <w:b/>
                <w:bCs/>
                <w:sz w:val="20"/>
                <w:szCs w:val="20"/>
              </w:rPr>
              <w:t>:</w:t>
            </w:r>
            <w:r w:rsidR="0017310E">
              <w:rPr>
                <w:rFonts w:ascii="Times New Roman" w:hAnsi="Times New Roman" w:cs="Times New Roman"/>
                <w:sz w:val="20"/>
                <w:szCs w:val="20"/>
              </w:rPr>
              <w:t xml:space="preserve"> These factors are studied in cases and there outcome are compared with control.thsi study was done in NSCB medical college Jabalpur from September 2018 to September 2020.100 cases and controls are takens and study is done Retrospective and prospective manner in those </w:t>
            </w:r>
            <w:r w:rsidR="00417973">
              <w:rPr>
                <w:rFonts w:ascii="Times New Roman" w:hAnsi="Times New Roman" w:cs="Times New Roman"/>
                <w:sz w:val="20"/>
                <w:szCs w:val="20"/>
              </w:rPr>
              <w:t xml:space="preserve">patients which are operated </w:t>
            </w:r>
            <w:r w:rsidR="004B6288">
              <w:rPr>
                <w:rFonts w:ascii="Times New Roman" w:hAnsi="Times New Roman" w:cs="Times New Roman"/>
                <w:sz w:val="20"/>
                <w:szCs w:val="20"/>
              </w:rPr>
              <w:t xml:space="preserve">in institute. Details </w:t>
            </w:r>
            <w:r w:rsidR="00414AA5">
              <w:rPr>
                <w:rFonts w:ascii="Times New Roman" w:hAnsi="Times New Roman" w:cs="Times New Roman"/>
                <w:sz w:val="20"/>
                <w:szCs w:val="20"/>
              </w:rPr>
              <w:t>of patients are taken and compared with p value and chi square test applied and there results found</w:t>
            </w:r>
            <w:r>
              <w:rPr>
                <w:rFonts w:ascii="Times New Roman" w:hAnsi="Times New Roman" w:cs="Times New Roman"/>
                <w:sz w:val="20"/>
                <w:szCs w:val="20"/>
              </w:rPr>
              <w:t xml:space="preserve">. </w:t>
            </w:r>
            <w:r w:rsidR="00BC62B6">
              <w:rPr>
                <w:rFonts w:ascii="Times New Roman" w:hAnsi="Times New Roman" w:cs="Times New Roman"/>
                <w:b/>
                <w:bCs/>
                <w:sz w:val="20"/>
                <w:szCs w:val="20"/>
              </w:rPr>
              <w:t>S</w:t>
            </w:r>
            <w:r w:rsidR="00414AA5">
              <w:rPr>
                <w:rFonts w:ascii="Times New Roman" w:hAnsi="Times New Roman" w:cs="Times New Roman"/>
                <w:sz w:val="20"/>
                <w:szCs w:val="20"/>
              </w:rPr>
              <w:t xml:space="preserve">among all factors </w:t>
            </w:r>
            <w:r w:rsidR="0051026E">
              <w:rPr>
                <w:rFonts w:ascii="Times New Roman" w:hAnsi="Times New Roman" w:cs="Times New Roman"/>
                <w:sz w:val="20"/>
                <w:szCs w:val="20"/>
              </w:rPr>
              <w:t xml:space="preserve">age, jaundice </w:t>
            </w:r>
            <w:r w:rsidR="003C0CA0">
              <w:rPr>
                <w:rFonts w:ascii="Times New Roman" w:hAnsi="Times New Roman" w:cs="Times New Roman"/>
                <w:sz w:val="20"/>
                <w:szCs w:val="20"/>
              </w:rPr>
              <w:t>,anaemia, hypoalbunemia</w:t>
            </w:r>
            <w:r w:rsidR="0051026E">
              <w:rPr>
                <w:rFonts w:ascii="Times New Roman" w:hAnsi="Times New Roman" w:cs="Times New Roman"/>
                <w:sz w:val="20"/>
                <w:szCs w:val="20"/>
              </w:rPr>
              <w:t>,</w:t>
            </w:r>
            <w:r w:rsidR="003C0CA0">
              <w:rPr>
                <w:rFonts w:ascii="Times New Roman" w:hAnsi="Times New Roman" w:cs="Times New Roman"/>
                <w:sz w:val="20"/>
                <w:szCs w:val="20"/>
              </w:rPr>
              <w:t xml:space="preserve"> </w:t>
            </w:r>
            <w:r w:rsidR="00986B85">
              <w:rPr>
                <w:rFonts w:ascii="Times New Roman" w:hAnsi="Times New Roman" w:cs="Times New Roman"/>
                <w:sz w:val="20"/>
                <w:szCs w:val="20"/>
              </w:rPr>
              <w:t>ascites, diabetes</w:t>
            </w:r>
            <w:r w:rsidR="0051026E">
              <w:rPr>
                <w:rFonts w:ascii="Times New Roman" w:hAnsi="Times New Roman" w:cs="Times New Roman"/>
                <w:sz w:val="20"/>
                <w:szCs w:val="20"/>
              </w:rPr>
              <w:t>,</w:t>
            </w:r>
            <w:r w:rsidR="00986B85">
              <w:rPr>
                <w:rFonts w:ascii="Times New Roman" w:hAnsi="Times New Roman" w:cs="Times New Roman"/>
                <w:sz w:val="20"/>
                <w:szCs w:val="20"/>
              </w:rPr>
              <w:t xml:space="preserve"> </w:t>
            </w:r>
            <w:r w:rsidR="0051026E">
              <w:rPr>
                <w:rFonts w:ascii="Times New Roman" w:hAnsi="Times New Roman" w:cs="Times New Roman"/>
                <w:sz w:val="20"/>
                <w:szCs w:val="20"/>
              </w:rPr>
              <w:t>postoperative coughing were found affecting wound dehiscence</w:t>
            </w:r>
            <w:r w:rsidR="00C560E2">
              <w:rPr>
                <w:rFonts w:ascii="Times New Roman" w:hAnsi="Times New Roman" w:cs="Times New Roman"/>
                <w:sz w:val="20"/>
                <w:szCs w:val="20"/>
              </w:rPr>
              <w:t>.</w:t>
            </w:r>
          </w:p>
          <w:p w:rsidR="00EA565D" w:rsidRPr="00EA565D" w:rsidRDefault="00EA565D" w:rsidP="00EA565D">
            <w:pPr>
              <w:rPr>
                <w:rFonts w:ascii="Arial MT" w:hAnsi="Arial MT" w:cs="Vrinda"/>
                <w:sz w:val="18"/>
                <w:szCs w:val="18"/>
              </w:rPr>
            </w:pPr>
          </w:p>
          <w:p w:rsidR="00EA565D" w:rsidRPr="00F66282" w:rsidRDefault="00EA565D" w:rsidP="00F66282">
            <w:pPr>
              <w:rPr>
                <w:rFonts w:ascii="Times New Roman" w:hAnsi="Times New Roman" w:cs="Times New Roman"/>
                <w:i/>
                <w:iCs/>
                <w:sz w:val="20"/>
                <w:szCs w:val="20"/>
              </w:rPr>
            </w:pPr>
            <w:r w:rsidRPr="00EA565D">
              <w:rPr>
                <w:rFonts w:ascii="Times New Roman" w:hAnsi="Times New Roman" w:cs="Times New Roman"/>
                <w:b/>
                <w:bCs/>
                <w:sz w:val="20"/>
                <w:szCs w:val="20"/>
              </w:rPr>
              <w:t>Key Words</w:t>
            </w:r>
            <w:r w:rsidRPr="00EA565D">
              <w:rPr>
                <w:rFonts w:ascii="Times New Roman" w:hAnsi="Times New Roman" w:cs="Times New Roman"/>
                <w:sz w:val="20"/>
                <w:szCs w:val="20"/>
              </w:rPr>
              <w:t xml:space="preserve">: </w:t>
            </w:r>
            <w:r w:rsidR="00F66282" w:rsidRPr="00F66282">
              <w:rPr>
                <w:rFonts w:ascii="Times New Roman" w:hAnsi="Times New Roman" w:cs="Times New Roman"/>
                <w:i/>
                <w:iCs/>
                <w:sz w:val="20"/>
                <w:szCs w:val="20"/>
              </w:rPr>
              <w:t>Risk Factors</w:t>
            </w:r>
            <w:r w:rsidR="00F66282">
              <w:rPr>
                <w:rFonts w:ascii="Times New Roman" w:hAnsi="Times New Roman" w:cs="Times New Roman"/>
                <w:i/>
                <w:iCs/>
                <w:sz w:val="20"/>
                <w:szCs w:val="20"/>
              </w:rPr>
              <w:t xml:space="preserve">, </w:t>
            </w:r>
            <w:r w:rsidR="00F66282" w:rsidRPr="00F66282">
              <w:rPr>
                <w:rFonts w:ascii="Times New Roman" w:hAnsi="Times New Roman" w:cs="Times New Roman"/>
                <w:i/>
                <w:iCs/>
                <w:sz w:val="20"/>
                <w:szCs w:val="20"/>
              </w:rPr>
              <w:t>Predicting Wound</w:t>
            </w:r>
          </w:p>
        </w:tc>
      </w:tr>
      <w:tr w:rsidR="00EA565D" w:rsidRPr="00EA565D" w:rsidTr="006C0E22">
        <w:tc>
          <w:tcPr>
            <w:tcW w:w="1178" w:type="dxa"/>
            <w:tcBorders>
              <w:top w:val="single" w:sz="4" w:space="0" w:color="auto"/>
              <w:bottom w:val="single" w:sz="4" w:space="0" w:color="auto"/>
              <w:right w:val="dashed" w:sz="4" w:space="0" w:color="auto"/>
            </w:tcBorders>
            <w:vAlign w:val="center"/>
          </w:tcPr>
          <w:p w:rsidR="00EA565D" w:rsidRPr="00EA565D" w:rsidRDefault="00EA565D" w:rsidP="00EA565D">
            <w:pPr>
              <w:jc w:val="center"/>
              <w:rPr>
                <w:rFonts w:ascii="Calibri" w:hAnsi="Calibri" w:cs="Vrinda"/>
              </w:rPr>
            </w:pPr>
            <w:r w:rsidRPr="00EA565D">
              <w:rPr>
                <w:rFonts w:ascii="Calibri" w:hAnsi="Calibri" w:cs="Vrinda"/>
                <w:noProof/>
                <w:lang w:bidi="as-IN"/>
              </w:rPr>
              <w:drawing>
                <wp:inline distT="0" distB="0" distL="0" distR="0">
                  <wp:extent cx="526860" cy="526860"/>
                  <wp:effectExtent l="19050" t="0" r="6540" b="0"/>
                  <wp:docPr id="3" name="Picture 2" descr="D:\IJMPR Journal\qrcod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JMPR Journal\qrcode (1).png"/>
                          <pic:cNvPicPr>
                            <a:picLocks noChangeAspect="1" noChangeArrowheads="1"/>
                          </pic:cNvPicPr>
                        </pic:nvPicPr>
                        <pic:blipFill>
                          <a:blip r:embed="rId12" cstate="print"/>
                          <a:stretch>
                            <a:fillRect/>
                          </a:stretch>
                        </pic:blipFill>
                        <pic:spPr bwMode="auto">
                          <a:xfrm>
                            <a:off x="0" y="0"/>
                            <a:ext cx="525168" cy="525168"/>
                          </a:xfrm>
                          <a:prstGeom prst="rect">
                            <a:avLst/>
                          </a:prstGeom>
                          <a:noFill/>
                          <a:ln w="9525">
                            <a:noFill/>
                            <a:miter lim="800000"/>
                            <a:headEnd/>
                            <a:tailEnd/>
                          </a:ln>
                        </pic:spPr>
                      </pic:pic>
                    </a:graphicData>
                  </a:graphic>
                </wp:inline>
              </w:drawing>
            </w:r>
          </w:p>
        </w:tc>
        <w:tc>
          <w:tcPr>
            <w:tcW w:w="8807" w:type="dxa"/>
            <w:gridSpan w:val="3"/>
            <w:tcBorders>
              <w:top w:val="single" w:sz="4" w:space="0" w:color="auto"/>
              <w:left w:val="dashed" w:sz="4" w:space="0" w:color="auto"/>
              <w:bottom w:val="single" w:sz="4" w:space="0" w:color="auto"/>
            </w:tcBorders>
          </w:tcPr>
          <w:p w:rsidR="00EA565D" w:rsidRPr="00EA565D" w:rsidRDefault="00EA565D" w:rsidP="00EA565D">
            <w:pPr>
              <w:rPr>
                <w:rFonts w:ascii="Times New Roman" w:hAnsi="Times New Roman" w:cs="Times New Roman"/>
                <w:b/>
                <w:color w:val="0000FF"/>
                <w:sz w:val="20"/>
                <w:szCs w:val="20"/>
              </w:rPr>
            </w:pPr>
            <w:r w:rsidRPr="00EA565D">
              <w:rPr>
                <w:rFonts w:ascii="Times New Roman" w:hAnsi="Times New Roman" w:cs="Times New Roman"/>
                <w:b/>
                <w:bCs/>
                <w:color w:val="0070C0"/>
                <w:sz w:val="20"/>
                <w:szCs w:val="20"/>
              </w:rPr>
              <w:t>*Corresponding Author</w:t>
            </w:r>
          </w:p>
          <w:p w:rsidR="00EA565D" w:rsidRPr="00EA565D" w:rsidRDefault="00EA565D" w:rsidP="00EA565D">
            <w:pPr>
              <w:rPr>
                <w:rFonts w:ascii="Times New Roman" w:hAnsi="Times New Roman" w:cs="Times New Roman"/>
                <w:sz w:val="20"/>
                <w:szCs w:val="20"/>
              </w:rPr>
            </w:pPr>
            <w:r w:rsidRPr="00EA565D">
              <w:rPr>
                <w:rFonts w:ascii="Times New Roman" w:hAnsi="Times New Roman" w:cs="Times New Roman"/>
                <w:sz w:val="20"/>
                <w:szCs w:val="20"/>
              </w:rPr>
              <w:t>Dr Chandan Tiwari</w:t>
            </w:r>
          </w:p>
          <w:p w:rsidR="00EA565D" w:rsidRPr="00EA565D" w:rsidRDefault="00F66282" w:rsidP="00EA565D">
            <w:pPr>
              <w:rPr>
                <w:rFonts w:ascii="Calibri" w:hAnsi="Calibri" w:cs="Vrinda"/>
              </w:rPr>
            </w:pPr>
            <w:r w:rsidRPr="00F66282">
              <w:rPr>
                <w:rFonts w:ascii="Times New Roman" w:hAnsi="Times New Roman" w:cs="Times New Roman"/>
                <w:i/>
                <w:sz w:val="20"/>
                <w:szCs w:val="20"/>
              </w:rPr>
              <w:t>Assistant Professor NSCB medical college Jabalpur MP</w:t>
            </w:r>
          </w:p>
        </w:tc>
      </w:tr>
    </w:tbl>
    <w:p w:rsidR="00EA565D" w:rsidRDefault="00EA565D" w:rsidP="00EA565D">
      <w:pPr>
        <w:tabs>
          <w:tab w:val="left" w:pos="2040"/>
        </w:tabs>
        <w:spacing w:after="0" w:line="240" w:lineRule="auto"/>
        <w:rPr>
          <w:rFonts w:ascii="Times New Roman" w:hAnsi="Times New Roman" w:cs="Times New Roman"/>
          <w:sz w:val="20"/>
          <w:szCs w:val="20"/>
        </w:rPr>
      </w:pPr>
    </w:p>
    <w:p w:rsidR="0010697B" w:rsidRPr="00EA565D" w:rsidRDefault="00D61BBF" w:rsidP="00EA565D">
      <w:pPr>
        <w:tabs>
          <w:tab w:val="left" w:pos="2040"/>
        </w:tabs>
        <w:spacing w:after="0" w:line="240" w:lineRule="auto"/>
        <w:rPr>
          <w:rFonts w:ascii="Times New Roman" w:hAnsi="Times New Roman" w:cs="Times New Roman"/>
          <w:b/>
          <w:bCs/>
          <w:sz w:val="20"/>
          <w:szCs w:val="20"/>
        </w:rPr>
      </w:pPr>
      <w:r w:rsidRPr="00EA565D">
        <w:rPr>
          <w:rFonts w:ascii="Times New Roman" w:hAnsi="Times New Roman" w:cs="Times New Roman"/>
          <w:b/>
          <w:bCs/>
          <w:sz w:val="20"/>
          <w:szCs w:val="20"/>
        </w:rPr>
        <w:t xml:space="preserve">INTRODUCTION </w:t>
      </w:r>
    </w:p>
    <w:p w:rsidR="00182F1D" w:rsidRPr="00EA565D" w:rsidRDefault="00182F1D" w:rsidP="00EA565D">
      <w:pPr>
        <w:tabs>
          <w:tab w:val="left" w:pos="2040"/>
        </w:tabs>
        <w:spacing w:after="0" w:line="240" w:lineRule="auto"/>
        <w:ind w:firstLine="357"/>
        <w:rPr>
          <w:rFonts w:ascii="Times New Roman" w:hAnsi="Times New Roman" w:cs="Times New Roman"/>
          <w:sz w:val="20"/>
          <w:szCs w:val="20"/>
        </w:rPr>
      </w:pPr>
      <w:r w:rsidRPr="00EA565D">
        <w:rPr>
          <w:rFonts w:ascii="Times New Roman" w:hAnsi="Times New Roman" w:cs="Times New Roman"/>
          <w:sz w:val="20"/>
          <w:szCs w:val="20"/>
        </w:rPr>
        <w:t>Wound dehiscence is defined as a partial or complete disruption of a sutured wound with or without protrusion and evisceration of abdominal contents. Dehiscence of the wound occurs before cutaneous healing</w:t>
      </w:r>
    </w:p>
    <w:p w:rsidR="00182F1D" w:rsidRPr="00EA565D" w:rsidRDefault="00182F1D"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There are two basic types of wound dehiscence, depending upon the extent of separation.</w:t>
      </w:r>
    </w:p>
    <w:p w:rsidR="00182F1D" w:rsidRPr="00EA565D" w:rsidRDefault="00182F1D"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 1. </w:t>
      </w:r>
      <w:r w:rsidRPr="00EA565D">
        <w:rPr>
          <w:rFonts w:ascii="Times New Roman" w:hAnsi="Times New Roman" w:cs="Times New Roman"/>
          <w:b/>
          <w:bCs/>
          <w:sz w:val="20"/>
          <w:szCs w:val="20"/>
        </w:rPr>
        <w:t>Partial wound dehiscence-</w:t>
      </w:r>
      <w:r w:rsidRPr="00EA565D">
        <w:rPr>
          <w:rFonts w:ascii="Times New Roman" w:hAnsi="Times New Roman" w:cs="Times New Roman"/>
          <w:sz w:val="20"/>
          <w:szCs w:val="20"/>
        </w:rPr>
        <w:t xml:space="preserve"> In partial dehiscence, only the superficial layers or part of the tissue layers open.</w:t>
      </w:r>
    </w:p>
    <w:p w:rsidR="00D61BBF" w:rsidRPr="00EA565D" w:rsidRDefault="00182F1D"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 2. </w:t>
      </w:r>
      <w:r w:rsidRPr="00EA565D">
        <w:rPr>
          <w:rFonts w:ascii="Times New Roman" w:hAnsi="Times New Roman" w:cs="Times New Roman"/>
          <w:b/>
          <w:bCs/>
          <w:sz w:val="20"/>
          <w:szCs w:val="20"/>
        </w:rPr>
        <w:t>Complete wound dehiscence</w:t>
      </w:r>
      <w:r w:rsidRPr="00EA565D">
        <w:rPr>
          <w:rFonts w:ascii="Times New Roman" w:hAnsi="Times New Roman" w:cs="Times New Roman"/>
          <w:sz w:val="20"/>
          <w:szCs w:val="20"/>
        </w:rPr>
        <w:t>- In the complete wound dehiscence; all layers of the wound thickness are separated, revealing the underlying tissue and organs, which may protrude out of the separated wound. This can be seen in some cases of abdominal wound dehiscence.</w:t>
      </w:r>
    </w:p>
    <w:p w:rsidR="00EA565D" w:rsidRDefault="00EA565D" w:rsidP="00EA565D">
      <w:pPr>
        <w:tabs>
          <w:tab w:val="left" w:pos="2040"/>
        </w:tabs>
        <w:spacing w:after="0" w:line="240" w:lineRule="auto"/>
        <w:rPr>
          <w:rFonts w:ascii="Times New Roman" w:hAnsi="Times New Roman" w:cs="Times New Roman"/>
          <w:sz w:val="20"/>
          <w:szCs w:val="20"/>
        </w:rPr>
      </w:pPr>
    </w:p>
    <w:p w:rsidR="00182F1D" w:rsidRPr="00EA565D" w:rsidRDefault="00182F1D"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Wound dehiscence is among the most dreaded complications faced by surgeons and is of greatest concern because of the </w:t>
      </w:r>
    </w:p>
    <w:p w:rsidR="00182F1D" w:rsidRP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Risk of evisceration</w:t>
      </w:r>
    </w:p>
    <w:p w:rsidR="00182F1D" w:rsidRP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Need for immediate intervention</w:t>
      </w:r>
    </w:p>
    <w:p w:rsidR="00182F1D" w:rsidRP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Possibility of repeat dehiscence</w:t>
      </w:r>
    </w:p>
    <w:p w:rsidR="00182F1D" w:rsidRP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Surgical wound infection</w:t>
      </w:r>
    </w:p>
    <w:p w:rsidR="00182F1D" w:rsidRP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Incisional hernia formation. </w:t>
      </w:r>
    </w:p>
    <w:p w:rsidR="00EA565D" w:rsidRDefault="00182F1D"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Wound dehiscence (burst abdomen, fascial dehiscence) is a severe postoperative complication, with mortality rates reported to be as high as 20%. Incidence as described in the literature ranges from 0.4% to 3.5%.</w:t>
      </w:r>
    </w:p>
    <w:p w:rsidR="00EA565D" w:rsidRDefault="00EA565D" w:rsidP="00EA565D">
      <w:pPr>
        <w:tabs>
          <w:tab w:val="left" w:pos="2040"/>
        </w:tabs>
        <w:spacing w:after="0" w:line="240" w:lineRule="auto"/>
        <w:rPr>
          <w:rFonts w:ascii="Times New Roman" w:hAnsi="Times New Roman" w:cs="Times New Roman"/>
          <w:sz w:val="20"/>
          <w:szCs w:val="20"/>
        </w:rPr>
      </w:pPr>
    </w:p>
    <w:p w:rsidR="005B1E5F" w:rsidRPr="00EA565D" w:rsidRDefault="005B1E5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Various risk factors are responsible for the development of wound dehiscence such as</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Emergency surgery</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Intra-abdominal infection</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Malnutrition (hypoalbuminemia, anemia)</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Advanced age</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Systemic diseases</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Ascites</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Diabetes</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lastRenderedPageBreak/>
        <w:t xml:space="preserve">Wound infection, </w:t>
      </w:r>
    </w:p>
    <w:p w:rsidR="005B1E5F" w:rsidRPr="00EA565D" w:rsidRDefault="005B1E5F" w:rsidP="00EA565D">
      <w:pPr>
        <w:pStyle w:val="ListParagraph"/>
        <w:numPr>
          <w:ilvl w:val="0"/>
          <w:numId w:val="1"/>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Postoperative coughing etc. </w:t>
      </w:r>
    </w:p>
    <w:p w:rsidR="00EA565D" w:rsidRDefault="00EA565D" w:rsidP="00EA565D">
      <w:pPr>
        <w:pStyle w:val="ListParagraph"/>
        <w:tabs>
          <w:tab w:val="left" w:pos="2040"/>
        </w:tabs>
        <w:spacing w:after="0" w:line="240" w:lineRule="auto"/>
        <w:ind w:left="0"/>
        <w:rPr>
          <w:rFonts w:ascii="Times New Roman" w:hAnsi="Times New Roman" w:cs="Times New Roman"/>
          <w:sz w:val="20"/>
          <w:szCs w:val="20"/>
        </w:rPr>
      </w:pPr>
    </w:p>
    <w:p w:rsidR="00202F56" w:rsidRPr="00EA565D" w:rsidRDefault="005B1E5F"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Good knowledge of these risk factors is mandatory for prophylaxis. Patients at high risk for wound dehiscence can be benefitted from close observation and early intervention</w:t>
      </w:r>
      <w:r w:rsidR="000957E6" w:rsidRPr="00EA565D">
        <w:rPr>
          <w:rFonts w:ascii="Times New Roman" w:hAnsi="Times New Roman" w:cs="Times New Roman"/>
          <w:sz w:val="20"/>
          <w:szCs w:val="20"/>
        </w:rPr>
        <w:t>.</w:t>
      </w:r>
    </w:p>
    <w:p w:rsidR="00F266D9" w:rsidRDefault="00F266D9" w:rsidP="00F266D9">
      <w:pPr>
        <w:pStyle w:val="ListParagraph"/>
        <w:tabs>
          <w:tab w:val="left" w:pos="2040"/>
        </w:tabs>
        <w:spacing w:after="0" w:line="240" w:lineRule="auto"/>
        <w:ind w:left="0" w:firstLine="357"/>
        <w:rPr>
          <w:rFonts w:ascii="Times New Roman" w:hAnsi="Times New Roman" w:cs="Times New Roman"/>
          <w:sz w:val="20"/>
          <w:szCs w:val="20"/>
        </w:rPr>
      </w:pPr>
    </w:p>
    <w:p w:rsidR="003E7D81" w:rsidRPr="00EA565D" w:rsidRDefault="00202F56"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 xml:space="preserve">This study was done to highlight the risk factors for wound dehiscence, the incidence rate in this hospital, and remedial measures to prevent or reduce the incidence of wound dehiscence and to predict the outcome of the management of wound dehiscence. </w:t>
      </w:r>
    </w:p>
    <w:p w:rsidR="00F266D9" w:rsidRDefault="00F266D9" w:rsidP="00F266D9">
      <w:pPr>
        <w:pStyle w:val="ListParagraph"/>
        <w:tabs>
          <w:tab w:val="left" w:pos="2040"/>
        </w:tabs>
        <w:spacing w:after="0" w:line="240" w:lineRule="auto"/>
        <w:ind w:left="0" w:firstLine="357"/>
        <w:rPr>
          <w:rFonts w:ascii="Times New Roman" w:hAnsi="Times New Roman" w:cs="Times New Roman"/>
          <w:sz w:val="20"/>
          <w:szCs w:val="20"/>
        </w:rPr>
      </w:pPr>
    </w:p>
    <w:p w:rsidR="005B1E5F" w:rsidRPr="00EA565D" w:rsidRDefault="00202F56"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This will certainly reduce mortality and morbidity in the form of prolonged hospital stay, increased economic burden on health care resources, and long term complications of incisional hernia</w:t>
      </w:r>
    </w:p>
    <w:p w:rsidR="00F266D9" w:rsidRDefault="00F266D9" w:rsidP="00F266D9">
      <w:pPr>
        <w:pStyle w:val="ListParagraph"/>
        <w:tabs>
          <w:tab w:val="left" w:pos="2040"/>
        </w:tabs>
        <w:spacing w:after="0" w:line="240" w:lineRule="auto"/>
        <w:ind w:left="0" w:firstLine="357"/>
        <w:rPr>
          <w:rFonts w:ascii="Times New Roman" w:hAnsi="Times New Roman" w:cs="Times New Roman"/>
          <w:sz w:val="20"/>
          <w:szCs w:val="20"/>
        </w:rPr>
      </w:pPr>
    </w:p>
    <w:p w:rsidR="00882BCE" w:rsidRPr="00EA565D" w:rsidRDefault="00882BCE"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Postoperative period for a patient after emergency laparotomy may be dangerous due to a burst abdomen followed by a prolonged hospital stay, increased morbidity, and even death. Morbidity and mortality can be reduced by increasing awareness and concern about this problem and accordingly taking more active steps for its prevention by identifying the high-risk groups and high-risk factors.</w:t>
      </w:r>
    </w:p>
    <w:p w:rsidR="00333498" w:rsidRPr="00EA565D" w:rsidRDefault="00333498" w:rsidP="00EA565D">
      <w:pPr>
        <w:pStyle w:val="ListParagraph"/>
        <w:tabs>
          <w:tab w:val="left" w:pos="2040"/>
        </w:tabs>
        <w:spacing w:after="0" w:line="240" w:lineRule="auto"/>
        <w:ind w:left="0"/>
        <w:rPr>
          <w:rFonts w:ascii="Times New Roman" w:hAnsi="Times New Roman" w:cs="Times New Roman"/>
          <w:sz w:val="20"/>
          <w:szCs w:val="20"/>
        </w:rPr>
      </w:pPr>
    </w:p>
    <w:p w:rsidR="00F64D29" w:rsidRPr="00F266D9" w:rsidRDefault="00F64D29" w:rsidP="00EA565D">
      <w:pPr>
        <w:pStyle w:val="ListParagraph"/>
        <w:tabs>
          <w:tab w:val="left" w:pos="2040"/>
        </w:tabs>
        <w:spacing w:after="0" w:line="240" w:lineRule="auto"/>
        <w:ind w:left="0"/>
        <w:rPr>
          <w:rFonts w:ascii="Times New Roman" w:hAnsi="Times New Roman" w:cs="Times New Roman"/>
          <w:b/>
          <w:bCs/>
          <w:sz w:val="20"/>
          <w:szCs w:val="20"/>
        </w:rPr>
      </w:pPr>
      <w:r w:rsidRPr="00F266D9">
        <w:rPr>
          <w:rFonts w:ascii="Times New Roman" w:hAnsi="Times New Roman" w:cs="Times New Roman"/>
          <w:b/>
          <w:bCs/>
          <w:sz w:val="20"/>
          <w:szCs w:val="20"/>
        </w:rPr>
        <w:t>AIMS and OBJECTIVE</w:t>
      </w:r>
      <w:r w:rsidR="004B26ED" w:rsidRPr="00F266D9">
        <w:rPr>
          <w:rFonts w:ascii="Times New Roman" w:hAnsi="Times New Roman" w:cs="Times New Roman"/>
          <w:b/>
          <w:bCs/>
          <w:sz w:val="20"/>
          <w:szCs w:val="20"/>
        </w:rPr>
        <w:t>-</w:t>
      </w:r>
    </w:p>
    <w:p w:rsidR="004B26ED" w:rsidRPr="00EA565D" w:rsidRDefault="004B26ED" w:rsidP="00EA565D">
      <w:pPr>
        <w:pStyle w:val="ListParagraph"/>
        <w:tabs>
          <w:tab w:val="left" w:pos="2040"/>
        </w:tabs>
        <w:spacing w:after="0" w:line="240" w:lineRule="auto"/>
        <w:ind w:left="0"/>
        <w:rPr>
          <w:rFonts w:ascii="Times New Roman" w:hAnsi="Times New Roman" w:cs="Times New Roman"/>
          <w:sz w:val="20"/>
          <w:szCs w:val="20"/>
        </w:rPr>
      </w:pPr>
      <w:r w:rsidRPr="00EA565D">
        <w:rPr>
          <w:rFonts w:ascii="Times New Roman" w:hAnsi="Times New Roman" w:cs="Times New Roman"/>
          <w:sz w:val="20"/>
          <w:szCs w:val="20"/>
        </w:rPr>
        <w:t>To asses the incidence of wound dehiscence and risk factors associated with them</w:t>
      </w:r>
      <w:r w:rsidR="00333498" w:rsidRPr="00EA565D">
        <w:rPr>
          <w:rFonts w:ascii="Times New Roman" w:hAnsi="Times New Roman" w:cs="Times New Roman"/>
          <w:sz w:val="20"/>
          <w:szCs w:val="20"/>
        </w:rPr>
        <w:t>.</w:t>
      </w:r>
    </w:p>
    <w:p w:rsidR="00333498" w:rsidRPr="00EA565D" w:rsidRDefault="00333498" w:rsidP="00EA565D">
      <w:pPr>
        <w:pStyle w:val="ListParagraph"/>
        <w:tabs>
          <w:tab w:val="left" w:pos="2040"/>
        </w:tabs>
        <w:spacing w:after="0" w:line="240" w:lineRule="auto"/>
        <w:ind w:left="0"/>
        <w:rPr>
          <w:rFonts w:ascii="Times New Roman" w:hAnsi="Times New Roman" w:cs="Times New Roman"/>
          <w:sz w:val="20"/>
          <w:szCs w:val="20"/>
        </w:rPr>
      </w:pPr>
    </w:p>
    <w:p w:rsidR="002F5E8E" w:rsidRPr="00F266D9" w:rsidRDefault="002F5E8E" w:rsidP="00EA565D">
      <w:pPr>
        <w:pStyle w:val="ListParagraph"/>
        <w:tabs>
          <w:tab w:val="left" w:pos="2040"/>
        </w:tabs>
        <w:spacing w:after="0" w:line="240" w:lineRule="auto"/>
        <w:ind w:left="0"/>
        <w:rPr>
          <w:rFonts w:ascii="Times New Roman" w:hAnsi="Times New Roman" w:cs="Times New Roman"/>
          <w:b/>
          <w:bCs/>
          <w:sz w:val="20"/>
          <w:szCs w:val="20"/>
        </w:rPr>
      </w:pPr>
      <w:r w:rsidRPr="00F266D9">
        <w:rPr>
          <w:rFonts w:ascii="Times New Roman" w:hAnsi="Times New Roman" w:cs="Times New Roman"/>
          <w:b/>
          <w:bCs/>
          <w:sz w:val="20"/>
          <w:szCs w:val="20"/>
        </w:rPr>
        <w:t>MATERIAL and METHODS-</w:t>
      </w:r>
    </w:p>
    <w:p w:rsidR="002F5E8E" w:rsidRPr="00EA565D" w:rsidRDefault="007D5380"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This study is an observational prospective and retrospective study conducted in the Department of General Surgery, NSCB MCH, Jabalpur, Madhya Pradesh, by using medical records of patients treated at NSCB MCH between September 2018- September 2020 and in the previous years. Patients which were included underwent laparotomy and other surgical procedures which were complicated by development of postoperative wound dehiscence.</w:t>
      </w:r>
    </w:p>
    <w:p w:rsidR="00F266D9" w:rsidRDefault="00F266D9" w:rsidP="00F266D9">
      <w:pPr>
        <w:pStyle w:val="ListParagraph"/>
        <w:tabs>
          <w:tab w:val="left" w:pos="2040"/>
        </w:tabs>
        <w:spacing w:after="0" w:line="240" w:lineRule="auto"/>
        <w:ind w:left="0" w:firstLine="357"/>
        <w:rPr>
          <w:rFonts w:ascii="Times New Roman" w:hAnsi="Times New Roman" w:cs="Times New Roman"/>
          <w:sz w:val="20"/>
          <w:szCs w:val="20"/>
        </w:rPr>
      </w:pPr>
    </w:p>
    <w:p w:rsidR="007D5380" w:rsidRPr="00EA565D" w:rsidRDefault="007D5380" w:rsidP="00F266D9">
      <w:pPr>
        <w:pStyle w:val="ListParagraph"/>
        <w:tabs>
          <w:tab w:val="left" w:pos="2040"/>
        </w:tabs>
        <w:spacing w:after="0" w:line="240" w:lineRule="auto"/>
        <w:ind w:left="0" w:firstLine="357"/>
        <w:rPr>
          <w:rFonts w:ascii="Times New Roman" w:hAnsi="Times New Roman" w:cs="Times New Roman"/>
          <w:sz w:val="20"/>
          <w:szCs w:val="20"/>
        </w:rPr>
      </w:pPr>
      <w:r w:rsidRPr="00EA565D">
        <w:rPr>
          <w:rFonts w:ascii="Times New Roman" w:hAnsi="Times New Roman" w:cs="Times New Roman"/>
          <w:sz w:val="20"/>
          <w:szCs w:val="20"/>
        </w:rPr>
        <w:t>A total of 100 cases clinically presenting as gaping of wound and discharge from the site from March 2019 to August 2020 were taken for study. Each case was examined clinically and properly in a systematic manner and an elaborative study of history based on chief complaints, significant risk factors, investigations, time and types of surgery performed, and postoperative events and day of onset of wound dehiscence. Following which the management of these cases in NSCB MEDICAL COLLEGE was based on facilities available here was done.</w:t>
      </w:r>
    </w:p>
    <w:p w:rsidR="00333498" w:rsidRPr="00EA565D" w:rsidRDefault="00333498" w:rsidP="00EA565D">
      <w:pPr>
        <w:pStyle w:val="ListParagraph"/>
        <w:tabs>
          <w:tab w:val="left" w:pos="2040"/>
        </w:tabs>
        <w:spacing w:after="0" w:line="240" w:lineRule="auto"/>
        <w:ind w:left="0"/>
        <w:rPr>
          <w:rFonts w:ascii="Times New Roman" w:hAnsi="Times New Roman" w:cs="Times New Roman"/>
          <w:sz w:val="20"/>
          <w:szCs w:val="20"/>
        </w:rPr>
      </w:pPr>
    </w:p>
    <w:p w:rsidR="007D5380" w:rsidRPr="00F266D9" w:rsidRDefault="007D5380" w:rsidP="00EA565D">
      <w:pPr>
        <w:pStyle w:val="ListParagraph"/>
        <w:tabs>
          <w:tab w:val="left" w:pos="2040"/>
        </w:tabs>
        <w:spacing w:after="0" w:line="240" w:lineRule="auto"/>
        <w:ind w:left="0"/>
        <w:rPr>
          <w:rFonts w:ascii="Times New Roman" w:hAnsi="Times New Roman" w:cs="Times New Roman"/>
          <w:b/>
          <w:bCs/>
          <w:sz w:val="20"/>
          <w:szCs w:val="20"/>
        </w:rPr>
      </w:pPr>
      <w:r w:rsidRPr="00EA565D">
        <w:rPr>
          <w:rFonts w:ascii="Times New Roman" w:hAnsi="Times New Roman" w:cs="Times New Roman"/>
          <w:b/>
          <w:bCs/>
          <w:sz w:val="20"/>
          <w:szCs w:val="20"/>
        </w:rPr>
        <w:t>INCLUSION CRITERIA</w:t>
      </w:r>
      <w:r w:rsidRPr="00EA565D">
        <w:rPr>
          <w:rFonts w:ascii="Times New Roman" w:hAnsi="Times New Roman" w:cs="Times New Roman"/>
          <w:sz w:val="20"/>
          <w:szCs w:val="20"/>
        </w:rPr>
        <w:tab/>
      </w:r>
      <w:r w:rsidRPr="00EA565D">
        <w:rPr>
          <w:rFonts w:ascii="Times New Roman" w:hAnsi="Times New Roman" w:cs="Times New Roman"/>
          <w:sz w:val="20"/>
          <w:szCs w:val="20"/>
        </w:rPr>
        <w:tab/>
      </w:r>
      <w:r w:rsidRPr="00EA565D">
        <w:rPr>
          <w:rFonts w:ascii="Times New Roman" w:hAnsi="Times New Roman" w:cs="Times New Roman"/>
          <w:sz w:val="20"/>
          <w:szCs w:val="20"/>
        </w:rPr>
        <w:tab/>
      </w:r>
      <w:r w:rsidRPr="00EA565D">
        <w:rPr>
          <w:rFonts w:ascii="Times New Roman" w:hAnsi="Times New Roman" w:cs="Times New Roman"/>
          <w:sz w:val="20"/>
          <w:szCs w:val="20"/>
        </w:rPr>
        <w:tab/>
      </w:r>
    </w:p>
    <w:p w:rsidR="007D5380" w:rsidRPr="00EA565D" w:rsidRDefault="007D5380" w:rsidP="00F266D9">
      <w:pPr>
        <w:pStyle w:val="ListParagraph"/>
        <w:numPr>
          <w:ilvl w:val="0"/>
          <w:numId w:val="2"/>
        </w:numPr>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Patients presenting with abdominal and other surgical sites wound dehiscence after undergoing an elective or emergency operation</w:t>
      </w:r>
    </w:p>
    <w:p w:rsidR="007D5380" w:rsidRPr="00EA565D" w:rsidRDefault="007D5380" w:rsidP="00F266D9">
      <w:pPr>
        <w:pStyle w:val="ListParagraph"/>
        <w:numPr>
          <w:ilvl w:val="0"/>
          <w:numId w:val="2"/>
        </w:numPr>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 xml:space="preserve"> Patients in follow up outpatient Department</w:t>
      </w:r>
    </w:p>
    <w:p w:rsidR="007D5380" w:rsidRPr="00EA565D" w:rsidRDefault="007D5380" w:rsidP="00F266D9">
      <w:pPr>
        <w:pStyle w:val="ListParagraph"/>
        <w:numPr>
          <w:ilvl w:val="0"/>
          <w:numId w:val="2"/>
        </w:numPr>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 xml:space="preserve"> Patients who are ready for investigations and treatment for their condition </w:t>
      </w:r>
    </w:p>
    <w:p w:rsidR="00F266D9" w:rsidRDefault="00F266D9" w:rsidP="00EA565D">
      <w:pPr>
        <w:tabs>
          <w:tab w:val="left" w:pos="2040"/>
        </w:tabs>
        <w:spacing w:after="0" w:line="240" w:lineRule="auto"/>
        <w:rPr>
          <w:rFonts w:ascii="Times New Roman" w:hAnsi="Times New Roman" w:cs="Times New Roman"/>
          <w:b/>
          <w:bCs/>
          <w:sz w:val="20"/>
          <w:szCs w:val="20"/>
        </w:rPr>
      </w:pPr>
    </w:p>
    <w:p w:rsidR="007D5380" w:rsidRPr="00EA565D" w:rsidRDefault="007D5380" w:rsidP="00EA565D">
      <w:pPr>
        <w:tabs>
          <w:tab w:val="left" w:pos="2040"/>
        </w:tabs>
        <w:spacing w:after="0" w:line="240" w:lineRule="auto"/>
        <w:rPr>
          <w:rFonts w:ascii="Times New Roman" w:hAnsi="Times New Roman" w:cs="Times New Roman"/>
          <w:b/>
          <w:bCs/>
          <w:sz w:val="20"/>
          <w:szCs w:val="20"/>
        </w:rPr>
      </w:pPr>
      <w:r w:rsidRPr="00EA565D">
        <w:rPr>
          <w:rFonts w:ascii="Times New Roman" w:hAnsi="Times New Roman" w:cs="Times New Roman"/>
          <w:b/>
          <w:bCs/>
          <w:sz w:val="20"/>
          <w:szCs w:val="20"/>
        </w:rPr>
        <w:t xml:space="preserve">EXCLUSION CRITERIA </w:t>
      </w:r>
    </w:p>
    <w:p w:rsidR="007D5380" w:rsidRPr="00EA565D" w:rsidRDefault="007D5380" w:rsidP="00F266D9">
      <w:pPr>
        <w:pStyle w:val="ListParagraph"/>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1. Patients not willing or unable to give informed consent</w:t>
      </w:r>
    </w:p>
    <w:p w:rsidR="007D5380" w:rsidRPr="00EA565D" w:rsidRDefault="007D5380" w:rsidP="00F266D9">
      <w:pPr>
        <w:pStyle w:val="ListParagraph"/>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 xml:space="preserve">2. Patients with poor follow-up </w:t>
      </w:r>
    </w:p>
    <w:p w:rsidR="007D5380" w:rsidRPr="00EA565D" w:rsidRDefault="007D5380" w:rsidP="00F266D9">
      <w:pPr>
        <w:pStyle w:val="ListParagraph"/>
        <w:tabs>
          <w:tab w:val="left" w:pos="2040"/>
        </w:tabs>
        <w:spacing w:after="0" w:line="240" w:lineRule="auto"/>
        <w:ind w:left="567" w:hanging="283"/>
        <w:rPr>
          <w:rFonts w:ascii="Times New Roman" w:hAnsi="Times New Roman" w:cs="Times New Roman"/>
          <w:sz w:val="20"/>
          <w:szCs w:val="20"/>
        </w:rPr>
      </w:pPr>
      <w:r w:rsidRPr="00EA565D">
        <w:rPr>
          <w:rFonts w:ascii="Times New Roman" w:hAnsi="Times New Roman" w:cs="Times New Roman"/>
          <w:sz w:val="20"/>
          <w:szCs w:val="20"/>
        </w:rPr>
        <w:t>3. Patients below 10 years of age</w:t>
      </w:r>
    </w:p>
    <w:p w:rsidR="007D5380" w:rsidRPr="00EA565D" w:rsidRDefault="007D5380" w:rsidP="00EA565D">
      <w:pPr>
        <w:pStyle w:val="ListParagraph"/>
        <w:tabs>
          <w:tab w:val="left" w:pos="2040"/>
        </w:tabs>
        <w:spacing w:after="0" w:line="240" w:lineRule="auto"/>
        <w:ind w:left="0"/>
        <w:rPr>
          <w:rFonts w:ascii="Times New Roman" w:hAnsi="Times New Roman" w:cs="Times New Roman"/>
          <w:sz w:val="20"/>
          <w:szCs w:val="20"/>
        </w:rPr>
      </w:pPr>
    </w:p>
    <w:p w:rsidR="003404F0" w:rsidRPr="00EA565D" w:rsidRDefault="003404F0" w:rsidP="00EA565D">
      <w:pPr>
        <w:pStyle w:val="ListParagraph"/>
        <w:tabs>
          <w:tab w:val="left" w:pos="2040"/>
        </w:tabs>
        <w:spacing w:after="0" w:line="240" w:lineRule="auto"/>
        <w:ind w:left="0"/>
        <w:rPr>
          <w:rFonts w:ascii="Times New Roman" w:hAnsi="Times New Roman" w:cs="Times New Roman"/>
          <w:sz w:val="20"/>
          <w:szCs w:val="20"/>
        </w:rPr>
      </w:pPr>
      <w:r w:rsidRPr="00EA565D">
        <w:rPr>
          <w:rFonts w:ascii="Times New Roman" w:hAnsi="Times New Roman" w:cs="Times New Roman"/>
          <w:sz w:val="20"/>
          <w:szCs w:val="20"/>
        </w:rPr>
        <w:t>An elaborative study of these cases about</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Admission</w:t>
      </w:r>
      <w:r w:rsidR="000957E6" w:rsidRPr="00EA565D">
        <w:rPr>
          <w:rFonts w:ascii="Times New Roman" w:hAnsi="Times New Roman" w:cs="Times New Roman"/>
          <w:sz w:val="20"/>
          <w:szCs w:val="20"/>
        </w:rPr>
        <w:t>,</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Clinical history</w:t>
      </w:r>
      <w:r w:rsidR="000957E6" w:rsidRPr="00EA565D">
        <w:rPr>
          <w:rFonts w:ascii="Times New Roman" w:hAnsi="Times New Roman" w:cs="Times New Roman"/>
          <w:sz w:val="20"/>
          <w:szCs w:val="20"/>
        </w:rPr>
        <w:t>,</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Significant risk factors</w:t>
      </w:r>
      <w:r w:rsidR="000957E6" w:rsidRPr="00EA565D">
        <w:rPr>
          <w:rFonts w:ascii="Times New Roman" w:hAnsi="Times New Roman" w:cs="Times New Roman"/>
          <w:sz w:val="20"/>
          <w:szCs w:val="20"/>
        </w:rPr>
        <w:t>,</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Investigations,</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Type of surgery</w:t>
      </w:r>
      <w:r w:rsidR="000957E6" w:rsidRPr="00EA565D">
        <w:rPr>
          <w:rFonts w:ascii="Times New Roman" w:hAnsi="Times New Roman" w:cs="Times New Roman"/>
          <w:sz w:val="20"/>
          <w:szCs w:val="20"/>
        </w:rPr>
        <w:t>,</w:t>
      </w:r>
    </w:p>
    <w:p w:rsidR="003404F0" w:rsidRPr="00EA565D" w:rsidRDefault="003404F0"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Postoperative follow</w:t>
      </w:r>
      <w:r w:rsidR="00F66282">
        <w:rPr>
          <w:rFonts w:ascii="Times New Roman" w:hAnsi="Times New Roman" w:cs="Times New Roman"/>
          <w:sz w:val="20"/>
          <w:szCs w:val="20"/>
        </w:rPr>
        <w:t xml:space="preserve"> </w:t>
      </w:r>
      <w:r w:rsidRPr="00EA565D">
        <w:rPr>
          <w:rFonts w:ascii="Times New Roman" w:hAnsi="Times New Roman" w:cs="Times New Roman"/>
          <w:sz w:val="20"/>
          <w:szCs w:val="20"/>
        </w:rPr>
        <w:t xml:space="preserve">up, </w:t>
      </w:r>
    </w:p>
    <w:p w:rsidR="00D726BB" w:rsidRDefault="00D726BB" w:rsidP="00EA565D">
      <w:pPr>
        <w:pStyle w:val="ListParagraph"/>
        <w:tabs>
          <w:tab w:val="left" w:pos="2040"/>
        </w:tabs>
        <w:spacing w:after="0" w:line="240" w:lineRule="auto"/>
        <w:ind w:left="0"/>
        <w:rPr>
          <w:rFonts w:ascii="Times New Roman" w:hAnsi="Times New Roman" w:cs="Times New Roman"/>
          <w:sz w:val="20"/>
          <w:szCs w:val="20"/>
        </w:rPr>
      </w:pPr>
    </w:p>
    <w:p w:rsidR="007D5380" w:rsidRPr="00EA565D" w:rsidRDefault="003404F0" w:rsidP="00F66282">
      <w:pPr>
        <w:pStyle w:val="ListParagraph"/>
        <w:tabs>
          <w:tab w:val="left" w:pos="2040"/>
        </w:tabs>
        <w:spacing w:after="0" w:line="240" w:lineRule="auto"/>
        <w:ind w:left="0" w:firstLine="357"/>
        <w:jc w:val="both"/>
        <w:rPr>
          <w:rFonts w:ascii="Times New Roman" w:hAnsi="Times New Roman" w:cs="Times New Roman"/>
          <w:sz w:val="20"/>
          <w:szCs w:val="20"/>
        </w:rPr>
      </w:pPr>
      <w:r w:rsidRPr="00EA565D">
        <w:rPr>
          <w:rFonts w:ascii="Times New Roman" w:hAnsi="Times New Roman" w:cs="Times New Roman"/>
          <w:sz w:val="20"/>
          <w:szCs w:val="20"/>
        </w:rPr>
        <w:t>The study of diagnosis and day of diagnosis of wound dehiscence was done until the patient was discharged from the hospital.</w:t>
      </w:r>
      <w:r w:rsidR="00F66282">
        <w:rPr>
          <w:rFonts w:ascii="Times New Roman" w:hAnsi="Times New Roman" w:cs="Times New Roman"/>
          <w:sz w:val="20"/>
          <w:szCs w:val="20"/>
        </w:rPr>
        <w:t xml:space="preserve"> </w:t>
      </w:r>
      <w:r w:rsidR="00C36FC8" w:rsidRPr="00EA565D">
        <w:rPr>
          <w:rFonts w:ascii="Times New Roman" w:hAnsi="Times New Roman" w:cs="Times New Roman"/>
          <w:sz w:val="20"/>
          <w:szCs w:val="20"/>
        </w:rPr>
        <w:t>In history, details regarding presenting complaints, duration, associated diseases, significant risk factors like anemia, malnutrition, obesity, chronic cough, smoking, alcoholism were noted.</w:t>
      </w:r>
      <w:r w:rsidR="00F66282">
        <w:rPr>
          <w:rFonts w:ascii="Times New Roman" w:hAnsi="Times New Roman" w:cs="Times New Roman"/>
          <w:sz w:val="20"/>
          <w:szCs w:val="20"/>
        </w:rPr>
        <w:t xml:space="preserve"> </w:t>
      </w:r>
      <w:r w:rsidR="000E3895" w:rsidRPr="00EA565D">
        <w:rPr>
          <w:rFonts w:ascii="Times New Roman" w:hAnsi="Times New Roman" w:cs="Times New Roman"/>
          <w:sz w:val="20"/>
          <w:szCs w:val="20"/>
        </w:rPr>
        <w:t>All details regarding the clinical diagnosis of the patients and whether the operation was conducted in emergency or routine. Intra-operative findings were noted and classification of surgical wounds done accordingly. The type of surgical procedure done was recorded.</w:t>
      </w:r>
    </w:p>
    <w:p w:rsidR="00F66282" w:rsidRDefault="00F66282" w:rsidP="00EA565D">
      <w:pPr>
        <w:tabs>
          <w:tab w:val="left" w:pos="2040"/>
        </w:tabs>
        <w:spacing w:after="0" w:line="240" w:lineRule="auto"/>
        <w:rPr>
          <w:rFonts w:ascii="Times New Roman" w:hAnsi="Times New Roman" w:cs="Times New Roman"/>
          <w:sz w:val="20"/>
          <w:szCs w:val="20"/>
        </w:rPr>
      </w:pPr>
    </w:p>
    <w:p w:rsidR="00E25437" w:rsidRPr="00F66282" w:rsidRDefault="00E25437" w:rsidP="00EA565D">
      <w:pPr>
        <w:tabs>
          <w:tab w:val="left" w:pos="2040"/>
        </w:tabs>
        <w:spacing w:after="0" w:line="240" w:lineRule="auto"/>
        <w:rPr>
          <w:rFonts w:ascii="Times New Roman" w:hAnsi="Times New Roman" w:cs="Times New Roman"/>
          <w:b/>
          <w:bCs/>
          <w:sz w:val="20"/>
          <w:szCs w:val="20"/>
        </w:rPr>
      </w:pPr>
      <w:r w:rsidRPr="00F66282">
        <w:rPr>
          <w:rFonts w:ascii="Times New Roman" w:hAnsi="Times New Roman" w:cs="Times New Roman"/>
          <w:b/>
          <w:bCs/>
          <w:sz w:val="20"/>
          <w:szCs w:val="20"/>
        </w:rPr>
        <w:t>FACTORS USED IN STUDY</w:t>
      </w:r>
    </w:p>
    <w:p w:rsidR="00AC58DF"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1. </w:t>
      </w:r>
      <w:r w:rsidRPr="00EA565D">
        <w:rPr>
          <w:rFonts w:ascii="Times New Roman" w:hAnsi="Times New Roman" w:cs="Times New Roman"/>
          <w:b/>
          <w:bCs/>
          <w:sz w:val="20"/>
          <w:szCs w:val="20"/>
        </w:rPr>
        <w:t>Age-</w:t>
      </w:r>
      <w:r w:rsidRPr="00EA565D">
        <w:rPr>
          <w:rFonts w:ascii="Times New Roman" w:hAnsi="Times New Roman" w:cs="Times New Roman"/>
          <w:sz w:val="20"/>
          <w:szCs w:val="20"/>
        </w:rPr>
        <w:t xml:space="preserve"> more than 10 years of age group populations were taken in this study. </w:t>
      </w:r>
    </w:p>
    <w:p w:rsidR="00D726BB"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2. </w:t>
      </w:r>
      <w:r w:rsidRPr="00EA565D">
        <w:rPr>
          <w:rFonts w:ascii="Times New Roman" w:hAnsi="Times New Roman" w:cs="Times New Roman"/>
          <w:b/>
          <w:bCs/>
          <w:sz w:val="20"/>
          <w:szCs w:val="20"/>
        </w:rPr>
        <w:t>Wound infection</w:t>
      </w:r>
      <w:r w:rsidRPr="00EA565D">
        <w:rPr>
          <w:rFonts w:ascii="Times New Roman" w:hAnsi="Times New Roman" w:cs="Times New Roman"/>
          <w:sz w:val="20"/>
          <w:szCs w:val="20"/>
        </w:rPr>
        <w:t xml:space="preserve"> - was recorded in database when at least one of the following was observed within 30 days after operation.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lastRenderedPageBreak/>
        <w:t xml:space="preserve">Purulent discharge,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organisms isolated from fluid/tissue,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atleast one sign of inflammation (pain or tenderness,</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 induration,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erythema,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 xml:space="preserve">local warmth of the wound), </w:t>
      </w:r>
    </w:p>
    <w:p w:rsidR="00AC58DF" w:rsidRPr="00EA565D" w:rsidRDefault="00AC58DF" w:rsidP="00D726BB">
      <w:pPr>
        <w:pStyle w:val="ListParagraph"/>
        <w:numPr>
          <w:ilvl w:val="0"/>
          <w:numId w:val="3"/>
        </w:numPr>
        <w:tabs>
          <w:tab w:val="left" w:pos="2040"/>
        </w:tabs>
        <w:spacing w:after="0" w:line="240" w:lineRule="auto"/>
        <w:ind w:left="567"/>
        <w:rPr>
          <w:rFonts w:ascii="Times New Roman" w:hAnsi="Times New Roman" w:cs="Times New Roman"/>
          <w:sz w:val="20"/>
          <w:szCs w:val="20"/>
        </w:rPr>
      </w:pPr>
      <w:r w:rsidRPr="00EA565D">
        <w:rPr>
          <w:rFonts w:ascii="Times New Roman" w:hAnsi="Times New Roman" w:cs="Times New Roman"/>
          <w:sz w:val="20"/>
          <w:szCs w:val="20"/>
        </w:rPr>
        <w:t>if wound was deliberately opened by the surgeon or the surgeon declared the wound infected.</w:t>
      </w:r>
    </w:p>
    <w:p w:rsidR="00D726BB" w:rsidRDefault="00D726BB" w:rsidP="00EA565D">
      <w:pPr>
        <w:tabs>
          <w:tab w:val="left" w:pos="2040"/>
        </w:tabs>
        <w:spacing w:after="0" w:line="240" w:lineRule="auto"/>
        <w:rPr>
          <w:rFonts w:ascii="Times New Roman" w:hAnsi="Times New Roman" w:cs="Times New Roman"/>
          <w:sz w:val="20"/>
          <w:szCs w:val="20"/>
        </w:rPr>
      </w:pPr>
    </w:p>
    <w:p w:rsidR="00AD136A"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 3. </w:t>
      </w:r>
      <w:r w:rsidRPr="00EA565D">
        <w:rPr>
          <w:rFonts w:ascii="Times New Roman" w:hAnsi="Times New Roman" w:cs="Times New Roman"/>
          <w:b/>
          <w:bCs/>
          <w:sz w:val="20"/>
          <w:szCs w:val="20"/>
        </w:rPr>
        <w:t>Anemia</w:t>
      </w:r>
      <w:r w:rsidRPr="00EA565D">
        <w:rPr>
          <w:rFonts w:ascii="Times New Roman" w:hAnsi="Times New Roman" w:cs="Times New Roman"/>
          <w:sz w:val="20"/>
          <w:szCs w:val="20"/>
        </w:rPr>
        <w:t xml:space="preserve"> - blood hemoglobin level less than 12 g/dl</w:t>
      </w:r>
    </w:p>
    <w:p w:rsidR="00AD136A"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 4. </w:t>
      </w:r>
      <w:r w:rsidRPr="00EA565D">
        <w:rPr>
          <w:rFonts w:ascii="Times New Roman" w:hAnsi="Times New Roman" w:cs="Times New Roman"/>
          <w:b/>
          <w:bCs/>
          <w:sz w:val="20"/>
          <w:szCs w:val="20"/>
        </w:rPr>
        <w:t>Jaundice</w:t>
      </w:r>
      <w:r w:rsidRPr="00EA565D">
        <w:rPr>
          <w:rFonts w:ascii="Times New Roman" w:hAnsi="Times New Roman" w:cs="Times New Roman"/>
          <w:sz w:val="20"/>
          <w:szCs w:val="20"/>
        </w:rPr>
        <w:t xml:space="preserve"> - total level of bilirubin in blood serum 3 mg/dl or higher.</w:t>
      </w:r>
    </w:p>
    <w:p w:rsidR="00AD136A"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 5</w:t>
      </w:r>
      <w:r w:rsidRPr="00EA565D">
        <w:rPr>
          <w:rFonts w:ascii="Times New Roman" w:hAnsi="Times New Roman" w:cs="Times New Roman"/>
          <w:b/>
          <w:bCs/>
          <w:sz w:val="20"/>
          <w:szCs w:val="20"/>
        </w:rPr>
        <w:t xml:space="preserve">. Postoperative coughing </w:t>
      </w:r>
      <w:r w:rsidRPr="00EA565D">
        <w:rPr>
          <w:rFonts w:ascii="Times New Roman" w:hAnsi="Times New Roman" w:cs="Times New Roman"/>
          <w:sz w:val="20"/>
          <w:szCs w:val="20"/>
        </w:rPr>
        <w:t xml:space="preserve">- was define as coughing documented by nurses in the patient charts beforethe diagnosis of abdominal wound dehiscence, orbefore discharge in patients without abdominalwound dehiscence. </w:t>
      </w:r>
    </w:p>
    <w:p w:rsidR="00AD136A"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6. </w:t>
      </w:r>
      <w:r w:rsidRPr="00EA565D">
        <w:rPr>
          <w:rFonts w:ascii="Times New Roman" w:hAnsi="Times New Roman" w:cs="Times New Roman"/>
          <w:b/>
          <w:bCs/>
          <w:sz w:val="20"/>
          <w:szCs w:val="20"/>
        </w:rPr>
        <w:t xml:space="preserve">Ascites </w:t>
      </w:r>
      <w:r w:rsidRPr="00EA565D">
        <w:rPr>
          <w:rFonts w:ascii="Times New Roman" w:hAnsi="Times New Roman" w:cs="Times New Roman"/>
          <w:sz w:val="20"/>
          <w:szCs w:val="20"/>
        </w:rPr>
        <w:t>- accumulation of free fluid in the peritonealcavity on clinical examination and ultrasound.</w:t>
      </w:r>
    </w:p>
    <w:p w:rsidR="00AD136A"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7. </w:t>
      </w:r>
      <w:r w:rsidRPr="00EA565D">
        <w:rPr>
          <w:rFonts w:ascii="Times New Roman" w:hAnsi="Times New Roman" w:cs="Times New Roman"/>
          <w:b/>
          <w:bCs/>
          <w:sz w:val="20"/>
          <w:szCs w:val="20"/>
        </w:rPr>
        <w:t>Hypoalbuminemia</w:t>
      </w:r>
      <w:r w:rsidRPr="00EA565D">
        <w:rPr>
          <w:rFonts w:ascii="Times New Roman" w:hAnsi="Times New Roman" w:cs="Times New Roman"/>
          <w:sz w:val="20"/>
          <w:szCs w:val="20"/>
        </w:rPr>
        <w:t xml:space="preserve"> - serum albumin level &lt; 3.5gm/dl. 29</w:t>
      </w:r>
    </w:p>
    <w:p w:rsidR="00AC58DF" w:rsidRPr="00EA565D" w:rsidRDefault="00AC58D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8</w:t>
      </w:r>
      <w:r w:rsidRPr="00EA565D">
        <w:rPr>
          <w:rFonts w:ascii="Times New Roman" w:hAnsi="Times New Roman" w:cs="Times New Roman"/>
          <w:b/>
          <w:bCs/>
          <w:sz w:val="20"/>
          <w:szCs w:val="20"/>
        </w:rPr>
        <w:t>. Diabetes</w:t>
      </w:r>
      <w:r w:rsidRPr="00EA565D">
        <w:rPr>
          <w:rFonts w:ascii="Times New Roman" w:hAnsi="Times New Roman" w:cs="Times New Roman"/>
          <w:sz w:val="20"/>
          <w:szCs w:val="20"/>
        </w:rPr>
        <w:t xml:space="preserve"> - raised level of blood sugar level &gt;140 mg/dl can lead to poor wound healing and wound dehiscence, so blood sugar levels should be in controlled for better wound healing in diabetic patients</w:t>
      </w:r>
    </w:p>
    <w:p w:rsidR="00F64D29" w:rsidRPr="00EA565D" w:rsidRDefault="00F64D29" w:rsidP="00EA565D">
      <w:pPr>
        <w:pStyle w:val="ListParagraph"/>
        <w:tabs>
          <w:tab w:val="left" w:pos="2040"/>
        </w:tabs>
        <w:spacing w:after="0" w:line="240" w:lineRule="auto"/>
        <w:ind w:left="0"/>
        <w:rPr>
          <w:rFonts w:ascii="Times New Roman" w:hAnsi="Times New Roman" w:cs="Times New Roman"/>
          <w:sz w:val="20"/>
          <w:szCs w:val="20"/>
        </w:rPr>
      </w:pPr>
    </w:p>
    <w:p w:rsidR="00B5358E" w:rsidRPr="00EA565D" w:rsidRDefault="00254DA8" w:rsidP="00D726BB">
      <w:pPr>
        <w:tabs>
          <w:tab w:val="left" w:pos="2040"/>
        </w:tabs>
        <w:spacing w:after="0" w:line="240" w:lineRule="auto"/>
        <w:jc w:val="center"/>
        <w:rPr>
          <w:rFonts w:ascii="Times New Roman" w:hAnsi="Times New Roman" w:cs="Times New Roman"/>
          <w:sz w:val="20"/>
          <w:szCs w:val="20"/>
        </w:rPr>
      </w:pPr>
      <w:r w:rsidRPr="00EA565D">
        <w:rPr>
          <w:rFonts w:ascii="Times New Roman" w:hAnsi="Times New Roman" w:cs="Times New Roman"/>
          <w:noProof/>
          <w:sz w:val="20"/>
          <w:szCs w:val="20"/>
          <w:lang w:eastAsia="en-IN" w:bidi="as-IN"/>
        </w:rPr>
        <w:drawing>
          <wp:inline distT="0" distB="0" distL="0" distR="0">
            <wp:extent cx="2868347" cy="2852382"/>
            <wp:effectExtent l="19050" t="0" r="8203" b="0"/>
            <wp:docPr id="15807009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700964" name=""/>
                    <pic:cNvPicPr/>
                  </pic:nvPicPr>
                  <pic:blipFill>
                    <a:blip r:embed="rId13"/>
                    <a:stretch>
                      <a:fillRect/>
                    </a:stretch>
                  </pic:blipFill>
                  <pic:spPr>
                    <a:xfrm>
                      <a:off x="0" y="0"/>
                      <a:ext cx="2874753" cy="2858753"/>
                    </a:xfrm>
                    <a:prstGeom prst="rect">
                      <a:avLst/>
                    </a:prstGeom>
                  </pic:spPr>
                </pic:pic>
              </a:graphicData>
            </a:graphic>
          </wp:inline>
        </w:drawing>
      </w:r>
    </w:p>
    <w:p w:rsidR="00CA015F" w:rsidRPr="00EA565D" w:rsidRDefault="008833C8" w:rsidP="00D726BB">
      <w:pPr>
        <w:spacing w:after="0" w:line="240" w:lineRule="auto"/>
        <w:jc w:val="center"/>
        <w:rPr>
          <w:rFonts w:ascii="Times New Roman" w:hAnsi="Times New Roman" w:cs="Times New Roman"/>
          <w:sz w:val="20"/>
          <w:szCs w:val="20"/>
        </w:rPr>
      </w:pPr>
      <w:r w:rsidRPr="00EA565D">
        <w:rPr>
          <w:rFonts w:ascii="Times New Roman" w:hAnsi="Times New Roman" w:cs="Times New Roman"/>
          <w:sz w:val="20"/>
          <w:szCs w:val="20"/>
        </w:rPr>
        <w:t>PARTIAL WOUND DEHISCENCE</w:t>
      </w:r>
    </w:p>
    <w:p w:rsidR="0012198F" w:rsidRPr="00EA565D" w:rsidRDefault="0012198F" w:rsidP="00EA565D">
      <w:pPr>
        <w:spacing w:after="0" w:line="240" w:lineRule="auto"/>
        <w:rPr>
          <w:rFonts w:ascii="Times New Roman" w:hAnsi="Times New Roman" w:cs="Times New Roman"/>
          <w:noProof/>
          <w:sz w:val="20"/>
          <w:szCs w:val="20"/>
        </w:rPr>
      </w:pPr>
    </w:p>
    <w:p w:rsidR="00CA015F" w:rsidRPr="00EA565D" w:rsidRDefault="00254DA8" w:rsidP="00D726BB">
      <w:pPr>
        <w:spacing w:after="0" w:line="240" w:lineRule="auto"/>
        <w:jc w:val="center"/>
        <w:rPr>
          <w:rFonts w:ascii="Times New Roman" w:hAnsi="Times New Roman" w:cs="Times New Roman"/>
          <w:sz w:val="20"/>
          <w:szCs w:val="20"/>
        </w:rPr>
      </w:pPr>
      <w:r w:rsidRPr="00EA565D">
        <w:rPr>
          <w:rFonts w:ascii="Times New Roman" w:hAnsi="Times New Roman" w:cs="Times New Roman"/>
          <w:noProof/>
          <w:sz w:val="20"/>
          <w:szCs w:val="20"/>
          <w:lang w:eastAsia="en-IN" w:bidi="as-IN"/>
        </w:rPr>
        <w:drawing>
          <wp:inline distT="0" distB="0" distL="0" distR="0">
            <wp:extent cx="2812065" cy="3276244"/>
            <wp:effectExtent l="19050" t="0" r="7335" b="0"/>
            <wp:docPr id="18339279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927938" name=""/>
                    <pic:cNvPicPr/>
                  </pic:nvPicPr>
                  <pic:blipFill>
                    <a:blip r:embed="rId14"/>
                    <a:stretch>
                      <a:fillRect/>
                    </a:stretch>
                  </pic:blipFill>
                  <pic:spPr>
                    <a:xfrm>
                      <a:off x="0" y="0"/>
                      <a:ext cx="2812621" cy="3276891"/>
                    </a:xfrm>
                    <a:prstGeom prst="rect">
                      <a:avLst/>
                    </a:prstGeom>
                  </pic:spPr>
                </pic:pic>
              </a:graphicData>
            </a:graphic>
          </wp:inline>
        </w:drawing>
      </w:r>
    </w:p>
    <w:p w:rsidR="00D726BB" w:rsidRPr="00EA565D" w:rsidRDefault="006C52C6" w:rsidP="00F66282">
      <w:pPr>
        <w:tabs>
          <w:tab w:val="left" w:pos="2040"/>
        </w:tabs>
        <w:spacing w:after="0" w:line="240" w:lineRule="auto"/>
        <w:jc w:val="center"/>
        <w:rPr>
          <w:rFonts w:ascii="Times New Roman" w:hAnsi="Times New Roman" w:cs="Times New Roman"/>
          <w:sz w:val="20"/>
          <w:szCs w:val="20"/>
        </w:rPr>
      </w:pPr>
      <w:r w:rsidRPr="00EA565D">
        <w:rPr>
          <w:rFonts w:ascii="Times New Roman" w:hAnsi="Times New Roman" w:cs="Times New Roman"/>
          <w:sz w:val="20"/>
          <w:szCs w:val="20"/>
        </w:rPr>
        <w:t>OBSERVATION and RESULT</w:t>
      </w:r>
    </w:p>
    <w:p w:rsidR="006C52C6" w:rsidRPr="00EA565D" w:rsidRDefault="0085733E" w:rsidP="00EA565D">
      <w:pPr>
        <w:pStyle w:val="ListParagraph"/>
        <w:numPr>
          <w:ilvl w:val="0"/>
          <w:numId w:val="6"/>
        </w:numPr>
        <w:tabs>
          <w:tab w:val="left" w:pos="2040"/>
        </w:tabs>
        <w:spacing w:after="0" w:line="240" w:lineRule="auto"/>
        <w:ind w:left="0"/>
        <w:rPr>
          <w:rFonts w:ascii="Times New Roman" w:hAnsi="Times New Roman" w:cs="Times New Roman"/>
          <w:b/>
          <w:bCs/>
          <w:sz w:val="20"/>
          <w:szCs w:val="20"/>
        </w:rPr>
      </w:pPr>
      <w:r w:rsidRPr="00EA565D">
        <w:rPr>
          <w:rFonts w:ascii="Times New Roman" w:hAnsi="Times New Roman" w:cs="Times New Roman"/>
          <w:b/>
          <w:bCs/>
          <w:sz w:val="20"/>
          <w:szCs w:val="20"/>
        </w:rPr>
        <w:lastRenderedPageBreak/>
        <w:t>AGE</w:t>
      </w:r>
    </w:p>
    <w:p w:rsidR="006C52C6" w:rsidRDefault="006C52C6"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In this study majority of patients belonged to the age group between 21- 60 years. The youngest patient was 13 years old and the oldest patient was 76 years who develop wound dehiscence. The mean age of patients among cases was 38.16±14.5 and among control 42.51±14.86 years.</w:t>
      </w:r>
    </w:p>
    <w:p w:rsidR="00D726BB" w:rsidRPr="00EA565D" w:rsidRDefault="00D726BB" w:rsidP="00EA565D">
      <w:pPr>
        <w:tabs>
          <w:tab w:val="left" w:pos="2040"/>
        </w:tabs>
        <w:spacing w:after="0" w:line="240" w:lineRule="auto"/>
        <w:rPr>
          <w:rFonts w:ascii="Times New Roman" w:hAnsi="Times New Roman" w:cs="Times New Roman"/>
          <w:sz w:val="20"/>
          <w:szCs w:val="20"/>
        </w:rPr>
      </w:pPr>
    </w:p>
    <w:tbl>
      <w:tblPr>
        <w:tblStyle w:val="TableGrid"/>
        <w:tblW w:w="5000" w:type="pct"/>
        <w:tblLook w:val="04A0"/>
      </w:tblPr>
      <w:tblGrid>
        <w:gridCol w:w="3986"/>
        <w:gridCol w:w="1494"/>
        <w:gridCol w:w="1494"/>
        <w:gridCol w:w="1494"/>
        <w:gridCol w:w="1494"/>
      </w:tblGrid>
      <w:tr w:rsidR="0085733E" w:rsidRPr="00EA565D" w:rsidTr="00D726BB">
        <w:trPr>
          <w:trHeight w:val="89"/>
        </w:trPr>
        <w:tc>
          <w:tcPr>
            <w:tcW w:w="2000" w:type="pct"/>
            <w:vMerge w:val="restart"/>
          </w:tcPr>
          <w:p w:rsidR="0085733E" w:rsidRPr="00EA565D" w:rsidRDefault="0085733E" w:rsidP="00EA565D">
            <w:pPr>
              <w:tabs>
                <w:tab w:val="left" w:pos="2040"/>
              </w:tabs>
              <w:rPr>
                <w:rFonts w:ascii="Times New Roman" w:hAnsi="Times New Roman" w:cs="Times New Roman"/>
                <w:sz w:val="20"/>
                <w:szCs w:val="20"/>
              </w:rPr>
            </w:pPr>
          </w:p>
          <w:p w:rsidR="0085733E" w:rsidRPr="00EA565D" w:rsidRDefault="0085733E" w:rsidP="00EA565D">
            <w:pPr>
              <w:tabs>
                <w:tab w:val="left" w:pos="977"/>
              </w:tabs>
              <w:rPr>
                <w:rFonts w:ascii="Times New Roman" w:hAnsi="Times New Roman" w:cs="Times New Roman"/>
                <w:sz w:val="20"/>
                <w:szCs w:val="20"/>
              </w:rPr>
            </w:pPr>
            <w:r w:rsidRPr="00EA565D">
              <w:rPr>
                <w:rFonts w:ascii="Times New Roman" w:hAnsi="Times New Roman" w:cs="Times New Roman"/>
                <w:sz w:val="20"/>
                <w:szCs w:val="20"/>
              </w:rPr>
              <w:t>AGE GROUP(years)</w:t>
            </w:r>
          </w:p>
        </w:tc>
        <w:tc>
          <w:tcPr>
            <w:tcW w:w="3000" w:type="pct"/>
            <w:gridSpan w:val="4"/>
          </w:tcPr>
          <w:p w:rsidR="0085733E" w:rsidRPr="00EA565D" w:rsidRDefault="0085733E" w:rsidP="00EA565D">
            <w:pPr>
              <w:tabs>
                <w:tab w:val="left" w:pos="1853"/>
              </w:tabs>
              <w:rPr>
                <w:rFonts w:ascii="Times New Roman" w:hAnsi="Times New Roman" w:cs="Times New Roman"/>
                <w:sz w:val="20"/>
                <w:szCs w:val="20"/>
              </w:rPr>
            </w:pPr>
            <w:r w:rsidRPr="00EA565D">
              <w:rPr>
                <w:rFonts w:ascii="Times New Roman" w:hAnsi="Times New Roman" w:cs="Times New Roman"/>
                <w:sz w:val="20"/>
                <w:szCs w:val="20"/>
              </w:rPr>
              <w:tab/>
              <w:t>GROUP</w:t>
            </w:r>
          </w:p>
        </w:tc>
      </w:tr>
      <w:tr w:rsidR="0085733E" w:rsidRPr="00EA565D" w:rsidTr="00D726BB">
        <w:tc>
          <w:tcPr>
            <w:tcW w:w="2000" w:type="pct"/>
            <w:vMerge/>
          </w:tcPr>
          <w:p w:rsidR="0085733E" w:rsidRPr="00EA565D" w:rsidRDefault="0085733E" w:rsidP="00EA565D">
            <w:pPr>
              <w:tabs>
                <w:tab w:val="left" w:pos="2040"/>
              </w:tabs>
              <w:rPr>
                <w:rFonts w:ascii="Times New Roman" w:hAnsi="Times New Roman" w:cs="Times New Roman"/>
                <w:sz w:val="20"/>
                <w:szCs w:val="20"/>
              </w:rPr>
            </w:pPr>
          </w:p>
        </w:tc>
        <w:tc>
          <w:tcPr>
            <w:tcW w:w="1500" w:type="pct"/>
            <w:gridSpan w:val="2"/>
          </w:tcPr>
          <w:p w:rsidR="0085733E" w:rsidRPr="00EA565D" w:rsidRDefault="0085733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CONTROL</w:t>
            </w:r>
          </w:p>
        </w:tc>
        <w:tc>
          <w:tcPr>
            <w:tcW w:w="1500" w:type="pct"/>
            <w:gridSpan w:val="2"/>
          </w:tcPr>
          <w:p w:rsidR="0085733E"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CASE</w:t>
            </w:r>
          </w:p>
        </w:tc>
      </w:tr>
      <w:tr w:rsidR="0085733E" w:rsidRPr="00EA565D" w:rsidTr="00D726BB">
        <w:tc>
          <w:tcPr>
            <w:tcW w:w="2000" w:type="pct"/>
            <w:vMerge/>
          </w:tcPr>
          <w:p w:rsidR="0085733E" w:rsidRPr="00EA565D" w:rsidRDefault="0085733E" w:rsidP="00EA565D">
            <w:pPr>
              <w:tabs>
                <w:tab w:val="left" w:pos="2040"/>
              </w:tabs>
              <w:rPr>
                <w:rFonts w:ascii="Times New Roman" w:hAnsi="Times New Roman" w:cs="Times New Roman"/>
                <w:sz w:val="20"/>
                <w:szCs w:val="20"/>
              </w:rPr>
            </w:pPr>
          </w:p>
        </w:tc>
        <w:tc>
          <w:tcPr>
            <w:tcW w:w="750" w:type="pct"/>
          </w:tcPr>
          <w:p w:rsidR="0085733E"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N</w:t>
            </w:r>
          </w:p>
        </w:tc>
        <w:tc>
          <w:tcPr>
            <w:tcW w:w="750" w:type="pct"/>
          </w:tcPr>
          <w:p w:rsidR="0085733E"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w:t>
            </w:r>
          </w:p>
        </w:tc>
        <w:tc>
          <w:tcPr>
            <w:tcW w:w="750" w:type="pct"/>
          </w:tcPr>
          <w:p w:rsidR="0085733E"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N</w:t>
            </w:r>
          </w:p>
        </w:tc>
        <w:tc>
          <w:tcPr>
            <w:tcW w:w="750" w:type="pct"/>
          </w:tcPr>
          <w:p w:rsidR="0085733E"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&lt;=20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21- 30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28</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28</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31-40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24</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24</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41-50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14</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14</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21</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21</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51-60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25</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12</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12</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61-70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r>
      <w:tr w:rsidR="00DE2328" w:rsidRPr="00EA565D" w:rsidTr="00D726BB">
        <w:tc>
          <w:tcPr>
            <w:tcW w:w="200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&gt;70 yrs</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w:t>
            </w:r>
          </w:p>
        </w:tc>
        <w:tc>
          <w:tcPr>
            <w:tcW w:w="750" w:type="pct"/>
          </w:tcPr>
          <w:p w:rsidR="00DE2328" w:rsidRPr="00EA565D" w:rsidRDefault="00DE232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w:t>
            </w:r>
          </w:p>
        </w:tc>
      </w:tr>
      <w:tr w:rsidR="00DE2328" w:rsidRPr="00EA565D" w:rsidTr="00D726BB">
        <w:tc>
          <w:tcPr>
            <w:tcW w:w="2000" w:type="pct"/>
          </w:tcPr>
          <w:p w:rsidR="00DE2328" w:rsidRPr="00EA565D" w:rsidRDefault="00DE2328" w:rsidP="00EA565D">
            <w:pPr>
              <w:pStyle w:val="ListParagraph"/>
              <w:tabs>
                <w:tab w:val="left" w:pos="2040"/>
              </w:tabs>
              <w:ind w:left="0"/>
              <w:rPr>
                <w:rFonts w:ascii="Times New Roman" w:hAnsi="Times New Roman" w:cs="Times New Roman"/>
                <w:sz w:val="20"/>
                <w:szCs w:val="20"/>
              </w:rPr>
            </w:pPr>
            <w:r w:rsidRPr="00EA565D">
              <w:rPr>
                <w:rFonts w:ascii="Times New Roman" w:hAnsi="Times New Roman" w:cs="Times New Roman"/>
                <w:sz w:val="20"/>
                <w:szCs w:val="20"/>
              </w:rPr>
              <w:t>MEAN SD</w:t>
            </w:r>
          </w:p>
        </w:tc>
        <w:tc>
          <w:tcPr>
            <w:tcW w:w="1500" w:type="pct"/>
            <w:gridSpan w:val="2"/>
          </w:tcPr>
          <w:p w:rsidR="00DE2328" w:rsidRPr="00EA565D" w:rsidRDefault="0004683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42.51(14.86)</w:t>
            </w:r>
          </w:p>
        </w:tc>
        <w:tc>
          <w:tcPr>
            <w:tcW w:w="1500" w:type="pct"/>
            <w:gridSpan w:val="2"/>
          </w:tcPr>
          <w:p w:rsidR="00DE2328" w:rsidRPr="00EA565D" w:rsidRDefault="0004683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38.16(14.58)</w:t>
            </w:r>
          </w:p>
        </w:tc>
      </w:tr>
      <w:tr w:rsidR="00046838" w:rsidRPr="00EA565D" w:rsidTr="00D726BB">
        <w:tc>
          <w:tcPr>
            <w:tcW w:w="2000" w:type="pct"/>
          </w:tcPr>
          <w:p w:rsidR="00046838" w:rsidRPr="00EA565D" w:rsidRDefault="00046838" w:rsidP="00EA565D">
            <w:pPr>
              <w:pStyle w:val="ListParagraph"/>
              <w:tabs>
                <w:tab w:val="left" w:pos="2040"/>
              </w:tabs>
              <w:ind w:left="0"/>
              <w:rPr>
                <w:rFonts w:ascii="Times New Roman" w:hAnsi="Times New Roman" w:cs="Times New Roman"/>
                <w:sz w:val="20"/>
                <w:szCs w:val="20"/>
              </w:rPr>
            </w:pPr>
            <w:r w:rsidRPr="00EA565D">
              <w:rPr>
                <w:rFonts w:ascii="Times New Roman" w:hAnsi="Times New Roman" w:cs="Times New Roman"/>
                <w:sz w:val="20"/>
                <w:szCs w:val="20"/>
              </w:rPr>
              <w:t>T-test, P-value</w:t>
            </w:r>
          </w:p>
        </w:tc>
        <w:tc>
          <w:tcPr>
            <w:tcW w:w="3000" w:type="pct"/>
            <w:gridSpan w:val="4"/>
          </w:tcPr>
          <w:p w:rsidR="00046838" w:rsidRPr="00EA565D" w:rsidRDefault="00046838"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2.09, P - 0.038</w:t>
            </w:r>
          </w:p>
        </w:tc>
      </w:tr>
    </w:tbl>
    <w:p w:rsidR="0085733E" w:rsidRPr="00EA565D" w:rsidRDefault="0085733E" w:rsidP="00EA565D">
      <w:pPr>
        <w:tabs>
          <w:tab w:val="left" w:pos="2040"/>
        </w:tabs>
        <w:spacing w:after="0" w:line="240" w:lineRule="auto"/>
        <w:rPr>
          <w:rFonts w:ascii="Times New Roman" w:hAnsi="Times New Roman" w:cs="Times New Roman"/>
          <w:sz w:val="20"/>
          <w:szCs w:val="20"/>
        </w:rPr>
      </w:pPr>
    </w:p>
    <w:p w:rsidR="0085733E" w:rsidRPr="00EA565D" w:rsidRDefault="00A636CF"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Chi-square = 16.76; P-value = 0.01</w:t>
      </w:r>
    </w:p>
    <w:p w:rsidR="00CF335E" w:rsidRDefault="0013402E" w:rsidP="00D726BB">
      <w:pPr>
        <w:tabs>
          <w:tab w:val="left" w:pos="2040"/>
        </w:tabs>
        <w:spacing w:after="0" w:line="240" w:lineRule="auto"/>
        <w:jc w:val="center"/>
        <w:rPr>
          <w:rFonts w:ascii="Times New Roman" w:hAnsi="Times New Roman" w:cs="Times New Roman"/>
          <w:sz w:val="20"/>
          <w:szCs w:val="20"/>
        </w:rPr>
      </w:pPr>
      <w:r w:rsidRPr="00EA565D">
        <w:rPr>
          <w:rFonts w:ascii="Times New Roman" w:hAnsi="Times New Roman" w:cs="Times New Roman"/>
          <w:noProof/>
          <w:sz w:val="20"/>
          <w:szCs w:val="20"/>
          <w:lang w:eastAsia="en-IN" w:bidi="as-IN"/>
        </w:rPr>
        <w:drawing>
          <wp:inline distT="0" distB="0" distL="0" distR="0">
            <wp:extent cx="5486400" cy="3200400"/>
            <wp:effectExtent l="0" t="0" r="0" b="0"/>
            <wp:docPr id="198904697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726BB" w:rsidRPr="00EA565D" w:rsidRDefault="00D726BB" w:rsidP="00D726BB">
      <w:pPr>
        <w:tabs>
          <w:tab w:val="left" w:pos="2040"/>
        </w:tabs>
        <w:spacing w:after="0" w:line="240" w:lineRule="auto"/>
        <w:jc w:val="center"/>
        <w:rPr>
          <w:rFonts w:ascii="Times New Roman" w:hAnsi="Times New Roman" w:cs="Times New Roman"/>
          <w:sz w:val="20"/>
          <w:szCs w:val="20"/>
        </w:rPr>
      </w:pPr>
    </w:p>
    <w:tbl>
      <w:tblPr>
        <w:tblStyle w:val="TableGrid"/>
        <w:tblW w:w="5000" w:type="pct"/>
        <w:tblLook w:val="04A0"/>
      </w:tblPr>
      <w:tblGrid>
        <w:gridCol w:w="3110"/>
        <w:gridCol w:w="12"/>
        <w:gridCol w:w="1399"/>
        <w:gridCol w:w="12"/>
        <w:gridCol w:w="1552"/>
        <w:gridCol w:w="24"/>
        <w:gridCol w:w="1747"/>
        <w:gridCol w:w="2106"/>
      </w:tblGrid>
      <w:tr w:rsidR="008A3C34" w:rsidRPr="00EA565D" w:rsidTr="00D726BB">
        <w:tc>
          <w:tcPr>
            <w:tcW w:w="1567" w:type="pct"/>
            <w:gridSpan w:val="2"/>
            <w:vMerge w:val="restart"/>
          </w:tcPr>
          <w:p w:rsidR="008A3C34" w:rsidRPr="00EA565D" w:rsidRDefault="008A3C34" w:rsidP="00EA565D">
            <w:pPr>
              <w:tabs>
                <w:tab w:val="left" w:pos="2040"/>
              </w:tabs>
              <w:rPr>
                <w:rFonts w:ascii="Times New Roman" w:hAnsi="Times New Roman" w:cs="Times New Roman"/>
                <w:sz w:val="20"/>
                <w:szCs w:val="20"/>
              </w:rPr>
            </w:pPr>
          </w:p>
        </w:tc>
        <w:tc>
          <w:tcPr>
            <w:tcW w:w="708" w:type="pct"/>
            <w:gridSpan w:val="2"/>
            <w:vMerge w:val="restart"/>
          </w:tcPr>
          <w:p w:rsidR="008A3C34" w:rsidRPr="00EA565D" w:rsidRDefault="008A3C34" w:rsidP="00EA565D">
            <w:pPr>
              <w:tabs>
                <w:tab w:val="left" w:pos="2040"/>
              </w:tabs>
              <w:rPr>
                <w:rFonts w:ascii="Times New Roman" w:hAnsi="Times New Roman" w:cs="Times New Roman"/>
                <w:sz w:val="20"/>
                <w:szCs w:val="20"/>
              </w:rPr>
            </w:pPr>
          </w:p>
        </w:tc>
        <w:tc>
          <w:tcPr>
            <w:tcW w:w="2725" w:type="pct"/>
            <w:gridSpan w:val="4"/>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GROUPS</w:t>
            </w:r>
          </w:p>
        </w:tc>
      </w:tr>
      <w:tr w:rsidR="004A250E" w:rsidRPr="00EA565D" w:rsidTr="00D726BB">
        <w:tc>
          <w:tcPr>
            <w:tcW w:w="1567" w:type="pct"/>
            <w:gridSpan w:val="2"/>
            <w:vMerge/>
          </w:tcPr>
          <w:p w:rsidR="002D3BF4" w:rsidRPr="00EA565D" w:rsidRDefault="002D3BF4" w:rsidP="00EA565D">
            <w:pPr>
              <w:tabs>
                <w:tab w:val="left" w:pos="2040"/>
              </w:tabs>
              <w:rPr>
                <w:rFonts w:ascii="Times New Roman" w:hAnsi="Times New Roman" w:cs="Times New Roman"/>
                <w:sz w:val="20"/>
                <w:szCs w:val="20"/>
              </w:rPr>
            </w:pPr>
          </w:p>
        </w:tc>
        <w:tc>
          <w:tcPr>
            <w:tcW w:w="708" w:type="pct"/>
            <w:gridSpan w:val="2"/>
            <w:vMerge/>
          </w:tcPr>
          <w:p w:rsidR="002D3BF4" w:rsidRPr="00EA565D" w:rsidRDefault="002D3BF4" w:rsidP="00EA565D">
            <w:pPr>
              <w:tabs>
                <w:tab w:val="left" w:pos="2040"/>
              </w:tabs>
              <w:rPr>
                <w:rFonts w:ascii="Times New Roman" w:hAnsi="Times New Roman" w:cs="Times New Roman"/>
                <w:sz w:val="20"/>
                <w:szCs w:val="20"/>
              </w:rPr>
            </w:pPr>
          </w:p>
        </w:tc>
        <w:tc>
          <w:tcPr>
            <w:tcW w:w="791" w:type="pct"/>
            <w:gridSpan w:val="2"/>
            <w:tcBorders>
              <w:bottom w:val="single" w:sz="4" w:space="0" w:color="auto"/>
            </w:tcBorders>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CONTROL    </w:t>
            </w:r>
          </w:p>
        </w:tc>
        <w:tc>
          <w:tcPr>
            <w:tcW w:w="877" w:type="pct"/>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CASES</w:t>
            </w:r>
          </w:p>
        </w:tc>
        <w:tc>
          <w:tcPr>
            <w:tcW w:w="1057" w:type="pct"/>
          </w:tcPr>
          <w:p w:rsidR="002D3BF4" w:rsidRPr="00EA565D" w:rsidRDefault="002D3BF4" w:rsidP="00EA565D">
            <w:pPr>
              <w:tabs>
                <w:tab w:val="left" w:pos="2040"/>
              </w:tabs>
              <w:rPr>
                <w:rFonts w:ascii="Times New Roman" w:hAnsi="Times New Roman" w:cs="Times New Roman"/>
                <w:sz w:val="20"/>
                <w:szCs w:val="20"/>
              </w:rPr>
            </w:pPr>
          </w:p>
        </w:tc>
      </w:tr>
      <w:tr w:rsidR="004A250E" w:rsidRPr="00EA565D" w:rsidTr="00D726BB">
        <w:tc>
          <w:tcPr>
            <w:tcW w:w="1567" w:type="pct"/>
            <w:gridSpan w:val="2"/>
            <w:vMerge w:val="restart"/>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ANAEMIA</w:t>
            </w:r>
          </w:p>
        </w:tc>
        <w:tc>
          <w:tcPr>
            <w:tcW w:w="708" w:type="pct"/>
            <w:gridSpan w:val="2"/>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Absent</w:t>
            </w:r>
          </w:p>
        </w:tc>
        <w:tc>
          <w:tcPr>
            <w:tcW w:w="791" w:type="pct"/>
            <w:gridSpan w:val="2"/>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88</w:t>
            </w:r>
          </w:p>
        </w:tc>
        <w:tc>
          <w:tcPr>
            <w:tcW w:w="877" w:type="pct"/>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62</w:t>
            </w:r>
          </w:p>
        </w:tc>
        <w:tc>
          <w:tcPr>
            <w:tcW w:w="1057" w:type="pct"/>
            <w:vMerge w:val="restart"/>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 value&lt;0.001</w:t>
            </w:r>
          </w:p>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Chi square-18.03</w:t>
            </w:r>
          </w:p>
        </w:tc>
      </w:tr>
      <w:tr w:rsidR="004A250E" w:rsidRPr="00EA565D" w:rsidTr="00D726BB">
        <w:tc>
          <w:tcPr>
            <w:tcW w:w="1567" w:type="pct"/>
            <w:gridSpan w:val="2"/>
            <w:vMerge/>
          </w:tcPr>
          <w:p w:rsidR="002D3BF4" w:rsidRPr="00EA565D" w:rsidRDefault="002D3BF4" w:rsidP="00EA565D">
            <w:pPr>
              <w:tabs>
                <w:tab w:val="left" w:pos="2040"/>
              </w:tabs>
              <w:rPr>
                <w:rFonts w:ascii="Times New Roman" w:hAnsi="Times New Roman" w:cs="Times New Roman"/>
                <w:sz w:val="20"/>
                <w:szCs w:val="20"/>
              </w:rPr>
            </w:pPr>
          </w:p>
        </w:tc>
        <w:tc>
          <w:tcPr>
            <w:tcW w:w="708" w:type="pct"/>
            <w:gridSpan w:val="2"/>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present</w:t>
            </w:r>
          </w:p>
        </w:tc>
        <w:tc>
          <w:tcPr>
            <w:tcW w:w="791" w:type="pct"/>
            <w:gridSpan w:val="2"/>
            <w:tcBorders>
              <w:top w:val="single" w:sz="4" w:space="0" w:color="auto"/>
            </w:tcBorders>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12</w:t>
            </w:r>
          </w:p>
        </w:tc>
        <w:tc>
          <w:tcPr>
            <w:tcW w:w="877" w:type="pct"/>
          </w:tcPr>
          <w:p w:rsidR="002D3BF4" w:rsidRPr="00EA565D" w:rsidRDefault="002D3BF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   38</w:t>
            </w:r>
          </w:p>
        </w:tc>
        <w:tc>
          <w:tcPr>
            <w:tcW w:w="1057" w:type="pct"/>
            <w:vMerge/>
          </w:tcPr>
          <w:p w:rsidR="002D3BF4" w:rsidRPr="00EA565D" w:rsidRDefault="002D3BF4" w:rsidP="00EA565D">
            <w:pPr>
              <w:tabs>
                <w:tab w:val="left" w:pos="2040"/>
              </w:tabs>
              <w:rPr>
                <w:rFonts w:ascii="Times New Roman" w:hAnsi="Times New Roman" w:cs="Times New Roman"/>
                <w:sz w:val="20"/>
                <w:szCs w:val="20"/>
              </w:rPr>
            </w:pPr>
          </w:p>
        </w:tc>
      </w:tr>
      <w:tr w:rsidR="008A3C34" w:rsidRPr="00EA565D" w:rsidTr="00D726BB">
        <w:trPr>
          <w:trHeight w:val="818"/>
        </w:trPr>
        <w:tc>
          <w:tcPr>
            <w:tcW w:w="1567" w:type="pct"/>
            <w:gridSpan w:val="2"/>
            <w:vMerge w:val="restar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HYPOALBUNIMEA</w:t>
            </w:r>
          </w:p>
        </w:tc>
        <w:tc>
          <w:tcPr>
            <w:tcW w:w="708"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Absent</w:t>
            </w:r>
          </w:p>
        </w:tc>
        <w:tc>
          <w:tcPr>
            <w:tcW w:w="791" w:type="pct"/>
            <w:gridSpan w:val="2"/>
          </w:tcPr>
          <w:p w:rsidR="008A3C34" w:rsidRPr="00EA565D" w:rsidRDefault="008A3C34" w:rsidP="00EA565D">
            <w:pPr>
              <w:tabs>
                <w:tab w:val="left" w:pos="851"/>
              </w:tabs>
              <w:rPr>
                <w:rFonts w:ascii="Times New Roman" w:hAnsi="Times New Roman" w:cs="Times New Roman"/>
                <w:sz w:val="20"/>
                <w:szCs w:val="20"/>
              </w:rPr>
            </w:pPr>
            <w:r w:rsidRPr="00EA565D">
              <w:rPr>
                <w:rFonts w:ascii="Times New Roman" w:hAnsi="Times New Roman" w:cs="Times New Roman"/>
                <w:sz w:val="20"/>
                <w:szCs w:val="20"/>
              </w:rPr>
              <w:t>88</w:t>
            </w:r>
          </w:p>
        </w:tc>
        <w:tc>
          <w:tcPr>
            <w:tcW w:w="877" w:type="pc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32</w:t>
            </w:r>
          </w:p>
        </w:tc>
        <w:tc>
          <w:tcPr>
            <w:tcW w:w="1057" w:type="pct"/>
            <w:vMerge w:val="restar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 value&lt;0.0001</w:t>
            </w:r>
          </w:p>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Chi sq-64.42</w:t>
            </w:r>
          </w:p>
        </w:tc>
      </w:tr>
      <w:tr w:rsidR="008A3C34" w:rsidRPr="00EA565D" w:rsidTr="00D726BB">
        <w:tc>
          <w:tcPr>
            <w:tcW w:w="1567" w:type="pct"/>
            <w:gridSpan w:val="2"/>
            <w:vMerge/>
          </w:tcPr>
          <w:p w:rsidR="008A3C34" w:rsidRPr="00EA565D" w:rsidRDefault="008A3C34" w:rsidP="00EA565D">
            <w:pPr>
              <w:tabs>
                <w:tab w:val="left" w:pos="2040"/>
              </w:tabs>
              <w:rPr>
                <w:rFonts w:ascii="Times New Roman" w:hAnsi="Times New Roman" w:cs="Times New Roman"/>
                <w:sz w:val="20"/>
                <w:szCs w:val="20"/>
              </w:rPr>
            </w:pPr>
          </w:p>
        </w:tc>
        <w:tc>
          <w:tcPr>
            <w:tcW w:w="708"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Present</w:t>
            </w:r>
          </w:p>
        </w:tc>
        <w:tc>
          <w:tcPr>
            <w:tcW w:w="791"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12</w:t>
            </w:r>
          </w:p>
        </w:tc>
        <w:tc>
          <w:tcPr>
            <w:tcW w:w="877" w:type="pc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67.7</w:t>
            </w:r>
          </w:p>
        </w:tc>
        <w:tc>
          <w:tcPr>
            <w:tcW w:w="1057" w:type="pct"/>
            <w:vMerge/>
          </w:tcPr>
          <w:p w:rsidR="008A3C34" w:rsidRPr="00EA565D" w:rsidRDefault="008A3C34" w:rsidP="00EA565D">
            <w:pPr>
              <w:tabs>
                <w:tab w:val="left" w:pos="2040"/>
              </w:tabs>
              <w:rPr>
                <w:rFonts w:ascii="Times New Roman" w:hAnsi="Times New Roman" w:cs="Times New Roman"/>
                <w:sz w:val="20"/>
                <w:szCs w:val="20"/>
              </w:rPr>
            </w:pPr>
          </w:p>
        </w:tc>
      </w:tr>
      <w:tr w:rsidR="008A3C34" w:rsidRPr="00EA565D" w:rsidTr="00D726BB">
        <w:tc>
          <w:tcPr>
            <w:tcW w:w="1567" w:type="pct"/>
            <w:gridSpan w:val="2"/>
            <w:vMerge w:val="restar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JAUNDICE</w:t>
            </w:r>
          </w:p>
        </w:tc>
        <w:tc>
          <w:tcPr>
            <w:tcW w:w="708"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 xml:space="preserve">Absent </w:t>
            </w:r>
          </w:p>
        </w:tc>
        <w:tc>
          <w:tcPr>
            <w:tcW w:w="791"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91</w:t>
            </w:r>
          </w:p>
        </w:tc>
        <w:tc>
          <w:tcPr>
            <w:tcW w:w="877" w:type="pc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67</w:t>
            </w:r>
          </w:p>
        </w:tc>
        <w:tc>
          <w:tcPr>
            <w:tcW w:w="1057" w:type="pct"/>
            <w:vMerge w:val="restar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P=&lt;0.OO01</w:t>
            </w:r>
          </w:p>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Chi=17.36</w:t>
            </w:r>
          </w:p>
        </w:tc>
      </w:tr>
      <w:tr w:rsidR="008A3C34" w:rsidRPr="00EA565D" w:rsidTr="00D726BB">
        <w:tc>
          <w:tcPr>
            <w:tcW w:w="1567" w:type="pct"/>
            <w:gridSpan w:val="2"/>
            <w:vMerge/>
            <w:tcBorders>
              <w:bottom w:val="single" w:sz="4" w:space="0" w:color="auto"/>
            </w:tcBorders>
          </w:tcPr>
          <w:p w:rsidR="008A3C34" w:rsidRPr="00EA565D" w:rsidRDefault="008A3C34" w:rsidP="00EA565D">
            <w:pPr>
              <w:tabs>
                <w:tab w:val="left" w:pos="2040"/>
              </w:tabs>
              <w:rPr>
                <w:rFonts w:ascii="Times New Roman" w:hAnsi="Times New Roman" w:cs="Times New Roman"/>
                <w:sz w:val="20"/>
                <w:szCs w:val="20"/>
              </w:rPr>
            </w:pPr>
          </w:p>
        </w:tc>
        <w:tc>
          <w:tcPr>
            <w:tcW w:w="708"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Present</w:t>
            </w:r>
          </w:p>
        </w:tc>
        <w:tc>
          <w:tcPr>
            <w:tcW w:w="791" w:type="pct"/>
            <w:gridSpan w:val="2"/>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9</w:t>
            </w:r>
          </w:p>
        </w:tc>
        <w:tc>
          <w:tcPr>
            <w:tcW w:w="877" w:type="pct"/>
          </w:tcPr>
          <w:p w:rsidR="008A3C34" w:rsidRPr="00EA565D" w:rsidRDefault="008A3C34"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33</w:t>
            </w:r>
          </w:p>
        </w:tc>
        <w:tc>
          <w:tcPr>
            <w:tcW w:w="1057" w:type="pct"/>
            <w:vMerge/>
          </w:tcPr>
          <w:p w:rsidR="008A3C34" w:rsidRPr="00EA565D" w:rsidRDefault="008A3C34" w:rsidP="00EA565D">
            <w:pPr>
              <w:tabs>
                <w:tab w:val="left" w:pos="2040"/>
              </w:tabs>
              <w:rPr>
                <w:rFonts w:ascii="Times New Roman" w:hAnsi="Times New Roman" w:cs="Times New Roman"/>
                <w:sz w:val="20"/>
                <w:szCs w:val="20"/>
              </w:rPr>
            </w:pPr>
          </w:p>
        </w:tc>
      </w:tr>
      <w:tr w:rsidR="004A250E" w:rsidRPr="00EA565D" w:rsidTr="00D726BB">
        <w:tblPrEx>
          <w:tblLook w:val="0000"/>
        </w:tblPrEx>
        <w:trPr>
          <w:trHeight w:val="363"/>
        </w:trPr>
        <w:tc>
          <w:tcPr>
            <w:tcW w:w="1567" w:type="pct"/>
            <w:gridSpan w:val="2"/>
            <w:vMerge w:val="restart"/>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ASCITIS</w:t>
            </w:r>
          </w:p>
        </w:tc>
        <w:tc>
          <w:tcPr>
            <w:tcW w:w="708" w:type="pct"/>
            <w:gridSpan w:val="2"/>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Absent</w:t>
            </w:r>
          </w:p>
        </w:tc>
        <w:tc>
          <w:tcPr>
            <w:tcW w:w="791" w:type="pct"/>
            <w:gridSpan w:val="2"/>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90</w:t>
            </w:r>
          </w:p>
        </w:tc>
        <w:tc>
          <w:tcPr>
            <w:tcW w:w="877" w:type="pct"/>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70</w:t>
            </w:r>
          </w:p>
        </w:tc>
        <w:tc>
          <w:tcPr>
            <w:tcW w:w="1057" w:type="pct"/>
            <w:vMerge w:val="restart"/>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P=&lt;0.0001</w:t>
            </w:r>
          </w:p>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Chi=12.50</w:t>
            </w:r>
          </w:p>
        </w:tc>
      </w:tr>
      <w:tr w:rsidR="004A250E" w:rsidRPr="00EA565D" w:rsidTr="00D726BB">
        <w:tblPrEx>
          <w:tblLook w:val="0000"/>
        </w:tblPrEx>
        <w:trPr>
          <w:trHeight w:val="426"/>
        </w:trPr>
        <w:tc>
          <w:tcPr>
            <w:tcW w:w="1567" w:type="pct"/>
            <w:gridSpan w:val="2"/>
            <w:vMerge/>
          </w:tcPr>
          <w:p w:rsidR="004A250E" w:rsidRPr="00EA565D" w:rsidRDefault="004A250E" w:rsidP="00EA565D">
            <w:pPr>
              <w:tabs>
                <w:tab w:val="left" w:pos="2040"/>
              </w:tabs>
              <w:rPr>
                <w:rFonts w:ascii="Times New Roman" w:hAnsi="Times New Roman" w:cs="Times New Roman"/>
                <w:sz w:val="20"/>
                <w:szCs w:val="20"/>
              </w:rPr>
            </w:pPr>
          </w:p>
        </w:tc>
        <w:tc>
          <w:tcPr>
            <w:tcW w:w="708" w:type="pct"/>
            <w:gridSpan w:val="2"/>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Present</w:t>
            </w:r>
          </w:p>
        </w:tc>
        <w:tc>
          <w:tcPr>
            <w:tcW w:w="791" w:type="pct"/>
            <w:gridSpan w:val="2"/>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10</w:t>
            </w:r>
          </w:p>
        </w:tc>
        <w:tc>
          <w:tcPr>
            <w:tcW w:w="877" w:type="pct"/>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30</w:t>
            </w:r>
          </w:p>
        </w:tc>
        <w:tc>
          <w:tcPr>
            <w:tcW w:w="1057" w:type="pct"/>
            <w:vMerge/>
          </w:tcPr>
          <w:p w:rsidR="004A250E" w:rsidRPr="00EA565D" w:rsidRDefault="004A250E" w:rsidP="00EA565D">
            <w:pPr>
              <w:tabs>
                <w:tab w:val="left" w:pos="2040"/>
              </w:tabs>
              <w:rPr>
                <w:rFonts w:ascii="Times New Roman" w:hAnsi="Times New Roman" w:cs="Times New Roman"/>
                <w:sz w:val="20"/>
                <w:szCs w:val="20"/>
              </w:rPr>
            </w:pPr>
          </w:p>
        </w:tc>
      </w:tr>
      <w:tr w:rsidR="004A250E" w:rsidRPr="00EA565D" w:rsidTr="00D726BB">
        <w:tblPrEx>
          <w:tblLook w:val="0000"/>
        </w:tblPrEx>
        <w:trPr>
          <w:trHeight w:val="425"/>
        </w:trPr>
        <w:tc>
          <w:tcPr>
            <w:tcW w:w="1561" w:type="pct"/>
            <w:vMerge w:val="restart"/>
          </w:tcPr>
          <w:p w:rsidR="004A250E" w:rsidRPr="00EA565D" w:rsidRDefault="004A250E"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Diabetes</w:t>
            </w:r>
          </w:p>
        </w:tc>
        <w:tc>
          <w:tcPr>
            <w:tcW w:w="708"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Non diabetic</w:t>
            </w:r>
          </w:p>
        </w:tc>
        <w:tc>
          <w:tcPr>
            <w:tcW w:w="785"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78</w:t>
            </w:r>
          </w:p>
        </w:tc>
        <w:tc>
          <w:tcPr>
            <w:tcW w:w="889"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76</w:t>
            </w:r>
          </w:p>
        </w:tc>
        <w:tc>
          <w:tcPr>
            <w:tcW w:w="1057" w:type="pct"/>
            <w:vMerge w:val="restart"/>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P=.737</w:t>
            </w:r>
          </w:p>
          <w:p w:rsidR="009C3D56"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Chi=0.11</w:t>
            </w:r>
          </w:p>
        </w:tc>
      </w:tr>
      <w:tr w:rsidR="004A250E" w:rsidRPr="00EA565D" w:rsidTr="00D726BB">
        <w:tblPrEx>
          <w:tblLook w:val="0000"/>
        </w:tblPrEx>
        <w:trPr>
          <w:trHeight w:val="451"/>
        </w:trPr>
        <w:tc>
          <w:tcPr>
            <w:tcW w:w="1561" w:type="pct"/>
            <w:vMerge/>
          </w:tcPr>
          <w:p w:rsidR="004A250E" w:rsidRPr="00EA565D" w:rsidRDefault="004A250E" w:rsidP="00EA565D">
            <w:pPr>
              <w:tabs>
                <w:tab w:val="left" w:pos="2040"/>
              </w:tabs>
              <w:rPr>
                <w:rFonts w:ascii="Times New Roman" w:hAnsi="Times New Roman" w:cs="Times New Roman"/>
                <w:sz w:val="20"/>
                <w:szCs w:val="20"/>
              </w:rPr>
            </w:pPr>
          </w:p>
        </w:tc>
        <w:tc>
          <w:tcPr>
            <w:tcW w:w="708"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Diabetic</w:t>
            </w:r>
          </w:p>
        </w:tc>
        <w:tc>
          <w:tcPr>
            <w:tcW w:w="785"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22</w:t>
            </w:r>
          </w:p>
        </w:tc>
        <w:tc>
          <w:tcPr>
            <w:tcW w:w="889" w:type="pct"/>
            <w:gridSpan w:val="2"/>
          </w:tcPr>
          <w:p w:rsidR="004A250E" w:rsidRPr="00EA565D" w:rsidRDefault="009C3D56" w:rsidP="00EA565D">
            <w:pPr>
              <w:tabs>
                <w:tab w:val="left" w:pos="2040"/>
              </w:tabs>
              <w:rPr>
                <w:rFonts w:ascii="Times New Roman" w:hAnsi="Times New Roman" w:cs="Times New Roman"/>
                <w:sz w:val="20"/>
                <w:szCs w:val="20"/>
              </w:rPr>
            </w:pPr>
            <w:r w:rsidRPr="00EA565D">
              <w:rPr>
                <w:rFonts w:ascii="Times New Roman" w:hAnsi="Times New Roman" w:cs="Times New Roman"/>
                <w:sz w:val="20"/>
                <w:szCs w:val="20"/>
              </w:rPr>
              <w:t>24</w:t>
            </w:r>
          </w:p>
        </w:tc>
        <w:tc>
          <w:tcPr>
            <w:tcW w:w="1057" w:type="pct"/>
            <w:vMerge/>
          </w:tcPr>
          <w:p w:rsidR="004A250E" w:rsidRPr="00EA565D" w:rsidRDefault="004A250E" w:rsidP="00EA565D">
            <w:pPr>
              <w:tabs>
                <w:tab w:val="left" w:pos="2040"/>
              </w:tabs>
              <w:rPr>
                <w:rFonts w:ascii="Times New Roman" w:hAnsi="Times New Roman" w:cs="Times New Roman"/>
                <w:sz w:val="20"/>
                <w:szCs w:val="20"/>
              </w:rPr>
            </w:pPr>
          </w:p>
        </w:tc>
      </w:tr>
    </w:tb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62"/>
        <w:gridCol w:w="1395"/>
        <w:gridCol w:w="26"/>
        <w:gridCol w:w="1576"/>
        <w:gridCol w:w="1767"/>
        <w:gridCol w:w="2136"/>
      </w:tblGrid>
      <w:tr w:rsidR="00734970" w:rsidRPr="00EA565D" w:rsidTr="00D726BB">
        <w:trPr>
          <w:trHeight w:val="338"/>
        </w:trPr>
        <w:tc>
          <w:tcPr>
            <w:tcW w:w="1537" w:type="pct"/>
            <w:vMerge w:val="restart"/>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Post operative coughing</w:t>
            </w:r>
          </w:p>
        </w:tc>
        <w:tc>
          <w:tcPr>
            <w:tcW w:w="713" w:type="pct"/>
            <w:gridSpan w:val="2"/>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Absent</w:t>
            </w:r>
          </w:p>
        </w:tc>
        <w:tc>
          <w:tcPr>
            <w:tcW w:w="790" w:type="pct"/>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89</w:t>
            </w:r>
          </w:p>
        </w:tc>
        <w:tc>
          <w:tcPr>
            <w:tcW w:w="887" w:type="pct"/>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42</w:t>
            </w:r>
          </w:p>
        </w:tc>
        <w:tc>
          <w:tcPr>
            <w:tcW w:w="1073" w:type="pct"/>
            <w:vMerge w:val="restart"/>
          </w:tcPr>
          <w:p w:rsidR="00734970" w:rsidRPr="00EA565D" w:rsidRDefault="00B25828"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P&lt;0.0001</w:t>
            </w:r>
          </w:p>
          <w:p w:rsidR="00B25828" w:rsidRPr="00EA565D" w:rsidRDefault="00B25828"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lastRenderedPageBreak/>
              <w:t>Chi=48.88</w:t>
            </w:r>
          </w:p>
        </w:tc>
      </w:tr>
      <w:tr w:rsidR="00734970" w:rsidRPr="00EA565D" w:rsidTr="00D726BB">
        <w:trPr>
          <w:trHeight w:val="283"/>
        </w:trPr>
        <w:tc>
          <w:tcPr>
            <w:tcW w:w="1537" w:type="pct"/>
            <w:vMerge/>
          </w:tcPr>
          <w:p w:rsidR="00734970" w:rsidRPr="00EA565D" w:rsidRDefault="00734970" w:rsidP="00EA565D">
            <w:pPr>
              <w:tabs>
                <w:tab w:val="left" w:pos="2040"/>
              </w:tabs>
              <w:spacing w:after="0" w:line="240" w:lineRule="auto"/>
              <w:rPr>
                <w:rFonts w:ascii="Times New Roman" w:hAnsi="Times New Roman" w:cs="Times New Roman"/>
                <w:sz w:val="20"/>
                <w:szCs w:val="20"/>
              </w:rPr>
            </w:pPr>
          </w:p>
        </w:tc>
        <w:tc>
          <w:tcPr>
            <w:tcW w:w="713" w:type="pct"/>
            <w:gridSpan w:val="2"/>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Present</w:t>
            </w:r>
          </w:p>
        </w:tc>
        <w:tc>
          <w:tcPr>
            <w:tcW w:w="790" w:type="pct"/>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11</w:t>
            </w:r>
          </w:p>
        </w:tc>
        <w:tc>
          <w:tcPr>
            <w:tcW w:w="887" w:type="pct"/>
          </w:tcPr>
          <w:p w:rsidR="00734970" w:rsidRPr="00EA565D" w:rsidRDefault="00734970"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58</w:t>
            </w:r>
          </w:p>
        </w:tc>
        <w:tc>
          <w:tcPr>
            <w:tcW w:w="1073" w:type="pct"/>
            <w:vMerge/>
          </w:tcPr>
          <w:p w:rsidR="00734970" w:rsidRPr="00EA565D" w:rsidRDefault="00734970" w:rsidP="00EA565D">
            <w:pPr>
              <w:tabs>
                <w:tab w:val="left" w:pos="2040"/>
              </w:tabs>
              <w:spacing w:after="0" w:line="240" w:lineRule="auto"/>
              <w:rPr>
                <w:rFonts w:ascii="Times New Roman" w:hAnsi="Times New Roman" w:cs="Times New Roman"/>
                <w:sz w:val="20"/>
                <w:szCs w:val="20"/>
              </w:rPr>
            </w:pPr>
          </w:p>
        </w:tc>
      </w:tr>
      <w:tr w:rsidR="005323C9" w:rsidRPr="00EA565D" w:rsidTr="00D726BB">
        <w:trPr>
          <w:trHeight w:val="363"/>
        </w:trPr>
        <w:tc>
          <w:tcPr>
            <w:tcW w:w="1537" w:type="pct"/>
            <w:vMerge w:val="restar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lastRenderedPageBreak/>
              <w:t>Wound infection</w:t>
            </w:r>
          </w:p>
        </w:tc>
        <w:tc>
          <w:tcPr>
            <w:tcW w:w="700" w:type="pc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Absent</w:t>
            </w:r>
          </w:p>
        </w:tc>
        <w:tc>
          <w:tcPr>
            <w:tcW w:w="804" w:type="pct"/>
            <w:gridSpan w:val="2"/>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94</w:t>
            </w:r>
          </w:p>
        </w:tc>
        <w:tc>
          <w:tcPr>
            <w:tcW w:w="887" w:type="pc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13</w:t>
            </w:r>
          </w:p>
        </w:tc>
        <w:tc>
          <w:tcPr>
            <w:tcW w:w="1073" w:type="pct"/>
            <w:vMerge w:val="restar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P&lt;0.0001</w:t>
            </w:r>
          </w:p>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Chi=131.87</w:t>
            </w:r>
          </w:p>
        </w:tc>
      </w:tr>
      <w:tr w:rsidR="005323C9" w:rsidRPr="00EA565D" w:rsidTr="00D726BB">
        <w:trPr>
          <w:trHeight w:val="388"/>
        </w:trPr>
        <w:tc>
          <w:tcPr>
            <w:tcW w:w="1537" w:type="pct"/>
            <w:vMerge/>
          </w:tcPr>
          <w:p w:rsidR="005323C9" w:rsidRPr="00EA565D" w:rsidRDefault="005323C9" w:rsidP="00EA565D">
            <w:pPr>
              <w:tabs>
                <w:tab w:val="left" w:pos="2040"/>
              </w:tabs>
              <w:spacing w:after="0" w:line="240" w:lineRule="auto"/>
              <w:rPr>
                <w:rFonts w:ascii="Times New Roman" w:hAnsi="Times New Roman" w:cs="Times New Roman"/>
                <w:sz w:val="20"/>
                <w:szCs w:val="20"/>
              </w:rPr>
            </w:pPr>
          </w:p>
        </w:tc>
        <w:tc>
          <w:tcPr>
            <w:tcW w:w="700" w:type="pc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 xml:space="preserve">Present </w:t>
            </w:r>
          </w:p>
        </w:tc>
        <w:tc>
          <w:tcPr>
            <w:tcW w:w="804" w:type="pct"/>
            <w:gridSpan w:val="2"/>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6</w:t>
            </w:r>
          </w:p>
        </w:tc>
        <w:tc>
          <w:tcPr>
            <w:tcW w:w="887" w:type="pct"/>
          </w:tcPr>
          <w:p w:rsidR="005323C9" w:rsidRPr="00EA565D" w:rsidRDefault="005323C9" w:rsidP="00EA565D">
            <w:pPr>
              <w:tabs>
                <w:tab w:val="left" w:pos="2040"/>
              </w:tabs>
              <w:spacing w:after="0" w:line="240" w:lineRule="auto"/>
              <w:rPr>
                <w:rFonts w:ascii="Times New Roman" w:hAnsi="Times New Roman" w:cs="Times New Roman"/>
                <w:sz w:val="20"/>
                <w:szCs w:val="20"/>
              </w:rPr>
            </w:pPr>
            <w:r w:rsidRPr="00EA565D">
              <w:rPr>
                <w:rFonts w:ascii="Times New Roman" w:hAnsi="Times New Roman" w:cs="Times New Roman"/>
                <w:sz w:val="20"/>
                <w:szCs w:val="20"/>
              </w:rPr>
              <w:t>87</w:t>
            </w:r>
          </w:p>
        </w:tc>
        <w:tc>
          <w:tcPr>
            <w:tcW w:w="1073" w:type="pct"/>
            <w:vMerge/>
          </w:tcPr>
          <w:p w:rsidR="005323C9" w:rsidRPr="00EA565D" w:rsidRDefault="005323C9" w:rsidP="00EA565D">
            <w:pPr>
              <w:tabs>
                <w:tab w:val="left" w:pos="2040"/>
              </w:tabs>
              <w:spacing w:after="0" w:line="240" w:lineRule="auto"/>
              <w:rPr>
                <w:rFonts w:ascii="Times New Roman" w:hAnsi="Times New Roman" w:cs="Times New Roman"/>
                <w:sz w:val="20"/>
                <w:szCs w:val="20"/>
              </w:rPr>
            </w:pPr>
          </w:p>
        </w:tc>
      </w:tr>
    </w:tbl>
    <w:p w:rsidR="00FB2805" w:rsidRPr="00EA565D" w:rsidRDefault="00FB2805" w:rsidP="00EA565D">
      <w:pPr>
        <w:tabs>
          <w:tab w:val="left" w:pos="2040"/>
        </w:tabs>
        <w:spacing w:after="0" w:line="240" w:lineRule="auto"/>
        <w:rPr>
          <w:rFonts w:ascii="Times New Roman" w:hAnsi="Times New Roman" w:cs="Times New Roman"/>
          <w:sz w:val="20"/>
          <w:szCs w:val="20"/>
        </w:rPr>
      </w:pPr>
    </w:p>
    <w:p w:rsidR="00FB2805" w:rsidRPr="00EA565D" w:rsidRDefault="00FB2805" w:rsidP="00D726BB">
      <w:pPr>
        <w:tabs>
          <w:tab w:val="left" w:pos="2040"/>
        </w:tabs>
        <w:spacing w:after="0" w:line="240" w:lineRule="auto"/>
        <w:jc w:val="center"/>
        <w:rPr>
          <w:rFonts w:ascii="Times New Roman" w:hAnsi="Times New Roman" w:cs="Times New Roman"/>
          <w:sz w:val="20"/>
          <w:szCs w:val="20"/>
        </w:rPr>
      </w:pPr>
      <w:r w:rsidRPr="00EA565D">
        <w:rPr>
          <w:rFonts w:ascii="Times New Roman" w:hAnsi="Times New Roman" w:cs="Times New Roman"/>
          <w:noProof/>
          <w:sz w:val="20"/>
          <w:szCs w:val="20"/>
          <w:lang w:eastAsia="en-IN" w:bidi="as-IN"/>
        </w:rPr>
        <w:drawing>
          <wp:inline distT="0" distB="0" distL="0" distR="0">
            <wp:extent cx="5637475" cy="3494461"/>
            <wp:effectExtent l="0" t="0" r="1905" b="10795"/>
            <wp:docPr id="298135977"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B2805" w:rsidRPr="00EA565D" w:rsidRDefault="00FB2805" w:rsidP="00EA565D">
      <w:pPr>
        <w:tabs>
          <w:tab w:val="left" w:pos="2040"/>
        </w:tabs>
        <w:spacing w:after="0" w:line="240" w:lineRule="auto"/>
        <w:rPr>
          <w:rFonts w:ascii="Times New Roman" w:hAnsi="Times New Roman" w:cs="Times New Roman"/>
          <w:sz w:val="20"/>
          <w:szCs w:val="20"/>
        </w:rPr>
      </w:pPr>
    </w:p>
    <w:p w:rsidR="00CA015F" w:rsidRPr="00D726BB" w:rsidRDefault="00486E39" w:rsidP="00EA565D">
      <w:pPr>
        <w:tabs>
          <w:tab w:val="left" w:pos="2040"/>
        </w:tabs>
        <w:spacing w:after="0" w:line="240" w:lineRule="auto"/>
        <w:rPr>
          <w:rFonts w:ascii="Times New Roman" w:hAnsi="Times New Roman" w:cs="Times New Roman"/>
          <w:b/>
          <w:bCs/>
          <w:sz w:val="20"/>
          <w:szCs w:val="20"/>
        </w:rPr>
      </w:pPr>
      <w:r w:rsidRPr="00D726BB">
        <w:rPr>
          <w:rFonts w:ascii="Times New Roman" w:hAnsi="Times New Roman" w:cs="Times New Roman"/>
          <w:b/>
          <w:bCs/>
          <w:sz w:val="20"/>
          <w:szCs w:val="20"/>
        </w:rPr>
        <w:t>DISSCUSION</w:t>
      </w:r>
    </w:p>
    <w:p w:rsidR="00486E39" w:rsidRPr="00EA565D" w:rsidRDefault="00486E39" w:rsidP="00D726BB">
      <w:pPr>
        <w:tabs>
          <w:tab w:val="left" w:pos="2040"/>
        </w:tabs>
        <w:spacing w:after="0" w:line="240" w:lineRule="auto"/>
        <w:ind w:firstLine="357"/>
        <w:jc w:val="both"/>
        <w:rPr>
          <w:rFonts w:ascii="Times New Roman" w:hAnsi="Times New Roman" w:cs="Times New Roman"/>
          <w:sz w:val="20"/>
          <w:szCs w:val="20"/>
        </w:rPr>
      </w:pPr>
      <w:r w:rsidRPr="00EA565D">
        <w:rPr>
          <w:rFonts w:ascii="Times New Roman" w:hAnsi="Times New Roman" w:cs="Times New Roman"/>
          <w:sz w:val="20"/>
          <w:szCs w:val="20"/>
        </w:rPr>
        <w:t xml:space="preserve">In the study we found that Wound dehiscence is a morbid postoperative complication. The mortality rate following wound dehiscence ranges from </w:t>
      </w:r>
      <w:r w:rsidRPr="00EA565D">
        <w:rPr>
          <w:rFonts w:ascii="Times New Roman" w:hAnsi="Times New Roman" w:cs="Times New Roman"/>
          <w:b/>
          <w:bCs/>
          <w:sz w:val="20"/>
          <w:szCs w:val="20"/>
        </w:rPr>
        <w:t>9%-43</w:t>
      </w:r>
      <w:r w:rsidR="00FB2805" w:rsidRPr="00EA565D">
        <w:rPr>
          <w:rFonts w:ascii="Times New Roman" w:hAnsi="Times New Roman" w:cs="Times New Roman"/>
          <w:b/>
          <w:bCs/>
          <w:sz w:val="20"/>
          <w:szCs w:val="20"/>
        </w:rPr>
        <w:t>%</w:t>
      </w:r>
      <w:r w:rsidRPr="00EA565D">
        <w:rPr>
          <w:rFonts w:ascii="Times New Roman" w:hAnsi="Times New Roman" w:cs="Times New Roman"/>
          <w:sz w:val="20"/>
          <w:szCs w:val="20"/>
        </w:rPr>
        <w:t>. Prevention is therefore an important step in preventing this dreaded complication. Patients and patient attendants must be fully informed about these complications following surgeries. The risk indices used in this study are age, diabetes, wound infections, anemia, jaundice, hypoalbuminemia, ascites, and postoperative coughing for predicting the wound dehiscence in postoperative patients. The study shows the significance of all the risk factors for predicting wound dehiscence and this scoring system helps us to predict the risk of wound dehiscence following surgeries and preventive measures can be used preoperatively while closing the wound and postoperatively.</w:t>
      </w:r>
    </w:p>
    <w:p w:rsidR="00D726BB" w:rsidRDefault="00D726BB" w:rsidP="00D726BB">
      <w:pPr>
        <w:tabs>
          <w:tab w:val="left" w:pos="2040"/>
        </w:tabs>
        <w:spacing w:after="0" w:line="240" w:lineRule="auto"/>
        <w:ind w:firstLine="357"/>
        <w:jc w:val="both"/>
        <w:rPr>
          <w:rFonts w:ascii="Times New Roman" w:hAnsi="Times New Roman" w:cs="Times New Roman"/>
          <w:sz w:val="20"/>
          <w:szCs w:val="20"/>
        </w:rPr>
      </w:pPr>
    </w:p>
    <w:p w:rsidR="00486E39" w:rsidRPr="00EA565D" w:rsidRDefault="00486E39" w:rsidP="00D726BB">
      <w:pPr>
        <w:tabs>
          <w:tab w:val="left" w:pos="2040"/>
        </w:tabs>
        <w:spacing w:after="0" w:line="240" w:lineRule="auto"/>
        <w:ind w:firstLine="357"/>
        <w:jc w:val="both"/>
        <w:rPr>
          <w:rFonts w:ascii="Times New Roman" w:hAnsi="Times New Roman" w:cs="Times New Roman"/>
          <w:sz w:val="20"/>
          <w:szCs w:val="20"/>
        </w:rPr>
      </w:pPr>
      <w:r w:rsidRPr="00EA565D">
        <w:rPr>
          <w:rFonts w:ascii="Times New Roman" w:hAnsi="Times New Roman" w:cs="Times New Roman"/>
          <w:sz w:val="20"/>
          <w:szCs w:val="20"/>
        </w:rPr>
        <w:t>The difference in risk indices between cases and control is statistically significant (p-value &lt;0.737).except for diabetes because diabetic patients in the control group have good glycemic control, pre and postoperatively and among cases glycemic control was poor (p value&lt;0.737).</w:t>
      </w:r>
    </w:p>
    <w:p w:rsidR="00D726BB" w:rsidRDefault="00D726BB" w:rsidP="00D726BB">
      <w:pPr>
        <w:tabs>
          <w:tab w:val="left" w:pos="2040"/>
        </w:tabs>
        <w:spacing w:after="0" w:line="240" w:lineRule="auto"/>
        <w:ind w:firstLine="357"/>
        <w:jc w:val="both"/>
        <w:rPr>
          <w:rFonts w:ascii="Times New Roman" w:hAnsi="Times New Roman" w:cs="Times New Roman"/>
          <w:sz w:val="20"/>
          <w:szCs w:val="20"/>
        </w:rPr>
      </w:pPr>
    </w:p>
    <w:p w:rsidR="005A2165" w:rsidRPr="00EA565D" w:rsidRDefault="005A2165" w:rsidP="00D726BB">
      <w:pPr>
        <w:tabs>
          <w:tab w:val="left" w:pos="2040"/>
        </w:tabs>
        <w:spacing w:after="0" w:line="240" w:lineRule="auto"/>
        <w:ind w:firstLine="357"/>
        <w:jc w:val="both"/>
        <w:rPr>
          <w:rFonts w:ascii="Times New Roman" w:hAnsi="Times New Roman" w:cs="Times New Roman"/>
          <w:sz w:val="20"/>
          <w:szCs w:val="20"/>
        </w:rPr>
      </w:pPr>
      <w:r w:rsidRPr="00EA565D">
        <w:rPr>
          <w:rFonts w:ascii="Times New Roman" w:hAnsi="Times New Roman" w:cs="Times New Roman"/>
          <w:sz w:val="20"/>
          <w:szCs w:val="20"/>
        </w:rPr>
        <w:t>In this study, we have taken variables before the preoperative and intra-operative and postoperative factors such as wound infections, post-op chest infection. Hypoalbuminemia was the most important risk factor in our study as most of the patients were from a poor socio-economic class. Hypoalbuminemia is associated with poor wound healing, decreases collagen 6</w:t>
      </w:r>
      <w:r w:rsidR="00FB2805" w:rsidRPr="00EA565D">
        <w:rPr>
          <w:rFonts w:ascii="Times New Roman" w:hAnsi="Times New Roman" w:cs="Times New Roman"/>
          <w:sz w:val="20"/>
          <w:szCs w:val="20"/>
        </w:rPr>
        <w:t>6*</w:t>
      </w:r>
      <w:r w:rsidRPr="00EA565D">
        <w:rPr>
          <w:rFonts w:ascii="Times New Roman" w:hAnsi="Times New Roman" w:cs="Times New Roman"/>
          <w:sz w:val="20"/>
          <w:szCs w:val="20"/>
        </w:rPr>
        <w:t>synthesis in the surgical wound, and anastomosis.23</w:t>
      </w:r>
      <w:r w:rsidR="00FB2805" w:rsidRPr="00EA565D">
        <w:rPr>
          <w:rFonts w:ascii="Times New Roman" w:hAnsi="Times New Roman" w:cs="Times New Roman"/>
          <w:sz w:val="20"/>
          <w:szCs w:val="20"/>
        </w:rPr>
        <w:t>*</w:t>
      </w:r>
      <w:r w:rsidRPr="00EA565D">
        <w:rPr>
          <w:rFonts w:ascii="Times New Roman" w:hAnsi="Times New Roman" w:cs="Times New Roman"/>
          <w:sz w:val="20"/>
          <w:szCs w:val="20"/>
        </w:rPr>
        <w:t>,24</w:t>
      </w:r>
      <w:r w:rsidR="00FB2805" w:rsidRPr="00EA565D">
        <w:rPr>
          <w:rFonts w:ascii="Times New Roman" w:hAnsi="Times New Roman" w:cs="Times New Roman"/>
          <w:sz w:val="20"/>
          <w:szCs w:val="20"/>
        </w:rPr>
        <w:t>*</w:t>
      </w:r>
      <w:r w:rsidRPr="00EA565D">
        <w:rPr>
          <w:rFonts w:ascii="Times New Roman" w:hAnsi="Times New Roman" w:cs="Times New Roman"/>
          <w:sz w:val="20"/>
          <w:szCs w:val="20"/>
        </w:rPr>
        <w:t xml:space="preserve"> It hampers the immune responses, such as macrophages activation and granuloma formation. Therefore, in patients with hypoalbuminemia, wound infections, remote infections such as pneumonia, </w:t>
      </w:r>
      <w:r w:rsidR="00FB2805" w:rsidRPr="00EA565D">
        <w:rPr>
          <w:rFonts w:ascii="Times New Roman" w:hAnsi="Times New Roman" w:cs="Times New Roman"/>
          <w:sz w:val="20"/>
          <w:szCs w:val="20"/>
        </w:rPr>
        <w:t>septicaemia</w:t>
      </w:r>
      <w:r w:rsidRPr="00EA565D">
        <w:rPr>
          <w:rFonts w:ascii="Times New Roman" w:hAnsi="Times New Roman" w:cs="Times New Roman"/>
          <w:sz w:val="20"/>
          <w:szCs w:val="20"/>
        </w:rPr>
        <w:t xml:space="preserve">, and anastomotic leakage are commonly found. It decelerates </w:t>
      </w:r>
      <w:r w:rsidR="00FB2805" w:rsidRPr="00EA565D">
        <w:rPr>
          <w:rFonts w:ascii="Times New Roman" w:hAnsi="Times New Roman" w:cs="Times New Roman"/>
          <w:sz w:val="20"/>
          <w:szCs w:val="20"/>
        </w:rPr>
        <w:t>neo angiogenesis</w:t>
      </w:r>
      <w:r w:rsidRPr="00EA565D">
        <w:rPr>
          <w:rFonts w:ascii="Times New Roman" w:hAnsi="Times New Roman" w:cs="Times New Roman"/>
          <w:sz w:val="20"/>
          <w:szCs w:val="20"/>
        </w:rPr>
        <w:t xml:space="preserve"> and wound </w:t>
      </w:r>
      <w:r w:rsidR="00FB2805" w:rsidRPr="00EA565D">
        <w:rPr>
          <w:rFonts w:ascii="Times New Roman" w:hAnsi="Times New Roman" w:cs="Times New Roman"/>
          <w:sz w:val="20"/>
          <w:szCs w:val="20"/>
        </w:rPr>
        <w:t>remodelling</w:t>
      </w:r>
      <w:r w:rsidRPr="00EA565D">
        <w:rPr>
          <w:rFonts w:ascii="Times New Roman" w:hAnsi="Times New Roman" w:cs="Times New Roman"/>
          <w:sz w:val="20"/>
          <w:szCs w:val="20"/>
        </w:rPr>
        <w:t>. Loss of protein from protein-calorie malnutrition leads to decreased wound tensile strength, decreased T-cell functions, decreased phagocytic activities, and decreased complement system and antibody levels, ultimately diminishing the body’s ability to defend the wound healing against infections</w:t>
      </w:r>
    </w:p>
    <w:p w:rsidR="00D726BB" w:rsidRDefault="00D726BB" w:rsidP="00D726BB">
      <w:pPr>
        <w:tabs>
          <w:tab w:val="left" w:pos="2040"/>
        </w:tabs>
        <w:spacing w:after="0" w:line="240" w:lineRule="auto"/>
        <w:ind w:firstLine="357"/>
        <w:jc w:val="both"/>
        <w:rPr>
          <w:rFonts w:ascii="Times New Roman" w:hAnsi="Times New Roman" w:cs="Times New Roman"/>
          <w:sz w:val="20"/>
          <w:szCs w:val="20"/>
        </w:rPr>
      </w:pPr>
    </w:p>
    <w:p w:rsidR="005A2165" w:rsidRPr="00EA565D" w:rsidRDefault="005A2165" w:rsidP="00D726BB">
      <w:pPr>
        <w:tabs>
          <w:tab w:val="left" w:pos="2040"/>
        </w:tabs>
        <w:spacing w:after="0" w:line="240" w:lineRule="auto"/>
        <w:ind w:firstLine="357"/>
        <w:jc w:val="both"/>
        <w:rPr>
          <w:rFonts w:ascii="Times New Roman" w:hAnsi="Times New Roman" w:cs="Times New Roman"/>
          <w:sz w:val="20"/>
          <w:szCs w:val="20"/>
        </w:rPr>
      </w:pPr>
      <w:r w:rsidRPr="00EA565D">
        <w:rPr>
          <w:rFonts w:ascii="Times New Roman" w:hAnsi="Times New Roman" w:cs="Times New Roman"/>
          <w:sz w:val="20"/>
          <w:szCs w:val="20"/>
        </w:rPr>
        <w:t>Patients with chest infection have postoperative coughing that requires prolonged ventilator support and repeated coughing causes an increase in intraabdominal pressure which results in breakage of the suture, undoing of the knots, or pulling through the tissue. In my study, 58% of cases reported postoperative coughing leads to wound dehiscence with a significant difference in the control group(p- value</w:t>
      </w:r>
      <w:r w:rsidR="008514D9" w:rsidRPr="00EA565D">
        <w:rPr>
          <w:rFonts w:ascii="Times New Roman" w:hAnsi="Times New Roman" w:cs="Times New Roman"/>
          <w:sz w:val="20"/>
          <w:szCs w:val="20"/>
        </w:rPr>
        <w:t>&lt;0.0001)In Anurag et al and Makela et al study the chest infection was more than 30% in patients with wound dehiscence.26</w:t>
      </w:r>
      <w:r w:rsidR="00044AD3" w:rsidRPr="00EA565D">
        <w:rPr>
          <w:rFonts w:ascii="Times New Roman" w:hAnsi="Times New Roman" w:cs="Times New Roman"/>
          <w:sz w:val="20"/>
          <w:szCs w:val="20"/>
        </w:rPr>
        <w:t>*</w:t>
      </w:r>
      <w:r w:rsidR="008514D9" w:rsidRPr="00EA565D">
        <w:rPr>
          <w:rFonts w:ascii="Times New Roman" w:hAnsi="Times New Roman" w:cs="Times New Roman"/>
          <w:sz w:val="20"/>
          <w:szCs w:val="20"/>
        </w:rPr>
        <w:t xml:space="preserve"> Chronic obstructive pulmonary (COPD) disease increases the risk due tosystemic tissue hypoxia. COPD is a frequent disease in the elderly and consequently, the incidence of wound dehiscence is more in the elderly. Anemia is often blamed as an important risk factor in poor wound healing. Low </w:t>
      </w:r>
      <w:r w:rsidR="00044AD3" w:rsidRPr="00EA565D">
        <w:rPr>
          <w:rFonts w:ascii="Times New Roman" w:hAnsi="Times New Roman" w:cs="Times New Roman"/>
          <w:sz w:val="20"/>
          <w:szCs w:val="20"/>
        </w:rPr>
        <w:t>haemoglobin</w:t>
      </w:r>
      <w:r w:rsidR="008514D9" w:rsidRPr="00EA565D">
        <w:rPr>
          <w:rFonts w:ascii="Times New Roman" w:hAnsi="Times New Roman" w:cs="Times New Roman"/>
          <w:sz w:val="20"/>
          <w:szCs w:val="20"/>
        </w:rPr>
        <w:t xml:space="preserve"> means reduced oxygen supply to tissues and therefore poor tissue healing and inability to resist infection. In </w:t>
      </w:r>
      <w:r w:rsidR="008514D9" w:rsidRPr="00EA565D">
        <w:rPr>
          <w:rFonts w:ascii="Times New Roman" w:hAnsi="Times New Roman" w:cs="Times New Roman"/>
          <w:sz w:val="20"/>
          <w:szCs w:val="20"/>
        </w:rPr>
        <w:lastRenderedPageBreak/>
        <w:t xml:space="preserve">the present study, </w:t>
      </w:r>
      <w:r w:rsidR="00044AD3" w:rsidRPr="00EA565D">
        <w:rPr>
          <w:rFonts w:ascii="Times New Roman" w:hAnsi="Times New Roman" w:cs="Times New Roman"/>
          <w:sz w:val="20"/>
          <w:szCs w:val="20"/>
        </w:rPr>
        <w:t>patients (more</w:t>
      </w:r>
      <w:r w:rsidR="008514D9" w:rsidRPr="00EA565D">
        <w:rPr>
          <w:rFonts w:ascii="Times New Roman" w:hAnsi="Times New Roman" w:cs="Times New Roman"/>
          <w:sz w:val="20"/>
          <w:szCs w:val="20"/>
        </w:rPr>
        <w:t xml:space="preserve"> than 60 years (66%) developed wound dehiscence and this goes with the study of Rodriguez Hermosa who established that the mean age was 70 years. This may be due to deterioration of the tissue repair mechanism in the elderly especially during the first few days of the wound healing process. </w:t>
      </w:r>
    </w:p>
    <w:p w:rsidR="00D726BB" w:rsidRDefault="00D726BB" w:rsidP="00EA565D">
      <w:pPr>
        <w:tabs>
          <w:tab w:val="left" w:pos="2040"/>
        </w:tabs>
        <w:spacing w:after="0" w:line="240" w:lineRule="auto"/>
        <w:rPr>
          <w:rFonts w:ascii="Times New Roman" w:hAnsi="Times New Roman" w:cs="Times New Roman"/>
          <w:sz w:val="20"/>
          <w:szCs w:val="20"/>
        </w:rPr>
      </w:pPr>
    </w:p>
    <w:p w:rsidR="00BC094C" w:rsidRPr="00D726BB" w:rsidRDefault="00BC094C" w:rsidP="00D726BB">
      <w:pPr>
        <w:tabs>
          <w:tab w:val="left" w:pos="2040"/>
        </w:tabs>
        <w:spacing w:after="0" w:line="240" w:lineRule="auto"/>
        <w:jc w:val="center"/>
        <w:rPr>
          <w:rFonts w:ascii="Times New Roman" w:hAnsi="Times New Roman" w:cs="Times New Roman"/>
          <w:b/>
          <w:bCs/>
          <w:sz w:val="20"/>
          <w:szCs w:val="20"/>
        </w:rPr>
      </w:pPr>
      <w:r w:rsidRPr="00D726BB">
        <w:rPr>
          <w:rFonts w:ascii="Times New Roman" w:hAnsi="Times New Roman" w:cs="Times New Roman"/>
          <w:b/>
          <w:bCs/>
          <w:sz w:val="20"/>
          <w:szCs w:val="20"/>
        </w:rPr>
        <w:t>BIBLIOGRAPHY</w:t>
      </w:r>
    </w:p>
    <w:p w:rsidR="003B78B0" w:rsidRPr="00EA565D" w:rsidRDefault="00BC094C"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Savage A, Lamont M</w:t>
      </w:r>
      <w:r w:rsidR="00AB1B00">
        <w:rPr>
          <w:rFonts w:ascii="Times New Roman" w:hAnsi="Times New Roman" w:cs="Times New Roman"/>
          <w:sz w:val="20"/>
          <w:szCs w:val="20"/>
        </w:rPr>
        <w:t>(2000)</w:t>
      </w:r>
      <w:r w:rsidRPr="00EA565D">
        <w:rPr>
          <w:rFonts w:ascii="Times New Roman" w:hAnsi="Times New Roman" w:cs="Times New Roman"/>
          <w:sz w:val="20"/>
          <w:szCs w:val="20"/>
        </w:rPr>
        <w:t>. Wound dehiscence, incisional hernia and parastomal hernia. In: Morris PJ, Wood WC, edts., Oxford text book of s</w:t>
      </w:r>
      <w:r w:rsidR="00AB1B00">
        <w:rPr>
          <w:rFonts w:ascii="Times New Roman" w:hAnsi="Times New Roman" w:cs="Times New Roman"/>
          <w:sz w:val="20"/>
          <w:szCs w:val="20"/>
        </w:rPr>
        <w:t>urgery. 2nd edn. Alison Langton</w:t>
      </w:r>
      <w:r w:rsidRPr="00EA565D">
        <w:rPr>
          <w:rFonts w:ascii="Times New Roman" w:hAnsi="Times New Roman" w:cs="Times New Roman"/>
          <w:sz w:val="20"/>
          <w:szCs w:val="20"/>
        </w:rPr>
        <w:t>;1:p.1883.</w:t>
      </w:r>
    </w:p>
    <w:p w:rsidR="003B78B0" w:rsidRPr="00EA565D" w:rsidRDefault="00AB1B0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AB1B00">
        <w:rPr>
          <w:rFonts w:ascii="Times New Roman" w:hAnsi="Times New Roman" w:cs="Times New Roman"/>
          <w:sz w:val="20"/>
          <w:szCs w:val="20"/>
        </w:rPr>
        <w:t>Jones, V., Bale, S., &amp; Harding, K. (2004). Acute and chronic healing. Wound Care Essentials Practice Principles. Lippincott Williams and Wilkins, Philadelphia, 61-78.</w:t>
      </w:r>
    </w:p>
    <w:p w:rsidR="003B78B0" w:rsidRPr="00EA565D" w:rsidRDefault="00BC094C"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Burger JW, Van'tRiet M, Jeekel J</w:t>
      </w:r>
      <w:r w:rsidR="00AB1B00">
        <w:rPr>
          <w:rFonts w:ascii="Times New Roman" w:hAnsi="Times New Roman" w:cs="Times New Roman"/>
          <w:sz w:val="20"/>
          <w:szCs w:val="20"/>
        </w:rPr>
        <w:t>(2002).</w:t>
      </w:r>
      <w:r w:rsidRPr="00EA565D">
        <w:rPr>
          <w:rFonts w:ascii="Times New Roman" w:hAnsi="Times New Roman" w:cs="Times New Roman"/>
          <w:sz w:val="20"/>
          <w:szCs w:val="20"/>
        </w:rPr>
        <w:t xml:space="preserve"> Abdominal incisions: techniques and postoperative complications. Scand J Surg, 91:315–321 </w:t>
      </w:r>
    </w:p>
    <w:p w:rsidR="003B78B0" w:rsidRPr="00EA565D" w:rsidRDefault="00BC094C"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Riou JPA, Cohen JR, Johnson H</w:t>
      </w:r>
      <w:r w:rsidR="00AB1B00">
        <w:rPr>
          <w:rFonts w:ascii="Times New Roman" w:hAnsi="Times New Roman" w:cs="Times New Roman"/>
          <w:sz w:val="20"/>
          <w:szCs w:val="20"/>
        </w:rPr>
        <w:t>(1992)</w:t>
      </w:r>
      <w:r w:rsidRPr="00EA565D">
        <w:rPr>
          <w:rFonts w:ascii="Times New Roman" w:hAnsi="Times New Roman" w:cs="Times New Roman"/>
          <w:sz w:val="20"/>
          <w:szCs w:val="20"/>
        </w:rPr>
        <w:t>. Factors influencing wound dehiscence. Am J Surg;</w:t>
      </w:r>
      <w:r w:rsidR="00AB1B00">
        <w:rPr>
          <w:rFonts w:ascii="Times New Roman" w:hAnsi="Times New Roman" w:cs="Times New Roman"/>
          <w:sz w:val="20"/>
          <w:szCs w:val="20"/>
        </w:rPr>
        <w:t xml:space="preserve"> </w:t>
      </w:r>
      <w:r w:rsidRPr="00EA565D">
        <w:rPr>
          <w:rFonts w:ascii="Times New Roman" w:hAnsi="Times New Roman" w:cs="Times New Roman"/>
          <w:sz w:val="20"/>
          <w:szCs w:val="20"/>
        </w:rPr>
        <w:t>163:324-329.</w:t>
      </w:r>
    </w:p>
    <w:p w:rsidR="003B78B0" w:rsidRPr="00EA565D" w:rsidRDefault="00BC094C"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Makela JT, Kiviniemi H, Juvonen T, Laitinen S</w:t>
      </w:r>
      <w:r w:rsidR="00AB1B00">
        <w:rPr>
          <w:rFonts w:ascii="Times New Roman" w:hAnsi="Times New Roman" w:cs="Times New Roman"/>
          <w:sz w:val="20"/>
          <w:szCs w:val="20"/>
        </w:rPr>
        <w:t>(1995)</w:t>
      </w:r>
      <w:r w:rsidRPr="00EA565D">
        <w:rPr>
          <w:rFonts w:ascii="Times New Roman" w:hAnsi="Times New Roman" w:cs="Times New Roman"/>
          <w:sz w:val="20"/>
          <w:szCs w:val="20"/>
        </w:rPr>
        <w:t xml:space="preserve">. Factors influencing wounddehiscence after midline laparotomy. Am J Surg;170:(387-389) </w:t>
      </w:r>
    </w:p>
    <w:p w:rsidR="00BC094C" w:rsidRPr="00EA565D" w:rsidRDefault="00AB1B0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AB1B00">
        <w:rPr>
          <w:rFonts w:ascii="Times New Roman" w:hAnsi="Times New Roman" w:cs="Times New Roman"/>
          <w:sz w:val="20"/>
          <w:szCs w:val="20"/>
        </w:rPr>
        <w:t>Webster, C., Neumayer, L., Smout, R., Horn, S., Daley, J., Henderson, W., &amp; Khuri, S. (2003). Prognostic models of abdominal wound dehiscence after laparotomy. Journal of surgical Research, 109(2), 130-137.</w:t>
      </w:r>
    </w:p>
    <w:p w:rsidR="003B78B0" w:rsidRPr="00EA565D" w:rsidRDefault="003B78B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Khan MN, Naqvi AH, Irshad K, Chaudhary AR. Frequency and risk factor ofabdominal wound dehiscence. Coll Physicians Surg Pak 2004 Jun;14(6):355-7</w:t>
      </w:r>
    </w:p>
    <w:p w:rsidR="003B78B0" w:rsidRPr="00EA565D" w:rsidRDefault="003B78B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Grantcharov TP, Rosenberg J. Vertical compared with the transverse incision in abdominal surgery. Eur J Surg 2001 Apr;167(4):260-7.</w:t>
      </w:r>
    </w:p>
    <w:p w:rsidR="003B78B0" w:rsidRPr="00EA565D" w:rsidRDefault="003B78B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JakubKenig*†, Piotr Richter†, Anna Lasek†, KatarzynaZbierska, and Sabina Zurawska</w:t>
      </w:r>
      <w:r w:rsidR="0095600A">
        <w:rPr>
          <w:rFonts w:ascii="Times New Roman" w:hAnsi="Times New Roman" w:cs="Times New Roman"/>
          <w:sz w:val="20"/>
          <w:szCs w:val="20"/>
        </w:rPr>
        <w:t>(2014)</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The efficacy of risk scores for predictingabdominal wound dehiscence: a case-controlledvalidation study. Kenig et al. BMC Surgery, 14:65. </w:t>
      </w:r>
    </w:p>
    <w:p w:rsidR="003B78B0" w:rsidRPr="00EA565D" w:rsidRDefault="003B78B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Siliotis J, Konstantino S, Tsiveriotis, Datsis AD, Archodaula, Georgios et al</w:t>
      </w:r>
      <w:r w:rsidR="0095600A">
        <w:rPr>
          <w:rFonts w:ascii="Times New Roman" w:hAnsi="Times New Roman" w:cs="Times New Roman"/>
          <w:sz w:val="20"/>
          <w:szCs w:val="20"/>
        </w:rPr>
        <w:t>(2009)</w:t>
      </w:r>
      <w:r w:rsidRPr="00EA565D">
        <w:rPr>
          <w:rFonts w:ascii="Times New Roman" w:hAnsi="Times New Roman" w:cs="Times New Roman"/>
          <w:sz w:val="20"/>
          <w:szCs w:val="20"/>
        </w:rPr>
        <w:t>. WoundDehiscence. World Journal of Emergency surgery;4:12.</w:t>
      </w:r>
    </w:p>
    <w:p w:rsidR="003B78B0" w:rsidRPr="00EA565D" w:rsidRDefault="003B78B0" w:rsidP="00D726BB">
      <w:pPr>
        <w:pStyle w:val="ListParagraph"/>
        <w:numPr>
          <w:ilvl w:val="0"/>
          <w:numId w:val="5"/>
        </w:numPr>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Gabrie¨lle H. van Ramshorst • JeroenNieuwenhuizen •Wim C. J. Hop • Pauline Arends • Johan Boom . Johannes Jeekel • Johan F. Lange</w:t>
      </w:r>
      <w:r w:rsidR="0095600A">
        <w:rPr>
          <w:rFonts w:ascii="Times New Roman" w:hAnsi="Times New Roman" w:cs="Times New Roman"/>
          <w:sz w:val="20"/>
          <w:szCs w:val="20"/>
        </w:rPr>
        <w:t>(2010)</w:t>
      </w:r>
      <w:r w:rsidRPr="00EA565D">
        <w:rPr>
          <w:rFonts w:ascii="Times New Roman" w:hAnsi="Times New Roman" w:cs="Times New Roman"/>
          <w:sz w:val="20"/>
          <w:szCs w:val="20"/>
        </w:rPr>
        <w:t xml:space="preserve">. Abdominal Wound Dehiscence in Adults: Developmentand Validation of a Risk Model.World J Surg </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34:20–27</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 xml:space="preserve"> 12. Rashid MHA1, Shaha LK, Shashi S. S. Faruk</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I</w:t>
      </w:r>
      <w:r w:rsidR="0095600A">
        <w:rPr>
          <w:rFonts w:ascii="Times New Roman" w:hAnsi="Times New Roman" w:cs="Times New Roman"/>
          <w:sz w:val="20"/>
          <w:szCs w:val="20"/>
        </w:rPr>
        <w:t>(2017)</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Risk Factors of Burst Abdomen in Emerge</w:t>
      </w:r>
      <w:r w:rsidR="0095600A">
        <w:rPr>
          <w:rFonts w:ascii="Times New Roman" w:hAnsi="Times New Roman" w:cs="Times New Roman"/>
          <w:sz w:val="20"/>
          <w:szCs w:val="20"/>
        </w:rPr>
        <w:t>ncy Laparotomy.Bangladesh Med J</w:t>
      </w:r>
      <w:r w:rsidRPr="00EA565D">
        <w:rPr>
          <w:rFonts w:ascii="Times New Roman" w:hAnsi="Times New Roman" w:cs="Times New Roman"/>
          <w:sz w:val="20"/>
          <w:szCs w:val="20"/>
        </w:rPr>
        <w:t xml:space="preserve">; 46 (2)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13. Sivender A, Ilaiah M, Reddy GS</w:t>
      </w:r>
      <w:r w:rsidR="0095600A">
        <w:rPr>
          <w:rFonts w:ascii="Times New Roman" w:hAnsi="Times New Roman" w:cs="Times New Roman"/>
          <w:sz w:val="20"/>
          <w:szCs w:val="20"/>
        </w:rPr>
        <w:t>(2015)</w:t>
      </w:r>
      <w:r w:rsidRPr="00EA565D">
        <w:rPr>
          <w:rFonts w:ascii="Times New Roman" w:hAnsi="Times New Roman" w:cs="Times New Roman"/>
          <w:sz w:val="20"/>
          <w:szCs w:val="20"/>
        </w:rPr>
        <w:t>. A clinical study on risk factors causing abdominal wound dehiscence and management. IOSR J Dent Med SciVer IV;</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14(10):18-23. 76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14. Mujahid Ahmad Mir*, FarzanaManzoor, Balvinder Singh, Imtiyaz Ahmad Sofi, Abu ZavedRameez, Sheikh Imran Farooq</w:t>
      </w:r>
      <w:r w:rsidR="0095600A">
        <w:rPr>
          <w:rFonts w:ascii="Times New Roman" w:hAnsi="Times New Roman" w:cs="Times New Roman"/>
          <w:sz w:val="20"/>
          <w:szCs w:val="20"/>
        </w:rPr>
        <w:t>(2016)</w:t>
      </w:r>
      <w:r w:rsidRPr="00EA565D">
        <w:rPr>
          <w:rFonts w:ascii="Times New Roman" w:hAnsi="Times New Roman" w:cs="Times New Roman"/>
          <w:sz w:val="20"/>
          <w:szCs w:val="20"/>
        </w:rPr>
        <w:t>; Development of a Risk Model for Abdominal Woun</w:t>
      </w:r>
      <w:r w:rsidR="0095600A">
        <w:rPr>
          <w:rFonts w:ascii="Times New Roman" w:hAnsi="Times New Roman" w:cs="Times New Roman"/>
          <w:sz w:val="20"/>
          <w:szCs w:val="20"/>
        </w:rPr>
        <w:t>d Dehiscence; Surgical Science</w:t>
      </w:r>
      <w:r w:rsidRPr="00EA565D">
        <w:rPr>
          <w:rFonts w:ascii="Times New Roman" w:hAnsi="Times New Roman" w:cs="Times New Roman"/>
          <w:sz w:val="20"/>
          <w:szCs w:val="20"/>
        </w:rPr>
        <w:t xml:space="preserve">, 7, 466-474.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15. Dr.S.Nagamuneiah, Dr.N.M.Roopesh Kumar, Dr.p.sabitha, DR.G.V.Prakash</w:t>
      </w:r>
      <w:r w:rsidR="0095600A">
        <w:rPr>
          <w:rFonts w:ascii="Times New Roman" w:hAnsi="Times New Roman" w:cs="Times New Roman"/>
          <w:sz w:val="20"/>
          <w:szCs w:val="20"/>
        </w:rPr>
        <w:t>(2015)</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Abdominal wound dehiscence- A look into the risk factors. e-ISSN: 2279- 0853, p-ISSN: 2279-0861.Volume 14, Issue 10 Ver. I, PP 47-54 </w:t>
      </w:r>
    </w:p>
    <w:p w:rsidR="003B78B0" w:rsidRPr="00EA565D" w:rsidRDefault="003B78B0" w:rsidP="0095600A">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16</w:t>
      </w:r>
      <w:r w:rsidR="0095600A">
        <w:rPr>
          <w:rFonts w:ascii="Times New Roman" w:hAnsi="Times New Roman" w:cs="Times New Roman"/>
          <w:sz w:val="20"/>
          <w:szCs w:val="20"/>
        </w:rPr>
        <w:t>. Dr. J G Bhatt, Dr. A D Desai</w:t>
      </w:r>
      <w:r w:rsidRPr="00EA565D">
        <w:rPr>
          <w:rFonts w:ascii="Times New Roman" w:hAnsi="Times New Roman" w:cs="Times New Roman"/>
          <w:sz w:val="20"/>
          <w:szCs w:val="20"/>
        </w:rPr>
        <w:t>, D</w:t>
      </w:r>
      <w:r w:rsidR="0095600A">
        <w:rPr>
          <w:rFonts w:ascii="Times New Roman" w:hAnsi="Times New Roman" w:cs="Times New Roman"/>
          <w:sz w:val="20"/>
          <w:szCs w:val="20"/>
        </w:rPr>
        <w:t>r. J P Dave(2015)</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A</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Prospective Study of 50 Cases of Abdominal Wound Dehiscence - Etiology&amp; Its Management. International Journal of Science and Research (IJSR) ISSN (Online): 2319-7064 Index Copernicus Value: 78.96 | Impact Factor (2015): 6.391.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17. Akshay V. Gokak*, Ramesh H., Abhijit D. H., Vasant T</w:t>
      </w:r>
      <w:r w:rsidR="0095600A">
        <w:rPr>
          <w:rFonts w:ascii="Times New Roman" w:hAnsi="Times New Roman" w:cs="Times New Roman"/>
          <w:sz w:val="20"/>
          <w:szCs w:val="20"/>
        </w:rPr>
        <w:t>(2017)</w:t>
      </w:r>
      <w:r w:rsidRPr="00EA565D">
        <w:rPr>
          <w:rFonts w:ascii="Times New Roman" w:hAnsi="Times New Roman" w:cs="Times New Roman"/>
          <w:sz w:val="20"/>
          <w:szCs w:val="20"/>
        </w:rPr>
        <w:t>. KIMS 14: a new scoring system to predict abdominal wound dehiscence following emergency laparotomy .,International Surgery Jo</w:t>
      </w:r>
      <w:r w:rsidR="0095600A">
        <w:rPr>
          <w:rFonts w:ascii="Times New Roman" w:hAnsi="Times New Roman" w:cs="Times New Roman"/>
          <w:sz w:val="20"/>
          <w:szCs w:val="20"/>
        </w:rPr>
        <w:t>urnal Gokak AV et al. IntSurg J</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4(4):1230-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 xml:space="preserve">18. </w:t>
      </w:r>
      <w:r w:rsidR="0095600A">
        <w:rPr>
          <w:rFonts w:ascii="Times New Roman" w:hAnsi="Times New Roman" w:cs="Times New Roman"/>
          <w:sz w:val="20"/>
          <w:szCs w:val="20"/>
        </w:rPr>
        <w:t xml:space="preserve"> </w:t>
      </w:r>
      <w:r w:rsidR="0095600A" w:rsidRPr="0095600A">
        <w:rPr>
          <w:rFonts w:ascii="Times New Roman" w:hAnsi="Times New Roman" w:cs="Times New Roman"/>
          <w:sz w:val="20"/>
          <w:szCs w:val="20"/>
        </w:rPr>
        <w:t>Choudhury, A., Deka, R. K., Gogoi, B., &amp; Kumar, N. (2017). A clinical study of abdominal wound dehiscence including its causes and management. Journal of Evolution of Medical and Dental Sciences, 6(19), 1519-1524.</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 xml:space="preserve"> 19. </w:t>
      </w:r>
      <w:r w:rsidR="0095600A" w:rsidRPr="0095600A">
        <w:rPr>
          <w:rFonts w:ascii="Times New Roman" w:hAnsi="Times New Roman" w:cs="Times New Roman"/>
          <w:sz w:val="20"/>
          <w:szCs w:val="20"/>
        </w:rPr>
        <w:t>Chun, J. J., Yoon, S. M., Song, W. J., Jeong, H. G., Choi, C. Y., &amp; Wee, S. Y. (2018). Causes of surgical wound dehiscence: a multicenter study. Journal of Wound Management and Research, 14(2), 74-79.</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20. Dr. Sreenidhi GM. Dr.VidyashriHanmanthappaBiral. Dr. Fransisco V Jose</w:t>
      </w:r>
      <w:r w:rsidR="0095600A">
        <w:rPr>
          <w:rFonts w:ascii="Times New Roman" w:hAnsi="Times New Roman" w:cs="Times New Roman"/>
          <w:sz w:val="20"/>
          <w:szCs w:val="20"/>
        </w:rPr>
        <w:t>(2020)</w:t>
      </w:r>
      <w:r w:rsidRPr="00EA565D">
        <w:rPr>
          <w:rFonts w:ascii="Times New Roman" w:hAnsi="Times New Roman" w:cs="Times New Roman"/>
          <w:sz w:val="20"/>
          <w:szCs w:val="20"/>
        </w:rPr>
        <w:t>. THE EFFICACY OF NEW SCORING SYSTEM TO PREDICT BURST ABDOMEN. INTERNATIONAL JOURNAL OF SCIENTIFIC RESEARCH. Volume-9 | Issue-3 | PRINT ISSN No. 2277 – 8179.</w:t>
      </w:r>
    </w:p>
    <w:p w:rsidR="0095600A"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 xml:space="preserve"> 21. Reza Akmal, Efman EU Manawan, Mgs. IrsanSaleh</w:t>
      </w:r>
      <w:r w:rsidR="0095600A">
        <w:rPr>
          <w:rFonts w:ascii="Times New Roman" w:hAnsi="Times New Roman" w:cs="Times New Roman"/>
          <w:sz w:val="20"/>
          <w:szCs w:val="20"/>
        </w:rPr>
        <w:t>(2005)</w:t>
      </w:r>
      <w:r w:rsidRPr="00EA565D">
        <w:rPr>
          <w:rFonts w:ascii="Times New Roman" w:hAnsi="Times New Roman" w:cs="Times New Roman"/>
          <w:sz w:val="20"/>
          <w:szCs w:val="20"/>
        </w:rPr>
        <w:t>.</w:t>
      </w:r>
      <w:r w:rsidR="0095600A">
        <w:rPr>
          <w:rFonts w:ascii="Times New Roman" w:hAnsi="Times New Roman" w:cs="Times New Roman"/>
          <w:sz w:val="20"/>
          <w:szCs w:val="20"/>
        </w:rPr>
        <w:t xml:space="preserve"> </w:t>
      </w:r>
      <w:r w:rsidRPr="00EA565D">
        <w:rPr>
          <w:rFonts w:ascii="Times New Roman" w:hAnsi="Times New Roman" w:cs="Times New Roman"/>
          <w:sz w:val="20"/>
          <w:szCs w:val="20"/>
        </w:rPr>
        <w:t xml:space="preserve">Competition Test Veteran Affairs Medical Centre (VAMC) Score And KIMS-14 For Predicting the Dehiscence of Abdoment Post Laparotomy Operating Wounds. SJS 3(1) :11-22. 22. </w:t>
      </w:r>
    </w:p>
    <w:p w:rsidR="003B78B0" w:rsidRPr="00EA565D" w:rsidRDefault="0095600A" w:rsidP="00D726BB">
      <w:pPr>
        <w:pStyle w:val="ListParagraph"/>
        <w:tabs>
          <w:tab w:val="left" w:pos="2040"/>
        </w:tabs>
        <w:spacing w:after="0" w:line="240" w:lineRule="auto"/>
        <w:ind w:left="284" w:hanging="284"/>
        <w:rPr>
          <w:rFonts w:ascii="Times New Roman" w:hAnsi="Times New Roman" w:cs="Times New Roman"/>
          <w:sz w:val="20"/>
          <w:szCs w:val="20"/>
        </w:rPr>
      </w:pPr>
      <w:r>
        <w:rPr>
          <w:rFonts w:ascii="Times New Roman" w:hAnsi="Times New Roman" w:cs="Times New Roman"/>
          <w:sz w:val="20"/>
          <w:szCs w:val="20"/>
        </w:rPr>
        <w:t xml:space="preserve">22. </w:t>
      </w:r>
      <w:r w:rsidR="003B78B0" w:rsidRPr="00EA565D">
        <w:rPr>
          <w:rFonts w:ascii="Times New Roman" w:hAnsi="Times New Roman" w:cs="Times New Roman"/>
          <w:sz w:val="20"/>
          <w:szCs w:val="20"/>
        </w:rPr>
        <w:t xml:space="preserve">Rodríguez J, Codina A, Ruiz B, Roig J, Gironès J, Pujadas M, et al. (2005) Factoresderiesgo de dehiscenciaaguda de la paredabdominaltraslaprotomtiaenadultos. CirugiaEspaanola. 2005;89:599-605. </w:t>
      </w:r>
    </w:p>
    <w:p w:rsidR="003B78B0"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23. Windsor JA, Knight GS, Hill GL</w:t>
      </w:r>
      <w:r w:rsidR="0095600A">
        <w:rPr>
          <w:rFonts w:ascii="Times New Roman" w:hAnsi="Times New Roman" w:cs="Times New Roman"/>
          <w:sz w:val="20"/>
          <w:szCs w:val="20"/>
        </w:rPr>
        <w:t>(1988)</w:t>
      </w:r>
      <w:r w:rsidRPr="00EA565D">
        <w:rPr>
          <w:rFonts w:ascii="Times New Roman" w:hAnsi="Times New Roman" w:cs="Times New Roman"/>
          <w:sz w:val="20"/>
          <w:szCs w:val="20"/>
        </w:rPr>
        <w:t>. The wound healing response in the surgical patient: recent food intake is more important tha</w:t>
      </w:r>
      <w:r w:rsidR="0095600A">
        <w:rPr>
          <w:rFonts w:ascii="Times New Roman" w:hAnsi="Times New Roman" w:cs="Times New Roman"/>
          <w:sz w:val="20"/>
          <w:szCs w:val="20"/>
        </w:rPr>
        <w:t>n nutritional status. Br J Surg</w:t>
      </w:r>
      <w:r w:rsidRPr="00EA565D">
        <w:rPr>
          <w:rFonts w:ascii="Times New Roman" w:hAnsi="Times New Roman" w:cs="Times New Roman"/>
          <w:sz w:val="20"/>
          <w:szCs w:val="20"/>
        </w:rPr>
        <w:t xml:space="preserve">;75(2):135-7. </w:t>
      </w:r>
    </w:p>
    <w:p w:rsidR="00A24B9A"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24. Haukipuro K, Melkko J</w:t>
      </w:r>
      <w:r w:rsidR="0095600A">
        <w:rPr>
          <w:rFonts w:ascii="Times New Roman" w:hAnsi="Times New Roman" w:cs="Times New Roman"/>
          <w:sz w:val="20"/>
          <w:szCs w:val="20"/>
        </w:rPr>
        <w:t>(1992)</w:t>
      </w:r>
      <w:r w:rsidRPr="00EA565D">
        <w:rPr>
          <w:rFonts w:ascii="Times New Roman" w:hAnsi="Times New Roman" w:cs="Times New Roman"/>
          <w:sz w:val="20"/>
          <w:szCs w:val="20"/>
        </w:rPr>
        <w:t>. Connective tissue response to major surgery and postoperati</w:t>
      </w:r>
      <w:r w:rsidR="0095600A">
        <w:rPr>
          <w:rFonts w:ascii="Times New Roman" w:hAnsi="Times New Roman" w:cs="Times New Roman"/>
          <w:sz w:val="20"/>
          <w:szCs w:val="20"/>
        </w:rPr>
        <w:t>ve infection. Eur J Clin Invest</w:t>
      </w:r>
      <w:r w:rsidRPr="00EA565D">
        <w:rPr>
          <w:rFonts w:ascii="Times New Roman" w:hAnsi="Times New Roman" w:cs="Times New Roman"/>
          <w:sz w:val="20"/>
          <w:szCs w:val="20"/>
        </w:rPr>
        <w:t xml:space="preserve">;22(5):333-40 78 </w:t>
      </w:r>
    </w:p>
    <w:p w:rsidR="00675164" w:rsidRPr="00EA565D" w:rsidRDefault="003B78B0" w:rsidP="00D726BB">
      <w:pPr>
        <w:pStyle w:val="ListParagraph"/>
        <w:tabs>
          <w:tab w:val="left" w:pos="2040"/>
        </w:tabs>
        <w:spacing w:after="0" w:line="240" w:lineRule="auto"/>
        <w:ind w:left="284" w:hanging="284"/>
        <w:rPr>
          <w:rFonts w:ascii="Times New Roman" w:hAnsi="Times New Roman" w:cs="Times New Roman"/>
          <w:sz w:val="20"/>
          <w:szCs w:val="20"/>
        </w:rPr>
      </w:pPr>
      <w:r w:rsidRPr="00EA565D">
        <w:rPr>
          <w:rFonts w:ascii="Times New Roman" w:hAnsi="Times New Roman" w:cs="Times New Roman"/>
          <w:sz w:val="20"/>
          <w:szCs w:val="20"/>
        </w:rPr>
        <w:t>25. Haley RW, Ulver DH, Morgan WM</w:t>
      </w:r>
      <w:r w:rsidR="0095600A">
        <w:rPr>
          <w:rFonts w:ascii="Times New Roman" w:hAnsi="Times New Roman" w:cs="Times New Roman"/>
          <w:sz w:val="20"/>
          <w:szCs w:val="20"/>
        </w:rPr>
        <w:t>(1995)</w:t>
      </w:r>
      <w:r w:rsidRPr="00EA565D">
        <w:rPr>
          <w:rFonts w:ascii="Times New Roman" w:hAnsi="Times New Roman" w:cs="Times New Roman"/>
          <w:sz w:val="20"/>
          <w:szCs w:val="20"/>
        </w:rPr>
        <w:t xml:space="preserve">. Identifying patients at high risk of Surgical wound infection. Am J </w:t>
      </w:r>
      <w:r w:rsidR="0095600A">
        <w:rPr>
          <w:rFonts w:ascii="Times New Roman" w:hAnsi="Times New Roman" w:cs="Times New Roman"/>
          <w:sz w:val="20"/>
          <w:szCs w:val="20"/>
        </w:rPr>
        <w:t>Epidermoid</w:t>
      </w:r>
      <w:r w:rsidRPr="00EA565D">
        <w:rPr>
          <w:rFonts w:ascii="Times New Roman" w:hAnsi="Times New Roman" w:cs="Times New Roman"/>
          <w:sz w:val="20"/>
          <w:szCs w:val="20"/>
        </w:rPr>
        <w:t>;121:206. 26. Makela JT, Kiviniemi H, Juvonen T, Laitinen S. Factors influencing wound dehiscence after midline lapa</w:t>
      </w:r>
      <w:r w:rsidR="0095600A">
        <w:rPr>
          <w:rFonts w:ascii="Times New Roman" w:hAnsi="Times New Roman" w:cs="Times New Roman"/>
          <w:sz w:val="20"/>
          <w:szCs w:val="20"/>
        </w:rPr>
        <w:t>rotomy. Am J Surg.</w:t>
      </w:r>
    </w:p>
    <w:sectPr w:rsidR="00675164" w:rsidRPr="00EA565D" w:rsidSect="00AB1B00">
      <w:footerReference w:type="default" r:id="rId17"/>
      <w:pgSz w:w="11906" w:h="16838"/>
      <w:pgMar w:top="1134" w:right="1080" w:bottom="1135" w:left="1080" w:header="708" w:footer="237" w:gutter="0"/>
      <w:pgNumType w:start="25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90869" w:rsidRDefault="00990869" w:rsidP="008312FB">
      <w:pPr>
        <w:spacing w:after="0" w:line="240" w:lineRule="auto"/>
      </w:pPr>
      <w:r>
        <w:separator/>
      </w:r>
    </w:p>
  </w:endnote>
  <w:endnote w:type="continuationSeparator" w:id="1">
    <w:p w:rsidR="00990869" w:rsidRDefault="00990869" w:rsidP="008312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MT">
    <w:altName w:val="Arial"/>
    <w:charset w:val="01"/>
    <w:family w:val="swiss"/>
    <w:pitch w:val="variable"/>
    <w:sig w:usb0="00000000" w:usb1="00000000" w:usb2="00000000" w:usb3="00000000" w:csb0="00000000" w:csb1="00000000"/>
  </w:font>
  <w:font w:name="Gabriola">
    <w:altName w:val="Gabriola"/>
    <w:panose1 w:val="04040605051002020D02"/>
    <w:charset w:val="00"/>
    <w:family w:val="decorative"/>
    <w:pitch w:val="variable"/>
    <w:sig w:usb0="E00002EF" w:usb1="5000204B"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978"/>
      <w:gridCol w:w="998"/>
    </w:tblGrid>
    <w:tr w:rsidR="00EA565D" w:rsidTr="006C0E22">
      <w:tc>
        <w:tcPr>
          <w:tcW w:w="4500" w:type="pct"/>
          <w:tcBorders>
            <w:top w:val="single" w:sz="4" w:space="0" w:color="000000" w:themeColor="text1"/>
          </w:tcBorders>
        </w:tcPr>
        <w:p w:rsidR="00EA565D" w:rsidRPr="00B303CE" w:rsidRDefault="00EA565D" w:rsidP="006C0E22">
          <w:pPr>
            <w:pStyle w:val="Footer"/>
            <w:rPr>
              <w:i/>
              <w:iCs/>
              <w:sz w:val="18"/>
              <w:szCs w:val="18"/>
            </w:rPr>
          </w:pPr>
          <w:r w:rsidRPr="001E0CD2">
            <w:rPr>
              <w:b/>
              <w:bCs/>
              <w:i/>
              <w:iCs/>
              <w:sz w:val="18"/>
              <w:szCs w:val="18"/>
            </w:rPr>
            <w:t>Dr Chandan Tiwari</w:t>
          </w:r>
          <w:r w:rsidRPr="00B303CE">
            <w:rPr>
              <w:i/>
              <w:iCs/>
              <w:sz w:val="18"/>
              <w:szCs w:val="18"/>
            </w:rPr>
            <w:t xml:space="preserve"> et al.: </w:t>
          </w:r>
          <w:r w:rsidRPr="001E0CD2">
            <w:rPr>
              <w:i/>
              <w:iCs/>
              <w:sz w:val="18"/>
              <w:szCs w:val="18"/>
            </w:rPr>
            <w:t>The Efficacy of Risk Factors for Predicting Wound Dehiscence: A Prospective and Retrospective Study</w:t>
          </w:r>
        </w:p>
      </w:tc>
      <w:tc>
        <w:tcPr>
          <w:tcW w:w="500" w:type="pct"/>
          <w:tcBorders>
            <w:top w:val="single" w:sz="4" w:space="0" w:color="ED7D31" w:themeColor="accent2"/>
          </w:tcBorders>
          <w:shd w:val="clear" w:color="auto" w:fill="C45911" w:themeFill="accent2" w:themeFillShade="BF"/>
        </w:tcPr>
        <w:p w:rsidR="00EA565D" w:rsidRDefault="00F804B9" w:rsidP="006C0E22">
          <w:pPr>
            <w:pStyle w:val="Header"/>
            <w:rPr>
              <w:color w:val="FFFFFF" w:themeColor="background1"/>
            </w:rPr>
          </w:pPr>
          <w:r w:rsidRPr="00F804B9">
            <w:fldChar w:fldCharType="begin"/>
          </w:r>
          <w:r w:rsidR="002F410A">
            <w:instrText xml:space="preserve"> PAGE   \* MERGEFORMAT </w:instrText>
          </w:r>
          <w:r w:rsidRPr="00F804B9">
            <w:fldChar w:fldCharType="separate"/>
          </w:r>
          <w:r w:rsidR="00986B85" w:rsidRPr="00986B85">
            <w:rPr>
              <w:noProof/>
              <w:color w:val="FFFFFF" w:themeColor="background1"/>
            </w:rPr>
            <w:t>254</w:t>
          </w:r>
          <w:r>
            <w:rPr>
              <w:noProof/>
              <w:color w:val="FFFFFF" w:themeColor="background1"/>
            </w:rPr>
            <w:fldChar w:fldCharType="end"/>
          </w:r>
        </w:p>
      </w:tc>
    </w:tr>
  </w:tbl>
  <w:p w:rsidR="00EA565D" w:rsidRPr="00EA565D" w:rsidRDefault="00EA565D" w:rsidP="00EA565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90869" w:rsidRDefault="00990869" w:rsidP="008312FB">
      <w:pPr>
        <w:spacing w:after="0" w:line="240" w:lineRule="auto"/>
      </w:pPr>
      <w:r>
        <w:separator/>
      </w:r>
    </w:p>
  </w:footnote>
  <w:footnote w:type="continuationSeparator" w:id="1">
    <w:p w:rsidR="00990869" w:rsidRDefault="00990869" w:rsidP="008312F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563A27"/>
    <w:multiLevelType w:val="hybridMultilevel"/>
    <w:tmpl w:val="8EC8140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DBE2646"/>
    <w:multiLevelType w:val="hybridMultilevel"/>
    <w:tmpl w:val="30DE09EA"/>
    <w:lvl w:ilvl="0" w:tplc="9B6C1948">
      <w:start w:val="61"/>
      <w:numFmt w:val="bullet"/>
      <w:lvlText w:val=""/>
      <w:lvlJc w:val="left"/>
      <w:pPr>
        <w:ind w:left="72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5A471314"/>
    <w:multiLevelType w:val="hybridMultilevel"/>
    <w:tmpl w:val="8FE26F56"/>
    <w:lvl w:ilvl="0" w:tplc="40090001">
      <w:start w:val="1"/>
      <w:numFmt w:val="bullet"/>
      <w:lvlText w:val=""/>
      <w:lvlJc w:val="left"/>
      <w:pPr>
        <w:ind w:left="1521" w:hanging="360"/>
      </w:pPr>
      <w:rPr>
        <w:rFonts w:ascii="Symbol" w:hAnsi="Symbol" w:hint="default"/>
      </w:rPr>
    </w:lvl>
    <w:lvl w:ilvl="1" w:tplc="40090003" w:tentative="1">
      <w:start w:val="1"/>
      <w:numFmt w:val="bullet"/>
      <w:lvlText w:val="o"/>
      <w:lvlJc w:val="left"/>
      <w:pPr>
        <w:ind w:left="2241" w:hanging="360"/>
      </w:pPr>
      <w:rPr>
        <w:rFonts w:ascii="Courier New" w:hAnsi="Courier New" w:cs="Courier New" w:hint="default"/>
      </w:rPr>
    </w:lvl>
    <w:lvl w:ilvl="2" w:tplc="40090005" w:tentative="1">
      <w:start w:val="1"/>
      <w:numFmt w:val="bullet"/>
      <w:lvlText w:val=""/>
      <w:lvlJc w:val="left"/>
      <w:pPr>
        <w:ind w:left="2961" w:hanging="360"/>
      </w:pPr>
      <w:rPr>
        <w:rFonts w:ascii="Wingdings" w:hAnsi="Wingdings" w:hint="default"/>
      </w:rPr>
    </w:lvl>
    <w:lvl w:ilvl="3" w:tplc="40090001" w:tentative="1">
      <w:start w:val="1"/>
      <w:numFmt w:val="bullet"/>
      <w:lvlText w:val=""/>
      <w:lvlJc w:val="left"/>
      <w:pPr>
        <w:ind w:left="3681" w:hanging="360"/>
      </w:pPr>
      <w:rPr>
        <w:rFonts w:ascii="Symbol" w:hAnsi="Symbol" w:hint="default"/>
      </w:rPr>
    </w:lvl>
    <w:lvl w:ilvl="4" w:tplc="40090003" w:tentative="1">
      <w:start w:val="1"/>
      <w:numFmt w:val="bullet"/>
      <w:lvlText w:val="o"/>
      <w:lvlJc w:val="left"/>
      <w:pPr>
        <w:ind w:left="4401" w:hanging="360"/>
      </w:pPr>
      <w:rPr>
        <w:rFonts w:ascii="Courier New" w:hAnsi="Courier New" w:cs="Courier New" w:hint="default"/>
      </w:rPr>
    </w:lvl>
    <w:lvl w:ilvl="5" w:tplc="40090005" w:tentative="1">
      <w:start w:val="1"/>
      <w:numFmt w:val="bullet"/>
      <w:lvlText w:val=""/>
      <w:lvlJc w:val="left"/>
      <w:pPr>
        <w:ind w:left="5121" w:hanging="360"/>
      </w:pPr>
      <w:rPr>
        <w:rFonts w:ascii="Wingdings" w:hAnsi="Wingdings" w:hint="default"/>
      </w:rPr>
    </w:lvl>
    <w:lvl w:ilvl="6" w:tplc="40090001" w:tentative="1">
      <w:start w:val="1"/>
      <w:numFmt w:val="bullet"/>
      <w:lvlText w:val=""/>
      <w:lvlJc w:val="left"/>
      <w:pPr>
        <w:ind w:left="5841" w:hanging="360"/>
      </w:pPr>
      <w:rPr>
        <w:rFonts w:ascii="Symbol" w:hAnsi="Symbol" w:hint="default"/>
      </w:rPr>
    </w:lvl>
    <w:lvl w:ilvl="7" w:tplc="40090003" w:tentative="1">
      <w:start w:val="1"/>
      <w:numFmt w:val="bullet"/>
      <w:lvlText w:val="o"/>
      <w:lvlJc w:val="left"/>
      <w:pPr>
        <w:ind w:left="6561" w:hanging="360"/>
      </w:pPr>
      <w:rPr>
        <w:rFonts w:ascii="Courier New" w:hAnsi="Courier New" w:cs="Courier New" w:hint="default"/>
      </w:rPr>
    </w:lvl>
    <w:lvl w:ilvl="8" w:tplc="40090005" w:tentative="1">
      <w:start w:val="1"/>
      <w:numFmt w:val="bullet"/>
      <w:lvlText w:val=""/>
      <w:lvlJc w:val="left"/>
      <w:pPr>
        <w:ind w:left="7281" w:hanging="360"/>
      </w:pPr>
      <w:rPr>
        <w:rFonts w:ascii="Wingdings" w:hAnsi="Wingdings" w:hint="default"/>
      </w:rPr>
    </w:lvl>
  </w:abstractNum>
  <w:abstractNum w:abstractNumId="3">
    <w:nsid w:val="62BB69D2"/>
    <w:multiLevelType w:val="hybridMultilevel"/>
    <w:tmpl w:val="EBD6FFB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75B60621"/>
    <w:multiLevelType w:val="hybridMultilevel"/>
    <w:tmpl w:val="94BECC2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76DA6564"/>
    <w:multiLevelType w:val="hybridMultilevel"/>
    <w:tmpl w:val="808610B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7A1D73E8"/>
    <w:multiLevelType w:val="hybridMultilevel"/>
    <w:tmpl w:val="982A084C"/>
    <w:lvl w:ilvl="0" w:tplc="159446AC">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0"/>
  </w:num>
  <w:num w:numId="2">
    <w:abstractNumId w:val="6"/>
  </w:num>
  <w:num w:numId="3">
    <w:abstractNumId w:val="2"/>
  </w:num>
  <w:num w:numId="4">
    <w:abstractNumId w:val="1"/>
  </w:num>
  <w:num w:numId="5">
    <w:abstractNumId w:val="5"/>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20"/>
  <w:drawingGridHorizontalSpacing w:val="110"/>
  <w:displayHorizontalDrawingGridEvery w:val="2"/>
  <w:characterSpacingControl w:val="doNotCompress"/>
  <w:hdrShapeDefaults>
    <o:shapedefaults v:ext="edit" spidmax="8194"/>
  </w:hdrShapeDefaults>
  <w:footnotePr>
    <w:footnote w:id="0"/>
    <w:footnote w:id="1"/>
  </w:footnotePr>
  <w:endnotePr>
    <w:endnote w:id="0"/>
    <w:endnote w:id="1"/>
  </w:endnotePr>
  <w:compat/>
  <w:rsids>
    <w:rsidRoot w:val="008D4ECB"/>
    <w:rsid w:val="000011C3"/>
    <w:rsid w:val="00044AD3"/>
    <w:rsid w:val="00046838"/>
    <w:rsid w:val="000900ED"/>
    <w:rsid w:val="000957E6"/>
    <w:rsid w:val="000D28B0"/>
    <w:rsid w:val="000E3895"/>
    <w:rsid w:val="0010697B"/>
    <w:rsid w:val="0012198F"/>
    <w:rsid w:val="00122BBF"/>
    <w:rsid w:val="0013402E"/>
    <w:rsid w:val="0017310E"/>
    <w:rsid w:val="001818EF"/>
    <w:rsid w:val="00182F1D"/>
    <w:rsid w:val="00202F56"/>
    <w:rsid w:val="00220587"/>
    <w:rsid w:val="00254DA8"/>
    <w:rsid w:val="002940DE"/>
    <w:rsid w:val="002D3BF4"/>
    <w:rsid w:val="002F410A"/>
    <w:rsid w:val="002F5E8E"/>
    <w:rsid w:val="00333498"/>
    <w:rsid w:val="003404F0"/>
    <w:rsid w:val="003A3667"/>
    <w:rsid w:val="003B78B0"/>
    <w:rsid w:val="003C0CA0"/>
    <w:rsid w:val="003E021F"/>
    <w:rsid w:val="003E4BEF"/>
    <w:rsid w:val="003E7D81"/>
    <w:rsid w:val="00414AA5"/>
    <w:rsid w:val="00417973"/>
    <w:rsid w:val="00486E39"/>
    <w:rsid w:val="004A250E"/>
    <w:rsid w:val="004B26ED"/>
    <w:rsid w:val="004B60AD"/>
    <w:rsid w:val="004B6288"/>
    <w:rsid w:val="004D509C"/>
    <w:rsid w:val="0051026E"/>
    <w:rsid w:val="005323C9"/>
    <w:rsid w:val="00567DB9"/>
    <w:rsid w:val="00596B34"/>
    <w:rsid w:val="005A2165"/>
    <w:rsid w:val="005B0893"/>
    <w:rsid w:val="005B1E5F"/>
    <w:rsid w:val="005B4656"/>
    <w:rsid w:val="005D520A"/>
    <w:rsid w:val="005E0DDE"/>
    <w:rsid w:val="006305E5"/>
    <w:rsid w:val="00675164"/>
    <w:rsid w:val="006C52C6"/>
    <w:rsid w:val="006F1E1C"/>
    <w:rsid w:val="00703044"/>
    <w:rsid w:val="00710AD7"/>
    <w:rsid w:val="00734970"/>
    <w:rsid w:val="007D5380"/>
    <w:rsid w:val="00805F6E"/>
    <w:rsid w:val="00816ED6"/>
    <w:rsid w:val="008312FB"/>
    <w:rsid w:val="008327F5"/>
    <w:rsid w:val="008514D9"/>
    <w:rsid w:val="0085733E"/>
    <w:rsid w:val="00882BCE"/>
    <w:rsid w:val="008833C8"/>
    <w:rsid w:val="00891B9F"/>
    <w:rsid w:val="008A3C34"/>
    <w:rsid w:val="008D4ECB"/>
    <w:rsid w:val="00931818"/>
    <w:rsid w:val="0095600A"/>
    <w:rsid w:val="00986B85"/>
    <w:rsid w:val="00990869"/>
    <w:rsid w:val="009C3D56"/>
    <w:rsid w:val="00A24B9A"/>
    <w:rsid w:val="00A636CF"/>
    <w:rsid w:val="00AB1B00"/>
    <w:rsid w:val="00AC58DF"/>
    <w:rsid w:val="00AD136A"/>
    <w:rsid w:val="00B25828"/>
    <w:rsid w:val="00B5358E"/>
    <w:rsid w:val="00BC094C"/>
    <w:rsid w:val="00BC62B6"/>
    <w:rsid w:val="00C36FC8"/>
    <w:rsid w:val="00C560E2"/>
    <w:rsid w:val="00C5777F"/>
    <w:rsid w:val="00CA015F"/>
    <w:rsid w:val="00CF335E"/>
    <w:rsid w:val="00D61BBF"/>
    <w:rsid w:val="00D726BB"/>
    <w:rsid w:val="00DA3CE3"/>
    <w:rsid w:val="00DE2328"/>
    <w:rsid w:val="00E25437"/>
    <w:rsid w:val="00EA565D"/>
    <w:rsid w:val="00F04F15"/>
    <w:rsid w:val="00F165E8"/>
    <w:rsid w:val="00F266D9"/>
    <w:rsid w:val="00F64D29"/>
    <w:rsid w:val="00F66282"/>
    <w:rsid w:val="00F804B9"/>
    <w:rsid w:val="00F8639E"/>
    <w:rsid w:val="00FB2805"/>
  </w:rsids>
  <m:mathPr>
    <m:mathFont m:val="Cambria Math"/>
    <m:brkBin m:val="before"/>
    <m:brkBinSub m:val="--"/>
    <m:smallFrac/>
    <m:dispDef/>
    <m:lMargin m:val="0"/>
    <m:rMargin m:val="0"/>
    <m:defJc m:val="centerGroup"/>
    <m:wrapIndent m:val="1440"/>
    <m:intLim m:val="subSup"/>
    <m:naryLim m:val="undOvr"/>
  </m:mathPr>
  <w:themeFontLang w:val="en-IN" w:bidi="as-IN"/>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366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2F1D"/>
    <w:pPr>
      <w:ind w:left="720"/>
      <w:contextualSpacing/>
    </w:pPr>
  </w:style>
  <w:style w:type="table" w:styleId="TableGrid">
    <w:name w:val="Table Grid"/>
    <w:basedOn w:val="TableNormal"/>
    <w:uiPriority w:val="39"/>
    <w:rsid w:val="008573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8312F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312FB"/>
  </w:style>
  <w:style w:type="paragraph" w:styleId="Footer">
    <w:name w:val="footer"/>
    <w:basedOn w:val="Normal"/>
    <w:link w:val="FooterChar"/>
    <w:uiPriority w:val="99"/>
    <w:unhideWhenUsed/>
    <w:rsid w:val="008312F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312FB"/>
  </w:style>
  <w:style w:type="table" w:customStyle="1" w:styleId="TableGrid1">
    <w:name w:val="Table Grid1"/>
    <w:basedOn w:val="TableNormal"/>
    <w:next w:val="TableGrid"/>
    <w:uiPriority w:val="59"/>
    <w:rsid w:val="00EA565D"/>
    <w:pPr>
      <w:spacing w:after="0" w:line="240" w:lineRule="auto"/>
    </w:pPr>
    <w:rPr>
      <w:rFonts w:eastAsia="Times New Roman"/>
      <w:kern w:val="0"/>
      <w:lang w:eastAsia="en-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A56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A565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jmpr.in/"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ncbi.nlm.nih.gov/nlmcatalog/474373" TargetMode="External"/><Relationship Id="rId14"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Office_Excel_Worksheet2.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IN"/>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en-IN"/>
              <a:t>Incidence</a:t>
            </a:r>
            <a:r>
              <a:rPr lang="en-IN" baseline="0"/>
              <a:t> of wound dehiscence in diffrent age group</a:t>
            </a:r>
            <a:endParaRPr lang="en-IN"/>
          </a:p>
        </c:rich>
      </c:tx>
      <c:spPr>
        <a:noFill/>
        <a:ln>
          <a:noFill/>
        </a:ln>
        <a:effectLst/>
      </c:spPr>
    </c:title>
    <c:plotArea>
      <c:layout/>
      <c:barChart>
        <c:barDir val="col"/>
        <c:grouping val="clustered"/>
        <c:ser>
          <c:idx val="0"/>
          <c:order val="0"/>
          <c:tx>
            <c:strRef>
              <c:f>Sheet1!$B$1</c:f>
              <c:strCache>
                <c:ptCount val="1"/>
                <c:pt idx="0">
                  <c:v>CONTROL</c:v>
                </c:pt>
              </c:strCache>
            </c:strRef>
          </c:tx>
          <c:spPr>
            <a:solidFill>
              <a:schemeClr val="accent1"/>
            </a:solidFill>
            <a:ln>
              <a:noFill/>
            </a:ln>
            <a:effectLst/>
          </c:spPr>
          <c:cat>
            <c:strRef>
              <c:f>Sheet1!$A$2:$A$8</c:f>
              <c:strCache>
                <c:ptCount val="7"/>
                <c:pt idx="0">
                  <c:v>&lt;=20yrs</c:v>
                </c:pt>
                <c:pt idx="1">
                  <c:v>21-30 yrs</c:v>
                </c:pt>
                <c:pt idx="2">
                  <c:v>31-40 yrs</c:v>
                </c:pt>
                <c:pt idx="3">
                  <c:v>41-50 yrs</c:v>
                </c:pt>
                <c:pt idx="4">
                  <c:v>51-60yrs</c:v>
                </c:pt>
                <c:pt idx="5">
                  <c:v>61-70 yrs </c:v>
                </c:pt>
                <c:pt idx="6">
                  <c:v>&gt;70 yrs</c:v>
                </c:pt>
              </c:strCache>
            </c:strRef>
          </c:cat>
          <c:val>
            <c:numRef>
              <c:f>Sheet1!$B$2:$B$8</c:f>
              <c:numCache>
                <c:formatCode>General</c:formatCode>
                <c:ptCount val="7"/>
                <c:pt idx="0">
                  <c:v>1</c:v>
                </c:pt>
                <c:pt idx="1">
                  <c:v>25</c:v>
                </c:pt>
                <c:pt idx="2">
                  <c:v>25</c:v>
                </c:pt>
                <c:pt idx="3">
                  <c:v>14</c:v>
                </c:pt>
                <c:pt idx="4">
                  <c:v>25</c:v>
                </c:pt>
                <c:pt idx="5">
                  <c:v>3</c:v>
                </c:pt>
                <c:pt idx="6">
                  <c:v>7</c:v>
                </c:pt>
              </c:numCache>
            </c:numRef>
          </c:val>
          <c:extLst xmlns:c16r2="http://schemas.microsoft.com/office/drawing/2015/06/chart">
            <c:ext xmlns:c16="http://schemas.microsoft.com/office/drawing/2014/chart" uri="{C3380CC4-5D6E-409C-BE32-E72D297353CC}">
              <c16:uniqueId val="{00000000-81C9-4BDC-B25F-D67DEE25A198}"/>
            </c:ext>
          </c:extLst>
        </c:ser>
        <c:ser>
          <c:idx val="1"/>
          <c:order val="1"/>
          <c:tx>
            <c:strRef>
              <c:f>Sheet1!$C$1</c:f>
              <c:strCache>
                <c:ptCount val="1"/>
                <c:pt idx="0">
                  <c:v>CASES</c:v>
                </c:pt>
              </c:strCache>
            </c:strRef>
          </c:tx>
          <c:spPr>
            <a:solidFill>
              <a:schemeClr val="accent2"/>
            </a:solidFill>
            <a:ln>
              <a:noFill/>
            </a:ln>
            <a:effectLst/>
          </c:spPr>
          <c:cat>
            <c:strRef>
              <c:f>Sheet1!$A$2:$A$8</c:f>
              <c:strCache>
                <c:ptCount val="7"/>
                <c:pt idx="0">
                  <c:v>&lt;=20yrs</c:v>
                </c:pt>
                <c:pt idx="1">
                  <c:v>21-30 yrs</c:v>
                </c:pt>
                <c:pt idx="2">
                  <c:v>31-40 yrs</c:v>
                </c:pt>
                <c:pt idx="3">
                  <c:v>41-50 yrs</c:v>
                </c:pt>
                <c:pt idx="4">
                  <c:v>51-60yrs</c:v>
                </c:pt>
                <c:pt idx="5">
                  <c:v>61-70 yrs </c:v>
                </c:pt>
                <c:pt idx="6">
                  <c:v>&gt;70 yrs</c:v>
                </c:pt>
              </c:strCache>
            </c:strRef>
          </c:cat>
          <c:val>
            <c:numRef>
              <c:f>Sheet1!$C$2:$C$8</c:f>
              <c:numCache>
                <c:formatCode>General</c:formatCode>
                <c:ptCount val="7"/>
                <c:pt idx="0">
                  <c:v>7</c:v>
                </c:pt>
                <c:pt idx="1">
                  <c:v>28</c:v>
                </c:pt>
                <c:pt idx="2">
                  <c:v>24</c:v>
                </c:pt>
                <c:pt idx="3">
                  <c:v>21</c:v>
                </c:pt>
                <c:pt idx="4">
                  <c:v>12</c:v>
                </c:pt>
                <c:pt idx="5">
                  <c:v>7</c:v>
                </c:pt>
                <c:pt idx="6">
                  <c:v>1</c:v>
                </c:pt>
              </c:numCache>
            </c:numRef>
          </c:val>
          <c:extLst xmlns:c16r2="http://schemas.microsoft.com/office/drawing/2015/06/chart">
            <c:ext xmlns:c16="http://schemas.microsoft.com/office/drawing/2014/chart" uri="{C3380CC4-5D6E-409C-BE32-E72D297353CC}">
              <c16:uniqueId val="{00000001-81C9-4BDC-B25F-D67DEE25A198}"/>
            </c:ext>
          </c:extLst>
        </c:ser>
        <c:gapWidth val="219"/>
        <c:overlap val="-27"/>
        <c:axId val="95643904"/>
        <c:axId val="95813632"/>
      </c:barChart>
      <c:catAx>
        <c:axId val="9564390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95813632"/>
        <c:crosses val="autoZero"/>
        <c:auto val="1"/>
        <c:lblAlgn val="ctr"/>
        <c:lblOffset val="100"/>
      </c:catAx>
      <c:valAx>
        <c:axId val="9581363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95643904"/>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IN"/>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en-IN"/>
              <a:t>FACTORS ASSOCIATED WITH</a:t>
            </a:r>
            <a:r>
              <a:rPr lang="en-IN" baseline="0"/>
              <a:t> WOUND DEHISCENCE</a:t>
            </a:r>
            <a:endParaRPr lang="en-IN"/>
          </a:p>
        </c:rich>
      </c:tx>
      <c:spPr>
        <a:noFill/>
        <a:ln>
          <a:noFill/>
        </a:ln>
        <a:effectLst/>
      </c:spPr>
    </c:title>
    <c:plotArea>
      <c:layout/>
      <c:barChart>
        <c:barDir val="col"/>
        <c:grouping val="clustered"/>
        <c:ser>
          <c:idx val="0"/>
          <c:order val="0"/>
          <c:tx>
            <c:strRef>
              <c:f>Sheet1!$B$1</c:f>
              <c:strCache>
                <c:ptCount val="1"/>
                <c:pt idx="0">
                  <c:v>control</c:v>
                </c:pt>
              </c:strCache>
            </c:strRef>
          </c:tx>
          <c:spPr>
            <a:solidFill>
              <a:schemeClr val="accent1"/>
            </a:solidFill>
            <a:ln>
              <a:noFill/>
            </a:ln>
            <a:effectLst/>
          </c:spPr>
          <c:cat>
            <c:strRef>
              <c:f>Sheet1!$A$2:$A$8</c:f>
              <c:strCache>
                <c:ptCount val="7"/>
                <c:pt idx="0">
                  <c:v>anaemia</c:v>
                </c:pt>
                <c:pt idx="1">
                  <c:v>hypoalbunemia</c:v>
                </c:pt>
                <c:pt idx="2">
                  <c:v>jaundice</c:v>
                </c:pt>
                <c:pt idx="3">
                  <c:v>ascitis</c:v>
                </c:pt>
                <c:pt idx="4">
                  <c:v>diabetes</c:v>
                </c:pt>
                <c:pt idx="5">
                  <c:v>postop coughing</c:v>
                </c:pt>
                <c:pt idx="6">
                  <c:v>wound infection</c:v>
                </c:pt>
              </c:strCache>
            </c:strRef>
          </c:cat>
          <c:val>
            <c:numRef>
              <c:f>Sheet1!$B$2:$B$8</c:f>
              <c:numCache>
                <c:formatCode>General</c:formatCode>
                <c:ptCount val="7"/>
                <c:pt idx="0">
                  <c:v>12</c:v>
                </c:pt>
                <c:pt idx="1">
                  <c:v>12</c:v>
                </c:pt>
                <c:pt idx="2">
                  <c:v>9</c:v>
                </c:pt>
                <c:pt idx="3">
                  <c:v>10</c:v>
                </c:pt>
                <c:pt idx="4">
                  <c:v>22</c:v>
                </c:pt>
                <c:pt idx="5">
                  <c:v>11</c:v>
                </c:pt>
                <c:pt idx="6">
                  <c:v>6</c:v>
                </c:pt>
              </c:numCache>
            </c:numRef>
          </c:val>
          <c:extLst xmlns:c16r2="http://schemas.microsoft.com/office/drawing/2015/06/chart">
            <c:ext xmlns:c16="http://schemas.microsoft.com/office/drawing/2014/chart" uri="{C3380CC4-5D6E-409C-BE32-E72D297353CC}">
              <c16:uniqueId val="{00000000-533D-4C16-91B3-E7928F78030D}"/>
            </c:ext>
          </c:extLst>
        </c:ser>
        <c:ser>
          <c:idx val="1"/>
          <c:order val="1"/>
          <c:tx>
            <c:strRef>
              <c:f>Sheet1!$C$1</c:f>
              <c:strCache>
                <c:ptCount val="1"/>
                <c:pt idx="0">
                  <c:v>case</c:v>
                </c:pt>
              </c:strCache>
            </c:strRef>
          </c:tx>
          <c:spPr>
            <a:solidFill>
              <a:schemeClr val="accent2"/>
            </a:solidFill>
            <a:ln>
              <a:noFill/>
            </a:ln>
            <a:effectLst/>
          </c:spPr>
          <c:cat>
            <c:strRef>
              <c:f>Sheet1!$A$2:$A$8</c:f>
              <c:strCache>
                <c:ptCount val="7"/>
                <c:pt idx="0">
                  <c:v>anaemia</c:v>
                </c:pt>
                <c:pt idx="1">
                  <c:v>hypoalbunemia</c:v>
                </c:pt>
                <c:pt idx="2">
                  <c:v>jaundice</c:v>
                </c:pt>
                <c:pt idx="3">
                  <c:v>ascitis</c:v>
                </c:pt>
                <c:pt idx="4">
                  <c:v>diabetes</c:v>
                </c:pt>
                <c:pt idx="5">
                  <c:v>postop coughing</c:v>
                </c:pt>
                <c:pt idx="6">
                  <c:v>wound infection</c:v>
                </c:pt>
              </c:strCache>
            </c:strRef>
          </c:cat>
          <c:val>
            <c:numRef>
              <c:f>Sheet1!$C$2:$C$8</c:f>
              <c:numCache>
                <c:formatCode>General</c:formatCode>
                <c:ptCount val="7"/>
                <c:pt idx="0">
                  <c:v>38</c:v>
                </c:pt>
                <c:pt idx="1">
                  <c:v>67</c:v>
                </c:pt>
                <c:pt idx="2">
                  <c:v>33</c:v>
                </c:pt>
                <c:pt idx="3">
                  <c:v>30</c:v>
                </c:pt>
                <c:pt idx="4">
                  <c:v>24</c:v>
                </c:pt>
                <c:pt idx="5">
                  <c:v>58</c:v>
                </c:pt>
                <c:pt idx="6">
                  <c:v>87</c:v>
                </c:pt>
              </c:numCache>
            </c:numRef>
          </c:val>
          <c:extLst xmlns:c16r2="http://schemas.microsoft.com/office/drawing/2015/06/chart">
            <c:ext xmlns:c16="http://schemas.microsoft.com/office/drawing/2014/chart" uri="{C3380CC4-5D6E-409C-BE32-E72D297353CC}">
              <c16:uniqueId val="{00000001-533D-4C16-91B3-E7928F78030D}"/>
            </c:ext>
          </c:extLst>
        </c:ser>
        <c:gapWidth val="219"/>
        <c:overlap val="-27"/>
        <c:axId val="47981696"/>
        <c:axId val="47983232"/>
      </c:barChart>
      <c:catAx>
        <c:axId val="4798169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47983232"/>
        <c:crosses val="autoZero"/>
        <c:auto val="1"/>
        <c:lblAlgn val="ctr"/>
        <c:lblOffset val="100"/>
      </c:catAx>
      <c:valAx>
        <c:axId val="4798323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4798169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72C39-B88C-48B8-AB8A-9D34BAD9A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6</Pages>
  <Words>2573</Words>
  <Characters>14672</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chandan tiwari</dc:creator>
  <cp:keywords/>
  <dc:description/>
  <cp:lastModifiedBy>HABIBI</cp:lastModifiedBy>
  <cp:revision>25</cp:revision>
  <cp:lastPrinted>2023-08-23T04:00:00Z</cp:lastPrinted>
  <dcterms:created xsi:type="dcterms:W3CDTF">2023-08-20T17:17:00Z</dcterms:created>
  <dcterms:modified xsi:type="dcterms:W3CDTF">2023-08-23T04:04:00Z</dcterms:modified>
</cp:coreProperties>
</file>