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246" w:rsidRDefault="00846246" w:rsidP="009B62BA">
      <w:pPr>
        <w:spacing w:line="480" w:lineRule="auto"/>
        <w:rPr>
          <w:rFonts w:ascii="Times New Roman" w:hAnsi="Times New Roman" w:cs="Times New Roman"/>
          <w:b/>
          <w:sz w:val="24"/>
          <w:szCs w:val="24"/>
        </w:rPr>
      </w:pPr>
    </w:p>
    <w:p w:rsidR="00846246" w:rsidRDefault="00846246" w:rsidP="009B62BA">
      <w:pPr>
        <w:spacing w:line="480" w:lineRule="auto"/>
        <w:rPr>
          <w:rFonts w:ascii="Times New Roman" w:hAnsi="Times New Roman" w:cs="Times New Roman"/>
          <w:b/>
          <w:sz w:val="24"/>
          <w:szCs w:val="24"/>
        </w:rPr>
      </w:pPr>
    </w:p>
    <w:p w:rsidR="00846246" w:rsidRDefault="00846246" w:rsidP="009B62BA">
      <w:pPr>
        <w:spacing w:line="480" w:lineRule="auto"/>
        <w:rPr>
          <w:rFonts w:ascii="Times New Roman" w:hAnsi="Times New Roman" w:cs="Times New Roman"/>
          <w:b/>
          <w:sz w:val="24"/>
          <w:szCs w:val="24"/>
        </w:rPr>
      </w:pPr>
    </w:p>
    <w:p w:rsidR="00846246" w:rsidRPr="0019408A" w:rsidRDefault="00846246" w:rsidP="00846246">
      <w:pPr>
        <w:spacing w:line="480" w:lineRule="auto"/>
        <w:jc w:val="center"/>
        <w:rPr>
          <w:rFonts w:ascii="Times New Roman" w:hAnsi="Times New Roman" w:cs="Times New Roman"/>
          <w:b/>
          <w:sz w:val="24"/>
          <w:szCs w:val="24"/>
        </w:rPr>
      </w:pPr>
      <w:r w:rsidRPr="0019408A">
        <w:rPr>
          <w:rFonts w:ascii="Times New Roman" w:hAnsi="Times New Roman" w:cs="Times New Roman"/>
          <w:b/>
          <w:sz w:val="24"/>
          <w:szCs w:val="24"/>
        </w:rPr>
        <w:t>Supplementary</w:t>
      </w:r>
      <w:r w:rsidR="000C6E46" w:rsidRPr="0019408A">
        <w:rPr>
          <w:rFonts w:ascii="Times New Roman" w:hAnsi="Times New Roman" w:cs="Times New Roman"/>
          <w:b/>
          <w:sz w:val="24"/>
          <w:szCs w:val="24"/>
        </w:rPr>
        <w:t xml:space="preserve"> Material</w:t>
      </w:r>
    </w:p>
    <w:p w:rsidR="00AC1E13" w:rsidRPr="0019408A" w:rsidRDefault="00AC1E13" w:rsidP="00026543">
      <w:pPr>
        <w:spacing w:line="480" w:lineRule="auto"/>
        <w:rPr>
          <w:rFonts w:ascii="Times New Roman" w:hAnsi="Times New Roman" w:cs="Times New Roman"/>
          <w:sz w:val="20"/>
          <w:szCs w:val="20"/>
        </w:rPr>
      </w:pPr>
      <w:r w:rsidRPr="0019408A">
        <w:rPr>
          <w:rFonts w:ascii="Times New Roman" w:hAnsi="Times New Roman" w:cs="Times New Roman"/>
          <w:sz w:val="20"/>
          <w:szCs w:val="20"/>
        </w:rPr>
        <w:t xml:space="preserve">Supplement to: </w:t>
      </w:r>
      <w:r w:rsidR="00542BE8" w:rsidRPr="0019408A">
        <w:rPr>
          <w:rFonts w:ascii="Times New Roman" w:hAnsi="Times New Roman" w:cs="Times New Roman"/>
          <w:sz w:val="20"/>
          <w:szCs w:val="20"/>
        </w:rPr>
        <w:t xml:space="preserve">Meling Stokland AE, Austdal M, Nedrebø BG, et al, </w:t>
      </w:r>
      <w:r w:rsidR="00EA629D" w:rsidRPr="0019408A">
        <w:rPr>
          <w:rFonts w:ascii="Times New Roman" w:eastAsia="Helvetica Neue" w:hAnsi="Times New Roman" w:cs="Times New Roman"/>
          <w:iCs/>
          <w:sz w:val="20"/>
          <w:szCs w:val="20"/>
        </w:rPr>
        <w:t xml:space="preserve">Outcomes of Patients with </w:t>
      </w:r>
      <w:proofErr w:type="gramStart"/>
      <w:r w:rsidR="00EA629D" w:rsidRPr="0019408A">
        <w:rPr>
          <w:rFonts w:ascii="Times New Roman" w:eastAsia="Helvetica Neue" w:hAnsi="Times New Roman" w:cs="Times New Roman"/>
          <w:iCs/>
          <w:sz w:val="20"/>
          <w:szCs w:val="20"/>
        </w:rPr>
        <w:t>Graves’ Disease</w:t>
      </w:r>
      <w:proofErr w:type="gramEnd"/>
      <w:r w:rsidR="00EA629D" w:rsidRPr="0019408A">
        <w:rPr>
          <w:rFonts w:ascii="Times New Roman" w:eastAsia="Helvetica Neue" w:hAnsi="Times New Roman" w:cs="Times New Roman"/>
          <w:iCs/>
          <w:sz w:val="20"/>
          <w:szCs w:val="20"/>
        </w:rPr>
        <w:t xml:space="preserve"> 25 </w:t>
      </w:r>
      <w:r w:rsidR="001E7C85" w:rsidRPr="0019408A">
        <w:rPr>
          <w:rFonts w:ascii="Times New Roman" w:eastAsia="Helvetica Neue" w:hAnsi="Times New Roman" w:cs="Times New Roman"/>
          <w:iCs/>
          <w:sz w:val="20"/>
          <w:szCs w:val="20"/>
        </w:rPr>
        <w:t>Y</w:t>
      </w:r>
      <w:r w:rsidR="00EA629D" w:rsidRPr="0019408A">
        <w:rPr>
          <w:rFonts w:ascii="Times New Roman" w:eastAsia="Helvetica Neue" w:hAnsi="Times New Roman" w:cs="Times New Roman"/>
          <w:iCs/>
          <w:sz w:val="20"/>
          <w:szCs w:val="20"/>
        </w:rPr>
        <w:t xml:space="preserve">ears after </w:t>
      </w:r>
      <w:r w:rsidR="001E7C85" w:rsidRPr="0019408A">
        <w:rPr>
          <w:rFonts w:ascii="Times New Roman" w:eastAsia="Helvetica Neue" w:hAnsi="Times New Roman" w:cs="Times New Roman"/>
          <w:iCs/>
          <w:sz w:val="20"/>
          <w:szCs w:val="20"/>
        </w:rPr>
        <w:t>I</w:t>
      </w:r>
      <w:r w:rsidR="00EA629D" w:rsidRPr="0019408A">
        <w:rPr>
          <w:rFonts w:ascii="Times New Roman" w:eastAsia="Helvetica Neue" w:hAnsi="Times New Roman" w:cs="Times New Roman"/>
          <w:iCs/>
          <w:sz w:val="20"/>
          <w:szCs w:val="20"/>
        </w:rPr>
        <w:t>nitiating Anti-Thyroid Drug Therapy</w:t>
      </w:r>
    </w:p>
    <w:p w:rsidR="00846246" w:rsidRPr="0019408A" w:rsidRDefault="00846246" w:rsidP="009B62BA">
      <w:pPr>
        <w:spacing w:line="480" w:lineRule="auto"/>
        <w:rPr>
          <w:rFonts w:ascii="Times New Roman" w:hAnsi="Times New Roman" w:cs="Times New Roman"/>
          <w:b/>
          <w:sz w:val="20"/>
          <w:szCs w:val="20"/>
        </w:rPr>
      </w:pPr>
      <w:r w:rsidRPr="0019408A">
        <w:rPr>
          <w:rFonts w:ascii="Times New Roman" w:hAnsi="Times New Roman" w:cs="Times New Roman"/>
          <w:sz w:val="20"/>
          <w:szCs w:val="20"/>
        </w:rPr>
        <w:t>This appendix has been provided by the authors to give readers additional information about the work.</w:t>
      </w: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4"/>
          <w:szCs w:val="24"/>
        </w:rPr>
      </w:pPr>
    </w:p>
    <w:p w:rsidR="00846246" w:rsidRPr="0019408A" w:rsidRDefault="00846246" w:rsidP="009B62BA">
      <w:pPr>
        <w:spacing w:line="480" w:lineRule="auto"/>
        <w:rPr>
          <w:rFonts w:ascii="Times New Roman" w:hAnsi="Times New Roman" w:cs="Times New Roman"/>
          <w:b/>
          <w:sz w:val="20"/>
          <w:szCs w:val="20"/>
        </w:rPr>
      </w:pPr>
      <w:r w:rsidRPr="0019408A">
        <w:rPr>
          <w:rFonts w:ascii="Times New Roman" w:hAnsi="Times New Roman" w:cs="Times New Roman"/>
          <w:b/>
          <w:sz w:val="20"/>
          <w:szCs w:val="20"/>
        </w:rPr>
        <w:lastRenderedPageBreak/>
        <w:t>Table of Contents:                                                                                               Page Number</w:t>
      </w:r>
    </w:p>
    <w:p w:rsidR="00846246" w:rsidRPr="0019408A" w:rsidRDefault="00AC1E13" w:rsidP="00292CB6">
      <w:pPr>
        <w:spacing w:line="360" w:lineRule="auto"/>
        <w:rPr>
          <w:rFonts w:ascii="Times New Roman" w:hAnsi="Times New Roman" w:cs="Times New Roman"/>
          <w:sz w:val="20"/>
          <w:szCs w:val="20"/>
        </w:rPr>
      </w:pPr>
      <w:r w:rsidRPr="0019408A">
        <w:rPr>
          <w:rFonts w:ascii="Times New Roman" w:hAnsi="Times New Roman" w:cs="Times New Roman"/>
          <w:sz w:val="20"/>
          <w:szCs w:val="20"/>
        </w:rPr>
        <w:t>Supplementary Methods</w:t>
      </w:r>
    </w:p>
    <w:p w:rsidR="00AC1E13" w:rsidRPr="0019408A" w:rsidRDefault="00E50560" w:rsidP="00292CB6">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w:t>
      </w:r>
      <w:r w:rsidR="00AC1E13" w:rsidRPr="0019408A">
        <w:rPr>
          <w:rFonts w:ascii="Times New Roman" w:hAnsi="Times New Roman" w:cs="Times New Roman"/>
          <w:sz w:val="20"/>
          <w:szCs w:val="20"/>
        </w:rPr>
        <w:t xml:space="preserve">  </w:t>
      </w:r>
      <w:r w:rsidRPr="0019408A">
        <w:rPr>
          <w:rFonts w:ascii="Times New Roman" w:hAnsi="Times New Roman" w:cs="Times New Roman"/>
          <w:sz w:val="20"/>
          <w:szCs w:val="20"/>
        </w:rPr>
        <w:t xml:space="preserve">  </w:t>
      </w:r>
      <w:r w:rsidR="00AC1E13" w:rsidRPr="0019408A">
        <w:rPr>
          <w:rFonts w:ascii="Times New Roman" w:hAnsi="Times New Roman" w:cs="Times New Roman"/>
          <w:sz w:val="20"/>
          <w:szCs w:val="20"/>
        </w:rPr>
        <w:t xml:space="preserve">Biochemical </w:t>
      </w:r>
      <w:r w:rsidR="00DD7877" w:rsidRPr="0019408A">
        <w:rPr>
          <w:rFonts w:ascii="Times New Roman" w:hAnsi="Times New Roman" w:cs="Times New Roman"/>
          <w:sz w:val="20"/>
          <w:szCs w:val="20"/>
        </w:rPr>
        <w:t>Data, Autoantibodies</w:t>
      </w:r>
      <w:r w:rsidR="00E2203B" w:rsidRPr="0019408A">
        <w:rPr>
          <w:rFonts w:ascii="Times New Roman" w:hAnsi="Times New Roman" w:cs="Times New Roman"/>
          <w:sz w:val="20"/>
          <w:szCs w:val="20"/>
        </w:rPr>
        <w:t xml:space="preserve"> and Biomarkers of Inflammation</w:t>
      </w:r>
      <w:r w:rsidR="00453917" w:rsidRPr="0019408A">
        <w:rPr>
          <w:rFonts w:ascii="Times New Roman" w:hAnsi="Times New Roman" w:cs="Times New Roman"/>
          <w:sz w:val="20"/>
          <w:szCs w:val="20"/>
        </w:rPr>
        <w:t xml:space="preserve">                             </w:t>
      </w:r>
      <w:r w:rsidR="00F77E33" w:rsidRPr="0019408A">
        <w:rPr>
          <w:rFonts w:ascii="Times New Roman" w:hAnsi="Times New Roman" w:cs="Times New Roman"/>
          <w:sz w:val="20"/>
          <w:szCs w:val="20"/>
        </w:rPr>
        <w:t xml:space="preserve">       </w:t>
      </w:r>
      <w:r w:rsidR="00557BB8" w:rsidRPr="0019408A">
        <w:rPr>
          <w:rFonts w:ascii="Times New Roman" w:hAnsi="Times New Roman" w:cs="Times New Roman"/>
          <w:sz w:val="20"/>
          <w:szCs w:val="20"/>
        </w:rPr>
        <w:t xml:space="preserve"> </w:t>
      </w:r>
      <w:r w:rsidR="00EA629D" w:rsidRPr="0019408A">
        <w:rPr>
          <w:rFonts w:ascii="Times New Roman" w:hAnsi="Times New Roman" w:cs="Times New Roman"/>
          <w:sz w:val="20"/>
          <w:szCs w:val="20"/>
        </w:rPr>
        <w:t xml:space="preserve"> </w:t>
      </w:r>
      <w:r w:rsidR="00453917" w:rsidRPr="0019408A">
        <w:rPr>
          <w:rFonts w:ascii="Times New Roman" w:hAnsi="Times New Roman" w:cs="Times New Roman"/>
          <w:sz w:val="20"/>
          <w:szCs w:val="20"/>
        </w:rPr>
        <w:t>3</w:t>
      </w:r>
    </w:p>
    <w:p w:rsidR="00026543" w:rsidRPr="0019408A" w:rsidRDefault="00433621" w:rsidP="00292CB6">
      <w:pPr>
        <w:spacing w:line="360" w:lineRule="auto"/>
        <w:rPr>
          <w:rFonts w:ascii="Times New Roman" w:hAnsi="Times New Roman" w:cs="Times New Roman"/>
          <w:b/>
          <w:sz w:val="20"/>
          <w:szCs w:val="20"/>
        </w:rPr>
      </w:pPr>
      <w:r w:rsidRPr="0019408A">
        <w:rPr>
          <w:rFonts w:ascii="Times New Roman" w:hAnsi="Times New Roman" w:cs="Times New Roman"/>
          <w:sz w:val="20"/>
          <w:szCs w:val="20"/>
        </w:rPr>
        <w:t xml:space="preserve">     </w:t>
      </w:r>
      <w:proofErr w:type="spellStart"/>
      <w:r w:rsidRPr="0019408A">
        <w:rPr>
          <w:rFonts w:ascii="Times New Roman" w:hAnsi="Times New Roman" w:cs="Times New Roman"/>
          <w:sz w:val="20"/>
          <w:szCs w:val="20"/>
        </w:rPr>
        <w:t>ThyPRO</w:t>
      </w:r>
      <w:proofErr w:type="spellEnd"/>
      <w:r w:rsidR="00026543" w:rsidRPr="0019408A">
        <w:rPr>
          <w:rFonts w:ascii="Times New Roman" w:hAnsi="Times New Roman" w:cs="Times New Roman"/>
          <w:sz w:val="20"/>
          <w:szCs w:val="20"/>
        </w:rPr>
        <w:t xml:space="preserve"> Questionnaire</w:t>
      </w:r>
      <w:r w:rsidR="00453917" w:rsidRPr="0019408A">
        <w:rPr>
          <w:rFonts w:ascii="Times New Roman" w:hAnsi="Times New Roman" w:cs="Times New Roman"/>
          <w:sz w:val="20"/>
          <w:szCs w:val="20"/>
        </w:rPr>
        <w:t xml:space="preserve">                                                                                                        </w:t>
      </w:r>
      <w:r w:rsidR="00EA629D" w:rsidRPr="0019408A">
        <w:rPr>
          <w:rFonts w:ascii="Times New Roman" w:hAnsi="Times New Roman" w:cs="Times New Roman"/>
          <w:sz w:val="20"/>
          <w:szCs w:val="20"/>
        </w:rPr>
        <w:t xml:space="preserve">  </w:t>
      </w:r>
      <w:r w:rsidR="00F77E33" w:rsidRPr="0019408A">
        <w:rPr>
          <w:rFonts w:ascii="Times New Roman" w:hAnsi="Times New Roman" w:cs="Times New Roman"/>
          <w:sz w:val="20"/>
          <w:szCs w:val="20"/>
        </w:rPr>
        <w:t>3-</w:t>
      </w:r>
      <w:r w:rsidR="00453917" w:rsidRPr="0019408A">
        <w:rPr>
          <w:rFonts w:ascii="Times New Roman" w:hAnsi="Times New Roman" w:cs="Times New Roman"/>
          <w:sz w:val="20"/>
          <w:szCs w:val="20"/>
        </w:rPr>
        <w:t>4</w:t>
      </w:r>
    </w:p>
    <w:p w:rsidR="00E50560" w:rsidRPr="0019408A" w:rsidRDefault="00E50560" w:rsidP="00292CB6">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Statistics</w:t>
      </w:r>
      <w:r w:rsidR="00453917" w:rsidRPr="0019408A">
        <w:rPr>
          <w:rFonts w:ascii="Times New Roman" w:hAnsi="Times New Roman" w:cs="Times New Roman"/>
          <w:sz w:val="20"/>
          <w:szCs w:val="20"/>
        </w:rPr>
        <w:t xml:space="preserve">                                                                                                                          </w:t>
      </w:r>
      <w:r w:rsidR="00936321" w:rsidRPr="0019408A">
        <w:rPr>
          <w:rFonts w:ascii="Times New Roman" w:hAnsi="Times New Roman" w:cs="Times New Roman"/>
          <w:sz w:val="20"/>
          <w:szCs w:val="20"/>
        </w:rPr>
        <w:t xml:space="preserve"> </w:t>
      </w:r>
      <w:r w:rsidR="00F77E33" w:rsidRPr="0019408A">
        <w:rPr>
          <w:rFonts w:ascii="Times New Roman" w:hAnsi="Times New Roman" w:cs="Times New Roman"/>
          <w:sz w:val="20"/>
          <w:szCs w:val="20"/>
        </w:rPr>
        <w:t xml:space="preserve">     </w:t>
      </w:r>
      <w:r w:rsidR="00EA629D" w:rsidRPr="0019408A">
        <w:rPr>
          <w:rFonts w:ascii="Times New Roman" w:hAnsi="Times New Roman" w:cs="Times New Roman"/>
          <w:sz w:val="20"/>
          <w:szCs w:val="20"/>
        </w:rPr>
        <w:t xml:space="preserve"> </w:t>
      </w:r>
      <w:r w:rsidR="009847E1" w:rsidRPr="0019408A">
        <w:rPr>
          <w:rFonts w:ascii="Times New Roman" w:hAnsi="Times New Roman" w:cs="Times New Roman"/>
          <w:sz w:val="20"/>
          <w:szCs w:val="20"/>
        </w:rPr>
        <w:t xml:space="preserve">   </w:t>
      </w:r>
      <w:r w:rsidR="00453917" w:rsidRPr="0019408A">
        <w:rPr>
          <w:rFonts w:ascii="Times New Roman" w:hAnsi="Times New Roman" w:cs="Times New Roman"/>
          <w:sz w:val="20"/>
          <w:szCs w:val="20"/>
        </w:rPr>
        <w:t>4</w:t>
      </w:r>
    </w:p>
    <w:p w:rsidR="00E50560" w:rsidRPr="0019408A" w:rsidRDefault="00E50560" w:rsidP="00292CB6">
      <w:pPr>
        <w:spacing w:line="360" w:lineRule="auto"/>
        <w:rPr>
          <w:rFonts w:ascii="Times New Roman" w:hAnsi="Times New Roman" w:cs="Times New Roman"/>
          <w:sz w:val="20"/>
          <w:szCs w:val="20"/>
        </w:rPr>
      </w:pPr>
      <w:r w:rsidRPr="0019408A">
        <w:rPr>
          <w:rFonts w:ascii="Times New Roman" w:hAnsi="Times New Roman" w:cs="Times New Roman"/>
          <w:sz w:val="20"/>
          <w:szCs w:val="20"/>
        </w:rPr>
        <w:t>Supplementary Results</w:t>
      </w:r>
    </w:p>
    <w:p w:rsidR="00DD104B" w:rsidRPr="0019408A" w:rsidRDefault="00DD104B" w:rsidP="00292CB6">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Validation of CXCL11</w:t>
      </w:r>
      <w:r w:rsidR="00453917" w:rsidRPr="0019408A">
        <w:rPr>
          <w:rFonts w:ascii="Times New Roman" w:hAnsi="Times New Roman" w:cs="Times New Roman"/>
          <w:sz w:val="20"/>
          <w:szCs w:val="20"/>
        </w:rPr>
        <w:t xml:space="preserve">                                                                                                       </w:t>
      </w:r>
      <w:r w:rsidR="00936321" w:rsidRPr="0019408A">
        <w:rPr>
          <w:rFonts w:ascii="Times New Roman" w:hAnsi="Times New Roman" w:cs="Times New Roman"/>
          <w:sz w:val="20"/>
          <w:szCs w:val="20"/>
        </w:rPr>
        <w:t xml:space="preserve"> </w:t>
      </w:r>
      <w:r w:rsidR="00557BB8" w:rsidRPr="0019408A">
        <w:rPr>
          <w:rFonts w:ascii="Times New Roman" w:hAnsi="Times New Roman" w:cs="Times New Roman"/>
          <w:sz w:val="20"/>
          <w:szCs w:val="20"/>
        </w:rPr>
        <w:t xml:space="preserve">     </w:t>
      </w:r>
      <w:r w:rsidR="00EA629D" w:rsidRPr="0019408A">
        <w:rPr>
          <w:rFonts w:ascii="Times New Roman" w:hAnsi="Times New Roman" w:cs="Times New Roman"/>
          <w:sz w:val="20"/>
          <w:szCs w:val="20"/>
        </w:rPr>
        <w:t xml:space="preserve"> </w:t>
      </w:r>
      <w:r w:rsidR="009847E1" w:rsidRPr="0019408A">
        <w:rPr>
          <w:rFonts w:ascii="Times New Roman" w:hAnsi="Times New Roman" w:cs="Times New Roman"/>
          <w:sz w:val="20"/>
          <w:szCs w:val="20"/>
        </w:rPr>
        <w:t>5</w:t>
      </w:r>
    </w:p>
    <w:p w:rsidR="00E50560" w:rsidRPr="0019408A" w:rsidRDefault="00E50560" w:rsidP="00292CB6">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Supplementary Figures</w:t>
      </w:r>
    </w:p>
    <w:p w:rsidR="00846246" w:rsidRPr="0019408A" w:rsidRDefault="00E50560" w:rsidP="00292CB6">
      <w:pPr>
        <w:spacing w:line="360" w:lineRule="auto"/>
        <w:rPr>
          <w:rFonts w:ascii="Times New Roman" w:hAnsi="Times New Roman" w:cs="Times New Roman"/>
          <w:sz w:val="20"/>
          <w:szCs w:val="20"/>
        </w:rPr>
      </w:pPr>
      <w:r w:rsidRPr="0019408A">
        <w:rPr>
          <w:rFonts w:ascii="Times New Roman" w:hAnsi="Times New Roman" w:cs="Times New Roman"/>
          <w:b/>
          <w:sz w:val="20"/>
          <w:szCs w:val="20"/>
        </w:rPr>
        <w:t xml:space="preserve">     </w:t>
      </w:r>
      <w:r w:rsidRPr="0019408A">
        <w:rPr>
          <w:rFonts w:ascii="Times New Roman" w:hAnsi="Times New Roman" w:cs="Times New Roman"/>
          <w:sz w:val="20"/>
          <w:szCs w:val="20"/>
        </w:rPr>
        <w:t>Figure S1.</w:t>
      </w:r>
      <w:r w:rsidR="004B5E74" w:rsidRPr="0019408A">
        <w:rPr>
          <w:rFonts w:ascii="Times New Roman" w:hAnsi="Times New Roman" w:cs="Times New Roman"/>
          <w:sz w:val="20"/>
          <w:szCs w:val="20"/>
        </w:rPr>
        <w:t xml:space="preserve"> Heat </w:t>
      </w:r>
      <w:r w:rsidR="00292CB6" w:rsidRPr="0019408A">
        <w:rPr>
          <w:rFonts w:ascii="Times New Roman" w:hAnsi="Times New Roman" w:cs="Times New Roman"/>
          <w:sz w:val="20"/>
          <w:szCs w:val="20"/>
        </w:rPr>
        <w:t>M</w:t>
      </w:r>
      <w:r w:rsidR="004B5E74" w:rsidRPr="0019408A">
        <w:rPr>
          <w:rFonts w:ascii="Times New Roman" w:hAnsi="Times New Roman" w:cs="Times New Roman"/>
          <w:sz w:val="20"/>
          <w:szCs w:val="20"/>
        </w:rPr>
        <w:t xml:space="preserve">ap showing </w:t>
      </w:r>
      <w:r w:rsidR="00292CB6" w:rsidRPr="0019408A">
        <w:rPr>
          <w:rFonts w:ascii="Times New Roman" w:hAnsi="Times New Roman" w:cs="Times New Roman"/>
          <w:sz w:val="20"/>
          <w:szCs w:val="20"/>
        </w:rPr>
        <w:t>S</w:t>
      </w:r>
      <w:r w:rsidR="004B5E74" w:rsidRPr="0019408A">
        <w:rPr>
          <w:rFonts w:ascii="Times New Roman" w:hAnsi="Times New Roman" w:cs="Times New Roman"/>
          <w:sz w:val="20"/>
          <w:szCs w:val="20"/>
        </w:rPr>
        <w:t xml:space="preserve">ignificant </w:t>
      </w:r>
      <w:r w:rsidR="00292CB6" w:rsidRPr="0019408A">
        <w:rPr>
          <w:rFonts w:ascii="Times New Roman" w:hAnsi="Times New Roman" w:cs="Times New Roman"/>
          <w:sz w:val="20"/>
          <w:szCs w:val="20"/>
        </w:rPr>
        <w:t>C</w:t>
      </w:r>
      <w:r w:rsidR="004B5E74" w:rsidRPr="0019408A">
        <w:rPr>
          <w:rFonts w:ascii="Times New Roman" w:hAnsi="Times New Roman" w:cs="Times New Roman"/>
          <w:sz w:val="20"/>
          <w:szCs w:val="20"/>
        </w:rPr>
        <w:t>orrelations</w:t>
      </w:r>
      <w:r w:rsidR="00453917" w:rsidRPr="0019408A">
        <w:rPr>
          <w:rFonts w:ascii="Times New Roman" w:hAnsi="Times New Roman" w:cs="Times New Roman"/>
          <w:sz w:val="20"/>
          <w:szCs w:val="20"/>
        </w:rPr>
        <w:t xml:space="preserve">                      </w:t>
      </w:r>
      <w:r w:rsidR="00936321" w:rsidRPr="0019408A">
        <w:rPr>
          <w:rFonts w:ascii="Times New Roman" w:hAnsi="Times New Roman" w:cs="Times New Roman"/>
          <w:sz w:val="20"/>
          <w:szCs w:val="20"/>
        </w:rPr>
        <w:t xml:space="preserve">                               </w:t>
      </w:r>
      <w:r w:rsidR="00557BB8" w:rsidRPr="0019408A">
        <w:rPr>
          <w:rFonts w:ascii="Times New Roman" w:hAnsi="Times New Roman" w:cs="Times New Roman"/>
          <w:sz w:val="20"/>
          <w:szCs w:val="20"/>
        </w:rPr>
        <w:t xml:space="preserve">      </w:t>
      </w:r>
      <w:r w:rsidR="00FA040D" w:rsidRPr="0019408A">
        <w:rPr>
          <w:rFonts w:ascii="Times New Roman" w:hAnsi="Times New Roman" w:cs="Times New Roman"/>
          <w:sz w:val="20"/>
          <w:szCs w:val="20"/>
        </w:rPr>
        <w:t xml:space="preserve">  </w:t>
      </w:r>
      <w:r w:rsidR="009847E1" w:rsidRPr="0019408A">
        <w:rPr>
          <w:rFonts w:ascii="Times New Roman" w:hAnsi="Times New Roman" w:cs="Times New Roman"/>
          <w:sz w:val="20"/>
          <w:szCs w:val="20"/>
        </w:rPr>
        <w:t>6</w:t>
      </w:r>
      <w:r w:rsidR="004B5E74" w:rsidRPr="0019408A">
        <w:rPr>
          <w:rFonts w:ascii="Times New Roman" w:hAnsi="Times New Roman" w:cs="Times New Roman"/>
          <w:sz w:val="20"/>
          <w:szCs w:val="20"/>
        </w:rPr>
        <w:t xml:space="preserve"> </w:t>
      </w:r>
    </w:p>
    <w:p w:rsidR="00FA040D" w:rsidRPr="0019408A" w:rsidRDefault="00E50560" w:rsidP="00292CB6">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w:t>
      </w:r>
      <w:r w:rsidR="00FA040D" w:rsidRPr="0019408A">
        <w:rPr>
          <w:rFonts w:ascii="Times New Roman" w:hAnsi="Times New Roman" w:cs="Times New Roman"/>
          <w:sz w:val="20"/>
          <w:szCs w:val="20"/>
        </w:rPr>
        <w:t>Figure S2. Longitudinal Changes in Inflammation, all patients                                                 7</w:t>
      </w:r>
    </w:p>
    <w:p w:rsidR="00846246" w:rsidRPr="0019408A" w:rsidRDefault="00FA040D" w:rsidP="00292CB6">
      <w:pPr>
        <w:spacing w:line="360" w:lineRule="auto"/>
        <w:rPr>
          <w:rFonts w:ascii="Times New Roman" w:hAnsi="Times New Roman" w:cs="Times New Roman"/>
          <w:b/>
          <w:sz w:val="20"/>
          <w:szCs w:val="20"/>
        </w:rPr>
      </w:pPr>
      <w:r w:rsidRPr="0019408A">
        <w:rPr>
          <w:rFonts w:ascii="Times New Roman" w:hAnsi="Times New Roman" w:cs="Times New Roman"/>
          <w:sz w:val="20"/>
          <w:szCs w:val="20"/>
        </w:rPr>
        <w:t xml:space="preserve">     </w:t>
      </w:r>
      <w:r w:rsidR="00E50560" w:rsidRPr="0019408A">
        <w:rPr>
          <w:rFonts w:ascii="Times New Roman" w:hAnsi="Times New Roman" w:cs="Times New Roman"/>
          <w:sz w:val="20"/>
          <w:szCs w:val="20"/>
        </w:rPr>
        <w:t>Figure S</w:t>
      </w:r>
      <w:r w:rsidRPr="0019408A">
        <w:rPr>
          <w:rFonts w:ascii="Times New Roman" w:hAnsi="Times New Roman" w:cs="Times New Roman"/>
          <w:sz w:val="20"/>
          <w:szCs w:val="20"/>
        </w:rPr>
        <w:t>3</w:t>
      </w:r>
      <w:r w:rsidR="00E50560" w:rsidRPr="0019408A">
        <w:rPr>
          <w:rFonts w:ascii="Times New Roman" w:hAnsi="Times New Roman" w:cs="Times New Roman"/>
          <w:sz w:val="20"/>
          <w:szCs w:val="20"/>
        </w:rPr>
        <w:t>.</w:t>
      </w:r>
      <w:r w:rsidR="00E50560" w:rsidRPr="0019408A">
        <w:rPr>
          <w:rFonts w:ascii="Times New Roman" w:hAnsi="Times New Roman" w:cs="Times New Roman"/>
          <w:b/>
          <w:sz w:val="20"/>
          <w:szCs w:val="20"/>
        </w:rPr>
        <w:t xml:space="preserve"> </w:t>
      </w:r>
      <w:r w:rsidR="00E50560" w:rsidRPr="0019408A">
        <w:rPr>
          <w:rFonts w:ascii="Times New Roman" w:hAnsi="Times New Roman" w:cs="Times New Roman"/>
          <w:sz w:val="20"/>
          <w:szCs w:val="20"/>
        </w:rPr>
        <w:t xml:space="preserve">Loading </w:t>
      </w:r>
      <w:r w:rsidR="00292CB6" w:rsidRPr="0019408A">
        <w:rPr>
          <w:rFonts w:ascii="Times New Roman" w:hAnsi="Times New Roman" w:cs="Times New Roman"/>
          <w:sz w:val="20"/>
          <w:szCs w:val="20"/>
        </w:rPr>
        <w:t>P</w:t>
      </w:r>
      <w:r w:rsidR="00E50560" w:rsidRPr="0019408A">
        <w:rPr>
          <w:rFonts w:ascii="Times New Roman" w:hAnsi="Times New Roman" w:cs="Times New Roman"/>
          <w:sz w:val="20"/>
          <w:szCs w:val="20"/>
        </w:rPr>
        <w:t xml:space="preserve">attern for PC1 and PC2 </w:t>
      </w:r>
      <w:r w:rsidR="00453917" w:rsidRPr="0019408A">
        <w:rPr>
          <w:rFonts w:ascii="Times New Roman" w:hAnsi="Times New Roman" w:cs="Times New Roman"/>
          <w:sz w:val="20"/>
          <w:szCs w:val="20"/>
        </w:rPr>
        <w:t xml:space="preserve">                                     </w:t>
      </w:r>
      <w:r w:rsidR="00936321" w:rsidRPr="0019408A">
        <w:rPr>
          <w:rFonts w:ascii="Times New Roman" w:hAnsi="Times New Roman" w:cs="Times New Roman"/>
          <w:sz w:val="20"/>
          <w:szCs w:val="20"/>
        </w:rPr>
        <w:t xml:space="preserve">                               </w:t>
      </w:r>
      <w:r w:rsidR="00557BB8" w:rsidRPr="0019408A">
        <w:rPr>
          <w:rFonts w:ascii="Times New Roman" w:hAnsi="Times New Roman" w:cs="Times New Roman"/>
          <w:sz w:val="20"/>
          <w:szCs w:val="20"/>
        </w:rPr>
        <w:t xml:space="preserve">     </w:t>
      </w:r>
      <w:r w:rsidR="00A457FC" w:rsidRPr="0019408A">
        <w:rPr>
          <w:rFonts w:ascii="Times New Roman" w:hAnsi="Times New Roman" w:cs="Times New Roman"/>
          <w:sz w:val="20"/>
          <w:szCs w:val="20"/>
        </w:rPr>
        <w:t xml:space="preserve">   </w:t>
      </w:r>
      <w:r w:rsidRPr="0019408A">
        <w:rPr>
          <w:rFonts w:ascii="Times New Roman" w:hAnsi="Times New Roman" w:cs="Times New Roman"/>
          <w:sz w:val="20"/>
          <w:szCs w:val="20"/>
        </w:rPr>
        <w:t>8</w:t>
      </w:r>
    </w:p>
    <w:p w:rsidR="00846246" w:rsidRPr="0019408A" w:rsidRDefault="00E50560" w:rsidP="00292CB6">
      <w:pPr>
        <w:spacing w:line="360" w:lineRule="auto"/>
        <w:rPr>
          <w:rFonts w:ascii="Times New Roman" w:hAnsi="Times New Roman" w:cs="Times New Roman"/>
          <w:sz w:val="20"/>
          <w:szCs w:val="20"/>
        </w:rPr>
      </w:pPr>
      <w:r w:rsidRPr="0019408A">
        <w:rPr>
          <w:rFonts w:ascii="Times New Roman" w:hAnsi="Times New Roman" w:cs="Times New Roman"/>
          <w:b/>
          <w:sz w:val="20"/>
          <w:szCs w:val="20"/>
        </w:rPr>
        <w:t xml:space="preserve">     </w:t>
      </w:r>
      <w:r w:rsidRPr="0019408A">
        <w:rPr>
          <w:rFonts w:ascii="Times New Roman" w:hAnsi="Times New Roman" w:cs="Times New Roman"/>
          <w:sz w:val="20"/>
          <w:szCs w:val="20"/>
        </w:rPr>
        <w:t>Figure S</w:t>
      </w:r>
      <w:r w:rsidR="00FA040D" w:rsidRPr="0019408A">
        <w:rPr>
          <w:rFonts w:ascii="Times New Roman" w:hAnsi="Times New Roman" w:cs="Times New Roman"/>
          <w:sz w:val="20"/>
          <w:szCs w:val="20"/>
        </w:rPr>
        <w:t>4</w:t>
      </w:r>
      <w:r w:rsidRPr="0019408A">
        <w:rPr>
          <w:rFonts w:ascii="Times New Roman" w:hAnsi="Times New Roman" w:cs="Times New Roman"/>
          <w:sz w:val="20"/>
          <w:szCs w:val="20"/>
        </w:rPr>
        <w:t>.</w:t>
      </w:r>
      <w:r w:rsidR="004B5E74" w:rsidRPr="0019408A">
        <w:rPr>
          <w:rFonts w:ascii="Times New Roman" w:hAnsi="Times New Roman" w:cs="Times New Roman"/>
          <w:sz w:val="20"/>
          <w:szCs w:val="20"/>
        </w:rPr>
        <w:t xml:space="preserve"> Longitudinal </w:t>
      </w:r>
      <w:r w:rsidR="00292CB6" w:rsidRPr="0019408A">
        <w:rPr>
          <w:rFonts w:ascii="Times New Roman" w:hAnsi="Times New Roman" w:cs="Times New Roman"/>
          <w:sz w:val="20"/>
          <w:szCs w:val="20"/>
        </w:rPr>
        <w:t>C</w:t>
      </w:r>
      <w:r w:rsidR="004B5E74" w:rsidRPr="0019408A">
        <w:rPr>
          <w:rFonts w:ascii="Times New Roman" w:hAnsi="Times New Roman" w:cs="Times New Roman"/>
          <w:sz w:val="20"/>
          <w:szCs w:val="20"/>
        </w:rPr>
        <w:t xml:space="preserve">hanges in </w:t>
      </w:r>
      <w:r w:rsidR="00292CB6" w:rsidRPr="0019408A">
        <w:rPr>
          <w:rFonts w:ascii="Times New Roman" w:hAnsi="Times New Roman" w:cs="Times New Roman"/>
          <w:sz w:val="20"/>
          <w:szCs w:val="20"/>
        </w:rPr>
        <w:t>I</w:t>
      </w:r>
      <w:r w:rsidR="004B5E74" w:rsidRPr="0019408A">
        <w:rPr>
          <w:rFonts w:ascii="Times New Roman" w:hAnsi="Times New Roman" w:cs="Times New Roman"/>
          <w:sz w:val="20"/>
          <w:szCs w:val="20"/>
        </w:rPr>
        <w:t>nflammation</w:t>
      </w:r>
      <w:r w:rsidR="00FA040D" w:rsidRPr="0019408A">
        <w:rPr>
          <w:rFonts w:ascii="Times New Roman" w:hAnsi="Times New Roman" w:cs="Times New Roman"/>
          <w:sz w:val="20"/>
          <w:szCs w:val="20"/>
        </w:rPr>
        <w:t>, treatment groups</w:t>
      </w:r>
      <w:r w:rsidR="00453917" w:rsidRPr="0019408A">
        <w:rPr>
          <w:rFonts w:ascii="Times New Roman" w:hAnsi="Times New Roman" w:cs="Times New Roman"/>
          <w:sz w:val="20"/>
          <w:szCs w:val="20"/>
        </w:rPr>
        <w:t xml:space="preserve">                             </w:t>
      </w:r>
      <w:r w:rsidR="00936321" w:rsidRPr="0019408A">
        <w:rPr>
          <w:rFonts w:ascii="Times New Roman" w:hAnsi="Times New Roman" w:cs="Times New Roman"/>
          <w:sz w:val="20"/>
          <w:szCs w:val="20"/>
        </w:rPr>
        <w:t xml:space="preserve">           </w:t>
      </w:r>
      <w:r w:rsidR="00FA040D" w:rsidRPr="0019408A">
        <w:rPr>
          <w:rFonts w:ascii="Times New Roman" w:hAnsi="Times New Roman" w:cs="Times New Roman"/>
          <w:sz w:val="20"/>
          <w:szCs w:val="20"/>
        </w:rPr>
        <w:t>9</w:t>
      </w:r>
    </w:p>
    <w:p w:rsidR="004B5E74" w:rsidRPr="0019408A" w:rsidRDefault="004B5E74" w:rsidP="00292CB6">
      <w:pPr>
        <w:spacing w:line="360" w:lineRule="auto"/>
        <w:rPr>
          <w:rFonts w:ascii="Times New Roman" w:hAnsi="Times New Roman" w:cs="Times New Roman"/>
          <w:sz w:val="20"/>
          <w:szCs w:val="20"/>
        </w:rPr>
      </w:pPr>
      <w:r w:rsidRPr="0019408A">
        <w:rPr>
          <w:rFonts w:ascii="Times New Roman" w:hAnsi="Times New Roman" w:cs="Times New Roman"/>
          <w:sz w:val="20"/>
          <w:szCs w:val="20"/>
        </w:rPr>
        <w:t>Supplementary Tables</w:t>
      </w:r>
    </w:p>
    <w:p w:rsidR="004B5E74" w:rsidRPr="0019408A" w:rsidRDefault="004B5E74" w:rsidP="00292CB6">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Table S1</w:t>
      </w:r>
      <w:r w:rsidR="00204978" w:rsidRPr="0019408A">
        <w:rPr>
          <w:rFonts w:ascii="Times New Roman" w:hAnsi="Times New Roman" w:cs="Times New Roman"/>
          <w:sz w:val="20"/>
          <w:szCs w:val="20"/>
        </w:rPr>
        <w:t xml:space="preserve">. Clinical and Biochemical Characteristics </w:t>
      </w:r>
      <w:r w:rsidR="00453917" w:rsidRPr="0019408A">
        <w:rPr>
          <w:rFonts w:ascii="Times New Roman" w:hAnsi="Times New Roman" w:cs="Times New Roman"/>
          <w:sz w:val="20"/>
          <w:szCs w:val="20"/>
        </w:rPr>
        <w:t xml:space="preserve">                                                     </w:t>
      </w:r>
      <w:r w:rsidR="00C823D0" w:rsidRPr="0019408A">
        <w:rPr>
          <w:rFonts w:ascii="Times New Roman" w:hAnsi="Times New Roman" w:cs="Times New Roman"/>
          <w:sz w:val="20"/>
          <w:szCs w:val="20"/>
        </w:rPr>
        <w:t xml:space="preserve">     </w:t>
      </w:r>
      <w:r w:rsidR="00557BB8" w:rsidRPr="0019408A">
        <w:rPr>
          <w:rFonts w:ascii="Times New Roman" w:hAnsi="Times New Roman" w:cs="Times New Roman"/>
          <w:sz w:val="20"/>
          <w:szCs w:val="20"/>
        </w:rPr>
        <w:t xml:space="preserve">    </w:t>
      </w:r>
      <w:r w:rsidR="00EA629D" w:rsidRPr="0019408A">
        <w:rPr>
          <w:rFonts w:ascii="Times New Roman" w:hAnsi="Times New Roman" w:cs="Times New Roman"/>
          <w:sz w:val="20"/>
          <w:szCs w:val="20"/>
        </w:rPr>
        <w:t xml:space="preserve">  </w:t>
      </w:r>
      <w:r w:rsidR="00FA040D" w:rsidRPr="0019408A">
        <w:rPr>
          <w:rFonts w:ascii="Times New Roman" w:hAnsi="Times New Roman" w:cs="Times New Roman"/>
          <w:sz w:val="20"/>
          <w:szCs w:val="20"/>
        </w:rPr>
        <w:t>10</w:t>
      </w:r>
    </w:p>
    <w:p w:rsidR="004B5E74" w:rsidRPr="0019408A" w:rsidRDefault="004B5E74" w:rsidP="00A16916">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Table S2</w:t>
      </w:r>
      <w:r w:rsidR="00204978" w:rsidRPr="0019408A">
        <w:rPr>
          <w:rFonts w:ascii="Times New Roman" w:hAnsi="Times New Roman" w:cs="Times New Roman"/>
          <w:sz w:val="20"/>
          <w:szCs w:val="20"/>
        </w:rPr>
        <w:t>. Status at Time of Sampling</w:t>
      </w:r>
      <w:r w:rsidR="00453917" w:rsidRPr="0019408A">
        <w:rPr>
          <w:rFonts w:ascii="Times New Roman" w:hAnsi="Times New Roman" w:cs="Times New Roman"/>
          <w:sz w:val="20"/>
          <w:szCs w:val="20"/>
        </w:rPr>
        <w:t xml:space="preserve">                                                                                 </w:t>
      </w:r>
      <w:r w:rsidR="00557BB8" w:rsidRPr="0019408A">
        <w:rPr>
          <w:rFonts w:ascii="Times New Roman" w:hAnsi="Times New Roman" w:cs="Times New Roman"/>
          <w:sz w:val="20"/>
          <w:szCs w:val="20"/>
        </w:rPr>
        <w:t xml:space="preserve">    </w:t>
      </w:r>
      <w:r w:rsidR="00EA629D" w:rsidRPr="0019408A">
        <w:rPr>
          <w:rFonts w:ascii="Times New Roman" w:hAnsi="Times New Roman" w:cs="Times New Roman"/>
          <w:sz w:val="20"/>
          <w:szCs w:val="20"/>
        </w:rPr>
        <w:t xml:space="preserve"> </w:t>
      </w:r>
      <w:r w:rsidR="00453917" w:rsidRPr="0019408A">
        <w:rPr>
          <w:rFonts w:ascii="Times New Roman" w:hAnsi="Times New Roman" w:cs="Times New Roman"/>
          <w:sz w:val="20"/>
          <w:szCs w:val="20"/>
        </w:rPr>
        <w:t>1</w:t>
      </w:r>
      <w:r w:rsidR="00FA040D" w:rsidRPr="0019408A">
        <w:rPr>
          <w:rFonts w:ascii="Times New Roman" w:hAnsi="Times New Roman" w:cs="Times New Roman"/>
          <w:sz w:val="20"/>
          <w:szCs w:val="20"/>
        </w:rPr>
        <w:t>1</w:t>
      </w:r>
    </w:p>
    <w:p w:rsidR="004B5E74" w:rsidRPr="0019408A" w:rsidRDefault="004B5E74" w:rsidP="00A16916">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Table S3</w:t>
      </w:r>
      <w:r w:rsidR="00204978" w:rsidRPr="0019408A">
        <w:rPr>
          <w:rFonts w:ascii="Times New Roman" w:hAnsi="Times New Roman" w:cs="Times New Roman"/>
          <w:sz w:val="20"/>
          <w:szCs w:val="20"/>
        </w:rPr>
        <w:t xml:space="preserve">. </w:t>
      </w:r>
      <w:r w:rsidR="00292CB6" w:rsidRPr="0019408A">
        <w:rPr>
          <w:rFonts w:ascii="Times New Roman" w:hAnsi="Times New Roman" w:cs="Times New Roman"/>
          <w:sz w:val="20"/>
          <w:szCs w:val="20"/>
        </w:rPr>
        <w:t xml:space="preserve">Overview of the 92 </w:t>
      </w:r>
      <w:proofErr w:type="spellStart"/>
      <w:r w:rsidR="00292CB6" w:rsidRPr="0019408A">
        <w:rPr>
          <w:rFonts w:ascii="Times New Roman" w:hAnsi="Times New Roman" w:cs="Times New Roman"/>
          <w:sz w:val="20"/>
          <w:szCs w:val="20"/>
        </w:rPr>
        <w:t>Analysed</w:t>
      </w:r>
      <w:proofErr w:type="spellEnd"/>
      <w:r w:rsidR="00292CB6" w:rsidRPr="0019408A">
        <w:rPr>
          <w:rFonts w:ascii="Times New Roman" w:hAnsi="Times New Roman" w:cs="Times New Roman"/>
          <w:sz w:val="20"/>
          <w:szCs w:val="20"/>
        </w:rPr>
        <w:t xml:space="preserve"> Biomarkers</w:t>
      </w:r>
      <w:r w:rsidR="00453917" w:rsidRPr="0019408A">
        <w:rPr>
          <w:rFonts w:ascii="Times New Roman" w:hAnsi="Times New Roman" w:cs="Times New Roman"/>
          <w:sz w:val="20"/>
          <w:szCs w:val="20"/>
        </w:rPr>
        <w:t xml:space="preserve">                                                     </w:t>
      </w:r>
      <w:r w:rsidR="00557BB8" w:rsidRPr="0019408A">
        <w:rPr>
          <w:rFonts w:ascii="Times New Roman" w:hAnsi="Times New Roman" w:cs="Times New Roman"/>
          <w:sz w:val="20"/>
          <w:szCs w:val="20"/>
        </w:rPr>
        <w:t xml:space="preserve">    </w:t>
      </w:r>
      <w:r w:rsidR="00EA629D" w:rsidRPr="0019408A">
        <w:rPr>
          <w:rFonts w:ascii="Times New Roman" w:hAnsi="Times New Roman" w:cs="Times New Roman"/>
          <w:sz w:val="20"/>
          <w:szCs w:val="20"/>
        </w:rPr>
        <w:t xml:space="preserve"> </w:t>
      </w:r>
      <w:r w:rsidR="00453917" w:rsidRPr="0019408A">
        <w:rPr>
          <w:rFonts w:ascii="Times New Roman" w:hAnsi="Times New Roman" w:cs="Times New Roman"/>
          <w:sz w:val="20"/>
          <w:szCs w:val="20"/>
        </w:rPr>
        <w:t>1</w:t>
      </w:r>
      <w:r w:rsidR="00FA040D" w:rsidRPr="0019408A">
        <w:rPr>
          <w:rFonts w:ascii="Times New Roman" w:hAnsi="Times New Roman" w:cs="Times New Roman"/>
          <w:sz w:val="20"/>
          <w:szCs w:val="20"/>
        </w:rPr>
        <w:t>2</w:t>
      </w:r>
      <w:r w:rsidR="00453917" w:rsidRPr="0019408A">
        <w:rPr>
          <w:rFonts w:ascii="Times New Roman" w:hAnsi="Times New Roman" w:cs="Times New Roman"/>
          <w:sz w:val="20"/>
          <w:szCs w:val="20"/>
        </w:rPr>
        <w:t>-1</w:t>
      </w:r>
      <w:r w:rsidR="00FA040D" w:rsidRPr="0019408A">
        <w:rPr>
          <w:rFonts w:ascii="Times New Roman" w:hAnsi="Times New Roman" w:cs="Times New Roman"/>
          <w:sz w:val="20"/>
          <w:szCs w:val="20"/>
        </w:rPr>
        <w:t>6</w:t>
      </w:r>
      <w:r w:rsidR="00453917" w:rsidRPr="0019408A">
        <w:rPr>
          <w:rFonts w:ascii="Times New Roman" w:hAnsi="Times New Roman" w:cs="Times New Roman"/>
          <w:sz w:val="20"/>
          <w:szCs w:val="20"/>
        </w:rPr>
        <w:t xml:space="preserve"> </w:t>
      </w:r>
    </w:p>
    <w:p w:rsidR="004B5E74" w:rsidRPr="0019408A" w:rsidRDefault="004B5E74" w:rsidP="00A16916">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Table S4</w:t>
      </w:r>
      <w:r w:rsidR="00204978" w:rsidRPr="0019408A">
        <w:rPr>
          <w:rFonts w:ascii="Times New Roman" w:hAnsi="Times New Roman" w:cs="Times New Roman"/>
          <w:sz w:val="20"/>
          <w:szCs w:val="20"/>
        </w:rPr>
        <w:t>.</w:t>
      </w:r>
      <w:r w:rsidR="00292CB6" w:rsidRPr="0019408A">
        <w:rPr>
          <w:rFonts w:ascii="Times New Roman" w:hAnsi="Times New Roman" w:cs="Times New Roman"/>
          <w:sz w:val="20"/>
          <w:szCs w:val="20"/>
        </w:rPr>
        <w:t xml:space="preserve"> Biomarkers with Significant Differences </w:t>
      </w:r>
      <w:r w:rsidR="00453917" w:rsidRPr="0019408A">
        <w:rPr>
          <w:rFonts w:ascii="Times New Roman" w:hAnsi="Times New Roman" w:cs="Times New Roman"/>
          <w:sz w:val="20"/>
          <w:szCs w:val="20"/>
        </w:rPr>
        <w:t xml:space="preserve">                                                      </w:t>
      </w:r>
      <w:r w:rsidR="00557BB8" w:rsidRPr="0019408A">
        <w:rPr>
          <w:rFonts w:ascii="Times New Roman" w:hAnsi="Times New Roman" w:cs="Times New Roman"/>
          <w:sz w:val="20"/>
          <w:szCs w:val="20"/>
        </w:rPr>
        <w:t xml:space="preserve">    </w:t>
      </w:r>
      <w:r w:rsidR="00EA629D" w:rsidRPr="0019408A">
        <w:rPr>
          <w:rFonts w:ascii="Times New Roman" w:hAnsi="Times New Roman" w:cs="Times New Roman"/>
          <w:sz w:val="20"/>
          <w:szCs w:val="20"/>
        </w:rPr>
        <w:t xml:space="preserve"> </w:t>
      </w:r>
      <w:r w:rsidR="00453917" w:rsidRPr="0019408A">
        <w:rPr>
          <w:rFonts w:ascii="Times New Roman" w:hAnsi="Times New Roman" w:cs="Times New Roman"/>
          <w:sz w:val="20"/>
          <w:szCs w:val="20"/>
        </w:rPr>
        <w:t>1</w:t>
      </w:r>
      <w:r w:rsidR="00FA040D" w:rsidRPr="0019408A">
        <w:rPr>
          <w:rFonts w:ascii="Times New Roman" w:hAnsi="Times New Roman" w:cs="Times New Roman"/>
          <w:sz w:val="20"/>
          <w:szCs w:val="20"/>
        </w:rPr>
        <w:t>7</w:t>
      </w:r>
      <w:r w:rsidR="00453917" w:rsidRPr="0019408A">
        <w:rPr>
          <w:rFonts w:ascii="Times New Roman" w:hAnsi="Times New Roman" w:cs="Times New Roman"/>
          <w:sz w:val="20"/>
          <w:szCs w:val="20"/>
        </w:rPr>
        <w:t>-</w:t>
      </w:r>
      <w:r w:rsidR="00557BB8" w:rsidRPr="0019408A">
        <w:rPr>
          <w:rFonts w:ascii="Times New Roman" w:hAnsi="Times New Roman" w:cs="Times New Roman"/>
          <w:sz w:val="20"/>
          <w:szCs w:val="20"/>
        </w:rPr>
        <w:t>1</w:t>
      </w:r>
      <w:r w:rsidR="00FA040D" w:rsidRPr="0019408A">
        <w:rPr>
          <w:rFonts w:ascii="Times New Roman" w:hAnsi="Times New Roman" w:cs="Times New Roman"/>
          <w:sz w:val="20"/>
          <w:szCs w:val="20"/>
        </w:rPr>
        <w:t>9</w:t>
      </w:r>
    </w:p>
    <w:p w:rsidR="004B5E74" w:rsidRPr="0019408A" w:rsidRDefault="004B5E74" w:rsidP="00A16916">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Table</w:t>
      </w:r>
      <w:r w:rsidR="005B6B27" w:rsidRPr="0019408A">
        <w:rPr>
          <w:rFonts w:ascii="Times New Roman" w:hAnsi="Times New Roman" w:cs="Times New Roman"/>
          <w:sz w:val="20"/>
          <w:szCs w:val="20"/>
        </w:rPr>
        <w:t xml:space="preserve"> </w:t>
      </w:r>
      <w:r w:rsidRPr="0019408A">
        <w:rPr>
          <w:rFonts w:ascii="Times New Roman" w:hAnsi="Times New Roman" w:cs="Times New Roman"/>
          <w:sz w:val="20"/>
          <w:szCs w:val="20"/>
        </w:rPr>
        <w:t>S5</w:t>
      </w:r>
      <w:r w:rsidR="00204978" w:rsidRPr="0019408A">
        <w:rPr>
          <w:rFonts w:ascii="Times New Roman" w:hAnsi="Times New Roman" w:cs="Times New Roman"/>
          <w:sz w:val="20"/>
          <w:szCs w:val="20"/>
        </w:rPr>
        <w:t>.</w:t>
      </w:r>
      <w:r w:rsidR="00292CB6" w:rsidRPr="0019408A">
        <w:rPr>
          <w:rFonts w:ascii="Times New Roman" w:hAnsi="Times New Roman" w:cs="Times New Roman"/>
          <w:sz w:val="20"/>
          <w:szCs w:val="20"/>
        </w:rPr>
        <w:t xml:space="preserve"> </w:t>
      </w:r>
      <w:r w:rsidR="00292CB6" w:rsidRPr="0019408A">
        <w:rPr>
          <w:rFonts w:ascii="Times New Roman" w:eastAsia="Helvetica Neue" w:hAnsi="Times New Roman" w:cs="Times New Roman"/>
          <w:sz w:val="20"/>
          <w:szCs w:val="20"/>
        </w:rPr>
        <w:t>Frequency of Positive Autoantibodies</w:t>
      </w:r>
      <w:r w:rsidR="00453917" w:rsidRPr="0019408A">
        <w:rPr>
          <w:rFonts w:ascii="Times New Roman" w:eastAsia="Helvetica Neue" w:hAnsi="Times New Roman" w:cs="Times New Roman"/>
          <w:sz w:val="20"/>
          <w:szCs w:val="20"/>
        </w:rPr>
        <w:t xml:space="preserve">                                                                 </w:t>
      </w:r>
      <w:r w:rsidR="00557BB8" w:rsidRPr="0019408A">
        <w:rPr>
          <w:rFonts w:ascii="Times New Roman" w:eastAsia="Helvetica Neue" w:hAnsi="Times New Roman" w:cs="Times New Roman"/>
          <w:sz w:val="20"/>
          <w:szCs w:val="20"/>
        </w:rPr>
        <w:t xml:space="preserve">    </w:t>
      </w:r>
      <w:r w:rsidR="00EA629D" w:rsidRPr="0019408A">
        <w:rPr>
          <w:rFonts w:ascii="Times New Roman" w:eastAsia="Helvetica Neue" w:hAnsi="Times New Roman" w:cs="Times New Roman"/>
          <w:sz w:val="20"/>
          <w:szCs w:val="20"/>
        </w:rPr>
        <w:t xml:space="preserve"> </w:t>
      </w:r>
      <w:r w:rsidR="00FA040D" w:rsidRPr="0019408A">
        <w:rPr>
          <w:rFonts w:ascii="Times New Roman" w:eastAsia="Helvetica Neue" w:hAnsi="Times New Roman" w:cs="Times New Roman"/>
          <w:sz w:val="20"/>
          <w:szCs w:val="20"/>
        </w:rPr>
        <w:t>20</w:t>
      </w:r>
    </w:p>
    <w:p w:rsidR="002A6CAE" w:rsidRPr="0019408A" w:rsidRDefault="002A6CAE">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Table</w:t>
      </w:r>
      <w:r w:rsidR="005B6B27" w:rsidRPr="0019408A">
        <w:rPr>
          <w:rFonts w:ascii="Times New Roman" w:hAnsi="Times New Roman" w:cs="Times New Roman"/>
          <w:sz w:val="20"/>
          <w:szCs w:val="20"/>
        </w:rPr>
        <w:t xml:space="preserve"> </w:t>
      </w:r>
      <w:r w:rsidRPr="0019408A">
        <w:rPr>
          <w:rFonts w:ascii="Times New Roman" w:hAnsi="Times New Roman" w:cs="Times New Roman"/>
          <w:sz w:val="20"/>
          <w:szCs w:val="20"/>
        </w:rPr>
        <w:t>S</w:t>
      </w:r>
      <w:r w:rsidR="00812D11" w:rsidRPr="0019408A">
        <w:rPr>
          <w:rFonts w:ascii="Times New Roman" w:hAnsi="Times New Roman" w:cs="Times New Roman"/>
          <w:sz w:val="20"/>
          <w:szCs w:val="20"/>
        </w:rPr>
        <w:t>6</w:t>
      </w:r>
      <w:r w:rsidR="00453917" w:rsidRPr="0019408A">
        <w:rPr>
          <w:rFonts w:ascii="Times New Roman" w:hAnsi="Times New Roman" w:cs="Times New Roman"/>
          <w:sz w:val="20"/>
          <w:szCs w:val="20"/>
        </w:rPr>
        <w:t xml:space="preserve">. Results from linear mixed model analysis, all GD patients  </w:t>
      </w:r>
      <w:r w:rsidR="00C16714" w:rsidRPr="0019408A">
        <w:rPr>
          <w:rFonts w:ascii="Times New Roman" w:hAnsi="Times New Roman" w:cs="Times New Roman"/>
          <w:sz w:val="20"/>
          <w:szCs w:val="20"/>
        </w:rPr>
        <w:t xml:space="preserve">                         </w:t>
      </w:r>
      <w:r w:rsidR="00EA629D" w:rsidRPr="0019408A">
        <w:rPr>
          <w:rFonts w:ascii="Times New Roman" w:hAnsi="Times New Roman" w:cs="Times New Roman"/>
          <w:sz w:val="20"/>
          <w:szCs w:val="20"/>
        </w:rPr>
        <w:t xml:space="preserve">     </w:t>
      </w:r>
      <w:r w:rsidR="00453917" w:rsidRPr="0019408A">
        <w:rPr>
          <w:rFonts w:ascii="Times New Roman" w:hAnsi="Times New Roman" w:cs="Times New Roman"/>
          <w:sz w:val="20"/>
          <w:szCs w:val="20"/>
        </w:rPr>
        <w:t>2</w:t>
      </w:r>
      <w:r w:rsidR="00FA040D" w:rsidRPr="0019408A">
        <w:rPr>
          <w:rFonts w:ascii="Times New Roman" w:hAnsi="Times New Roman" w:cs="Times New Roman"/>
          <w:sz w:val="20"/>
          <w:szCs w:val="20"/>
        </w:rPr>
        <w:t>1</w:t>
      </w:r>
      <w:r w:rsidR="00C16714" w:rsidRPr="0019408A">
        <w:rPr>
          <w:rFonts w:ascii="Times New Roman" w:hAnsi="Times New Roman" w:cs="Times New Roman"/>
          <w:sz w:val="20"/>
          <w:szCs w:val="20"/>
        </w:rPr>
        <w:t>-2</w:t>
      </w:r>
      <w:r w:rsidR="00FA040D" w:rsidRPr="0019408A">
        <w:rPr>
          <w:rFonts w:ascii="Times New Roman" w:hAnsi="Times New Roman" w:cs="Times New Roman"/>
          <w:sz w:val="20"/>
          <w:szCs w:val="20"/>
        </w:rPr>
        <w:t>2</w:t>
      </w:r>
      <w:r w:rsidR="00453917" w:rsidRPr="0019408A">
        <w:rPr>
          <w:rFonts w:ascii="Times New Roman" w:hAnsi="Times New Roman" w:cs="Times New Roman"/>
          <w:sz w:val="20"/>
          <w:szCs w:val="20"/>
        </w:rPr>
        <w:t xml:space="preserve"> </w:t>
      </w:r>
    </w:p>
    <w:p w:rsidR="002A6CAE" w:rsidRPr="0019408A" w:rsidRDefault="002A6CAE">
      <w:pPr>
        <w:spacing w:line="360" w:lineRule="auto"/>
        <w:rPr>
          <w:rFonts w:ascii="Times New Roman" w:hAnsi="Times New Roman" w:cs="Times New Roman"/>
          <w:sz w:val="20"/>
          <w:szCs w:val="20"/>
        </w:rPr>
      </w:pPr>
      <w:r w:rsidRPr="0019408A">
        <w:rPr>
          <w:rFonts w:ascii="Times New Roman" w:hAnsi="Times New Roman" w:cs="Times New Roman"/>
          <w:sz w:val="20"/>
          <w:szCs w:val="20"/>
        </w:rPr>
        <w:t xml:space="preserve">     Table</w:t>
      </w:r>
      <w:r w:rsidR="005B6B27" w:rsidRPr="0019408A">
        <w:rPr>
          <w:rFonts w:ascii="Times New Roman" w:hAnsi="Times New Roman" w:cs="Times New Roman"/>
          <w:sz w:val="20"/>
          <w:szCs w:val="20"/>
        </w:rPr>
        <w:t xml:space="preserve"> </w:t>
      </w:r>
      <w:r w:rsidRPr="0019408A">
        <w:rPr>
          <w:rFonts w:ascii="Times New Roman" w:hAnsi="Times New Roman" w:cs="Times New Roman"/>
          <w:sz w:val="20"/>
          <w:szCs w:val="20"/>
        </w:rPr>
        <w:t>S</w:t>
      </w:r>
      <w:r w:rsidR="00812D11" w:rsidRPr="0019408A">
        <w:rPr>
          <w:rFonts w:ascii="Times New Roman" w:hAnsi="Times New Roman" w:cs="Times New Roman"/>
          <w:sz w:val="20"/>
          <w:szCs w:val="20"/>
        </w:rPr>
        <w:t>7</w:t>
      </w:r>
      <w:r w:rsidR="00453917" w:rsidRPr="0019408A">
        <w:rPr>
          <w:rFonts w:ascii="Times New Roman" w:hAnsi="Times New Roman" w:cs="Times New Roman"/>
          <w:sz w:val="20"/>
          <w:szCs w:val="20"/>
        </w:rPr>
        <w:t xml:space="preserve">. Results from linear mixed model analysis, ATD-groups     </w:t>
      </w:r>
      <w:r w:rsidR="00C16714" w:rsidRPr="0019408A">
        <w:rPr>
          <w:rFonts w:ascii="Times New Roman" w:hAnsi="Times New Roman" w:cs="Times New Roman"/>
          <w:sz w:val="20"/>
          <w:szCs w:val="20"/>
        </w:rPr>
        <w:t xml:space="preserve">                          </w:t>
      </w:r>
      <w:r w:rsidR="00EA629D" w:rsidRPr="0019408A">
        <w:rPr>
          <w:rFonts w:ascii="Times New Roman" w:hAnsi="Times New Roman" w:cs="Times New Roman"/>
          <w:sz w:val="20"/>
          <w:szCs w:val="20"/>
        </w:rPr>
        <w:t xml:space="preserve">     </w:t>
      </w:r>
      <w:r w:rsidR="00453917" w:rsidRPr="0019408A">
        <w:rPr>
          <w:rFonts w:ascii="Times New Roman" w:hAnsi="Times New Roman" w:cs="Times New Roman"/>
          <w:sz w:val="20"/>
          <w:szCs w:val="20"/>
        </w:rPr>
        <w:t>2</w:t>
      </w:r>
      <w:r w:rsidR="00FA040D" w:rsidRPr="0019408A">
        <w:rPr>
          <w:rFonts w:ascii="Times New Roman" w:hAnsi="Times New Roman" w:cs="Times New Roman"/>
          <w:sz w:val="20"/>
          <w:szCs w:val="20"/>
        </w:rPr>
        <w:t>3</w:t>
      </w:r>
      <w:r w:rsidR="00C16714" w:rsidRPr="0019408A">
        <w:rPr>
          <w:rFonts w:ascii="Times New Roman" w:hAnsi="Times New Roman" w:cs="Times New Roman"/>
          <w:sz w:val="20"/>
          <w:szCs w:val="20"/>
        </w:rPr>
        <w:t>-</w:t>
      </w:r>
      <w:r w:rsidR="00557BB8" w:rsidRPr="0019408A">
        <w:rPr>
          <w:rFonts w:ascii="Times New Roman" w:hAnsi="Times New Roman" w:cs="Times New Roman"/>
          <w:sz w:val="20"/>
          <w:szCs w:val="20"/>
        </w:rPr>
        <w:t>2</w:t>
      </w:r>
      <w:r w:rsidR="00FA040D" w:rsidRPr="0019408A">
        <w:rPr>
          <w:rFonts w:ascii="Times New Roman" w:hAnsi="Times New Roman" w:cs="Times New Roman"/>
          <w:sz w:val="20"/>
          <w:szCs w:val="20"/>
        </w:rPr>
        <w:t>6</w:t>
      </w:r>
    </w:p>
    <w:p w:rsidR="005F10E6" w:rsidRPr="0019408A" w:rsidRDefault="00A16916" w:rsidP="00514E33">
      <w:pPr>
        <w:spacing w:line="360" w:lineRule="auto"/>
        <w:rPr>
          <w:rFonts w:ascii="Times New Roman" w:hAnsi="Times New Roman" w:cs="Times New Roman"/>
          <w:sz w:val="20"/>
          <w:szCs w:val="20"/>
        </w:rPr>
      </w:pPr>
      <w:r w:rsidRPr="0019408A">
        <w:rPr>
          <w:rFonts w:ascii="Times New Roman" w:hAnsi="Times New Roman" w:cs="Times New Roman"/>
          <w:sz w:val="20"/>
          <w:szCs w:val="20"/>
        </w:rPr>
        <w:t>References</w:t>
      </w:r>
      <w:r w:rsidR="005F10E6" w:rsidRPr="0019408A">
        <w:rPr>
          <w:rFonts w:ascii="Times New Roman" w:hAnsi="Times New Roman" w:cs="Times New Roman"/>
          <w:sz w:val="20"/>
          <w:szCs w:val="20"/>
        </w:rPr>
        <w:t xml:space="preserve">                                                                                                                                 </w:t>
      </w:r>
      <w:r w:rsidR="00EA629D" w:rsidRPr="0019408A">
        <w:rPr>
          <w:rFonts w:ascii="Times New Roman" w:hAnsi="Times New Roman" w:cs="Times New Roman"/>
          <w:sz w:val="20"/>
          <w:szCs w:val="20"/>
        </w:rPr>
        <w:t xml:space="preserve">     </w:t>
      </w:r>
      <w:r w:rsidR="00557BB8" w:rsidRPr="0019408A">
        <w:rPr>
          <w:rFonts w:ascii="Times New Roman" w:hAnsi="Times New Roman" w:cs="Times New Roman"/>
          <w:sz w:val="20"/>
          <w:szCs w:val="20"/>
        </w:rPr>
        <w:t>2</w:t>
      </w:r>
      <w:r w:rsidR="00FA040D" w:rsidRPr="0019408A">
        <w:rPr>
          <w:rFonts w:ascii="Times New Roman" w:hAnsi="Times New Roman" w:cs="Times New Roman"/>
          <w:sz w:val="20"/>
          <w:szCs w:val="20"/>
        </w:rPr>
        <w:t>7</w:t>
      </w:r>
      <w:r w:rsidR="00453917" w:rsidRPr="0019408A">
        <w:rPr>
          <w:rFonts w:ascii="Times New Roman" w:hAnsi="Times New Roman" w:cs="Times New Roman"/>
          <w:sz w:val="20"/>
          <w:szCs w:val="20"/>
        </w:rPr>
        <w:t xml:space="preserve">                                                 </w:t>
      </w:r>
    </w:p>
    <w:p w:rsidR="00ED5019" w:rsidRPr="0019408A" w:rsidRDefault="00453917" w:rsidP="00514E33">
      <w:pPr>
        <w:spacing w:line="360" w:lineRule="auto"/>
        <w:rPr>
          <w:rFonts w:ascii="Times New Roman" w:hAnsi="Times New Roman" w:cs="Times New Roman"/>
          <w:sz w:val="24"/>
          <w:szCs w:val="24"/>
        </w:rPr>
      </w:pPr>
      <w:r w:rsidRPr="0019408A">
        <w:rPr>
          <w:rFonts w:ascii="Times New Roman" w:hAnsi="Times New Roman" w:cs="Times New Roman"/>
          <w:sz w:val="24"/>
          <w:szCs w:val="24"/>
        </w:rPr>
        <w:t xml:space="preserve">                                                                               </w:t>
      </w:r>
    </w:p>
    <w:p w:rsidR="005F10E6" w:rsidRPr="0019408A" w:rsidRDefault="005F10E6" w:rsidP="00343488">
      <w:pPr>
        <w:spacing w:line="480" w:lineRule="auto"/>
        <w:jc w:val="center"/>
        <w:rPr>
          <w:rFonts w:ascii="Times New Roman" w:hAnsi="Times New Roman" w:cs="Times New Roman"/>
          <w:b/>
          <w:sz w:val="24"/>
          <w:szCs w:val="24"/>
        </w:rPr>
      </w:pPr>
    </w:p>
    <w:p w:rsidR="005F10E6" w:rsidRPr="0019408A" w:rsidRDefault="005F10E6" w:rsidP="00343488">
      <w:pPr>
        <w:spacing w:line="480" w:lineRule="auto"/>
        <w:jc w:val="center"/>
        <w:rPr>
          <w:rFonts w:ascii="Times New Roman" w:hAnsi="Times New Roman" w:cs="Times New Roman"/>
          <w:b/>
          <w:sz w:val="24"/>
          <w:szCs w:val="24"/>
        </w:rPr>
      </w:pPr>
    </w:p>
    <w:p w:rsidR="005F10E6" w:rsidRPr="0019408A" w:rsidRDefault="005F10E6" w:rsidP="00343488">
      <w:pPr>
        <w:spacing w:line="480" w:lineRule="auto"/>
        <w:jc w:val="center"/>
        <w:rPr>
          <w:rFonts w:ascii="Times New Roman" w:hAnsi="Times New Roman" w:cs="Times New Roman"/>
          <w:b/>
          <w:sz w:val="24"/>
          <w:szCs w:val="24"/>
        </w:rPr>
      </w:pPr>
    </w:p>
    <w:p w:rsidR="00812D11" w:rsidRPr="0019408A" w:rsidRDefault="00812D11" w:rsidP="004B0411">
      <w:pPr>
        <w:spacing w:line="480" w:lineRule="auto"/>
        <w:rPr>
          <w:rFonts w:ascii="Times New Roman" w:hAnsi="Times New Roman" w:cs="Times New Roman"/>
          <w:b/>
          <w:sz w:val="24"/>
          <w:szCs w:val="24"/>
        </w:rPr>
      </w:pPr>
    </w:p>
    <w:p w:rsidR="00AC1E13" w:rsidRPr="0019408A" w:rsidRDefault="009B62BA" w:rsidP="00343488">
      <w:pPr>
        <w:spacing w:line="480" w:lineRule="auto"/>
        <w:jc w:val="center"/>
        <w:rPr>
          <w:rFonts w:ascii="Times New Roman" w:hAnsi="Times New Roman" w:cs="Times New Roman"/>
          <w:b/>
          <w:sz w:val="20"/>
          <w:szCs w:val="20"/>
        </w:rPr>
      </w:pPr>
      <w:r w:rsidRPr="0019408A">
        <w:rPr>
          <w:rFonts w:ascii="Times New Roman" w:hAnsi="Times New Roman" w:cs="Times New Roman"/>
          <w:b/>
          <w:sz w:val="20"/>
          <w:szCs w:val="20"/>
        </w:rPr>
        <w:lastRenderedPageBreak/>
        <w:t>Supplementa</w:t>
      </w:r>
      <w:r w:rsidR="004649A9" w:rsidRPr="0019408A">
        <w:rPr>
          <w:rFonts w:ascii="Times New Roman" w:hAnsi="Times New Roman" w:cs="Times New Roman"/>
          <w:b/>
          <w:sz w:val="20"/>
          <w:szCs w:val="20"/>
        </w:rPr>
        <w:t>ry</w:t>
      </w:r>
      <w:r w:rsidRPr="0019408A">
        <w:rPr>
          <w:rFonts w:ascii="Times New Roman" w:hAnsi="Times New Roman" w:cs="Times New Roman"/>
          <w:b/>
          <w:sz w:val="20"/>
          <w:szCs w:val="20"/>
        </w:rPr>
        <w:t xml:space="preserve"> </w:t>
      </w:r>
      <w:r w:rsidR="00AC1E13" w:rsidRPr="0019408A">
        <w:rPr>
          <w:rFonts w:ascii="Times New Roman" w:hAnsi="Times New Roman" w:cs="Times New Roman"/>
          <w:b/>
          <w:sz w:val="20"/>
          <w:szCs w:val="20"/>
        </w:rPr>
        <w:t>Methods</w:t>
      </w:r>
    </w:p>
    <w:p w:rsidR="009B62BA" w:rsidRPr="0019408A" w:rsidRDefault="004649A9" w:rsidP="009B62BA">
      <w:pPr>
        <w:spacing w:line="480" w:lineRule="auto"/>
        <w:rPr>
          <w:rFonts w:ascii="Times New Roman" w:hAnsi="Times New Roman" w:cs="Times New Roman"/>
          <w:b/>
          <w:sz w:val="20"/>
          <w:szCs w:val="20"/>
        </w:rPr>
      </w:pPr>
      <w:r w:rsidRPr="0019408A">
        <w:rPr>
          <w:rFonts w:ascii="Times New Roman" w:hAnsi="Times New Roman" w:cs="Times New Roman"/>
          <w:b/>
          <w:sz w:val="20"/>
          <w:szCs w:val="20"/>
        </w:rPr>
        <w:t>B</w:t>
      </w:r>
      <w:r w:rsidR="009B62BA" w:rsidRPr="0019408A">
        <w:rPr>
          <w:rFonts w:ascii="Times New Roman" w:hAnsi="Times New Roman" w:cs="Times New Roman"/>
          <w:b/>
          <w:sz w:val="20"/>
          <w:szCs w:val="20"/>
        </w:rPr>
        <w:t xml:space="preserve">iochemical </w:t>
      </w:r>
      <w:r w:rsidRPr="0019408A">
        <w:rPr>
          <w:rFonts w:ascii="Times New Roman" w:hAnsi="Times New Roman" w:cs="Times New Roman"/>
          <w:b/>
          <w:sz w:val="20"/>
          <w:szCs w:val="20"/>
        </w:rPr>
        <w:t>D</w:t>
      </w:r>
      <w:r w:rsidR="009B62BA" w:rsidRPr="0019408A">
        <w:rPr>
          <w:rFonts w:ascii="Times New Roman" w:hAnsi="Times New Roman" w:cs="Times New Roman"/>
          <w:b/>
          <w:sz w:val="20"/>
          <w:szCs w:val="20"/>
        </w:rPr>
        <w:t>ata</w:t>
      </w:r>
      <w:r w:rsidR="00E2203B" w:rsidRPr="0019408A">
        <w:rPr>
          <w:rFonts w:ascii="Times New Roman" w:hAnsi="Times New Roman" w:cs="Times New Roman"/>
          <w:b/>
          <w:sz w:val="20"/>
          <w:szCs w:val="20"/>
        </w:rPr>
        <w:t>,</w:t>
      </w:r>
      <w:r w:rsidR="005B6B27" w:rsidRPr="0019408A">
        <w:rPr>
          <w:rFonts w:ascii="Times New Roman" w:hAnsi="Times New Roman" w:cs="Times New Roman"/>
          <w:b/>
          <w:sz w:val="20"/>
          <w:szCs w:val="20"/>
        </w:rPr>
        <w:t xml:space="preserve"> </w:t>
      </w:r>
      <w:r w:rsidRPr="0019408A">
        <w:rPr>
          <w:rFonts w:ascii="Times New Roman" w:hAnsi="Times New Roman" w:cs="Times New Roman"/>
          <w:b/>
          <w:sz w:val="20"/>
          <w:szCs w:val="20"/>
        </w:rPr>
        <w:t>A</w:t>
      </w:r>
      <w:r w:rsidR="009B62BA" w:rsidRPr="0019408A">
        <w:rPr>
          <w:rFonts w:ascii="Times New Roman" w:hAnsi="Times New Roman" w:cs="Times New Roman"/>
          <w:b/>
          <w:sz w:val="20"/>
          <w:szCs w:val="20"/>
        </w:rPr>
        <w:t>utoantibodies</w:t>
      </w:r>
      <w:r w:rsidR="00E2203B" w:rsidRPr="0019408A">
        <w:rPr>
          <w:rFonts w:ascii="Times New Roman" w:hAnsi="Times New Roman" w:cs="Times New Roman"/>
          <w:b/>
          <w:sz w:val="20"/>
          <w:szCs w:val="20"/>
        </w:rPr>
        <w:t xml:space="preserve"> and Biomarkers of Inflammation</w:t>
      </w:r>
    </w:p>
    <w:p w:rsidR="00E955DE" w:rsidRPr="0019408A" w:rsidRDefault="00E955DE" w:rsidP="00E955DE">
      <w:pPr>
        <w:spacing w:line="480" w:lineRule="auto"/>
        <w:rPr>
          <w:rFonts w:ascii="Times New Roman" w:hAnsi="Times New Roman" w:cs="Times New Roman"/>
          <w:sz w:val="20"/>
          <w:szCs w:val="20"/>
          <w:shd w:val="clear" w:color="auto" w:fill="FFFFFF"/>
        </w:rPr>
      </w:pPr>
      <w:r w:rsidRPr="0019408A">
        <w:rPr>
          <w:rFonts w:ascii="Times New Roman" w:hAnsi="Times New Roman" w:cs="Times New Roman"/>
          <w:sz w:val="20"/>
          <w:szCs w:val="20"/>
          <w:shd w:val="clear" w:color="auto" w:fill="FFFFFF"/>
        </w:rPr>
        <w:t xml:space="preserve">At the time of the original study TSH, T3 and FT4 in serum were measured using the auto-DELFIA </w:t>
      </w:r>
      <w:proofErr w:type="spellStart"/>
      <w:r w:rsidRPr="0019408A">
        <w:rPr>
          <w:rFonts w:ascii="Times New Roman" w:hAnsi="Times New Roman" w:cs="Times New Roman"/>
          <w:sz w:val="20"/>
          <w:szCs w:val="20"/>
          <w:shd w:val="clear" w:color="auto" w:fill="FFFFFF"/>
        </w:rPr>
        <w:t>hTSH</w:t>
      </w:r>
      <w:proofErr w:type="spellEnd"/>
      <w:r w:rsidRPr="0019408A">
        <w:rPr>
          <w:rFonts w:ascii="Times New Roman" w:hAnsi="Times New Roman" w:cs="Times New Roman"/>
          <w:sz w:val="20"/>
          <w:szCs w:val="20"/>
          <w:shd w:val="clear" w:color="auto" w:fill="FFFFFF"/>
        </w:rPr>
        <w:t xml:space="preserve"> </w:t>
      </w:r>
      <w:proofErr w:type="spellStart"/>
      <w:r w:rsidRPr="0019408A">
        <w:rPr>
          <w:rFonts w:ascii="Times New Roman" w:hAnsi="Times New Roman" w:cs="Times New Roman"/>
          <w:sz w:val="20"/>
          <w:szCs w:val="20"/>
          <w:shd w:val="clear" w:color="auto" w:fill="FFFFFF"/>
        </w:rPr>
        <w:t>Ultrakit</w:t>
      </w:r>
      <w:proofErr w:type="spellEnd"/>
      <w:r w:rsidRPr="0019408A">
        <w:rPr>
          <w:rFonts w:ascii="Times New Roman" w:hAnsi="Times New Roman" w:cs="Times New Roman"/>
          <w:sz w:val="20"/>
          <w:szCs w:val="20"/>
          <w:shd w:val="clear" w:color="auto" w:fill="FFFFFF"/>
        </w:rPr>
        <w:t xml:space="preserve"> and Auto-DELFIA FT4 and T3 kit, respectively. </w:t>
      </w:r>
      <w:proofErr w:type="spellStart"/>
      <w:r w:rsidRPr="0019408A">
        <w:rPr>
          <w:rFonts w:ascii="Times New Roman" w:hAnsi="Times New Roman" w:cs="Times New Roman"/>
          <w:sz w:val="20"/>
          <w:szCs w:val="20"/>
          <w:shd w:val="clear" w:color="auto" w:fill="FFFFFF"/>
        </w:rPr>
        <w:t>TRAb</w:t>
      </w:r>
      <w:proofErr w:type="spellEnd"/>
      <w:r w:rsidRPr="0019408A">
        <w:rPr>
          <w:rFonts w:ascii="Times New Roman" w:hAnsi="Times New Roman" w:cs="Times New Roman"/>
          <w:sz w:val="20"/>
          <w:szCs w:val="20"/>
          <w:shd w:val="clear" w:color="auto" w:fill="FFFFFF"/>
        </w:rPr>
        <w:t xml:space="preserve"> was measured using radioimmunoassay (DLD </w:t>
      </w:r>
      <w:proofErr w:type="spellStart"/>
      <w:r w:rsidRPr="0019408A">
        <w:rPr>
          <w:rFonts w:ascii="Times New Roman" w:hAnsi="Times New Roman" w:cs="Times New Roman"/>
          <w:sz w:val="20"/>
          <w:szCs w:val="20"/>
          <w:shd w:val="clear" w:color="auto" w:fill="FFFFFF"/>
        </w:rPr>
        <w:t>Diagnostika</w:t>
      </w:r>
      <w:proofErr w:type="spellEnd"/>
      <w:r w:rsidRPr="0019408A">
        <w:rPr>
          <w:rFonts w:ascii="Times New Roman" w:hAnsi="Times New Roman" w:cs="Times New Roman"/>
          <w:sz w:val="20"/>
          <w:szCs w:val="20"/>
          <w:shd w:val="clear" w:color="auto" w:fill="FFFFFF"/>
        </w:rPr>
        <w:t xml:space="preserve"> Gm</w:t>
      </w:r>
      <w:r w:rsidR="000E7462" w:rsidRPr="0019408A">
        <w:rPr>
          <w:rFonts w:ascii="Times New Roman" w:hAnsi="Times New Roman" w:cs="Times New Roman"/>
          <w:sz w:val="20"/>
          <w:szCs w:val="20"/>
          <w:shd w:val="clear" w:color="auto" w:fill="FFFFFF"/>
        </w:rPr>
        <w:t>b</w:t>
      </w:r>
      <w:r w:rsidRPr="0019408A">
        <w:rPr>
          <w:rFonts w:ascii="Times New Roman" w:hAnsi="Times New Roman" w:cs="Times New Roman"/>
          <w:sz w:val="20"/>
          <w:szCs w:val="20"/>
          <w:shd w:val="clear" w:color="auto" w:fill="FFFFFF"/>
        </w:rPr>
        <w:t>H, Hambu</w:t>
      </w:r>
      <w:r w:rsidR="000E7462" w:rsidRPr="0019408A">
        <w:rPr>
          <w:rFonts w:ascii="Times New Roman" w:hAnsi="Times New Roman" w:cs="Times New Roman"/>
          <w:sz w:val="20"/>
          <w:szCs w:val="20"/>
          <w:shd w:val="clear" w:color="auto" w:fill="FFFFFF"/>
        </w:rPr>
        <w:t>r</w:t>
      </w:r>
      <w:r w:rsidRPr="0019408A">
        <w:rPr>
          <w:rFonts w:ascii="Times New Roman" w:hAnsi="Times New Roman" w:cs="Times New Roman"/>
          <w:sz w:val="20"/>
          <w:szCs w:val="20"/>
          <w:shd w:val="clear" w:color="auto" w:fill="FFFFFF"/>
        </w:rPr>
        <w:t xml:space="preserve">g, </w:t>
      </w:r>
      <w:proofErr w:type="gramStart"/>
      <w:r w:rsidRPr="0019408A">
        <w:rPr>
          <w:rFonts w:ascii="Times New Roman" w:hAnsi="Times New Roman" w:cs="Times New Roman"/>
          <w:sz w:val="20"/>
          <w:szCs w:val="20"/>
          <w:shd w:val="clear" w:color="auto" w:fill="FFFFFF"/>
        </w:rPr>
        <w:t>Germany</w:t>
      </w:r>
      <w:proofErr w:type="gramEnd"/>
      <w:r w:rsidRPr="0019408A">
        <w:rPr>
          <w:rFonts w:ascii="Times New Roman" w:hAnsi="Times New Roman" w:cs="Times New Roman"/>
          <w:sz w:val="20"/>
          <w:szCs w:val="20"/>
          <w:shd w:val="clear" w:color="auto" w:fill="FFFFFF"/>
        </w:rPr>
        <w:t>).</w:t>
      </w:r>
      <w:r w:rsidR="00206F52" w:rsidRPr="0019408A">
        <w:rPr>
          <w:rFonts w:ascii="Times New Roman" w:hAnsi="Times New Roman" w:cs="Times New Roman"/>
          <w:sz w:val="20"/>
          <w:szCs w:val="20"/>
          <w:shd w:val="clear" w:color="auto" w:fill="FFFFFF"/>
        </w:rPr>
        <w:t xml:space="preserve"> </w:t>
      </w:r>
      <w:r w:rsidRPr="0019408A">
        <w:rPr>
          <w:rFonts w:ascii="Times New Roman" w:hAnsi="Times New Roman" w:cs="Times New Roman"/>
          <w:sz w:val="20"/>
          <w:szCs w:val="20"/>
          <w:shd w:val="clear" w:color="auto" w:fill="FFFFFF"/>
        </w:rPr>
        <w:t xml:space="preserve">Different reference intervals were used at the four study hospitals during the time period 1997-2003. Therefore, the local reference range was used to classify the thyroid- and </w:t>
      </w:r>
      <w:proofErr w:type="spellStart"/>
      <w:r w:rsidRPr="0019408A">
        <w:rPr>
          <w:rFonts w:ascii="Times New Roman" w:hAnsi="Times New Roman" w:cs="Times New Roman"/>
          <w:sz w:val="20"/>
          <w:szCs w:val="20"/>
          <w:shd w:val="clear" w:color="auto" w:fill="FFFFFF"/>
        </w:rPr>
        <w:t>TRA</w:t>
      </w:r>
      <w:r w:rsidR="00F02313" w:rsidRPr="0019408A">
        <w:rPr>
          <w:rFonts w:ascii="Times New Roman" w:hAnsi="Times New Roman" w:cs="Times New Roman"/>
          <w:sz w:val="20"/>
          <w:szCs w:val="20"/>
          <w:shd w:val="clear" w:color="auto" w:fill="FFFFFF"/>
        </w:rPr>
        <w:t>b</w:t>
      </w:r>
      <w:proofErr w:type="spellEnd"/>
      <w:r w:rsidR="00F02313" w:rsidRPr="0019408A">
        <w:rPr>
          <w:rFonts w:ascii="Times New Roman" w:hAnsi="Times New Roman" w:cs="Times New Roman"/>
          <w:sz w:val="20"/>
          <w:szCs w:val="20"/>
          <w:shd w:val="clear" w:color="auto" w:fill="FFFFFF"/>
        </w:rPr>
        <w:t xml:space="preserve"> status given in </w:t>
      </w:r>
      <w:r w:rsidRPr="0019408A">
        <w:rPr>
          <w:rFonts w:ascii="Times New Roman" w:hAnsi="Times New Roman" w:cs="Times New Roman"/>
          <w:sz w:val="20"/>
          <w:szCs w:val="20"/>
          <w:shd w:val="clear" w:color="auto" w:fill="FFFFFF"/>
        </w:rPr>
        <w:t xml:space="preserve">table </w:t>
      </w:r>
      <w:r w:rsidR="00F02313" w:rsidRPr="0019408A">
        <w:rPr>
          <w:rFonts w:ascii="Times New Roman" w:hAnsi="Times New Roman" w:cs="Times New Roman"/>
          <w:sz w:val="20"/>
          <w:szCs w:val="20"/>
          <w:shd w:val="clear" w:color="auto" w:fill="FFFFFF"/>
        </w:rPr>
        <w:t>S</w:t>
      </w:r>
      <w:r w:rsidRPr="0019408A">
        <w:rPr>
          <w:rFonts w:ascii="Times New Roman" w:hAnsi="Times New Roman" w:cs="Times New Roman"/>
          <w:sz w:val="20"/>
          <w:szCs w:val="20"/>
          <w:shd w:val="clear" w:color="auto" w:fill="FFFFFF"/>
        </w:rPr>
        <w:t xml:space="preserve">2 at each time point. Overt hyperthyroidism was defined as FT4 or T3 above the reference range </w:t>
      </w:r>
      <w:r w:rsidR="00206F52" w:rsidRPr="0019408A">
        <w:rPr>
          <w:rFonts w:ascii="Times New Roman" w:hAnsi="Times New Roman" w:cs="Times New Roman"/>
          <w:sz w:val="20"/>
          <w:szCs w:val="20"/>
          <w:shd w:val="clear" w:color="auto" w:fill="FFFFFF"/>
        </w:rPr>
        <w:t>with</w:t>
      </w:r>
      <w:r w:rsidRPr="0019408A">
        <w:rPr>
          <w:rFonts w:ascii="Times New Roman" w:hAnsi="Times New Roman" w:cs="Times New Roman"/>
          <w:sz w:val="20"/>
          <w:szCs w:val="20"/>
          <w:shd w:val="clear" w:color="auto" w:fill="FFFFFF"/>
        </w:rPr>
        <w:t xml:space="preserve"> suppressed TSH. Subclinical hyperthyroidism and hypothyroidism were defined as TSH below and above the reference range, respectively, with FT4 and T3 in the reference range.</w:t>
      </w:r>
    </w:p>
    <w:p w:rsidR="003E6B00" w:rsidRPr="0019408A" w:rsidRDefault="00E955DE" w:rsidP="009B62BA">
      <w:pPr>
        <w:spacing w:line="480" w:lineRule="auto"/>
        <w:rPr>
          <w:rFonts w:ascii="Times New Roman" w:hAnsi="Times New Roman" w:cs="Times New Roman"/>
          <w:sz w:val="20"/>
          <w:szCs w:val="20"/>
          <w:shd w:val="clear" w:color="auto" w:fill="FFFFFF"/>
        </w:rPr>
      </w:pPr>
      <w:r w:rsidRPr="0019408A">
        <w:rPr>
          <w:rFonts w:ascii="Times New Roman" w:hAnsi="Times New Roman" w:cs="Times New Roman"/>
          <w:sz w:val="20"/>
          <w:szCs w:val="20"/>
          <w:shd w:val="clear" w:color="auto" w:fill="FFFFFF"/>
        </w:rPr>
        <w:t>Autoantibodies to intrinsic factor and</w:t>
      </w:r>
      <w:r w:rsidR="00433621" w:rsidRPr="0019408A">
        <w:rPr>
          <w:rFonts w:ascii="Times New Roman" w:hAnsi="Times New Roman" w:cs="Times New Roman"/>
          <w:sz w:val="20"/>
          <w:szCs w:val="20"/>
          <w:shd w:val="clear" w:color="auto" w:fill="FFFFFF"/>
        </w:rPr>
        <w:t xml:space="preserve"> parietal cells were measured</w:t>
      </w:r>
      <w:r w:rsidRPr="0019408A">
        <w:rPr>
          <w:rFonts w:ascii="Times New Roman" w:hAnsi="Times New Roman" w:cs="Times New Roman"/>
          <w:sz w:val="20"/>
          <w:szCs w:val="20"/>
          <w:shd w:val="clear" w:color="auto" w:fill="FFFFFF"/>
        </w:rPr>
        <w:t xml:space="preserve"> by QUANTA Lite</w:t>
      </w:r>
      <w:r w:rsidR="00803F16">
        <w:rPr>
          <w:rFonts w:ascii="Times New Roman" w:hAnsi="Times New Roman" w:cs="Times New Roman"/>
          <w:sz w:val="20"/>
          <w:szCs w:val="20"/>
          <w:shd w:val="clear" w:color="auto" w:fill="FFFFFF"/>
        </w:rPr>
        <w:t xml:space="preserve">, </w:t>
      </w:r>
      <w:proofErr w:type="spellStart"/>
      <w:r w:rsidR="00E64C6C" w:rsidRPr="0019408A">
        <w:rPr>
          <w:rFonts w:ascii="Times New Roman" w:hAnsi="Times New Roman" w:cs="Times New Roman"/>
          <w:sz w:val="20"/>
          <w:szCs w:val="20"/>
          <w:shd w:val="clear" w:color="auto" w:fill="FFFFFF"/>
        </w:rPr>
        <w:t>Inova</w:t>
      </w:r>
      <w:proofErr w:type="spellEnd"/>
      <w:r w:rsidR="00E64C6C" w:rsidRPr="0019408A">
        <w:rPr>
          <w:rFonts w:ascii="Times New Roman" w:hAnsi="Times New Roman" w:cs="Times New Roman"/>
          <w:sz w:val="20"/>
          <w:szCs w:val="20"/>
          <w:shd w:val="clear" w:color="auto" w:fill="FFFFFF"/>
        </w:rPr>
        <w:t xml:space="preserve"> Diagnostics, USA</w:t>
      </w:r>
      <w:r w:rsidR="00803F16">
        <w:rPr>
          <w:rFonts w:ascii="Times New Roman" w:hAnsi="Times New Roman" w:cs="Times New Roman"/>
          <w:sz w:val="20"/>
          <w:szCs w:val="20"/>
          <w:shd w:val="clear" w:color="auto" w:fill="FFFFFF"/>
        </w:rPr>
        <w:t xml:space="preserve"> </w:t>
      </w:r>
      <w:r w:rsidR="00136769" w:rsidRPr="00572229">
        <w:rPr>
          <w:rFonts w:ascii="Times New Roman" w:hAnsi="Times New Roman" w:cs="Times New Roman"/>
          <w:sz w:val="20"/>
          <w:szCs w:val="20"/>
          <w:shd w:val="clear" w:color="auto" w:fill="FFFFFF"/>
        </w:rPr>
        <w:t>(</w:t>
      </w:r>
      <w:r w:rsidR="00136769" w:rsidRPr="00572229">
        <w:rPr>
          <w:rFonts w:ascii="Times New Roman" w:hAnsi="Times New Roman" w:cs="Times New Roman"/>
          <w:bCs/>
          <w:sz w:val="20"/>
          <w:szCs w:val="20"/>
        </w:rPr>
        <w:t>Cat</w:t>
      </w:r>
      <w:r w:rsidR="00136769">
        <w:rPr>
          <w:rFonts w:ascii="Times New Roman" w:hAnsi="Times New Roman" w:cs="Times New Roman"/>
          <w:bCs/>
          <w:sz w:val="20"/>
          <w:szCs w:val="20"/>
        </w:rPr>
        <w:t>alog</w:t>
      </w:r>
      <w:r w:rsidR="00136769" w:rsidRPr="00572229">
        <w:rPr>
          <w:rFonts w:ascii="Times New Roman" w:hAnsi="Times New Roman" w:cs="Times New Roman"/>
          <w:bCs/>
          <w:sz w:val="20"/>
          <w:szCs w:val="20"/>
        </w:rPr>
        <w:t># 708780, RRID</w:t>
      </w:r>
      <w:proofErr w:type="gramStart"/>
      <w:r w:rsidR="00136769" w:rsidRPr="00572229">
        <w:rPr>
          <w:rFonts w:ascii="Times New Roman" w:hAnsi="Times New Roman" w:cs="Times New Roman"/>
          <w:bCs/>
          <w:sz w:val="20"/>
          <w:szCs w:val="20"/>
        </w:rPr>
        <w:t>:AB</w:t>
      </w:r>
      <w:proofErr w:type="gramEnd"/>
      <w:r w:rsidR="00136769" w:rsidRPr="00572229">
        <w:rPr>
          <w:rFonts w:ascii="Times New Roman" w:hAnsi="Times New Roman" w:cs="Times New Roman"/>
          <w:bCs/>
          <w:sz w:val="20"/>
          <w:szCs w:val="20"/>
        </w:rPr>
        <w:t>_2943333)</w:t>
      </w:r>
      <w:r w:rsidR="00136769">
        <w:rPr>
          <w:rFonts w:ascii="Times New Roman" w:hAnsi="Times New Roman" w:cs="Times New Roman"/>
          <w:bCs/>
          <w:sz w:val="20"/>
          <w:szCs w:val="20"/>
        </w:rPr>
        <w:t xml:space="preserve"> </w:t>
      </w:r>
      <w:r w:rsidRPr="0019408A">
        <w:rPr>
          <w:rFonts w:ascii="Times New Roman" w:hAnsi="Times New Roman" w:cs="Times New Roman"/>
          <w:sz w:val="20"/>
          <w:szCs w:val="20"/>
          <w:shd w:val="clear" w:color="auto" w:fill="FFFFFF"/>
        </w:rPr>
        <w:t>and NOVA Lite enzyme-linked immunosorbent assay</w:t>
      </w:r>
      <w:r w:rsidR="00DC1890">
        <w:rPr>
          <w:rFonts w:ascii="Times New Roman" w:hAnsi="Times New Roman" w:cs="Times New Roman"/>
          <w:sz w:val="20"/>
          <w:szCs w:val="20"/>
          <w:shd w:val="clear" w:color="auto" w:fill="FFFFFF"/>
        </w:rPr>
        <w:t xml:space="preserve">, </w:t>
      </w:r>
      <w:proofErr w:type="spellStart"/>
      <w:r w:rsidR="00E64C6C" w:rsidRPr="0019408A">
        <w:rPr>
          <w:rFonts w:ascii="Times New Roman" w:hAnsi="Times New Roman" w:cs="Times New Roman"/>
          <w:sz w:val="20"/>
          <w:szCs w:val="20"/>
          <w:shd w:val="clear" w:color="auto" w:fill="FFFFFF"/>
        </w:rPr>
        <w:t>Inova</w:t>
      </w:r>
      <w:proofErr w:type="spellEnd"/>
      <w:r w:rsidR="00E64C6C" w:rsidRPr="0019408A">
        <w:rPr>
          <w:rFonts w:ascii="Times New Roman" w:hAnsi="Times New Roman" w:cs="Times New Roman"/>
          <w:sz w:val="20"/>
          <w:szCs w:val="20"/>
          <w:shd w:val="clear" w:color="auto" w:fill="FFFFFF"/>
        </w:rPr>
        <w:t xml:space="preserve"> Diagnostics, USA</w:t>
      </w:r>
      <w:r w:rsidR="00DC1890">
        <w:rPr>
          <w:rFonts w:ascii="Times New Roman" w:hAnsi="Times New Roman" w:cs="Times New Roman"/>
          <w:sz w:val="20"/>
          <w:szCs w:val="20"/>
          <w:shd w:val="clear" w:color="auto" w:fill="FFFFFF"/>
        </w:rPr>
        <w:t xml:space="preserve"> </w:t>
      </w:r>
      <w:r w:rsidR="0004684D" w:rsidRPr="0004684D">
        <w:rPr>
          <w:rFonts w:ascii="Times New Roman" w:hAnsi="Times New Roman" w:cs="Times New Roman"/>
          <w:sz w:val="20"/>
          <w:szCs w:val="20"/>
          <w:shd w:val="clear" w:color="auto" w:fill="FFFFFF"/>
        </w:rPr>
        <w:t>(Catalog#Haukeland_001, RRID:</w:t>
      </w:r>
      <w:r w:rsidR="0004684D" w:rsidRPr="0004684D">
        <w:rPr>
          <w:rFonts w:ascii="Times New Roman" w:hAnsi="Times New Roman" w:cs="Times New Roman"/>
          <w:bCs/>
          <w:sz w:val="20"/>
          <w:szCs w:val="20"/>
        </w:rPr>
        <w:t>AB_2943409)</w:t>
      </w:r>
      <w:r w:rsidR="0004684D" w:rsidRPr="0004684D" w:rsidDel="0004684D">
        <w:rPr>
          <w:rFonts w:ascii="Times New Roman" w:hAnsi="Times New Roman" w:cs="Times New Roman"/>
          <w:sz w:val="20"/>
          <w:szCs w:val="20"/>
          <w:shd w:val="clear" w:color="auto" w:fill="FFFFFF"/>
        </w:rPr>
        <w:t xml:space="preserve"> </w:t>
      </w:r>
      <w:r w:rsidRPr="0019408A">
        <w:rPr>
          <w:rFonts w:ascii="Times New Roman" w:hAnsi="Times New Roman" w:cs="Times New Roman"/>
          <w:sz w:val="20"/>
          <w:szCs w:val="20"/>
          <w:shd w:val="clear" w:color="auto" w:fill="FFFFFF"/>
        </w:rPr>
        <w:t>. A value above 20 U/ml and 40 U/ml respectively was considered as positive. Tissue transglutaminase (</w:t>
      </w:r>
      <w:proofErr w:type="spellStart"/>
      <w:r w:rsidR="00433621" w:rsidRPr="0019408A">
        <w:rPr>
          <w:rFonts w:ascii="Times New Roman" w:hAnsi="Times New Roman" w:cs="Times New Roman"/>
          <w:sz w:val="20"/>
          <w:szCs w:val="20"/>
          <w:shd w:val="clear" w:color="auto" w:fill="FFFFFF"/>
        </w:rPr>
        <w:t>tTG</w:t>
      </w:r>
      <w:proofErr w:type="spellEnd"/>
      <w:r w:rsidR="00433621" w:rsidRPr="0019408A">
        <w:rPr>
          <w:rFonts w:ascii="Times New Roman" w:hAnsi="Times New Roman" w:cs="Times New Roman"/>
          <w:sz w:val="20"/>
          <w:szCs w:val="20"/>
          <w:shd w:val="clear" w:color="auto" w:fill="FFFFFF"/>
        </w:rPr>
        <w:t>)-IgA antibodies were measured</w:t>
      </w:r>
      <w:r w:rsidRPr="0019408A">
        <w:rPr>
          <w:rFonts w:ascii="Times New Roman" w:hAnsi="Times New Roman" w:cs="Times New Roman"/>
          <w:sz w:val="20"/>
          <w:szCs w:val="20"/>
          <w:shd w:val="clear" w:color="auto" w:fill="FFFFFF"/>
        </w:rPr>
        <w:t xml:space="preserve"> by immunofluorescence, </w:t>
      </w:r>
      <w:proofErr w:type="spellStart"/>
      <w:r w:rsidRPr="0019408A">
        <w:rPr>
          <w:rFonts w:ascii="Times New Roman" w:hAnsi="Times New Roman" w:cs="Times New Roman"/>
          <w:sz w:val="20"/>
          <w:szCs w:val="20"/>
          <w:shd w:val="clear" w:color="auto" w:fill="FFFFFF"/>
        </w:rPr>
        <w:t>Bioplex</w:t>
      </w:r>
      <w:proofErr w:type="spellEnd"/>
      <w:r w:rsidRPr="0019408A">
        <w:rPr>
          <w:rFonts w:ascii="Times New Roman" w:hAnsi="Times New Roman" w:cs="Times New Roman"/>
          <w:sz w:val="20"/>
          <w:szCs w:val="20"/>
          <w:shd w:val="clear" w:color="auto" w:fill="FFFFFF"/>
        </w:rPr>
        <w:t xml:space="preserve"> 2200 Celiac IgA R</w:t>
      </w:r>
      <w:bookmarkStart w:id="0" w:name="_GoBack"/>
      <w:bookmarkEnd w:id="0"/>
      <w:r w:rsidRPr="0019408A">
        <w:rPr>
          <w:rFonts w:ascii="Times New Roman" w:hAnsi="Times New Roman" w:cs="Times New Roman"/>
          <w:sz w:val="20"/>
          <w:szCs w:val="20"/>
          <w:shd w:val="clear" w:color="auto" w:fill="FFFFFF"/>
        </w:rPr>
        <w:t>eagent Pack</w:t>
      </w:r>
      <w:r w:rsidR="00572229">
        <w:rPr>
          <w:rFonts w:ascii="Times New Roman" w:hAnsi="Times New Roman" w:cs="Times New Roman"/>
          <w:sz w:val="20"/>
          <w:szCs w:val="20"/>
          <w:shd w:val="clear" w:color="auto" w:fill="FFFFFF"/>
        </w:rPr>
        <w:t xml:space="preserve">, </w:t>
      </w:r>
      <w:r w:rsidR="008A2F27" w:rsidRPr="0019408A">
        <w:rPr>
          <w:rFonts w:ascii="Times New Roman" w:hAnsi="Times New Roman" w:cs="Times New Roman"/>
          <w:sz w:val="20"/>
          <w:szCs w:val="20"/>
          <w:shd w:val="clear" w:color="auto" w:fill="FFFFFF"/>
        </w:rPr>
        <w:t>BIO RAD, USA</w:t>
      </w:r>
      <w:r w:rsidR="00572229">
        <w:rPr>
          <w:rFonts w:ascii="Times New Roman" w:hAnsi="Times New Roman" w:cs="Times New Roman"/>
          <w:sz w:val="20"/>
          <w:szCs w:val="20"/>
          <w:shd w:val="clear" w:color="auto" w:fill="FFFFFF"/>
        </w:rPr>
        <w:t xml:space="preserve"> </w:t>
      </w:r>
      <w:r w:rsidR="00136769" w:rsidRPr="00803F16">
        <w:rPr>
          <w:rFonts w:ascii="Times New Roman" w:hAnsi="Times New Roman" w:cs="Times New Roman"/>
          <w:sz w:val="20"/>
          <w:szCs w:val="20"/>
          <w:shd w:val="clear" w:color="auto" w:fill="FFFFFF"/>
        </w:rPr>
        <w:t>(</w:t>
      </w:r>
      <w:r w:rsidR="00136769" w:rsidRPr="00803F16">
        <w:rPr>
          <w:rFonts w:ascii="Times New Roman" w:hAnsi="Times New Roman" w:cs="Times New Roman"/>
          <w:bCs/>
          <w:sz w:val="20"/>
          <w:szCs w:val="20"/>
        </w:rPr>
        <w:t>Cat</w:t>
      </w:r>
      <w:r w:rsidR="00136769">
        <w:rPr>
          <w:rFonts w:ascii="Times New Roman" w:hAnsi="Times New Roman" w:cs="Times New Roman"/>
          <w:bCs/>
          <w:sz w:val="20"/>
          <w:szCs w:val="20"/>
        </w:rPr>
        <w:t>alog</w:t>
      </w:r>
      <w:r w:rsidR="00136769" w:rsidRPr="00803F16">
        <w:rPr>
          <w:rFonts w:ascii="Times New Roman" w:hAnsi="Times New Roman" w:cs="Times New Roman"/>
          <w:bCs/>
          <w:sz w:val="20"/>
          <w:szCs w:val="20"/>
        </w:rPr>
        <w:t># 665-2350, RRID:AB_2943332)</w:t>
      </w:r>
      <w:r w:rsidRPr="00572229">
        <w:rPr>
          <w:rFonts w:ascii="Times New Roman" w:hAnsi="Times New Roman" w:cs="Times New Roman"/>
          <w:sz w:val="20"/>
          <w:szCs w:val="20"/>
          <w:shd w:val="clear" w:color="auto" w:fill="FFFFFF"/>
        </w:rPr>
        <w:t xml:space="preserve">. </w:t>
      </w:r>
      <w:r w:rsidRPr="0019408A">
        <w:rPr>
          <w:rFonts w:ascii="Times New Roman" w:hAnsi="Times New Roman" w:cs="Times New Roman"/>
          <w:sz w:val="20"/>
          <w:szCs w:val="20"/>
          <w:shd w:val="clear" w:color="auto" w:fill="FFFFFF"/>
        </w:rPr>
        <w:t>A value above 15 U/ml was considered as positive.</w:t>
      </w:r>
    </w:p>
    <w:p w:rsidR="00E2203B" w:rsidRPr="00120E3A" w:rsidRDefault="00E2203B" w:rsidP="009B62BA">
      <w:pPr>
        <w:spacing w:line="480" w:lineRule="auto"/>
        <w:rPr>
          <w:rFonts w:ascii="Times New Roman" w:hAnsi="Times New Roman" w:cs="Times New Roman"/>
          <w:sz w:val="20"/>
          <w:szCs w:val="20"/>
          <w:shd w:val="clear" w:color="auto" w:fill="FFFFFF"/>
        </w:rPr>
      </w:pPr>
      <w:r w:rsidRPr="0019408A">
        <w:rPr>
          <w:rFonts w:ascii="Times New Roman" w:hAnsi="Times New Roman" w:cs="Times New Roman"/>
          <w:sz w:val="20"/>
          <w:szCs w:val="20"/>
        </w:rPr>
        <w:t>The results on CXCL11 were validated in 40 patient samples taken at baseline and 40 controls by immunoassay</w:t>
      </w:r>
      <w:r w:rsidR="00120E3A">
        <w:rPr>
          <w:rFonts w:ascii="Times New Roman" w:hAnsi="Times New Roman" w:cs="Times New Roman"/>
          <w:sz w:val="20"/>
          <w:szCs w:val="20"/>
        </w:rPr>
        <w:t xml:space="preserve">, </w:t>
      </w:r>
      <w:r w:rsidRPr="0019408A">
        <w:rPr>
          <w:rFonts w:ascii="Times New Roman" w:hAnsi="Times New Roman" w:cs="Times New Roman"/>
          <w:sz w:val="20"/>
          <w:szCs w:val="20"/>
        </w:rPr>
        <w:t xml:space="preserve">human I-TAC/CXCL11 ELISA kit, </w:t>
      </w:r>
      <w:proofErr w:type="spellStart"/>
      <w:r w:rsidRPr="0019408A">
        <w:rPr>
          <w:rFonts w:ascii="Times New Roman" w:hAnsi="Times New Roman" w:cs="Times New Roman"/>
          <w:sz w:val="20"/>
          <w:szCs w:val="20"/>
        </w:rPr>
        <w:t>Thermo</w:t>
      </w:r>
      <w:proofErr w:type="spellEnd"/>
      <w:r w:rsidR="00926F05" w:rsidRPr="0019408A">
        <w:rPr>
          <w:rFonts w:ascii="Times New Roman" w:hAnsi="Times New Roman" w:cs="Times New Roman"/>
          <w:sz w:val="20"/>
          <w:szCs w:val="20"/>
        </w:rPr>
        <w:t xml:space="preserve"> </w:t>
      </w:r>
      <w:r w:rsidRPr="0019408A">
        <w:rPr>
          <w:rFonts w:ascii="Times New Roman" w:hAnsi="Times New Roman" w:cs="Times New Roman"/>
          <w:sz w:val="20"/>
          <w:szCs w:val="20"/>
        </w:rPr>
        <w:t>Fischer</w:t>
      </w:r>
      <w:r w:rsidR="00DD104B" w:rsidRPr="0019408A">
        <w:rPr>
          <w:rFonts w:ascii="Times New Roman" w:hAnsi="Times New Roman" w:cs="Times New Roman"/>
          <w:sz w:val="20"/>
          <w:szCs w:val="20"/>
        </w:rPr>
        <w:t xml:space="preserve"> Scientific</w:t>
      </w:r>
      <w:r w:rsidR="00926F05" w:rsidRPr="0019408A">
        <w:rPr>
          <w:rFonts w:ascii="Times New Roman" w:hAnsi="Times New Roman" w:cs="Times New Roman"/>
          <w:sz w:val="20"/>
          <w:szCs w:val="20"/>
        </w:rPr>
        <w:t>, USA</w:t>
      </w:r>
      <w:r w:rsidR="00120E3A">
        <w:rPr>
          <w:rFonts w:ascii="Times New Roman" w:hAnsi="Times New Roman" w:cs="Times New Roman"/>
          <w:sz w:val="20"/>
          <w:szCs w:val="20"/>
        </w:rPr>
        <w:t xml:space="preserve"> (</w:t>
      </w:r>
      <w:r w:rsidR="00120E3A" w:rsidRPr="00120E3A">
        <w:rPr>
          <w:rFonts w:ascii="Times New Roman" w:hAnsi="Times New Roman" w:cs="Times New Roman"/>
          <w:bCs/>
          <w:color w:val="000000"/>
          <w:sz w:val="20"/>
          <w:szCs w:val="20"/>
        </w:rPr>
        <w:t>Cat</w:t>
      </w:r>
      <w:r w:rsidR="00572229">
        <w:rPr>
          <w:rFonts w:ascii="Times New Roman" w:hAnsi="Times New Roman" w:cs="Times New Roman"/>
          <w:bCs/>
          <w:color w:val="000000"/>
          <w:sz w:val="20"/>
          <w:szCs w:val="20"/>
        </w:rPr>
        <w:t>alog</w:t>
      </w:r>
      <w:r w:rsidR="00120E3A" w:rsidRPr="00120E3A">
        <w:rPr>
          <w:rFonts w:ascii="Times New Roman" w:hAnsi="Times New Roman" w:cs="Times New Roman"/>
          <w:bCs/>
          <w:color w:val="000000"/>
          <w:sz w:val="20"/>
          <w:szCs w:val="20"/>
        </w:rPr>
        <w:t># EHCXCL11X5, RRID:AB_2943055</w:t>
      </w:r>
      <w:r w:rsidR="00120E3A" w:rsidRPr="00120E3A">
        <w:rPr>
          <w:rFonts w:ascii="Arial" w:hAnsi="Arial" w:cs="Arial"/>
          <w:bCs/>
          <w:color w:val="000000"/>
          <w:sz w:val="20"/>
          <w:szCs w:val="20"/>
        </w:rPr>
        <w:t>)</w:t>
      </w:r>
      <w:r w:rsidRPr="00120E3A">
        <w:rPr>
          <w:rFonts w:ascii="Times New Roman" w:hAnsi="Times New Roman" w:cs="Times New Roman"/>
          <w:sz w:val="20"/>
          <w:szCs w:val="20"/>
        </w:rPr>
        <w:t xml:space="preserve">.   </w:t>
      </w:r>
    </w:p>
    <w:p w:rsidR="004A3C10" w:rsidRPr="0019408A" w:rsidRDefault="00026543" w:rsidP="009B62BA">
      <w:pPr>
        <w:spacing w:line="480" w:lineRule="auto"/>
        <w:rPr>
          <w:rFonts w:ascii="Times New Roman" w:hAnsi="Times New Roman" w:cs="Times New Roman"/>
          <w:b/>
          <w:sz w:val="20"/>
          <w:szCs w:val="20"/>
        </w:rPr>
      </w:pPr>
      <w:proofErr w:type="spellStart"/>
      <w:r w:rsidRPr="0019408A">
        <w:rPr>
          <w:rFonts w:ascii="Times New Roman" w:hAnsi="Times New Roman" w:cs="Times New Roman"/>
          <w:b/>
          <w:sz w:val="20"/>
          <w:szCs w:val="20"/>
        </w:rPr>
        <w:t>ThyP</w:t>
      </w:r>
      <w:r w:rsidR="005B6B27" w:rsidRPr="0019408A">
        <w:rPr>
          <w:rFonts w:ascii="Times New Roman" w:hAnsi="Times New Roman" w:cs="Times New Roman"/>
          <w:b/>
          <w:sz w:val="20"/>
          <w:szCs w:val="20"/>
        </w:rPr>
        <w:t>RO</w:t>
      </w:r>
      <w:proofErr w:type="spellEnd"/>
      <w:r w:rsidRPr="0019408A">
        <w:rPr>
          <w:rFonts w:ascii="Times New Roman" w:hAnsi="Times New Roman" w:cs="Times New Roman"/>
          <w:b/>
          <w:sz w:val="20"/>
          <w:szCs w:val="20"/>
        </w:rPr>
        <w:t xml:space="preserve"> Questionnaires</w:t>
      </w:r>
      <w:r w:rsidR="00433621" w:rsidRPr="0019408A">
        <w:rPr>
          <w:rFonts w:ascii="Times New Roman" w:hAnsi="Times New Roman" w:cs="Times New Roman"/>
          <w:b/>
          <w:sz w:val="20"/>
          <w:szCs w:val="20"/>
        </w:rPr>
        <w:t xml:space="preserve"> and reference data</w:t>
      </w:r>
    </w:p>
    <w:p w:rsidR="00026543" w:rsidRPr="0019408A" w:rsidRDefault="00433621" w:rsidP="009B62BA">
      <w:pPr>
        <w:spacing w:line="480" w:lineRule="auto"/>
        <w:rPr>
          <w:rFonts w:ascii="Times New Roman" w:hAnsi="Times New Roman" w:cs="Times New Roman"/>
          <w:sz w:val="20"/>
          <w:szCs w:val="20"/>
        </w:rPr>
      </w:pPr>
      <w:r w:rsidRPr="0019408A">
        <w:rPr>
          <w:rFonts w:ascii="Times New Roman" w:hAnsi="Times New Roman" w:cs="Times New Roman"/>
          <w:sz w:val="20"/>
          <w:szCs w:val="20"/>
        </w:rPr>
        <w:t xml:space="preserve">The </w:t>
      </w:r>
      <w:r w:rsidRPr="0019408A">
        <w:rPr>
          <w:rFonts w:ascii="Times New Roman" w:hAnsi="Times New Roman" w:cs="Times New Roman"/>
          <w:sz w:val="20"/>
          <w:szCs w:val="20"/>
          <w:shd w:val="clear" w:color="auto" w:fill="FFFFFF"/>
        </w:rPr>
        <w:t>thyroid-specific quality of life questionnaire (</w:t>
      </w:r>
      <w:proofErr w:type="spellStart"/>
      <w:r w:rsidRPr="0019408A">
        <w:rPr>
          <w:rFonts w:ascii="Times New Roman" w:hAnsi="Times New Roman" w:cs="Times New Roman"/>
          <w:sz w:val="20"/>
          <w:szCs w:val="20"/>
          <w:shd w:val="clear" w:color="auto" w:fill="FFFFFF"/>
        </w:rPr>
        <w:t>ThyPRO</w:t>
      </w:r>
      <w:proofErr w:type="spellEnd"/>
      <w:r w:rsidRPr="0019408A">
        <w:rPr>
          <w:rFonts w:ascii="Times New Roman" w:hAnsi="Times New Roman" w:cs="Times New Roman"/>
          <w:sz w:val="20"/>
          <w:szCs w:val="20"/>
          <w:shd w:val="clear" w:color="auto" w:fill="FFFFFF"/>
        </w:rPr>
        <w:t>) consists of 85 items summarized in 13 multi-item scales (</w:t>
      </w:r>
      <w:proofErr w:type="spellStart"/>
      <w:r w:rsidRPr="0019408A">
        <w:rPr>
          <w:rFonts w:ascii="Times New Roman" w:hAnsi="Times New Roman" w:cs="Times New Roman"/>
          <w:sz w:val="20"/>
          <w:szCs w:val="20"/>
          <w:shd w:val="clear" w:color="auto" w:fill="FFFFFF"/>
        </w:rPr>
        <w:t>Goitre</w:t>
      </w:r>
      <w:proofErr w:type="spellEnd"/>
      <w:r w:rsidRPr="0019408A">
        <w:rPr>
          <w:rFonts w:ascii="Times New Roman" w:hAnsi="Times New Roman" w:cs="Times New Roman"/>
          <w:sz w:val="20"/>
          <w:szCs w:val="20"/>
          <w:shd w:val="clear" w:color="auto" w:fill="FFFFFF"/>
        </w:rPr>
        <w:t xml:space="preserve"> Symptoms, Hyperthyroid Symptoms, Hypothyroid Symptoms, Eye Symptoms, Tiredness, Cognitive Complaints, Anxiety, </w:t>
      </w:r>
      <w:proofErr w:type="spellStart"/>
      <w:r w:rsidRPr="0019408A">
        <w:rPr>
          <w:rFonts w:ascii="Times New Roman" w:hAnsi="Times New Roman" w:cs="Times New Roman"/>
          <w:sz w:val="20"/>
          <w:szCs w:val="20"/>
          <w:shd w:val="clear" w:color="auto" w:fill="FFFFFF"/>
        </w:rPr>
        <w:t>Depressivity</w:t>
      </w:r>
      <w:proofErr w:type="spellEnd"/>
      <w:r w:rsidRPr="0019408A">
        <w:rPr>
          <w:rFonts w:ascii="Times New Roman" w:hAnsi="Times New Roman" w:cs="Times New Roman"/>
          <w:sz w:val="20"/>
          <w:szCs w:val="20"/>
          <w:shd w:val="clear" w:color="auto" w:fill="FFFFFF"/>
        </w:rPr>
        <w:t xml:space="preserve">, Emotional Susceptibility, Impaired Social Life, Impaired Daily Life, Impaired </w:t>
      </w:r>
      <w:proofErr w:type="spellStart"/>
      <w:r w:rsidRPr="0019408A">
        <w:rPr>
          <w:rFonts w:ascii="Times New Roman" w:hAnsi="Times New Roman" w:cs="Times New Roman"/>
          <w:sz w:val="20"/>
          <w:szCs w:val="20"/>
          <w:shd w:val="clear" w:color="auto" w:fill="FFFFFF"/>
        </w:rPr>
        <w:t>Sexlife</w:t>
      </w:r>
      <w:proofErr w:type="spellEnd"/>
      <w:r w:rsidRPr="0019408A">
        <w:rPr>
          <w:rFonts w:ascii="Times New Roman" w:hAnsi="Times New Roman" w:cs="Times New Roman"/>
          <w:sz w:val="20"/>
          <w:szCs w:val="20"/>
          <w:shd w:val="clear" w:color="auto" w:fill="FFFFFF"/>
        </w:rPr>
        <w:t xml:space="preserve">, Cosmetic Complaints), as well as the single-item scale Overall Quality of Life. </w:t>
      </w:r>
      <w:r w:rsidR="00E955DE" w:rsidRPr="0019408A">
        <w:rPr>
          <w:rFonts w:ascii="Times New Roman" w:hAnsi="Times New Roman" w:cs="Times New Roman"/>
          <w:sz w:val="20"/>
          <w:szCs w:val="20"/>
          <w:shd w:val="clear" w:color="auto" w:fill="FFFFFF"/>
        </w:rPr>
        <w:t>In addition, a composite score, summarizing the above mentioned</w:t>
      </w:r>
      <w:r w:rsidR="00A16916" w:rsidRPr="0019408A">
        <w:rPr>
          <w:rFonts w:ascii="Times New Roman" w:hAnsi="Times New Roman" w:cs="Times New Roman"/>
          <w:sz w:val="20"/>
          <w:szCs w:val="20"/>
          <w:shd w:val="clear" w:color="auto" w:fill="FFFFFF"/>
        </w:rPr>
        <w:t xml:space="preserve"> scales </w:t>
      </w:r>
      <w:r w:rsidRPr="0019408A">
        <w:rPr>
          <w:rFonts w:ascii="Times New Roman" w:hAnsi="Times New Roman" w:cs="Times New Roman"/>
          <w:sz w:val="20"/>
          <w:szCs w:val="20"/>
          <w:shd w:val="clear" w:color="auto" w:fill="FFFFFF"/>
        </w:rPr>
        <w:t>can be</w:t>
      </w:r>
      <w:r w:rsidR="00A16916" w:rsidRPr="0019408A">
        <w:rPr>
          <w:rFonts w:ascii="Times New Roman" w:hAnsi="Times New Roman" w:cs="Times New Roman"/>
          <w:sz w:val="20"/>
          <w:szCs w:val="20"/>
          <w:shd w:val="clear" w:color="auto" w:fill="FFFFFF"/>
        </w:rPr>
        <w:t xml:space="preserve"> made. Each item is rated on a five-point scale and transformed to 0-100 scales, with higher score indicating more </w:t>
      </w:r>
      <w:r w:rsidRPr="0019408A">
        <w:rPr>
          <w:rFonts w:ascii="Times New Roman" w:hAnsi="Times New Roman" w:cs="Times New Roman"/>
          <w:sz w:val="20"/>
          <w:szCs w:val="20"/>
          <w:shd w:val="clear" w:color="auto" w:fill="FFFFFF"/>
        </w:rPr>
        <w:t>health impact</w:t>
      </w:r>
      <w:r w:rsidR="00A16916" w:rsidRPr="0019408A">
        <w:rPr>
          <w:rFonts w:ascii="Times New Roman" w:hAnsi="Times New Roman" w:cs="Times New Roman"/>
          <w:sz w:val="20"/>
          <w:szCs w:val="20"/>
          <w:shd w:val="clear" w:color="auto" w:fill="FFFFFF"/>
        </w:rPr>
        <w:t xml:space="preserve"> </w:t>
      </w:r>
      <w:r w:rsidR="00A16916" w:rsidRPr="0019408A">
        <w:rPr>
          <w:rFonts w:ascii="Times New Roman" w:hAnsi="Times New Roman" w:cs="Times New Roman"/>
          <w:sz w:val="20"/>
          <w:szCs w:val="20"/>
          <w:shd w:val="clear" w:color="auto" w:fill="FFFFFF"/>
        </w:rPr>
        <w:fldChar w:fldCharType="begin">
          <w:fldData xml:space="preserve">PEVuZE5vdGU+PENpdGU+PEF1dGhvcj5Uw7ZycmluZzwvQXV0aG9yPjxZZWFyPjIwMTk8L1llYXI+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==
</w:fldData>
        </w:fldChar>
      </w:r>
      <w:r w:rsidR="00DD5E67" w:rsidRPr="0019408A">
        <w:rPr>
          <w:rFonts w:ascii="Times New Roman" w:hAnsi="Times New Roman" w:cs="Times New Roman"/>
          <w:sz w:val="20"/>
          <w:szCs w:val="20"/>
          <w:shd w:val="clear" w:color="auto" w:fill="FFFFFF"/>
        </w:rPr>
        <w:instrText xml:space="preserve"> ADDIN EN.CITE </w:instrText>
      </w:r>
      <w:r w:rsidR="00DD5E67" w:rsidRPr="0019408A">
        <w:rPr>
          <w:rFonts w:ascii="Times New Roman" w:hAnsi="Times New Roman" w:cs="Times New Roman"/>
          <w:sz w:val="20"/>
          <w:szCs w:val="20"/>
          <w:shd w:val="clear" w:color="auto" w:fill="FFFFFF"/>
        </w:rPr>
        <w:fldChar w:fldCharType="begin">
          <w:fldData xml:space="preserve">PEVuZE5vdGU+PENpdGU+PEF1dGhvcj5Uw7ZycmluZzwvQXV0aG9yPjxZZWFyPjIwMTk8L1llYXI+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==
</w:fldData>
        </w:fldChar>
      </w:r>
      <w:r w:rsidR="00DD5E67" w:rsidRPr="0019408A">
        <w:rPr>
          <w:rFonts w:ascii="Times New Roman" w:hAnsi="Times New Roman" w:cs="Times New Roman"/>
          <w:sz w:val="20"/>
          <w:szCs w:val="20"/>
          <w:shd w:val="clear" w:color="auto" w:fill="FFFFFF"/>
        </w:rPr>
        <w:instrText xml:space="preserve"> ADDIN EN.CITE.DATA </w:instrText>
      </w:r>
      <w:r w:rsidR="00DD5E67" w:rsidRPr="0019408A">
        <w:rPr>
          <w:rFonts w:ascii="Times New Roman" w:hAnsi="Times New Roman" w:cs="Times New Roman"/>
          <w:sz w:val="20"/>
          <w:szCs w:val="20"/>
          <w:shd w:val="clear" w:color="auto" w:fill="FFFFFF"/>
        </w:rPr>
      </w:r>
      <w:r w:rsidR="00DD5E67" w:rsidRPr="0019408A">
        <w:rPr>
          <w:rFonts w:ascii="Times New Roman" w:hAnsi="Times New Roman" w:cs="Times New Roman"/>
          <w:sz w:val="20"/>
          <w:szCs w:val="20"/>
          <w:shd w:val="clear" w:color="auto" w:fill="FFFFFF"/>
        </w:rPr>
        <w:fldChar w:fldCharType="end"/>
      </w:r>
      <w:r w:rsidR="00A16916" w:rsidRPr="0019408A">
        <w:rPr>
          <w:rFonts w:ascii="Times New Roman" w:hAnsi="Times New Roman" w:cs="Times New Roman"/>
          <w:sz w:val="20"/>
          <w:szCs w:val="20"/>
          <w:shd w:val="clear" w:color="auto" w:fill="FFFFFF"/>
        </w:rPr>
      </w:r>
      <w:r w:rsidR="00A16916" w:rsidRPr="0019408A">
        <w:rPr>
          <w:rFonts w:ascii="Times New Roman" w:hAnsi="Times New Roman" w:cs="Times New Roman"/>
          <w:sz w:val="20"/>
          <w:szCs w:val="20"/>
          <w:shd w:val="clear" w:color="auto" w:fill="FFFFFF"/>
        </w:rPr>
        <w:fldChar w:fldCharType="separate"/>
      </w:r>
      <w:r w:rsidR="00DD5E67" w:rsidRPr="0019408A">
        <w:rPr>
          <w:rFonts w:ascii="Times New Roman" w:hAnsi="Times New Roman" w:cs="Times New Roman"/>
          <w:noProof/>
          <w:sz w:val="20"/>
          <w:szCs w:val="20"/>
          <w:shd w:val="clear" w:color="auto" w:fill="FFFFFF"/>
        </w:rPr>
        <w:t>(1)</w:t>
      </w:r>
      <w:r w:rsidR="00A16916" w:rsidRPr="0019408A">
        <w:rPr>
          <w:rFonts w:ascii="Times New Roman" w:hAnsi="Times New Roman" w:cs="Times New Roman"/>
          <w:sz w:val="20"/>
          <w:szCs w:val="20"/>
          <w:shd w:val="clear" w:color="auto" w:fill="FFFFFF"/>
        </w:rPr>
        <w:fldChar w:fldCharType="end"/>
      </w:r>
      <w:r w:rsidR="00A16916" w:rsidRPr="0019408A">
        <w:rPr>
          <w:rFonts w:ascii="Times New Roman" w:hAnsi="Times New Roman" w:cs="Times New Roman"/>
          <w:sz w:val="20"/>
          <w:szCs w:val="20"/>
          <w:shd w:val="clear" w:color="auto" w:fill="FFFFFF"/>
        </w:rPr>
        <w:t>.</w:t>
      </w:r>
      <w:r w:rsidR="00652544" w:rsidRPr="0019408A">
        <w:rPr>
          <w:rFonts w:ascii="Times New Roman" w:hAnsi="Times New Roman" w:cs="Times New Roman"/>
          <w:sz w:val="20"/>
          <w:szCs w:val="20"/>
          <w:shd w:val="clear" w:color="auto" w:fill="FFFFFF"/>
        </w:rPr>
        <w:t xml:space="preserve"> </w:t>
      </w:r>
      <w:proofErr w:type="spellStart"/>
      <w:r w:rsidR="00652544" w:rsidRPr="0019408A">
        <w:rPr>
          <w:rFonts w:ascii="Times New Roman" w:hAnsi="Times New Roman" w:cs="Times New Roman"/>
          <w:sz w:val="20"/>
          <w:szCs w:val="20"/>
          <w:shd w:val="clear" w:color="auto" w:fill="FFFFFF"/>
        </w:rPr>
        <w:t>ThyP</w:t>
      </w:r>
      <w:r w:rsidR="00C07876" w:rsidRPr="0019408A">
        <w:rPr>
          <w:rFonts w:ascii="Times New Roman" w:hAnsi="Times New Roman" w:cs="Times New Roman"/>
          <w:sz w:val="20"/>
          <w:szCs w:val="20"/>
          <w:shd w:val="clear" w:color="auto" w:fill="FFFFFF"/>
        </w:rPr>
        <w:t>RO</w:t>
      </w:r>
      <w:proofErr w:type="spellEnd"/>
      <w:r w:rsidR="00652544" w:rsidRPr="0019408A">
        <w:rPr>
          <w:rFonts w:ascii="Times New Roman" w:hAnsi="Times New Roman" w:cs="Times New Roman"/>
          <w:sz w:val="20"/>
          <w:szCs w:val="20"/>
          <w:shd w:val="clear" w:color="auto" w:fill="FFFFFF"/>
        </w:rPr>
        <w:t xml:space="preserve"> reference data </w:t>
      </w:r>
      <w:r w:rsidRPr="0019408A">
        <w:rPr>
          <w:rFonts w:ascii="Times New Roman" w:hAnsi="Times New Roman" w:cs="Times New Roman"/>
          <w:sz w:val="20"/>
          <w:szCs w:val="20"/>
          <w:shd w:val="clear" w:color="auto" w:fill="FFFFFF"/>
        </w:rPr>
        <w:t>were</w:t>
      </w:r>
      <w:r w:rsidR="00652544" w:rsidRPr="0019408A">
        <w:rPr>
          <w:rFonts w:ascii="Times New Roman" w:hAnsi="Times New Roman" w:cs="Times New Roman"/>
          <w:sz w:val="20"/>
          <w:szCs w:val="20"/>
          <w:shd w:val="clear" w:color="auto" w:fill="FFFFFF"/>
        </w:rPr>
        <w:t xml:space="preserve"> generated based on a random sample of 1200 adult Danish citizens who received an invitation to participate, using the Danish Civil Registration System. The sex-distribution of the samples (80% women) was chosen to resemble the sex distribution of </w:t>
      </w:r>
      <w:r w:rsidRPr="0019408A">
        <w:rPr>
          <w:rFonts w:ascii="Times New Roman" w:hAnsi="Times New Roman" w:cs="Times New Roman"/>
          <w:sz w:val="20"/>
          <w:szCs w:val="20"/>
          <w:shd w:val="clear" w:color="auto" w:fill="FFFFFF"/>
        </w:rPr>
        <w:t xml:space="preserve">patients with </w:t>
      </w:r>
      <w:r w:rsidR="00652544" w:rsidRPr="0019408A">
        <w:rPr>
          <w:rFonts w:ascii="Times New Roman" w:hAnsi="Times New Roman" w:cs="Times New Roman"/>
          <w:sz w:val="20"/>
          <w:szCs w:val="20"/>
          <w:shd w:val="clear" w:color="auto" w:fill="FFFFFF"/>
        </w:rPr>
        <w:t>benign thyroid disease.</w:t>
      </w:r>
      <w:r w:rsidR="00E65877" w:rsidRPr="0019408A">
        <w:rPr>
          <w:rFonts w:ascii="Times New Roman" w:hAnsi="Times New Roman" w:cs="Times New Roman"/>
          <w:sz w:val="20"/>
          <w:szCs w:val="20"/>
          <w:shd w:val="clear" w:color="auto" w:fill="FFFFFF"/>
        </w:rPr>
        <w:t xml:space="preserve"> The questionnaires </w:t>
      </w:r>
      <w:r w:rsidR="0051390E" w:rsidRPr="0019408A">
        <w:rPr>
          <w:rFonts w:ascii="Times New Roman" w:hAnsi="Times New Roman" w:cs="Times New Roman"/>
          <w:sz w:val="20"/>
          <w:szCs w:val="20"/>
          <w:shd w:val="clear" w:color="auto" w:fill="FFFFFF"/>
        </w:rPr>
        <w:t xml:space="preserve">that were </w:t>
      </w:r>
      <w:r w:rsidR="0027188A" w:rsidRPr="0019408A">
        <w:rPr>
          <w:rFonts w:ascii="Times New Roman" w:hAnsi="Times New Roman" w:cs="Times New Roman"/>
          <w:sz w:val="20"/>
          <w:szCs w:val="20"/>
          <w:shd w:val="clear" w:color="auto" w:fill="FFFFFF"/>
        </w:rPr>
        <w:t>sent to</w:t>
      </w:r>
      <w:r w:rsidR="00E65877" w:rsidRPr="0019408A">
        <w:rPr>
          <w:rFonts w:ascii="Times New Roman" w:hAnsi="Times New Roman" w:cs="Times New Roman"/>
          <w:sz w:val="20"/>
          <w:szCs w:val="20"/>
          <w:shd w:val="clear" w:color="auto" w:fill="FFFFFF"/>
        </w:rPr>
        <w:t xml:space="preserve"> </w:t>
      </w:r>
      <w:r w:rsidR="00F02313" w:rsidRPr="0019408A">
        <w:rPr>
          <w:rFonts w:ascii="Times New Roman" w:hAnsi="Times New Roman" w:cs="Times New Roman"/>
          <w:sz w:val="20"/>
          <w:szCs w:val="20"/>
          <w:shd w:val="clear" w:color="auto" w:fill="FFFFFF"/>
        </w:rPr>
        <w:t>participants</w:t>
      </w:r>
      <w:r w:rsidR="00E65877" w:rsidRPr="0019408A">
        <w:rPr>
          <w:rFonts w:ascii="Times New Roman" w:hAnsi="Times New Roman" w:cs="Times New Roman"/>
          <w:sz w:val="20"/>
          <w:szCs w:val="20"/>
          <w:shd w:val="clear" w:color="auto" w:fill="FFFFFF"/>
        </w:rPr>
        <w:t xml:space="preserve"> included nine of the symptom scale, excluding those that are</w:t>
      </w:r>
      <w:r w:rsidR="0051390E" w:rsidRPr="0019408A">
        <w:rPr>
          <w:rFonts w:ascii="Times New Roman" w:hAnsi="Times New Roman" w:cs="Times New Roman"/>
          <w:sz w:val="20"/>
          <w:szCs w:val="20"/>
          <w:shd w:val="clear" w:color="auto" w:fill="FFFFFF"/>
        </w:rPr>
        <w:t xml:space="preserve"> asked with attribution to</w:t>
      </w:r>
      <w:r w:rsidR="00E65877" w:rsidRPr="0019408A">
        <w:rPr>
          <w:rFonts w:ascii="Times New Roman" w:hAnsi="Times New Roman" w:cs="Times New Roman"/>
          <w:sz w:val="20"/>
          <w:szCs w:val="20"/>
          <w:shd w:val="clear" w:color="auto" w:fill="FFFFFF"/>
        </w:rPr>
        <w:t xml:space="preserve"> thyroid </w:t>
      </w:r>
      <w:r w:rsidR="0051390E" w:rsidRPr="0019408A">
        <w:rPr>
          <w:rFonts w:ascii="Times New Roman" w:hAnsi="Times New Roman" w:cs="Times New Roman"/>
          <w:sz w:val="20"/>
          <w:szCs w:val="20"/>
          <w:shd w:val="clear" w:color="auto" w:fill="FFFFFF"/>
        </w:rPr>
        <w:t>disease</w:t>
      </w:r>
      <w:r w:rsidR="00F62765" w:rsidRPr="0019408A">
        <w:rPr>
          <w:rFonts w:ascii="Times New Roman" w:hAnsi="Times New Roman" w:cs="Times New Roman"/>
          <w:sz w:val="20"/>
          <w:szCs w:val="20"/>
          <w:shd w:val="clear" w:color="auto" w:fill="FFFFFF"/>
        </w:rPr>
        <w:t xml:space="preserve">. The participants were also asked about comorbidity and medication use. </w:t>
      </w:r>
      <w:r w:rsidR="00673D12" w:rsidRPr="0019408A">
        <w:rPr>
          <w:rFonts w:ascii="Times New Roman" w:hAnsi="Times New Roman" w:cs="Times New Roman"/>
          <w:sz w:val="20"/>
          <w:szCs w:val="20"/>
          <w:shd w:val="clear" w:color="auto" w:fill="FFFFFF"/>
        </w:rPr>
        <w:t xml:space="preserve">A total of 754 participants completed the survey. </w:t>
      </w:r>
      <w:r w:rsidR="00F62765" w:rsidRPr="0019408A">
        <w:rPr>
          <w:rFonts w:ascii="Times New Roman" w:hAnsi="Times New Roman" w:cs="Times New Roman"/>
          <w:sz w:val="20"/>
          <w:szCs w:val="20"/>
          <w:shd w:val="clear" w:color="auto" w:fill="FFFFFF"/>
        </w:rPr>
        <w:t xml:space="preserve">Responders with cancer and thyroid disease were excluded </w:t>
      </w:r>
      <w:r w:rsidR="00F62765" w:rsidRPr="0019408A">
        <w:rPr>
          <w:rFonts w:ascii="Times New Roman" w:hAnsi="Times New Roman" w:cs="Times New Roman"/>
          <w:sz w:val="20"/>
          <w:szCs w:val="20"/>
          <w:shd w:val="clear" w:color="auto" w:fill="FFFFFF"/>
        </w:rPr>
        <w:fldChar w:fldCharType="begin">
          <w:fldData xml:space="preserve">PEVuZE5vdGU+PENpdGU+PEF1dGhvcj5DcmFtb248L0F1dGhvcj48WWVhcj4yMDE1PC9ZZWFyPjxS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</w:fldData>
        </w:fldChar>
      </w:r>
      <w:r w:rsidR="00DD5E67" w:rsidRPr="0019408A">
        <w:rPr>
          <w:rFonts w:ascii="Times New Roman" w:hAnsi="Times New Roman" w:cs="Times New Roman"/>
          <w:sz w:val="20"/>
          <w:szCs w:val="20"/>
          <w:shd w:val="clear" w:color="auto" w:fill="FFFFFF"/>
        </w:rPr>
        <w:instrText xml:space="preserve"> ADDIN EN.CITE </w:instrText>
      </w:r>
      <w:r w:rsidR="00DD5E67" w:rsidRPr="0019408A">
        <w:rPr>
          <w:rFonts w:ascii="Times New Roman" w:hAnsi="Times New Roman" w:cs="Times New Roman"/>
          <w:sz w:val="20"/>
          <w:szCs w:val="20"/>
          <w:shd w:val="clear" w:color="auto" w:fill="FFFFFF"/>
        </w:rPr>
        <w:fldChar w:fldCharType="begin">
          <w:fldData xml:space="preserve">PEVuZE5vdGU+PENpdGU+PEF1dGhvcj5DcmFtb248L0F1dGhvcj48WWVhcj4yMDE1PC9ZZWFyPjxS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</w:fldData>
        </w:fldChar>
      </w:r>
      <w:r w:rsidR="00DD5E67" w:rsidRPr="0019408A">
        <w:rPr>
          <w:rFonts w:ascii="Times New Roman" w:hAnsi="Times New Roman" w:cs="Times New Roman"/>
          <w:sz w:val="20"/>
          <w:szCs w:val="20"/>
          <w:shd w:val="clear" w:color="auto" w:fill="FFFFFF"/>
        </w:rPr>
        <w:instrText xml:space="preserve"> ADDIN EN.CITE.DATA </w:instrText>
      </w:r>
      <w:r w:rsidR="00DD5E67" w:rsidRPr="0019408A">
        <w:rPr>
          <w:rFonts w:ascii="Times New Roman" w:hAnsi="Times New Roman" w:cs="Times New Roman"/>
          <w:sz w:val="20"/>
          <w:szCs w:val="20"/>
          <w:shd w:val="clear" w:color="auto" w:fill="FFFFFF"/>
        </w:rPr>
      </w:r>
      <w:r w:rsidR="00DD5E67" w:rsidRPr="0019408A">
        <w:rPr>
          <w:rFonts w:ascii="Times New Roman" w:hAnsi="Times New Roman" w:cs="Times New Roman"/>
          <w:sz w:val="20"/>
          <w:szCs w:val="20"/>
          <w:shd w:val="clear" w:color="auto" w:fill="FFFFFF"/>
        </w:rPr>
        <w:fldChar w:fldCharType="end"/>
      </w:r>
      <w:r w:rsidR="00F62765" w:rsidRPr="0019408A">
        <w:rPr>
          <w:rFonts w:ascii="Times New Roman" w:hAnsi="Times New Roman" w:cs="Times New Roman"/>
          <w:sz w:val="20"/>
          <w:szCs w:val="20"/>
          <w:shd w:val="clear" w:color="auto" w:fill="FFFFFF"/>
        </w:rPr>
      </w:r>
      <w:r w:rsidR="00F62765" w:rsidRPr="0019408A">
        <w:rPr>
          <w:rFonts w:ascii="Times New Roman" w:hAnsi="Times New Roman" w:cs="Times New Roman"/>
          <w:sz w:val="20"/>
          <w:szCs w:val="20"/>
          <w:shd w:val="clear" w:color="auto" w:fill="FFFFFF"/>
        </w:rPr>
        <w:fldChar w:fldCharType="separate"/>
      </w:r>
      <w:r w:rsidR="00DD5E67" w:rsidRPr="0019408A">
        <w:rPr>
          <w:rFonts w:ascii="Times New Roman" w:hAnsi="Times New Roman" w:cs="Times New Roman"/>
          <w:noProof/>
          <w:sz w:val="20"/>
          <w:szCs w:val="20"/>
          <w:shd w:val="clear" w:color="auto" w:fill="FFFFFF"/>
        </w:rPr>
        <w:t>(2)</w:t>
      </w:r>
      <w:r w:rsidR="00F62765" w:rsidRPr="0019408A">
        <w:rPr>
          <w:rFonts w:ascii="Times New Roman" w:hAnsi="Times New Roman" w:cs="Times New Roman"/>
          <w:sz w:val="20"/>
          <w:szCs w:val="20"/>
          <w:shd w:val="clear" w:color="auto" w:fill="FFFFFF"/>
        </w:rPr>
        <w:fldChar w:fldCharType="end"/>
      </w:r>
      <w:r w:rsidR="00673D12" w:rsidRPr="0019408A">
        <w:rPr>
          <w:rFonts w:ascii="Times New Roman" w:hAnsi="Times New Roman" w:cs="Times New Roman"/>
          <w:sz w:val="20"/>
          <w:szCs w:val="20"/>
          <w:shd w:val="clear" w:color="auto" w:fill="FFFFFF"/>
        </w:rPr>
        <w:t xml:space="preserve">, leaving </w:t>
      </w:r>
      <w:proofErr w:type="spellStart"/>
      <w:r w:rsidR="00673D12" w:rsidRPr="0019408A">
        <w:rPr>
          <w:rFonts w:ascii="Times New Roman" w:hAnsi="Times New Roman" w:cs="Times New Roman"/>
          <w:sz w:val="20"/>
          <w:szCs w:val="20"/>
          <w:shd w:val="clear" w:color="auto" w:fill="FFFFFF"/>
        </w:rPr>
        <w:t>ThyPRO</w:t>
      </w:r>
      <w:proofErr w:type="spellEnd"/>
      <w:r w:rsidR="00673D12" w:rsidRPr="0019408A">
        <w:rPr>
          <w:rFonts w:ascii="Times New Roman" w:hAnsi="Times New Roman" w:cs="Times New Roman"/>
          <w:sz w:val="20"/>
          <w:szCs w:val="20"/>
          <w:shd w:val="clear" w:color="auto" w:fill="FFFFFF"/>
        </w:rPr>
        <w:t xml:space="preserve"> data for 7</w:t>
      </w:r>
      <w:r w:rsidR="00CF1E4E" w:rsidRPr="0019408A">
        <w:rPr>
          <w:rFonts w:ascii="Times New Roman" w:hAnsi="Times New Roman" w:cs="Times New Roman"/>
          <w:sz w:val="20"/>
          <w:szCs w:val="20"/>
          <w:shd w:val="clear" w:color="auto" w:fill="FFFFFF"/>
        </w:rPr>
        <w:t>07</w:t>
      </w:r>
      <w:r w:rsidR="00673D12" w:rsidRPr="0019408A">
        <w:rPr>
          <w:rFonts w:ascii="Times New Roman" w:hAnsi="Times New Roman" w:cs="Times New Roman"/>
          <w:sz w:val="20"/>
          <w:szCs w:val="20"/>
          <w:shd w:val="clear" w:color="auto" w:fill="FFFFFF"/>
        </w:rPr>
        <w:t xml:space="preserve"> respondents as reference data in the present study.</w:t>
      </w:r>
    </w:p>
    <w:p w:rsidR="00422775" w:rsidRPr="0019408A" w:rsidRDefault="004649A9" w:rsidP="00422775">
      <w:pPr>
        <w:rPr>
          <w:rFonts w:ascii="Times New Roman" w:hAnsi="Times New Roman" w:cs="Times New Roman"/>
          <w:b/>
          <w:sz w:val="20"/>
          <w:szCs w:val="20"/>
        </w:rPr>
      </w:pPr>
      <w:r w:rsidRPr="0019408A">
        <w:rPr>
          <w:rFonts w:ascii="Times New Roman" w:hAnsi="Times New Roman" w:cs="Times New Roman"/>
          <w:b/>
          <w:sz w:val="20"/>
          <w:szCs w:val="20"/>
        </w:rPr>
        <w:t>S</w:t>
      </w:r>
      <w:r w:rsidR="000855C4" w:rsidRPr="0019408A">
        <w:rPr>
          <w:rFonts w:ascii="Times New Roman" w:hAnsi="Times New Roman" w:cs="Times New Roman"/>
          <w:b/>
          <w:sz w:val="20"/>
          <w:szCs w:val="20"/>
        </w:rPr>
        <w:t>tatistics</w:t>
      </w:r>
    </w:p>
    <w:p w:rsidR="000855C4" w:rsidRPr="0019408A" w:rsidRDefault="000855C4" w:rsidP="00445E25">
      <w:pPr>
        <w:spacing w:line="480" w:lineRule="auto"/>
        <w:rPr>
          <w:rFonts w:ascii="Times New Roman" w:hAnsi="Times New Roman" w:cs="Times New Roman"/>
          <w:b/>
          <w:sz w:val="20"/>
          <w:szCs w:val="20"/>
        </w:rPr>
      </w:pPr>
      <w:r w:rsidRPr="0019408A">
        <w:rPr>
          <w:rFonts w:ascii="Times New Roman" w:hAnsi="Times New Roman" w:cs="Times New Roman"/>
          <w:sz w:val="20"/>
          <w:szCs w:val="20"/>
          <w:shd w:val="clear" w:color="auto" w:fill="FFFFFF"/>
        </w:rPr>
        <w:t xml:space="preserve">For biomarker analyses </w:t>
      </w:r>
      <w:r w:rsidRPr="0019408A">
        <w:rPr>
          <w:rFonts w:ascii="Times New Roman" w:hAnsi="Times New Roman" w:cs="Times New Roman"/>
          <w:sz w:val="20"/>
          <w:szCs w:val="20"/>
        </w:rPr>
        <w:t>NPX values below limit of detection (LOD) were set as LOD. Biomarkers with &gt; 50 % of the values below LOD (n=18) were not included in further analysis.</w:t>
      </w:r>
    </w:p>
    <w:p w:rsidR="000855C4" w:rsidRPr="0019408A" w:rsidRDefault="000855C4" w:rsidP="00252433">
      <w:pPr>
        <w:spacing w:line="480" w:lineRule="auto"/>
        <w:rPr>
          <w:rFonts w:ascii="Times New Roman" w:hAnsi="Times New Roman" w:cs="Times New Roman"/>
          <w:sz w:val="20"/>
          <w:szCs w:val="20"/>
        </w:rPr>
      </w:pPr>
      <w:r w:rsidRPr="0019408A">
        <w:rPr>
          <w:rFonts w:ascii="Times New Roman" w:hAnsi="Times New Roman" w:cs="Times New Roman"/>
          <w:sz w:val="20"/>
          <w:szCs w:val="20"/>
        </w:rPr>
        <w:t>Principal component analyses (PCA) w</w:t>
      </w:r>
      <w:r w:rsidR="00673D12" w:rsidRPr="0019408A">
        <w:rPr>
          <w:rFonts w:ascii="Times New Roman" w:hAnsi="Times New Roman" w:cs="Times New Roman"/>
          <w:sz w:val="20"/>
          <w:szCs w:val="20"/>
        </w:rPr>
        <w:t>ere</w:t>
      </w:r>
      <w:r w:rsidRPr="0019408A">
        <w:rPr>
          <w:rFonts w:ascii="Times New Roman" w:hAnsi="Times New Roman" w:cs="Times New Roman"/>
          <w:sz w:val="20"/>
          <w:szCs w:val="20"/>
        </w:rPr>
        <w:t xml:space="preserve"> performed on mean-centered and unit variance scaled data with the </w:t>
      </w:r>
      <w:proofErr w:type="spellStart"/>
      <w:r w:rsidRPr="0019408A">
        <w:rPr>
          <w:rFonts w:ascii="Times New Roman" w:hAnsi="Times New Roman" w:cs="Times New Roman"/>
          <w:sz w:val="20"/>
          <w:szCs w:val="20"/>
        </w:rPr>
        <w:t>ropls</w:t>
      </w:r>
      <w:proofErr w:type="spellEnd"/>
      <w:r w:rsidRPr="0019408A">
        <w:rPr>
          <w:rFonts w:ascii="Times New Roman" w:hAnsi="Times New Roman" w:cs="Times New Roman"/>
          <w:sz w:val="20"/>
          <w:szCs w:val="20"/>
        </w:rPr>
        <w:t xml:space="preserve"> package (v1</w:t>
      </w:r>
      <w:r w:rsidR="00F85240" w:rsidRPr="0019408A">
        <w:rPr>
          <w:rFonts w:ascii="Times New Roman" w:hAnsi="Times New Roman" w:cs="Times New Roman"/>
          <w:sz w:val="20"/>
          <w:szCs w:val="20"/>
        </w:rPr>
        <w:t>.</w:t>
      </w:r>
      <w:r w:rsidRPr="0019408A">
        <w:rPr>
          <w:rFonts w:ascii="Times New Roman" w:hAnsi="Times New Roman" w:cs="Times New Roman"/>
          <w:sz w:val="20"/>
          <w:szCs w:val="20"/>
        </w:rPr>
        <w:t>28</w:t>
      </w:r>
      <w:r w:rsidR="00F85240" w:rsidRPr="0019408A">
        <w:rPr>
          <w:rFonts w:ascii="Times New Roman" w:hAnsi="Times New Roman" w:cs="Times New Roman"/>
          <w:sz w:val="20"/>
          <w:szCs w:val="20"/>
        </w:rPr>
        <w:t>.</w:t>
      </w:r>
      <w:r w:rsidRPr="0019408A">
        <w:rPr>
          <w:rFonts w:ascii="Times New Roman" w:hAnsi="Times New Roman" w:cs="Times New Roman"/>
          <w:sz w:val="20"/>
          <w:szCs w:val="20"/>
        </w:rPr>
        <w:t>2)</w:t>
      </w:r>
      <w:r w:rsidRPr="0019408A">
        <w:rPr>
          <w:rFonts w:ascii="Times New Roman" w:hAnsi="Times New Roman" w:cs="Times New Roman"/>
          <w:sz w:val="20"/>
          <w:szCs w:val="20"/>
        </w:rPr>
        <w:fldChar w:fldCharType="begin"/>
      </w:r>
      <w:r w:rsidR="00DD5E67" w:rsidRPr="0019408A">
        <w:rPr>
          <w:rFonts w:ascii="Times New Roman" w:hAnsi="Times New Roman" w:cs="Times New Roman"/>
          <w:sz w:val="20"/>
          <w:szCs w:val="20"/>
        </w:rPr>
        <w:instrText xml:space="preserve"> ADDIN EN.CITE &lt;EndNote&gt;&lt;Cite&gt;&lt;Author&gt;Thévenot&lt;/Author&gt;&lt;Year&gt;2015&lt;/Year&gt;&lt;RecNum&gt;370&lt;/RecNum&gt;&lt;DisplayText&gt;(3)&lt;/DisplayText&gt;&lt;record&gt;&lt;rec-number&gt;370&lt;/rec-number&gt;&lt;foreign-keys&gt;&lt;key app="EN" db-id="vrvxde0t4vavthee25dx0w25p9x29faeefta" timestamp="1669893938"&gt;370&lt;/key&gt;&lt;/foreign-keys&gt;&lt;ref-type name="Journal Article"&gt;17&lt;/ref-type&gt;&lt;contributors&gt;&lt;authors&gt;&lt;author&gt;Thévenot, Etienne A.&lt;/author&gt;&lt;author&gt;Roux, Aurélie&lt;/author&gt;&lt;author&gt;Xu, Ying&lt;/author&gt;&lt;author&gt;Ezan, Eric&lt;/author&gt;&lt;author&gt;Junot, Christophe&lt;/author&gt;&lt;/authors&gt;&lt;/contributors&gt;&lt;titles&gt;&lt;title&gt;Analysis of the Human Adult Urinary Metabolome Variations with Age, Body Mass Index, and Gender by Implementing a Comprehensive Workflow for Univariate and OPLS Statistical Analyses&lt;/title&gt;&lt;secondary-title&gt;Journal of Proteome Research&lt;/secondary-title&gt;&lt;/titles&gt;&lt;periodical&gt;&lt;full-title&gt;Journal of Proteome Research&lt;/full-title&gt;&lt;/periodical&gt;&lt;pages&gt;3322-3335&lt;/pages&gt;&lt;volume&gt;14&lt;/volume&gt;&lt;number&gt;8&lt;/number&gt;&lt;dates&gt;&lt;year&gt;2015&lt;/year&gt;&lt;pub-dates&gt;&lt;date&gt;2015/08/07&lt;/date&gt;&lt;/pub-dates&gt;&lt;/dates&gt;&lt;publisher&gt;American Chemical Society&lt;/publisher&gt;&lt;isbn&gt;1535-3893&lt;/isbn&gt;&lt;urls&gt;&lt;related-urls&gt;&lt;url&gt;https://doi.org/10.1021/acs.jproteome.5b00354&lt;/url&gt;&lt;/related-urls&gt;&lt;/urls&gt;&lt;electronic-resource-num&gt;10.1021/acs.jproteome.5b00354&lt;/electronic-resource-num&gt;&lt;/record&gt;&lt;/Cite&gt;&lt;/EndNote&gt;</w:instrText>
      </w:r>
      <w:r w:rsidRPr="0019408A">
        <w:rPr>
          <w:rFonts w:ascii="Times New Roman" w:hAnsi="Times New Roman" w:cs="Times New Roman"/>
          <w:sz w:val="20"/>
          <w:szCs w:val="20"/>
        </w:rPr>
        <w:fldChar w:fldCharType="separate"/>
      </w:r>
      <w:r w:rsidR="00DD5E67" w:rsidRPr="0019408A">
        <w:rPr>
          <w:rFonts w:ascii="Times New Roman" w:hAnsi="Times New Roman" w:cs="Times New Roman"/>
          <w:noProof/>
          <w:sz w:val="20"/>
          <w:szCs w:val="20"/>
        </w:rPr>
        <w:t>(3)</w:t>
      </w:r>
      <w:r w:rsidRPr="0019408A">
        <w:rPr>
          <w:rFonts w:ascii="Times New Roman" w:hAnsi="Times New Roman" w:cs="Times New Roman"/>
          <w:sz w:val="20"/>
          <w:szCs w:val="20"/>
        </w:rPr>
        <w:fldChar w:fldCharType="end"/>
      </w:r>
      <w:r w:rsidRPr="0019408A">
        <w:rPr>
          <w:rFonts w:ascii="Times New Roman" w:hAnsi="Times New Roman" w:cs="Times New Roman"/>
          <w:sz w:val="20"/>
          <w:szCs w:val="20"/>
        </w:rPr>
        <w:t>. PC1 and PC2 explained a total of 42</w:t>
      </w:r>
      <w:r w:rsidR="00F85240" w:rsidRPr="0019408A">
        <w:rPr>
          <w:rFonts w:ascii="Times New Roman" w:hAnsi="Times New Roman" w:cs="Times New Roman"/>
          <w:sz w:val="20"/>
          <w:szCs w:val="20"/>
        </w:rPr>
        <w:t>.</w:t>
      </w:r>
      <w:r w:rsidRPr="0019408A">
        <w:rPr>
          <w:rFonts w:ascii="Times New Roman" w:hAnsi="Times New Roman" w:cs="Times New Roman"/>
          <w:sz w:val="20"/>
          <w:szCs w:val="20"/>
        </w:rPr>
        <w:t>9% of the variation, with remaining PCs explaining &lt; 6</w:t>
      </w:r>
      <w:r w:rsidR="00F85240" w:rsidRPr="0019408A">
        <w:rPr>
          <w:rFonts w:ascii="Times New Roman" w:hAnsi="Times New Roman" w:cs="Times New Roman"/>
          <w:sz w:val="20"/>
          <w:szCs w:val="20"/>
        </w:rPr>
        <w:t>.</w:t>
      </w:r>
      <w:r w:rsidRPr="0019408A">
        <w:rPr>
          <w:rFonts w:ascii="Times New Roman" w:hAnsi="Times New Roman" w:cs="Times New Roman"/>
          <w:sz w:val="20"/>
          <w:szCs w:val="20"/>
        </w:rPr>
        <w:t xml:space="preserve">4% each. </w:t>
      </w:r>
    </w:p>
    <w:p w:rsidR="008641B0" w:rsidRPr="0019408A" w:rsidRDefault="00422775" w:rsidP="009847E1">
      <w:pPr>
        <w:spacing w:line="480" w:lineRule="auto"/>
        <w:rPr>
          <w:rFonts w:ascii="Times New Roman" w:hAnsi="Times New Roman" w:cs="Times New Roman"/>
          <w:sz w:val="20"/>
          <w:szCs w:val="20"/>
        </w:rPr>
      </w:pPr>
      <w:r w:rsidRPr="0019408A">
        <w:rPr>
          <w:rFonts w:ascii="Times New Roman" w:hAnsi="Times New Roman" w:cs="Times New Roman"/>
          <w:sz w:val="20"/>
          <w:szCs w:val="20"/>
        </w:rPr>
        <w:t>The extended ANOVA simultaneous component analysis (RM-ASCA+) framework combines general linear models and principal component analysis (PCA) to decompose and visualize the separate effects of experimental factors. RM-ASCA+ can visualize multivariate differences between groups, and the possible effect of study outcome. NPX values were normalized before analysis by subtracting the mean and dividing by the standard deviation (SD) for each NPX variable. RM-ASCA+ was then performed on the linear mixed models (LMM) of the separate biomarkers. The underlying LMM was performed with the NPX data as response, time</w:t>
      </w:r>
      <w:r w:rsidR="00BD4230" w:rsidRPr="0019408A">
        <w:rPr>
          <w:rFonts w:ascii="Times New Roman" w:hAnsi="Times New Roman" w:cs="Times New Roman"/>
          <w:sz w:val="20"/>
          <w:szCs w:val="20"/>
        </w:rPr>
        <w:t>, -</w:t>
      </w:r>
      <w:r w:rsidRPr="0019408A">
        <w:rPr>
          <w:rFonts w:ascii="Times New Roman" w:hAnsi="Times New Roman" w:cs="Times New Roman"/>
          <w:sz w:val="20"/>
          <w:szCs w:val="20"/>
        </w:rPr>
        <w:t>group and the time-group interactions as fixed effects, and individual specific random intercepts</w:t>
      </w:r>
      <w:r w:rsidR="00501D3A" w:rsidRPr="0019408A">
        <w:rPr>
          <w:rFonts w:ascii="Times New Roman" w:hAnsi="Times New Roman" w:cs="Times New Roman"/>
          <w:sz w:val="20"/>
          <w:szCs w:val="20"/>
        </w:rPr>
        <w:t>. NPX values over time were modelled by the formula</w:t>
      </w:r>
      <w:r w:rsidRPr="0019408A">
        <w:rPr>
          <w:rFonts w:ascii="Times New Roman" w:hAnsi="Times New Roman" w:cs="Times New Roman"/>
          <w:sz w:val="20"/>
          <w:szCs w:val="20"/>
        </w:rPr>
        <w:t xml:space="preserve"> </w:t>
      </w:r>
      <w:r w:rsidR="00501D3A" w:rsidRPr="0019408A">
        <w:rPr>
          <w:rFonts w:ascii="Times New Roman" w:hAnsi="Times New Roman" w:cs="Times New Roman"/>
          <w:sz w:val="20"/>
          <w:szCs w:val="20"/>
        </w:rPr>
        <w:t>(</w:t>
      </w:r>
      <w:r w:rsidR="00501D3A" w:rsidRPr="0019408A">
        <w:rPr>
          <w:rFonts w:ascii="Times New Roman" w:hAnsi="Times New Roman" w:cs="Times New Roman"/>
          <w:i/>
          <w:sz w:val="20"/>
          <w:szCs w:val="20"/>
        </w:rPr>
        <w:t xml:space="preserve">value </w:t>
      </w:r>
      <w:proofErr w:type="gramStart"/>
      <w:r w:rsidR="00501D3A" w:rsidRPr="0019408A">
        <w:rPr>
          <w:rFonts w:ascii="Times New Roman" w:hAnsi="Times New Roman" w:cs="Times New Roman"/>
          <w:i/>
          <w:sz w:val="20"/>
          <w:szCs w:val="20"/>
        </w:rPr>
        <w:t>~  time</w:t>
      </w:r>
      <w:proofErr w:type="gramEnd"/>
      <w:r w:rsidR="00501D3A" w:rsidRPr="0019408A">
        <w:rPr>
          <w:rFonts w:ascii="Times New Roman" w:hAnsi="Times New Roman" w:cs="Times New Roman"/>
          <w:i/>
          <w:sz w:val="20"/>
          <w:szCs w:val="20"/>
        </w:rPr>
        <w:t xml:space="preserve"> + (1|ID</w:t>
      </w:r>
      <w:r w:rsidR="00501D3A" w:rsidRPr="0019408A">
        <w:rPr>
          <w:rFonts w:ascii="Times New Roman" w:hAnsi="Times New Roman" w:cs="Times New Roman"/>
          <w:sz w:val="20"/>
          <w:szCs w:val="20"/>
        </w:rPr>
        <w:t xml:space="preserve">) and the effect of time and group-time interaction was included using the formula </w:t>
      </w:r>
      <w:r w:rsidRPr="0019408A">
        <w:rPr>
          <w:rFonts w:ascii="Times New Roman" w:hAnsi="Times New Roman" w:cs="Times New Roman"/>
          <w:sz w:val="20"/>
          <w:szCs w:val="20"/>
        </w:rPr>
        <w:t>(</w:t>
      </w:r>
      <w:proofErr w:type="spellStart"/>
      <w:r w:rsidRPr="0019408A">
        <w:rPr>
          <w:rFonts w:ascii="Times New Roman" w:hAnsi="Times New Roman" w:cs="Times New Roman"/>
          <w:sz w:val="20"/>
          <w:szCs w:val="20"/>
        </w:rPr>
        <w:t>value~time+group+time:group</w:t>
      </w:r>
      <w:proofErr w:type="spellEnd"/>
      <w:r w:rsidRPr="0019408A">
        <w:rPr>
          <w:rFonts w:ascii="Times New Roman" w:hAnsi="Times New Roman" w:cs="Times New Roman"/>
          <w:sz w:val="20"/>
          <w:szCs w:val="20"/>
        </w:rPr>
        <w:t>+(1|ID)). P-values in the LMMs were calculated using Satterthwaite’s degrees of freedom method. Estimations of robustness of the RM-ASCA+ results were performed by bootstrapping with 1000 runs: each participant is replaced by a randomly selected participant from the same group, with replacement, and all measurements from the resampled participant are added to the resampled data set. The 2</w:t>
      </w:r>
      <w:r w:rsidR="00F85240" w:rsidRPr="0019408A">
        <w:rPr>
          <w:rFonts w:ascii="Times New Roman" w:hAnsi="Times New Roman" w:cs="Times New Roman"/>
          <w:sz w:val="20"/>
          <w:szCs w:val="20"/>
        </w:rPr>
        <w:t>.</w:t>
      </w:r>
      <w:r w:rsidRPr="0019408A">
        <w:rPr>
          <w:rFonts w:ascii="Times New Roman" w:hAnsi="Times New Roman" w:cs="Times New Roman"/>
          <w:sz w:val="20"/>
          <w:szCs w:val="20"/>
        </w:rPr>
        <w:t>5th and 97</w:t>
      </w:r>
      <w:r w:rsidR="00F85240" w:rsidRPr="0019408A">
        <w:rPr>
          <w:rFonts w:ascii="Times New Roman" w:hAnsi="Times New Roman" w:cs="Times New Roman"/>
          <w:sz w:val="20"/>
          <w:szCs w:val="20"/>
        </w:rPr>
        <w:t>.</w:t>
      </w:r>
      <w:r w:rsidRPr="0019408A">
        <w:rPr>
          <w:rFonts w:ascii="Times New Roman" w:hAnsi="Times New Roman" w:cs="Times New Roman"/>
          <w:sz w:val="20"/>
          <w:szCs w:val="20"/>
        </w:rPr>
        <w:t>5th percentiles from the bootstrapping estimations make out the error bars on both the loading and scores plot</w:t>
      </w:r>
      <w:r w:rsidR="009847E1" w:rsidRPr="0019408A">
        <w:rPr>
          <w:rFonts w:ascii="Times New Roman" w:hAnsi="Times New Roman" w:cs="Times New Roman"/>
          <w:sz w:val="20"/>
          <w:szCs w:val="20"/>
        </w:rPr>
        <w:t>.</w:t>
      </w:r>
    </w:p>
    <w:p w:rsidR="005A37F5" w:rsidRPr="0019408A" w:rsidRDefault="005A37F5" w:rsidP="005A37F5">
      <w:pPr>
        <w:spacing w:line="480" w:lineRule="auto"/>
        <w:rPr>
          <w:rFonts w:ascii="Times New Roman" w:hAnsi="Times New Roman" w:cs="Times New Roman"/>
          <w:sz w:val="20"/>
          <w:szCs w:val="20"/>
        </w:rPr>
      </w:pPr>
      <w:r w:rsidRPr="0019408A">
        <w:rPr>
          <w:rFonts w:ascii="Times New Roman" w:hAnsi="Times New Roman" w:cs="Times New Roman"/>
          <w:sz w:val="20"/>
          <w:szCs w:val="20"/>
        </w:rPr>
        <w:t>Correlation analyses were performed using Pearson’s correlation.</w:t>
      </w:r>
    </w:p>
    <w:p w:rsidR="005A37F5" w:rsidRPr="0019408A" w:rsidRDefault="005A37F5" w:rsidP="009847E1">
      <w:pPr>
        <w:spacing w:line="480" w:lineRule="auto"/>
        <w:rPr>
          <w:rFonts w:ascii="Times New Roman" w:hAnsi="Times New Roman" w:cs="Times New Roman"/>
          <w:sz w:val="20"/>
          <w:szCs w:val="20"/>
        </w:rPr>
      </w:pPr>
    </w:p>
    <w:p w:rsidR="00812D11" w:rsidRPr="0019408A" w:rsidRDefault="00812D11" w:rsidP="009847E1">
      <w:pPr>
        <w:spacing w:line="480" w:lineRule="auto"/>
        <w:rPr>
          <w:rFonts w:ascii="Times New Roman" w:hAnsi="Times New Roman" w:cs="Times New Roman"/>
          <w:sz w:val="20"/>
          <w:szCs w:val="20"/>
        </w:rPr>
      </w:pPr>
    </w:p>
    <w:p w:rsidR="00812D11" w:rsidRPr="0019408A" w:rsidRDefault="00812D11" w:rsidP="009847E1">
      <w:pPr>
        <w:spacing w:line="480" w:lineRule="auto"/>
        <w:rPr>
          <w:rFonts w:ascii="Times New Roman" w:hAnsi="Times New Roman" w:cs="Times New Roman"/>
          <w:sz w:val="20"/>
          <w:szCs w:val="20"/>
        </w:rPr>
      </w:pPr>
    </w:p>
    <w:p w:rsidR="00812D11" w:rsidRPr="0019408A" w:rsidRDefault="00812D11" w:rsidP="009847E1">
      <w:pPr>
        <w:spacing w:line="480" w:lineRule="auto"/>
        <w:rPr>
          <w:rFonts w:ascii="Times New Roman" w:hAnsi="Times New Roman" w:cs="Times New Roman"/>
          <w:b/>
          <w:sz w:val="20"/>
          <w:szCs w:val="20"/>
        </w:rPr>
      </w:pPr>
    </w:p>
    <w:p w:rsidR="00E50560" w:rsidRPr="0019408A" w:rsidRDefault="009B62BA" w:rsidP="00DF7B5C">
      <w:pPr>
        <w:spacing w:line="480" w:lineRule="auto"/>
        <w:jc w:val="center"/>
        <w:rPr>
          <w:rFonts w:ascii="Times New Roman" w:hAnsi="Times New Roman" w:cs="Times New Roman"/>
          <w:b/>
          <w:sz w:val="20"/>
          <w:szCs w:val="20"/>
        </w:rPr>
      </w:pPr>
      <w:r w:rsidRPr="0019408A">
        <w:rPr>
          <w:rFonts w:ascii="Times New Roman" w:hAnsi="Times New Roman" w:cs="Times New Roman"/>
          <w:b/>
          <w:sz w:val="20"/>
          <w:szCs w:val="20"/>
        </w:rPr>
        <w:t>Supplementa</w:t>
      </w:r>
      <w:r w:rsidR="004649A9" w:rsidRPr="0019408A">
        <w:rPr>
          <w:rFonts w:ascii="Times New Roman" w:hAnsi="Times New Roman" w:cs="Times New Roman"/>
          <w:b/>
          <w:sz w:val="20"/>
          <w:szCs w:val="20"/>
        </w:rPr>
        <w:t>ry</w:t>
      </w:r>
      <w:r w:rsidR="004E1B47" w:rsidRPr="0019408A">
        <w:rPr>
          <w:rFonts w:ascii="Times New Roman" w:hAnsi="Times New Roman" w:cs="Times New Roman"/>
          <w:b/>
          <w:sz w:val="20"/>
          <w:szCs w:val="20"/>
        </w:rPr>
        <w:t xml:space="preserve"> </w:t>
      </w:r>
      <w:r w:rsidR="00E50560" w:rsidRPr="0019408A">
        <w:rPr>
          <w:rFonts w:ascii="Times New Roman" w:hAnsi="Times New Roman" w:cs="Times New Roman"/>
          <w:b/>
          <w:sz w:val="20"/>
          <w:szCs w:val="20"/>
        </w:rPr>
        <w:t>Results</w:t>
      </w:r>
    </w:p>
    <w:p w:rsidR="00DD104B" w:rsidRPr="0019408A" w:rsidRDefault="00DD104B" w:rsidP="00DD104B">
      <w:pPr>
        <w:spacing w:line="480" w:lineRule="auto"/>
        <w:rPr>
          <w:rFonts w:ascii="Times New Roman" w:hAnsi="Times New Roman" w:cs="Times New Roman"/>
          <w:b/>
          <w:sz w:val="20"/>
          <w:szCs w:val="20"/>
        </w:rPr>
      </w:pPr>
      <w:r w:rsidRPr="0019408A">
        <w:rPr>
          <w:rFonts w:ascii="Times New Roman" w:hAnsi="Times New Roman" w:cs="Times New Roman"/>
          <w:b/>
          <w:sz w:val="20"/>
          <w:szCs w:val="20"/>
        </w:rPr>
        <w:t>Validation of CXCL11</w:t>
      </w:r>
    </w:p>
    <w:p w:rsidR="00DD104B" w:rsidRPr="0019408A" w:rsidRDefault="00DD104B" w:rsidP="00DD104B">
      <w:pPr>
        <w:spacing w:line="480" w:lineRule="auto"/>
        <w:rPr>
          <w:rFonts w:ascii="Times New Roman" w:hAnsi="Times New Roman" w:cs="Times New Roman"/>
          <w:b/>
          <w:sz w:val="20"/>
          <w:szCs w:val="20"/>
        </w:rPr>
      </w:pPr>
      <w:r w:rsidRPr="0019408A">
        <w:rPr>
          <w:rFonts w:ascii="Times New Roman" w:hAnsi="Times New Roman" w:cs="Times New Roman"/>
          <w:sz w:val="20"/>
          <w:szCs w:val="20"/>
        </w:rPr>
        <w:t>Low levels of CXCL11 was confirmed in the immunoassay with a median level of 24</w:t>
      </w:r>
      <w:r w:rsidR="00F85240" w:rsidRPr="0019408A">
        <w:rPr>
          <w:rFonts w:ascii="Times New Roman" w:hAnsi="Times New Roman" w:cs="Times New Roman"/>
          <w:sz w:val="20"/>
          <w:szCs w:val="20"/>
        </w:rPr>
        <w:t>.</w:t>
      </w:r>
      <w:r w:rsidRPr="0019408A">
        <w:rPr>
          <w:rFonts w:ascii="Times New Roman" w:hAnsi="Times New Roman" w:cs="Times New Roman"/>
          <w:sz w:val="20"/>
          <w:szCs w:val="20"/>
        </w:rPr>
        <w:t xml:space="preserve">96 </w:t>
      </w:r>
      <w:proofErr w:type="spellStart"/>
      <w:r w:rsidRPr="0019408A">
        <w:rPr>
          <w:rFonts w:ascii="Times New Roman" w:hAnsi="Times New Roman" w:cs="Times New Roman"/>
          <w:sz w:val="20"/>
          <w:szCs w:val="20"/>
        </w:rPr>
        <w:t>pg</w:t>
      </w:r>
      <w:proofErr w:type="spellEnd"/>
      <w:r w:rsidRPr="0019408A">
        <w:rPr>
          <w:rFonts w:ascii="Times New Roman" w:hAnsi="Times New Roman" w:cs="Times New Roman"/>
          <w:sz w:val="20"/>
          <w:szCs w:val="20"/>
        </w:rPr>
        <w:t>/mL in GD patients vs 189</w:t>
      </w:r>
      <w:r w:rsidR="00F85240" w:rsidRPr="0019408A">
        <w:rPr>
          <w:rFonts w:ascii="Times New Roman" w:hAnsi="Times New Roman" w:cs="Times New Roman"/>
          <w:sz w:val="20"/>
          <w:szCs w:val="20"/>
        </w:rPr>
        <w:t>.</w:t>
      </w:r>
      <w:r w:rsidRPr="0019408A">
        <w:rPr>
          <w:rFonts w:ascii="Times New Roman" w:hAnsi="Times New Roman" w:cs="Times New Roman"/>
          <w:sz w:val="20"/>
          <w:szCs w:val="20"/>
        </w:rPr>
        <w:t xml:space="preserve">10 </w:t>
      </w:r>
      <w:proofErr w:type="spellStart"/>
      <w:r w:rsidRPr="0019408A">
        <w:rPr>
          <w:rFonts w:ascii="Times New Roman" w:hAnsi="Times New Roman" w:cs="Times New Roman"/>
          <w:sz w:val="20"/>
          <w:szCs w:val="20"/>
        </w:rPr>
        <w:t>pg</w:t>
      </w:r>
      <w:proofErr w:type="spellEnd"/>
      <w:r w:rsidRPr="0019408A">
        <w:rPr>
          <w:rFonts w:ascii="Times New Roman" w:hAnsi="Times New Roman" w:cs="Times New Roman"/>
          <w:sz w:val="20"/>
          <w:szCs w:val="20"/>
        </w:rPr>
        <w:t>/mL in healthy controls (p=&lt;0</w:t>
      </w:r>
      <w:r w:rsidR="00F85240" w:rsidRPr="0019408A">
        <w:rPr>
          <w:rFonts w:ascii="Times New Roman" w:hAnsi="Times New Roman" w:cs="Times New Roman"/>
          <w:sz w:val="20"/>
          <w:szCs w:val="20"/>
        </w:rPr>
        <w:t>.</w:t>
      </w:r>
      <w:r w:rsidRPr="0019408A">
        <w:rPr>
          <w:rFonts w:ascii="Times New Roman" w:hAnsi="Times New Roman" w:cs="Times New Roman"/>
          <w:sz w:val="20"/>
          <w:szCs w:val="20"/>
        </w:rPr>
        <w:t>001).</w:t>
      </w:r>
    </w:p>
    <w:p w:rsidR="00422775" w:rsidRPr="0019408A" w:rsidRDefault="00422775" w:rsidP="009B62BA">
      <w:pPr>
        <w:spacing w:line="480" w:lineRule="auto"/>
        <w:rPr>
          <w:rFonts w:ascii="Times New Roman" w:hAnsi="Times New Roman" w:cs="Times New Roman"/>
          <w:sz w:val="24"/>
          <w:szCs w:val="24"/>
        </w:rPr>
      </w:pPr>
    </w:p>
    <w:p w:rsidR="004B5E74" w:rsidRPr="0019408A" w:rsidRDefault="004B5E74" w:rsidP="009B62BA">
      <w:pPr>
        <w:spacing w:line="480" w:lineRule="auto"/>
        <w:rPr>
          <w:rFonts w:ascii="Times New Roman" w:hAnsi="Times New Roman" w:cs="Times New Roman"/>
          <w:sz w:val="24"/>
          <w:szCs w:val="24"/>
        </w:rPr>
      </w:pPr>
    </w:p>
    <w:p w:rsidR="003B218A" w:rsidRPr="0019408A" w:rsidRDefault="003B218A" w:rsidP="009B62BA">
      <w:pPr>
        <w:spacing w:line="480" w:lineRule="auto"/>
        <w:rPr>
          <w:rFonts w:ascii="Times New Roman" w:hAnsi="Times New Roman" w:cs="Times New Roman"/>
          <w:sz w:val="24"/>
          <w:szCs w:val="24"/>
        </w:rPr>
      </w:pPr>
    </w:p>
    <w:p w:rsidR="003B218A" w:rsidRPr="0019408A" w:rsidRDefault="003B218A" w:rsidP="009B62BA">
      <w:pPr>
        <w:spacing w:line="480" w:lineRule="auto"/>
        <w:rPr>
          <w:rFonts w:ascii="Times New Roman" w:hAnsi="Times New Roman" w:cs="Times New Roman"/>
          <w:sz w:val="24"/>
          <w:szCs w:val="24"/>
        </w:rPr>
      </w:pPr>
    </w:p>
    <w:p w:rsidR="00B77472" w:rsidRPr="0019408A" w:rsidRDefault="00B77472" w:rsidP="009B62BA">
      <w:pPr>
        <w:spacing w:line="480" w:lineRule="auto"/>
        <w:rPr>
          <w:rFonts w:ascii="Times New Roman" w:hAnsi="Times New Roman" w:cs="Times New Roman"/>
          <w:sz w:val="24"/>
          <w:szCs w:val="24"/>
        </w:rPr>
      </w:pPr>
    </w:p>
    <w:p w:rsidR="00B77472" w:rsidRPr="0019408A" w:rsidRDefault="00B77472" w:rsidP="009B62BA">
      <w:pPr>
        <w:spacing w:line="480" w:lineRule="auto"/>
        <w:rPr>
          <w:rFonts w:ascii="Times New Roman" w:hAnsi="Times New Roman" w:cs="Times New Roman"/>
          <w:sz w:val="24"/>
          <w:szCs w:val="24"/>
        </w:rPr>
      </w:pPr>
    </w:p>
    <w:p w:rsidR="00B77472" w:rsidRPr="0019408A" w:rsidRDefault="00B77472" w:rsidP="009B62BA">
      <w:pPr>
        <w:spacing w:line="480" w:lineRule="auto"/>
        <w:rPr>
          <w:rFonts w:ascii="Times New Roman" w:hAnsi="Times New Roman" w:cs="Times New Roman"/>
          <w:sz w:val="24"/>
          <w:szCs w:val="24"/>
        </w:rPr>
      </w:pPr>
    </w:p>
    <w:p w:rsidR="00912BDE" w:rsidRPr="0019408A" w:rsidRDefault="00912BDE" w:rsidP="009B62BA">
      <w:pPr>
        <w:spacing w:line="480" w:lineRule="auto"/>
        <w:rPr>
          <w:rFonts w:ascii="Times New Roman" w:hAnsi="Times New Roman" w:cs="Times New Roman"/>
          <w:sz w:val="24"/>
          <w:szCs w:val="24"/>
        </w:rPr>
      </w:pPr>
    </w:p>
    <w:p w:rsidR="005F10E6" w:rsidRPr="0019408A" w:rsidRDefault="005F10E6" w:rsidP="002A6CAE">
      <w:pPr>
        <w:spacing w:line="480" w:lineRule="auto"/>
        <w:jc w:val="center"/>
        <w:rPr>
          <w:rFonts w:ascii="Times New Roman" w:hAnsi="Times New Roman" w:cs="Times New Roman"/>
          <w:b/>
          <w:sz w:val="24"/>
          <w:szCs w:val="24"/>
        </w:rPr>
      </w:pPr>
    </w:p>
    <w:p w:rsidR="005F10E6" w:rsidRPr="0019408A" w:rsidRDefault="005F10E6" w:rsidP="002A6CAE">
      <w:pPr>
        <w:spacing w:line="480" w:lineRule="auto"/>
        <w:jc w:val="center"/>
        <w:rPr>
          <w:rFonts w:ascii="Times New Roman" w:hAnsi="Times New Roman" w:cs="Times New Roman"/>
          <w:b/>
          <w:sz w:val="24"/>
          <w:szCs w:val="24"/>
        </w:rPr>
      </w:pPr>
    </w:p>
    <w:p w:rsidR="005F10E6" w:rsidRPr="0019408A" w:rsidRDefault="005F10E6" w:rsidP="002A6CAE">
      <w:pPr>
        <w:spacing w:line="480" w:lineRule="auto"/>
        <w:jc w:val="center"/>
        <w:rPr>
          <w:rFonts w:ascii="Times New Roman" w:hAnsi="Times New Roman" w:cs="Times New Roman"/>
          <w:b/>
          <w:sz w:val="24"/>
          <w:szCs w:val="24"/>
        </w:rPr>
      </w:pPr>
    </w:p>
    <w:p w:rsidR="00DD5E67" w:rsidRPr="0019408A" w:rsidRDefault="00DD5E67" w:rsidP="002A6CAE">
      <w:pPr>
        <w:spacing w:line="480" w:lineRule="auto"/>
        <w:jc w:val="center"/>
        <w:rPr>
          <w:rFonts w:ascii="Times New Roman" w:hAnsi="Times New Roman" w:cs="Times New Roman"/>
          <w:b/>
          <w:sz w:val="24"/>
          <w:szCs w:val="24"/>
        </w:rPr>
      </w:pPr>
    </w:p>
    <w:p w:rsidR="00DD5E67" w:rsidRPr="0019408A" w:rsidRDefault="00DD5E67" w:rsidP="002A6CAE">
      <w:pPr>
        <w:spacing w:line="480" w:lineRule="auto"/>
        <w:jc w:val="center"/>
        <w:rPr>
          <w:rFonts w:ascii="Times New Roman" w:hAnsi="Times New Roman" w:cs="Times New Roman"/>
          <w:b/>
          <w:sz w:val="24"/>
          <w:szCs w:val="24"/>
        </w:rPr>
      </w:pPr>
    </w:p>
    <w:p w:rsidR="00DD5E67" w:rsidRPr="0019408A" w:rsidRDefault="00DD5E67" w:rsidP="002A6CAE">
      <w:pPr>
        <w:spacing w:line="480" w:lineRule="auto"/>
        <w:jc w:val="center"/>
        <w:rPr>
          <w:rFonts w:ascii="Times New Roman" w:hAnsi="Times New Roman" w:cs="Times New Roman"/>
          <w:b/>
          <w:sz w:val="24"/>
          <w:szCs w:val="24"/>
        </w:rPr>
      </w:pPr>
    </w:p>
    <w:p w:rsidR="00CD5CD3" w:rsidRPr="0019408A" w:rsidRDefault="00CD5CD3" w:rsidP="005A37F5">
      <w:pPr>
        <w:spacing w:line="480" w:lineRule="auto"/>
        <w:rPr>
          <w:rFonts w:ascii="Times New Roman" w:hAnsi="Times New Roman" w:cs="Times New Roman"/>
          <w:b/>
          <w:sz w:val="24"/>
          <w:szCs w:val="24"/>
        </w:rPr>
      </w:pPr>
    </w:p>
    <w:p w:rsidR="005A37F5" w:rsidRPr="0019408A" w:rsidRDefault="005A37F5" w:rsidP="005A37F5">
      <w:pPr>
        <w:spacing w:line="480" w:lineRule="auto"/>
        <w:rPr>
          <w:rFonts w:ascii="Times New Roman" w:hAnsi="Times New Roman" w:cs="Times New Roman"/>
          <w:b/>
          <w:sz w:val="24"/>
          <w:szCs w:val="24"/>
        </w:rPr>
      </w:pPr>
    </w:p>
    <w:p w:rsidR="005A37F5" w:rsidRPr="0019408A" w:rsidRDefault="005A37F5" w:rsidP="005A37F5">
      <w:pPr>
        <w:spacing w:line="480" w:lineRule="auto"/>
        <w:rPr>
          <w:rFonts w:ascii="Times New Roman" w:hAnsi="Times New Roman" w:cs="Times New Roman"/>
          <w:b/>
          <w:sz w:val="24"/>
          <w:szCs w:val="24"/>
        </w:rPr>
      </w:pPr>
    </w:p>
    <w:p w:rsidR="004B5E74" w:rsidRPr="0019408A" w:rsidRDefault="004B5E74" w:rsidP="005A37F5">
      <w:pPr>
        <w:spacing w:line="480" w:lineRule="auto"/>
        <w:jc w:val="center"/>
        <w:rPr>
          <w:rFonts w:ascii="Times New Roman" w:hAnsi="Times New Roman" w:cs="Times New Roman"/>
          <w:b/>
          <w:sz w:val="20"/>
          <w:szCs w:val="20"/>
        </w:rPr>
      </w:pPr>
      <w:r w:rsidRPr="0019408A">
        <w:rPr>
          <w:rFonts w:ascii="Times New Roman" w:hAnsi="Times New Roman" w:cs="Times New Roman"/>
          <w:b/>
          <w:sz w:val="20"/>
          <w:szCs w:val="20"/>
        </w:rPr>
        <w:t>Supplementary Figures</w:t>
      </w:r>
    </w:p>
    <w:p w:rsidR="004B5E74" w:rsidRPr="0019408A" w:rsidRDefault="004B5E74" w:rsidP="004B5E74">
      <w:pPr>
        <w:spacing w:line="480" w:lineRule="auto"/>
        <w:rPr>
          <w:rFonts w:ascii="Times New Roman" w:hAnsi="Times New Roman" w:cs="Times New Roman"/>
          <w:sz w:val="20"/>
          <w:szCs w:val="20"/>
        </w:rPr>
      </w:pPr>
      <w:r w:rsidRPr="0019408A">
        <w:rPr>
          <w:rFonts w:ascii="Times New Roman" w:hAnsi="Times New Roman" w:cs="Times New Roman"/>
          <w:b/>
          <w:sz w:val="20"/>
          <w:szCs w:val="20"/>
        </w:rPr>
        <w:t>Figure S1.</w:t>
      </w:r>
      <w:r w:rsidRPr="0019408A">
        <w:rPr>
          <w:rFonts w:ascii="Times New Roman" w:hAnsi="Times New Roman" w:cs="Times New Roman"/>
          <w:sz w:val="20"/>
          <w:szCs w:val="20"/>
        </w:rPr>
        <w:t xml:space="preserve"> Heat map showing significant correlations between the inflammatory biomarkers, </w:t>
      </w:r>
      <w:proofErr w:type="spellStart"/>
      <w:r w:rsidRPr="0019408A">
        <w:rPr>
          <w:rFonts w:ascii="Times New Roman" w:hAnsi="Times New Roman" w:cs="Times New Roman"/>
          <w:sz w:val="20"/>
          <w:szCs w:val="20"/>
        </w:rPr>
        <w:t>TRAb</w:t>
      </w:r>
      <w:proofErr w:type="spellEnd"/>
      <w:r w:rsidR="00026543" w:rsidRPr="0019408A">
        <w:rPr>
          <w:rFonts w:ascii="Times New Roman" w:hAnsi="Times New Roman" w:cs="Times New Roman"/>
          <w:sz w:val="20"/>
          <w:szCs w:val="20"/>
        </w:rPr>
        <w:t>,</w:t>
      </w:r>
      <w:r w:rsidRPr="0019408A">
        <w:rPr>
          <w:rFonts w:ascii="Times New Roman" w:hAnsi="Times New Roman" w:cs="Times New Roman"/>
          <w:sz w:val="20"/>
          <w:szCs w:val="20"/>
        </w:rPr>
        <w:t xml:space="preserve"> FT4, T3 and BMI in samples taken at baseline. </w:t>
      </w:r>
      <w:r w:rsidR="005A37F5" w:rsidRPr="0019408A">
        <w:rPr>
          <w:rFonts w:ascii="Times New Roman" w:hAnsi="Times New Roman" w:cs="Times New Roman"/>
          <w:sz w:val="20"/>
          <w:szCs w:val="20"/>
        </w:rPr>
        <w:t>For significant correlations, r</w:t>
      </w:r>
      <w:r w:rsidR="005A37F5" w:rsidRPr="0019408A">
        <w:rPr>
          <w:rFonts w:ascii="Times New Roman" w:hAnsi="Times New Roman" w:cs="Times New Roman"/>
          <w:sz w:val="20"/>
          <w:szCs w:val="20"/>
          <w:vertAlign w:val="superscript"/>
        </w:rPr>
        <w:t>2</w:t>
      </w:r>
      <w:r w:rsidR="005A37F5" w:rsidRPr="0019408A">
        <w:rPr>
          <w:rFonts w:ascii="Times New Roman" w:hAnsi="Times New Roman" w:cs="Times New Roman"/>
          <w:sz w:val="20"/>
          <w:szCs w:val="20"/>
        </w:rPr>
        <w:t xml:space="preserve"> is shown in the corresponding </w:t>
      </w:r>
      <w:proofErr w:type="spellStart"/>
      <w:r w:rsidR="005A37F5" w:rsidRPr="0019408A">
        <w:rPr>
          <w:rFonts w:ascii="Times New Roman" w:hAnsi="Times New Roman" w:cs="Times New Roman"/>
          <w:sz w:val="20"/>
          <w:szCs w:val="20"/>
        </w:rPr>
        <w:t>heatmap</w:t>
      </w:r>
      <w:proofErr w:type="spellEnd"/>
      <w:r w:rsidR="005A37F5" w:rsidRPr="0019408A">
        <w:rPr>
          <w:rFonts w:ascii="Times New Roman" w:hAnsi="Times New Roman" w:cs="Times New Roman"/>
          <w:sz w:val="20"/>
          <w:szCs w:val="20"/>
        </w:rPr>
        <w:t xml:space="preserve"> tile.</w:t>
      </w:r>
    </w:p>
    <w:p w:rsidR="004B5E74" w:rsidRPr="0019408A" w:rsidRDefault="00136769" w:rsidP="004B5E74">
      <w:pPr>
        <w:spacing w:line="480" w:lineRule="auto"/>
        <w:ind w:left="360"/>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5pt;height:566.5pt">
            <v:imagedata r:id="rId8" o:title="heatmap_pvals_plotNames_03-04-2023"/>
          </v:shape>
        </w:pict>
      </w:r>
    </w:p>
    <w:p w:rsidR="00DF7B5C" w:rsidRPr="0019408A" w:rsidRDefault="00DF7B5C" w:rsidP="004B5E74">
      <w:pPr>
        <w:spacing w:line="480" w:lineRule="auto"/>
        <w:ind w:left="360"/>
        <w:rPr>
          <w:rFonts w:ascii="Times New Roman" w:hAnsi="Times New Roman" w:cs="Times New Roman"/>
          <w:b/>
          <w:sz w:val="20"/>
          <w:szCs w:val="20"/>
        </w:rPr>
      </w:pPr>
    </w:p>
    <w:p w:rsidR="00FA040D" w:rsidRPr="0019408A" w:rsidRDefault="00FA040D" w:rsidP="004B5E74">
      <w:pPr>
        <w:spacing w:line="480" w:lineRule="auto"/>
        <w:ind w:left="360"/>
        <w:rPr>
          <w:rFonts w:ascii="Times New Roman" w:hAnsi="Times New Roman" w:cs="Times New Roman"/>
          <w:sz w:val="24"/>
          <w:szCs w:val="24"/>
        </w:rPr>
      </w:pPr>
      <w:r w:rsidRPr="0019408A">
        <w:rPr>
          <w:rFonts w:ascii="Times New Roman" w:hAnsi="Times New Roman" w:cs="Times New Roman"/>
          <w:b/>
          <w:sz w:val="20"/>
          <w:szCs w:val="20"/>
        </w:rPr>
        <w:t xml:space="preserve">Figure S2. </w:t>
      </w:r>
      <w:r w:rsidR="005A37F5" w:rsidRPr="0019408A">
        <w:rPr>
          <w:rFonts w:ascii="Times New Roman" w:hAnsi="Times New Roman" w:cs="Times New Roman"/>
          <w:bCs/>
          <w:sz w:val="20"/>
          <w:szCs w:val="20"/>
        </w:rPr>
        <w:t>Loading plot from the RM-ASCA+ analysis of GD patients over time. Variable loadings on the</w:t>
      </w:r>
      <w:r w:rsidR="005A37F5" w:rsidRPr="0019408A">
        <w:rPr>
          <w:rFonts w:ascii="Times New Roman" w:hAnsi="Times New Roman" w:cs="Times New Roman"/>
          <w:b/>
          <w:sz w:val="20"/>
          <w:szCs w:val="20"/>
        </w:rPr>
        <w:t xml:space="preserve"> </w:t>
      </w:r>
      <w:r w:rsidR="005A37F5" w:rsidRPr="0019408A">
        <w:rPr>
          <w:rFonts w:ascii="Times New Roman" w:hAnsi="Times New Roman" w:cs="Times New Roman"/>
          <w:sz w:val="20"/>
          <w:szCs w:val="20"/>
        </w:rPr>
        <w:t>longitudinal changes in inflammation during treatment in all patients as shown in Figure 2C. High loading scores (positive or negative) indicate higher importance in describing the development over time. Vertical bars represent error bars from bootstrapping, and error bars crossing the zero line indicate that the contribution to the score plot is not robust.</w:t>
      </w:r>
      <w:r w:rsidR="005A37F5" w:rsidRPr="0019408A">
        <w:rPr>
          <w:rFonts w:ascii="Times New Roman" w:hAnsi="Times New Roman" w:cs="Times New Roman"/>
          <w:sz w:val="24"/>
          <w:szCs w:val="24"/>
        </w:rPr>
        <w:t xml:space="preserve"> </w:t>
      </w:r>
      <w:r w:rsidR="005A37F5" w:rsidRPr="0019408A">
        <w:rPr>
          <w:rFonts w:ascii="Times New Roman" w:hAnsi="Times New Roman" w:cs="Times New Roman"/>
          <w:sz w:val="20"/>
          <w:szCs w:val="20"/>
        </w:rPr>
        <w:t>Biomarkers with significant positive contribution to PC1 are shown in red, these biomarkers are reduced over time in GD patients</w:t>
      </w:r>
      <w:r w:rsidR="005A37F5" w:rsidRPr="0019408A">
        <w:rPr>
          <w:rFonts w:ascii="Times New Roman" w:hAnsi="Times New Roman" w:cs="Times New Roman"/>
          <w:sz w:val="24"/>
          <w:szCs w:val="24"/>
        </w:rPr>
        <w:t>.</w:t>
      </w:r>
    </w:p>
    <w:p w:rsidR="00FA040D" w:rsidRPr="0019408A" w:rsidRDefault="00FA040D" w:rsidP="004B5E74">
      <w:pPr>
        <w:spacing w:line="480" w:lineRule="auto"/>
        <w:ind w:left="360"/>
        <w:rPr>
          <w:rFonts w:ascii="Times New Roman" w:hAnsi="Times New Roman" w:cs="Times New Roman"/>
          <w:b/>
          <w:sz w:val="20"/>
          <w:szCs w:val="20"/>
        </w:rPr>
      </w:pPr>
      <w:r w:rsidRPr="0019408A">
        <w:rPr>
          <w:noProof/>
          <w:lang w:val="nb-NO" w:eastAsia="nb-NO"/>
        </w:rPr>
        <w:drawing>
          <wp:inline distT="0" distB="0" distL="0" distR="0" wp14:anchorId="126E300B" wp14:editId="0122B71A">
            <wp:extent cx="3343275" cy="6753225"/>
            <wp:effectExtent l="0" t="0" r="9525" b="9525"/>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43275" cy="6753225"/>
                    </a:xfrm>
                    <a:prstGeom prst="rect">
                      <a:avLst/>
                    </a:prstGeom>
                  </pic:spPr>
                </pic:pic>
              </a:graphicData>
            </a:graphic>
          </wp:inline>
        </w:drawing>
      </w:r>
    </w:p>
    <w:p w:rsidR="004B5E74" w:rsidRPr="0019408A" w:rsidRDefault="004B5E74" w:rsidP="005A37F5">
      <w:pPr>
        <w:spacing w:line="480" w:lineRule="auto"/>
        <w:rPr>
          <w:rFonts w:ascii="Times New Roman" w:hAnsi="Times New Roman" w:cs="Times New Roman"/>
          <w:sz w:val="20"/>
          <w:szCs w:val="20"/>
        </w:rPr>
      </w:pPr>
      <w:r w:rsidRPr="0019408A">
        <w:rPr>
          <w:rFonts w:ascii="Times New Roman" w:hAnsi="Times New Roman" w:cs="Times New Roman"/>
          <w:b/>
          <w:sz w:val="20"/>
          <w:szCs w:val="20"/>
        </w:rPr>
        <w:t>Figure S</w:t>
      </w:r>
      <w:r w:rsidR="00FA040D" w:rsidRPr="0019408A">
        <w:rPr>
          <w:rFonts w:ascii="Times New Roman" w:hAnsi="Times New Roman" w:cs="Times New Roman"/>
          <w:b/>
          <w:sz w:val="20"/>
          <w:szCs w:val="20"/>
        </w:rPr>
        <w:t>3</w:t>
      </w:r>
      <w:r w:rsidRPr="0019408A">
        <w:rPr>
          <w:rFonts w:ascii="Times New Roman" w:hAnsi="Times New Roman" w:cs="Times New Roman"/>
          <w:b/>
          <w:sz w:val="20"/>
          <w:szCs w:val="20"/>
        </w:rPr>
        <w:t xml:space="preserve">. </w:t>
      </w:r>
      <w:r w:rsidRPr="0019408A">
        <w:rPr>
          <w:rFonts w:ascii="Times New Roman" w:hAnsi="Times New Roman" w:cs="Times New Roman"/>
          <w:sz w:val="20"/>
          <w:szCs w:val="20"/>
        </w:rPr>
        <w:t xml:space="preserve">Loading pattern for PC1 and PC2 in GD patients compared to healthy controls. Biomarkers with red bars represent those with positive loadings </w:t>
      </w:r>
      <w:r w:rsidR="00501D3A" w:rsidRPr="0019408A">
        <w:rPr>
          <w:rFonts w:ascii="Times New Roman" w:hAnsi="Times New Roman" w:cs="Times New Roman"/>
          <w:sz w:val="20"/>
          <w:szCs w:val="20"/>
        </w:rPr>
        <w:t>(higher in GD</w:t>
      </w:r>
      <w:r w:rsidR="0027188A" w:rsidRPr="0019408A">
        <w:rPr>
          <w:rFonts w:ascii="Times New Roman" w:hAnsi="Times New Roman" w:cs="Times New Roman"/>
          <w:sz w:val="20"/>
          <w:szCs w:val="20"/>
        </w:rPr>
        <w:t xml:space="preserve"> compared to controls</w:t>
      </w:r>
      <w:r w:rsidR="00501D3A" w:rsidRPr="0019408A">
        <w:rPr>
          <w:rFonts w:ascii="Times New Roman" w:hAnsi="Times New Roman" w:cs="Times New Roman"/>
          <w:sz w:val="20"/>
          <w:szCs w:val="20"/>
        </w:rPr>
        <w:t xml:space="preserve">) </w:t>
      </w:r>
      <w:r w:rsidRPr="0019408A">
        <w:rPr>
          <w:rFonts w:ascii="Times New Roman" w:hAnsi="Times New Roman" w:cs="Times New Roman"/>
          <w:sz w:val="20"/>
          <w:szCs w:val="20"/>
        </w:rPr>
        <w:t>and blue bars negative loadings</w:t>
      </w:r>
      <w:r w:rsidR="00501D3A" w:rsidRPr="0019408A">
        <w:rPr>
          <w:rFonts w:ascii="Times New Roman" w:hAnsi="Times New Roman" w:cs="Times New Roman"/>
          <w:sz w:val="20"/>
          <w:szCs w:val="20"/>
        </w:rPr>
        <w:t xml:space="preserve"> (lower in GD</w:t>
      </w:r>
      <w:r w:rsidR="0027188A" w:rsidRPr="0019408A">
        <w:rPr>
          <w:rFonts w:ascii="Times New Roman" w:hAnsi="Times New Roman" w:cs="Times New Roman"/>
          <w:sz w:val="20"/>
          <w:szCs w:val="20"/>
        </w:rPr>
        <w:t xml:space="preserve"> compared to controls</w:t>
      </w:r>
      <w:r w:rsidR="00501D3A" w:rsidRPr="0019408A">
        <w:rPr>
          <w:rFonts w:ascii="Times New Roman" w:hAnsi="Times New Roman" w:cs="Times New Roman"/>
          <w:sz w:val="20"/>
          <w:szCs w:val="20"/>
        </w:rPr>
        <w:t>)</w:t>
      </w:r>
      <w:r w:rsidRPr="0019408A">
        <w:rPr>
          <w:rFonts w:ascii="Times New Roman" w:hAnsi="Times New Roman" w:cs="Times New Roman"/>
          <w:sz w:val="20"/>
          <w:szCs w:val="20"/>
        </w:rPr>
        <w:t xml:space="preserve">.  </w:t>
      </w:r>
      <w:r w:rsidR="005A37F5" w:rsidRPr="0019408A">
        <w:rPr>
          <w:rFonts w:ascii="Times New Roman" w:hAnsi="Times New Roman" w:cs="Times New Roman"/>
          <w:sz w:val="20"/>
          <w:szCs w:val="20"/>
        </w:rPr>
        <w:t>High loading scores (positive or negative) indicate higher importance in describing the differences between the GD and healthy control groups.</w:t>
      </w:r>
    </w:p>
    <w:p w:rsidR="004B5E74" w:rsidRPr="0019408A" w:rsidRDefault="00136769" w:rsidP="004B5E74">
      <w:pPr>
        <w:spacing w:line="480" w:lineRule="auto"/>
        <w:ind w:left="360"/>
        <w:rPr>
          <w:rFonts w:ascii="Times New Roman" w:hAnsi="Times New Roman" w:cs="Times New Roman"/>
          <w:sz w:val="24"/>
          <w:szCs w:val="24"/>
        </w:rPr>
      </w:pPr>
      <w:r>
        <w:rPr>
          <w:rFonts w:ascii="Times New Roman" w:hAnsi="Times New Roman" w:cs="Times New Roman"/>
          <w:sz w:val="24"/>
          <w:szCs w:val="24"/>
        </w:rPr>
        <w:pict>
          <v:shape id="_x0000_i1026" type="#_x0000_t75" style="width:303.5pt;height:566.5pt">
            <v:imagedata r:id="rId10" o:title="PCA_loadings_03-04-2023"/>
          </v:shape>
        </w:pict>
      </w:r>
    </w:p>
    <w:p w:rsidR="00EF5F77" w:rsidRPr="0019408A" w:rsidRDefault="00EF5F77" w:rsidP="004B5E74">
      <w:pPr>
        <w:spacing w:line="480" w:lineRule="auto"/>
        <w:ind w:left="360"/>
        <w:rPr>
          <w:rFonts w:ascii="Times New Roman" w:hAnsi="Times New Roman" w:cs="Times New Roman"/>
          <w:b/>
          <w:sz w:val="20"/>
          <w:szCs w:val="20"/>
        </w:rPr>
      </w:pPr>
    </w:p>
    <w:p w:rsidR="00D33A5A" w:rsidRPr="0019408A" w:rsidRDefault="004B5E74" w:rsidP="00D33A5A">
      <w:pPr>
        <w:spacing w:line="480" w:lineRule="auto"/>
        <w:ind w:left="360"/>
        <w:rPr>
          <w:rFonts w:ascii="Times New Roman" w:hAnsi="Times New Roman" w:cs="Times New Roman"/>
          <w:sz w:val="20"/>
          <w:szCs w:val="20"/>
        </w:rPr>
      </w:pPr>
      <w:r w:rsidRPr="0019408A">
        <w:rPr>
          <w:rFonts w:ascii="Times New Roman" w:hAnsi="Times New Roman" w:cs="Times New Roman"/>
          <w:b/>
          <w:sz w:val="20"/>
          <w:szCs w:val="20"/>
        </w:rPr>
        <w:t>Figure S</w:t>
      </w:r>
      <w:r w:rsidR="00FA040D" w:rsidRPr="0019408A">
        <w:rPr>
          <w:rFonts w:ascii="Times New Roman" w:hAnsi="Times New Roman" w:cs="Times New Roman"/>
          <w:b/>
          <w:sz w:val="20"/>
          <w:szCs w:val="20"/>
        </w:rPr>
        <w:t>4</w:t>
      </w:r>
      <w:r w:rsidRPr="0019408A">
        <w:rPr>
          <w:rFonts w:ascii="Times New Roman" w:hAnsi="Times New Roman" w:cs="Times New Roman"/>
          <w:b/>
          <w:sz w:val="20"/>
          <w:szCs w:val="20"/>
        </w:rPr>
        <w:t>.</w:t>
      </w:r>
      <w:r w:rsidRPr="0019408A">
        <w:rPr>
          <w:rFonts w:ascii="Times New Roman" w:hAnsi="Times New Roman" w:cs="Times New Roman"/>
          <w:sz w:val="20"/>
          <w:szCs w:val="20"/>
        </w:rPr>
        <w:t xml:space="preserve"> Longitudinal changes in inflammation during treatment between ATD treatments groups. Results show scores </w:t>
      </w:r>
      <w:r w:rsidR="00D33A5A" w:rsidRPr="0019408A">
        <w:rPr>
          <w:rFonts w:ascii="Times New Roman" w:hAnsi="Times New Roman" w:cs="Times New Roman"/>
          <w:sz w:val="20"/>
          <w:szCs w:val="20"/>
        </w:rPr>
        <w:t xml:space="preserve">(left) </w:t>
      </w:r>
      <w:r w:rsidRPr="0019408A">
        <w:rPr>
          <w:rFonts w:ascii="Times New Roman" w:hAnsi="Times New Roman" w:cs="Times New Roman"/>
          <w:sz w:val="20"/>
          <w:szCs w:val="20"/>
        </w:rPr>
        <w:t xml:space="preserve">and loadings </w:t>
      </w:r>
      <w:r w:rsidR="00D33A5A" w:rsidRPr="0019408A">
        <w:rPr>
          <w:rFonts w:ascii="Times New Roman" w:hAnsi="Times New Roman" w:cs="Times New Roman"/>
          <w:sz w:val="20"/>
          <w:szCs w:val="20"/>
        </w:rPr>
        <w:t xml:space="preserve">(right, showing only top and bottom 12 variables in the analyses) </w:t>
      </w:r>
      <w:r w:rsidRPr="0019408A">
        <w:rPr>
          <w:rFonts w:ascii="Times New Roman" w:hAnsi="Times New Roman" w:cs="Times New Roman"/>
          <w:sz w:val="20"/>
          <w:szCs w:val="20"/>
        </w:rPr>
        <w:t>from analyses of all patients over time including group interactions at 3- and 12-month</w:t>
      </w:r>
      <w:r w:rsidR="00C823D0" w:rsidRPr="0019408A">
        <w:rPr>
          <w:rFonts w:ascii="Times New Roman" w:hAnsi="Times New Roman" w:cs="Times New Roman"/>
          <w:sz w:val="20"/>
          <w:szCs w:val="20"/>
        </w:rPr>
        <w:t>s</w:t>
      </w:r>
      <w:r w:rsidRPr="0019408A">
        <w:rPr>
          <w:rFonts w:ascii="Times New Roman" w:hAnsi="Times New Roman" w:cs="Times New Roman"/>
          <w:sz w:val="20"/>
          <w:szCs w:val="20"/>
        </w:rPr>
        <w:t>, from the multivariate RM-ASCA+ analyses.  A high PC1 score (on the y-axis) indicates higher concentrations of biomarkers with positive loadings and lower concentrations of biomarkers with negative loadings. Vertical bars represent error bars from bootstrapping. All groups show clear changes over time in biomarker profiles</w:t>
      </w:r>
      <w:r w:rsidR="00D33A5A" w:rsidRPr="0019408A">
        <w:rPr>
          <w:rFonts w:ascii="Times New Roman" w:hAnsi="Times New Roman" w:cs="Times New Roman"/>
          <w:sz w:val="20"/>
          <w:szCs w:val="20"/>
        </w:rPr>
        <w:t>, while no robust differences between treatment regimens is observed at any time point.</w:t>
      </w:r>
    </w:p>
    <w:p w:rsidR="004B5E74" w:rsidRPr="0019408A" w:rsidRDefault="004B5E74" w:rsidP="004B5E74">
      <w:pPr>
        <w:spacing w:line="480" w:lineRule="auto"/>
        <w:ind w:left="360"/>
        <w:rPr>
          <w:rFonts w:ascii="Times New Roman" w:hAnsi="Times New Roman" w:cs="Times New Roman"/>
          <w:sz w:val="20"/>
          <w:szCs w:val="20"/>
        </w:rPr>
      </w:pPr>
    </w:p>
    <w:p w:rsidR="004B5E74" w:rsidRPr="0019408A" w:rsidRDefault="004B5E74" w:rsidP="004B5E74">
      <w:pPr>
        <w:spacing w:line="480" w:lineRule="auto"/>
        <w:ind w:left="360"/>
        <w:rPr>
          <w:rFonts w:ascii="Times New Roman" w:hAnsi="Times New Roman" w:cs="Times New Roman"/>
          <w:sz w:val="24"/>
          <w:szCs w:val="24"/>
        </w:rPr>
      </w:pPr>
      <w:r w:rsidRPr="0019408A">
        <w:rPr>
          <w:rFonts w:ascii="Times New Roman" w:hAnsi="Times New Roman" w:cs="Times New Roman"/>
          <w:noProof/>
          <w:sz w:val="24"/>
          <w:szCs w:val="24"/>
          <w:lang w:val="nb-NO" w:eastAsia="nb-NO"/>
        </w:rPr>
        <w:drawing>
          <wp:anchor distT="0" distB="0" distL="114300" distR="114300" simplePos="0" relativeHeight="251658240" behindDoc="0" locked="0" layoutInCell="1" allowOverlap="1">
            <wp:simplePos x="1130300" y="2755900"/>
            <wp:positionH relativeFrom="column">
              <wp:align>left</wp:align>
            </wp:positionH>
            <wp:positionV relativeFrom="paragraph">
              <wp:align>top</wp:align>
            </wp:positionV>
            <wp:extent cx="3852000" cy="1926000"/>
            <wp:effectExtent l="0" t="0" r="0" b="0"/>
            <wp:wrapSquare wrapText="bothSides"/>
            <wp:docPr id="6" name="Bilde 6" descr="\\ihelse.net\Forskning\hbe\2021-204586\Ny mappe\Retrospektiv kohort\Supplementary fig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helse.net\Forskning\hbe\2021-204586\Ny mappe\Retrospektiv kohort\Supplementary figure 3.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52000" cy="1926000"/>
                    </a:xfrm>
                    <a:prstGeom prst="rect">
                      <a:avLst/>
                    </a:prstGeom>
                    <a:noFill/>
                    <a:ln>
                      <a:noFill/>
                    </a:ln>
                  </pic:spPr>
                </pic:pic>
              </a:graphicData>
            </a:graphic>
          </wp:anchor>
        </w:drawing>
      </w:r>
      <w:r w:rsidR="000C6E46" w:rsidRPr="0019408A">
        <w:rPr>
          <w:rFonts w:ascii="Times New Roman" w:hAnsi="Times New Roman" w:cs="Times New Roman"/>
          <w:sz w:val="24"/>
          <w:szCs w:val="24"/>
        </w:rPr>
        <w:br w:type="textWrapping" w:clear="all"/>
      </w:r>
    </w:p>
    <w:p w:rsidR="004B5E74" w:rsidRPr="0019408A" w:rsidRDefault="004B5E74" w:rsidP="009B62BA">
      <w:pPr>
        <w:spacing w:line="480" w:lineRule="auto"/>
        <w:rPr>
          <w:rFonts w:ascii="Times New Roman" w:hAnsi="Times New Roman" w:cs="Times New Roman"/>
          <w:sz w:val="24"/>
          <w:szCs w:val="24"/>
        </w:rPr>
      </w:pPr>
    </w:p>
    <w:p w:rsidR="004B5E74" w:rsidRPr="0019408A" w:rsidRDefault="004B5E74" w:rsidP="009B62BA">
      <w:pPr>
        <w:spacing w:line="480" w:lineRule="auto"/>
        <w:rPr>
          <w:rFonts w:ascii="Times New Roman" w:hAnsi="Times New Roman" w:cs="Times New Roman"/>
          <w:sz w:val="24"/>
          <w:szCs w:val="24"/>
        </w:rPr>
      </w:pPr>
    </w:p>
    <w:p w:rsidR="004B5E74" w:rsidRPr="0019408A" w:rsidRDefault="004B5E74" w:rsidP="009B62BA">
      <w:pPr>
        <w:spacing w:line="480" w:lineRule="auto"/>
        <w:rPr>
          <w:rFonts w:ascii="Times New Roman" w:hAnsi="Times New Roman" w:cs="Times New Roman"/>
          <w:sz w:val="24"/>
          <w:szCs w:val="24"/>
        </w:rPr>
      </w:pPr>
    </w:p>
    <w:p w:rsidR="004B5E74" w:rsidRPr="0019408A" w:rsidRDefault="004B5E74" w:rsidP="009B62BA">
      <w:pPr>
        <w:spacing w:line="480" w:lineRule="auto"/>
        <w:rPr>
          <w:rFonts w:ascii="Times New Roman" w:hAnsi="Times New Roman" w:cs="Times New Roman"/>
          <w:sz w:val="24"/>
          <w:szCs w:val="24"/>
        </w:rPr>
      </w:pPr>
    </w:p>
    <w:p w:rsidR="004B5E74" w:rsidRPr="0019408A" w:rsidRDefault="004B5E74" w:rsidP="009B62BA">
      <w:pPr>
        <w:spacing w:line="480" w:lineRule="auto"/>
        <w:rPr>
          <w:rFonts w:ascii="Times New Roman" w:hAnsi="Times New Roman" w:cs="Times New Roman"/>
          <w:sz w:val="24"/>
          <w:szCs w:val="24"/>
        </w:rPr>
      </w:pPr>
    </w:p>
    <w:p w:rsidR="00204978" w:rsidRPr="0019408A" w:rsidRDefault="00204978" w:rsidP="009B62BA">
      <w:pPr>
        <w:spacing w:line="480" w:lineRule="auto"/>
        <w:rPr>
          <w:rFonts w:ascii="Times New Roman" w:hAnsi="Times New Roman" w:cs="Times New Roman"/>
          <w:sz w:val="24"/>
          <w:szCs w:val="24"/>
        </w:rPr>
      </w:pPr>
    </w:p>
    <w:p w:rsidR="00206F52" w:rsidRPr="0019408A" w:rsidRDefault="00206F52" w:rsidP="009B62BA">
      <w:pPr>
        <w:spacing w:line="480" w:lineRule="auto"/>
        <w:rPr>
          <w:rFonts w:ascii="Times New Roman" w:hAnsi="Times New Roman" w:cs="Times New Roman"/>
          <w:sz w:val="24"/>
          <w:szCs w:val="24"/>
        </w:rPr>
      </w:pPr>
    </w:p>
    <w:p w:rsidR="005F10E6" w:rsidRPr="0019408A" w:rsidRDefault="005F10E6" w:rsidP="00ED5019">
      <w:pPr>
        <w:spacing w:line="480" w:lineRule="auto"/>
        <w:jc w:val="center"/>
        <w:rPr>
          <w:rFonts w:ascii="Times New Roman" w:hAnsi="Times New Roman" w:cs="Times New Roman"/>
          <w:b/>
          <w:sz w:val="24"/>
          <w:szCs w:val="24"/>
        </w:rPr>
      </w:pPr>
    </w:p>
    <w:p w:rsidR="005A37F5" w:rsidRPr="0019408A" w:rsidRDefault="005A37F5" w:rsidP="00D33A5A">
      <w:pPr>
        <w:spacing w:line="480" w:lineRule="auto"/>
        <w:rPr>
          <w:rFonts w:ascii="Times New Roman" w:hAnsi="Times New Roman" w:cs="Times New Roman"/>
          <w:b/>
          <w:sz w:val="20"/>
          <w:szCs w:val="20"/>
        </w:rPr>
      </w:pPr>
    </w:p>
    <w:p w:rsidR="004B5E74" w:rsidRPr="0019408A" w:rsidRDefault="004B5E74" w:rsidP="00ED5019">
      <w:pPr>
        <w:spacing w:line="480" w:lineRule="auto"/>
        <w:jc w:val="center"/>
        <w:rPr>
          <w:rFonts w:ascii="Times New Roman" w:hAnsi="Times New Roman" w:cs="Times New Roman"/>
          <w:b/>
          <w:sz w:val="20"/>
          <w:szCs w:val="20"/>
        </w:rPr>
      </w:pPr>
      <w:r w:rsidRPr="0019408A">
        <w:rPr>
          <w:rFonts w:ascii="Times New Roman" w:hAnsi="Times New Roman" w:cs="Times New Roman"/>
          <w:b/>
          <w:sz w:val="20"/>
          <w:szCs w:val="20"/>
        </w:rPr>
        <w:t>Supplementary Tables</w:t>
      </w:r>
    </w:p>
    <w:p w:rsidR="00445E25" w:rsidRPr="0019408A" w:rsidRDefault="00445E25" w:rsidP="00445E25">
      <w:pPr>
        <w:spacing w:line="480" w:lineRule="auto"/>
        <w:rPr>
          <w:rFonts w:ascii="Times New Roman" w:hAnsi="Times New Roman" w:cs="Times New Roman"/>
          <w:b/>
          <w:sz w:val="20"/>
          <w:szCs w:val="20"/>
          <w:shd w:val="clear" w:color="auto" w:fill="FFFFFF"/>
        </w:rPr>
      </w:pPr>
      <w:r w:rsidRPr="0019408A">
        <w:rPr>
          <w:rFonts w:ascii="Times New Roman" w:hAnsi="Times New Roman" w:cs="Times New Roman"/>
          <w:b/>
          <w:sz w:val="20"/>
          <w:szCs w:val="20"/>
        </w:rPr>
        <w:t xml:space="preserve">Table </w:t>
      </w:r>
      <w:r w:rsidR="00026543" w:rsidRPr="0019408A">
        <w:rPr>
          <w:rFonts w:ascii="Times New Roman" w:hAnsi="Times New Roman" w:cs="Times New Roman"/>
          <w:b/>
          <w:sz w:val="20"/>
          <w:szCs w:val="20"/>
        </w:rPr>
        <w:t>S</w:t>
      </w:r>
      <w:r w:rsidRPr="0019408A">
        <w:rPr>
          <w:rFonts w:ascii="Times New Roman" w:hAnsi="Times New Roman" w:cs="Times New Roman"/>
          <w:b/>
          <w:sz w:val="20"/>
          <w:szCs w:val="20"/>
        </w:rPr>
        <w:t xml:space="preserve">1. </w:t>
      </w:r>
      <w:r w:rsidRPr="0019408A">
        <w:rPr>
          <w:rFonts w:ascii="Times New Roman" w:hAnsi="Times New Roman" w:cs="Times New Roman"/>
          <w:sz w:val="20"/>
          <w:szCs w:val="20"/>
        </w:rPr>
        <w:t xml:space="preserve">Clinical and Epidemiological </w:t>
      </w:r>
      <w:r w:rsidRPr="0019408A">
        <w:rPr>
          <w:rFonts w:ascii="Times New Roman" w:hAnsi="Times New Roman" w:cs="Times New Roman"/>
          <w:sz w:val="20"/>
          <w:szCs w:val="20"/>
          <w:shd w:val="clear" w:color="auto" w:fill="FFFFFF"/>
        </w:rPr>
        <w:t>characteristics of patients and healthy controls selected for biomarker analysis.</w:t>
      </w:r>
    </w:p>
    <w:tbl>
      <w:tblPr>
        <w:tblW w:w="8240" w:type="dxa"/>
        <w:tblCellMar>
          <w:left w:w="70" w:type="dxa"/>
          <w:right w:w="70" w:type="dxa"/>
        </w:tblCellMar>
        <w:tblLook w:val="04A0" w:firstRow="1" w:lastRow="0" w:firstColumn="1" w:lastColumn="0" w:noHBand="0" w:noVBand="1"/>
      </w:tblPr>
      <w:tblGrid>
        <w:gridCol w:w="3880"/>
        <w:gridCol w:w="2180"/>
        <w:gridCol w:w="2180"/>
      </w:tblGrid>
      <w:tr w:rsidR="0019408A" w:rsidRPr="0019408A" w:rsidTr="00405223">
        <w:trPr>
          <w:trHeight w:val="585"/>
        </w:trPr>
        <w:tc>
          <w:tcPr>
            <w:tcW w:w="3880" w:type="dxa"/>
            <w:tcBorders>
              <w:top w:val="single" w:sz="8" w:space="0" w:color="auto"/>
              <w:left w:val="single" w:sz="8" w:space="0" w:color="auto"/>
              <w:bottom w:val="single" w:sz="8" w:space="0" w:color="auto"/>
              <w:right w:val="single" w:sz="8" w:space="0" w:color="auto"/>
            </w:tcBorders>
            <w:shd w:val="clear" w:color="000000" w:fill="F2F2F2"/>
            <w:vAlign w:val="center"/>
            <w:hideMark/>
          </w:tcPr>
          <w:p w:rsidR="00405223" w:rsidRPr="0019408A" w:rsidRDefault="00405223" w:rsidP="00405223">
            <w:pPr>
              <w:spacing w:after="0" w:line="240" w:lineRule="auto"/>
              <w:rPr>
                <w:rFonts w:ascii="Times New Roman" w:eastAsia="Times New Roman" w:hAnsi="Times New Roman" w:cs="Times New Roman"/>
                <w:b/>
                <w:bCs/>
                <w:sz w:val="16"/>
                <w:szCs w:val="16"/>
                <w:lang w:val="nb-NO" w:eastAsia="nb-NO"/>
              </w:rPr>
            </w:pPr>
            <w:r w:rsidRPr="0019408A">
              <w:rPr>
                <w:rFonts w:ascii="Times New Roman" w:eastAsia="Times New Roman" w:hAnsi="Times New Roman" w:cs="Times New Roman"/>
                <w:b/>
                <w:bCs/>
                <w:sz w:val="16"/>
                <w:szCs w:val="16"/>
                <w:lang w:eastAsia="nb-NO"/>
              </w:rPr>
              <w:t>Parameter</w:t>
            </w:r>
          </w:p>
        </w:tc>
        <w:tc>
          <w:tcPr>
            <w:tcW w:w="2180" w:type="dxa"/>
            <w:tcBorders>
              <w:top w:val="single" w:sz="8" w:space="0" w:color="auto"/>
              <w:left w:val="nil"/>
              <w:bottom w:val="single" w:sz="8" w:space="0" w:color="auto"/>
              <w:right w:val="single" w:sz="8" w:space="0" w:color="auto"/>
            </w:tcBorders>
            <w:shd w:val="clear" w:color="000000" w:fill="F2F2F2"/>
            <w:vAlign w:val="center"/>
            <w:hideMark/>
          </w:tcPr>
          <w:p w:rsidR="00405223" w:rsidRPr="0019408A" w:rsidRDefault="00405223" w:rsidP="00405223">
            <w:pPr>
              <w:spacing w:after="0" w:line="240" w:lineRule="auto"/>
              <w:jc w:val="center"/>
              <w:rPr>
                <w:rFonts w:ascii="Times New Roman" w:eastAsia="Times New Roman" w:hAnsi="Times New Roman" w:cs="Times New Roman"/>
                <w:b/>
                <w:bCs/>
                <w:sz w:val="16"/>
                <w:szCs w:val="16"/>
                <w:lang w:val="nb-NO" w:eastAsia="nb-NO"/>
              </w:rPr>
            </w:pPr>
            <w:r w:rsidRPr="0019408A">
              <w:rPr>
                <w:rFonts w:ascii="Times New Roman" w:eastAsia="Times New Roman" w:hAnsi="Times New Roman" w:cs="Times New Roman"/>
                <w:b/>
                <w:bCs/>
                <w:sz w:val="16"/>
                <w:szCs w:val="16"/>
                <w:lang w:eastAsia="nb-NO"/>
              </w:rPr>
              <w:t>Graves’ Disease</w:t>
            </w:r>
          </w:p>
        </w:tc>
        <w:tc>
          <w:tcPr>
            <w:tcW w:w="2180" w:type="dxa"/>
            <w:tcBorders>
              <w:top w:val="single" w:sz="8" w:space="0" w:color="auto"/>
              <w:left w:val="nil"/>
              <w:bottom w:val="single" w:sz="8" w:space="0" w:color="auto"/>
              <w:right w:val="single" w:sz="8" w:space="0" w:color="auto"/>
            </w:tcBorders>
            <w:shd w:val="clear" w:color="000000" w:fill="F2F2F2"/>
            <w:vAlign w:val="center"/>
            <w:hideMark/>
          </w:tcPr>
          <w:p w:rsidR="00405223" w:rsidRPr="0019408A" w:rsidRDefault="00405223" w:rsidP="00405223">
            <w:pPr>
              <w:spacing w:after="0" w:line="240" w:lineRule="auto"/>
              <w:jc w:val="center"/>
              <w:rPr>
                <w:rFonts w:ascii="Times New Roman" w:eastAsia="Times New Roman" w:hAnsi="Times New Roman" w:cs="Times New Roman"/>
                <w:b/>
                <w:bCs/>
                <w:sz w:val="16"/>
                <w:szCs w:val="16"/>
                <w:lang w:val="nb-NO" w:eastAsia="nb-NO"/>
              </w:rPr>
            </w:pPr>
            <w:r w:rsidRPr="0019408A">
              <w:rPr>
                <w:rFonts w:ascii="Times New Roman" w:eastAsia="Times New Roman" w:hAnsi="Times New Roman" w:cs="Times New Roman"/>
                <w:b/>
                <w:bCs/>
                <w:sz w:val="16"/>
                <w:szCs w:val="16"/>
                <w:lang w:eastAsia="nb-NO"/>
              </w:rPr>
              <w:t>Healthy controls</w:t>
            </w:r>
          </w:p>
        </w:tc>
      </w:tr>
      <w:tr w:rsidR="0019408A" w:rsidRPr="0019408A" w:rsidTr="00405223">
        <w:trPr>
          <w:trHeight w:val="499"/>
        </w:trPr>
        <w:tc>
          <w:tcPr>
            <w:tcW w:w="3880" w:type="dxa"/>
            <w:tcBorders>
              <w:top w:val="nil"/>
              <w:left w:val="single" w:sz="8" w:space="0" w:color="auto"/>
              <w:bottom w:val="single" w:sz="4" w:space="0" w:color="auto"/>
              <w:right w:val="nil"/>
            </w:tcBorders>
            <w:shd w:val="clear" w:color="000000" w:fill="F2F2F2"/>
            <w:vAlign w:val="center"/>
            <w:hideMark/>
          </w:tcPr>
          <w:p w:rsidR="00405223" w:rsidRPr="0019408A" w:rsidRDefault="00405223" w:rsidP="00405223">
            <w:pPr>
              <w:spacing w:after="0" w:line="240" w:lineRule="auto"/>
              <w:rPr>
                <w:rFonts w:ascii="Times New Roman" w:eastAsia="Times New Roman" w:hAnsi="Times New Roman" w:cs="Times New Roman"/>
                <w:b/>
                <w:bCs/>
                <w:sz w:val="16"/>
                <w:szCs w:val="16"/>
                <w:lang w:val="nb-NO" w:eastAsia="nb-NO"/>
              </w:rPr>
            </w:pPr>
            <w:r w:rsidRPr="0019408A">
              <w:rPr>
                <w:rFonts w:ascii="Times New Roman" w:eastAsia="Times New Roman" w:hAnsi="Times New Roman" w:cs="Times New Roman"/>
                <w:b/>
                <w:bCs/>
                <w:sz w:val="16"/>
                <w:szCs w:val="16"/>
                <w:lang w:eastAsia="nb-NO"/>
              </w:rPr>
              <w:t>Basic demographics</w:t>
            </w:r>
          </w:p>
        </w:tc>
        <w:tc>
          <w:tcPr>
            <w:tcW w:w="2180" w:type="dxa"/>
            <w:tcBorders>
              <w:top w:val="nil"/>
              <w:left w:val="nil"/>
              <w:bottom w:val="single" w:sz="4" w:space="0" w:color="auto"/>
              <w:right w:val="nil"/>
            </w:tcBorders>
            <w:shd w:val="clear" w:color="000000" w:fill="F2F2F2"/>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 </w:t>
            </w:r>
          </w:p>
        </w:tc>
        <w:tc>
          <w:tcPr>
            <w:tcW w:w="2180" w:type="dxa"/>
            <w:tcBorders>
              <w:top w:val="nil"/>
              <w:left w:val="nil"/>
              <w:bottom w:val="single" w:sz="4" w:space="0" w:color="auto"/>
              <w:right w:val="single" w:sz="8" w:space="0" w:color="auto"/>
            </w:tcBorders>
            <w:shd w:val="clear" w:color="000000" w:fill="F2F2F2"/>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 </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Patients, n</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82</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82</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Age, y (range)</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44 (18-71)</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45 (20-73)</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Female, n (%)</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69 (84%)</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70 (85%)</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Daily smoker, n (%)</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33 (40%)</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Ex-smoker, n (%)</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8 (10%)</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w:t>
            </w:r>
          </w:p>
        </w:tc>
      </w:tr>
      <w:tr w:rsidR="0019408A" w:rsidRPr="0019408A" w:rsidTr="00405223">
        <w:trPr>
          <w:trHeight w:val="499"/>
        </w:trPr>
        <w:tc>
          <w:tcPr>
            <w:tcW w:w="3880" w:type="dxa"/>
            <w:tcBorders>
              <w:top w:val="nil"/>
              <w:left w:val="single" w:sz="8" w:space="0" w:color="auto"/>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Body-mass-index, kg/m2 (range)</w:t>
            </w:r>
          </w:p>
        </w:tc>
        <w:tc>
          <w:tcPr>
            <w:tcW w:w="218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22</w:t>
            </w:r>
            <w:r w:rsidR="00F85240" w:rsidRPr="0019408A">
              <w:rPr>
                <w:rFonts w:ascii="Times New Roman" w:eastAsia="Times New Roman" w:hAnsi="Times New Roman" w:cs="Times New Roman"/>
                <w:sz w:val="16"/>
                <w:szCs w:val="16"/>
                <w:lang w:eastAsia="nb-NO"/>
              </w:rPr>
              <w:t>.</w:t>
            </w:r>
            <w:r w:rsidRPr="0019408A">
              <w:rPr>
                <w:rFonts w:ascii="Times New Roman" w:eastAsia="Times New Roman" w:hAnsi="Times New Roman" w:cs="Times New Roman"/>
                <w:sz w:val="16"/>
                <w:szCs w:val="16"/>
                <w:lang w:eastAsia="nb-NO"/>
              </w:rPr>
              <w:t>5 (16</w:t>
            </w:r>
            <w:r w:rsidR="00F85240" w:rsidRPr="0019408A">
              <w:rPr>
                <w:rFonts w:ascii="Times New Roman" w:eastAsia="Times New Roman" w:hAnsi="Times New Roman" w:cs="Times New Roman"/>
                <w:sz w:val="16"/>
                <w:szCs w:val="16"/>
                <w:lang w:eastAsia="nb-NO"/>
              </w:rPr>
              <w:t>.</w:t>
            </w:r>
            <w:r w:rsidRPr="0019408A">
              <w:rPr>
                <w:rFonts w:ascii="Times New Roman" w:eastAsia="Times New Roman" w:hAnsi="Times New Roman" w:cs="Times New Roman"/>
                <w:sz w:val="16"/>
                <w:szCs w:val="16"/>
                <w:lang w:eastAsia="nb-NO"/>
              </w:rPr>
              <w:t>7-37</w:t>
            </w:r>
            <w:r w:rsidR="00F85240" w:rsidRPr="0019408A">
              <w:rPr>
                <w:rFonts w:ascii="Times New Roman" w:eastAsia="Times New Roman" w:hAnsi="Times New Roman" w:cs="Times New Roman"/>
                <w:sz w:val="16"/>
                <w:szCs w:val="16"/>
                <w:lang w:eastAsia="nb-NO"/>
              </w:rPr>
              <w:t>.</w:t>
            </w:r>
            <w:r w:rsidRPr="0019408A">
              <w:rPr>
                <w:rFonts w:ascii="Times New Roman" w:eastAsia="Times New Roman" w:hAnsi="Times New Roman" w:cs="Times New Roman"/>
                <w:sz w:val="16"/>
                <w:szCs w:val="16"/>
                <w:lang w:eastAsia="nb-NO"/>
              </w:rPr>
              <w:t>8)</w:t>
            </w:r>
          </w:p>
        </w:tc>
        <w:tc>
          <w:tcPr>
            <w:tcW w:w="2180" w:type="dxa"/>
            <w:tcBorders>
              <w:top w:val="nil"/>
              <w:left w:val="nil"/>
              <w:bottom w:val="single" w:sz="8"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w:t>
            </w:r>
          </w:p>
        </w:tc>
      </w:tr>
      <w:tr w:rsidR="0019408A" w:rsidRPr="0019408A" w:rsidTr="00405223">
        <w:trPr>
          <w:trHeight w:val="499"/>
        </w:trPr>
        <w:tc>
          <w:tcPr>
            <w:tcW w:w="3880" w:type="dxa"/>
            <w:tcBorders>
              <w:top w:val="nil"/>
              <w:left w:val="single" w:sz="8" w:space="0" w:color="auto"/>
              <w:bottom w:val="nil"/>
              <w:right w:val="nil"/>
            </w:tcBorders>
            <w:shd w:val="clear" w:color="000000" w:fill="F2F2F2"/>
            <w:vAlign w:val="center"/>
            <w:hideMark/>
          </w:tcPr>
          <w:p w:rsidR="00405223" w:rsidRPr="0019408A" w:rsidRDefault="00405223" w:rsidP="00405223">
            <w:pPr>
              <w:spacing w:after="0" w:line="240" w:lineRule="auto"/>
              <w:rPr>
                <w:rFonts w:ascii="Times New Roman" w:eastAsia="Times New Roman" w:hAnsi="Times New Roman" w:cs="Times New Roman"/>
                <w:b/>
                <w:bCs/>
                <w:sz w:val="16"/>
                <w:szCs w:val="16"/>
                <w:lang w:val="nb-NO" w:eastAsia="nb-NO"/>
              </w:rPr>
            </w:pPr>
            <w:proofErr w:type="spellStart"/>
            <w:r w:rsidRPr="0019408A">
              <w:rPr>
                <w:rFonts w:ascii="Times New Roman" w:eastAsia="Times New Roman" w:hAnsi="Times New Roman" w:cs="Times New Roman"/>
                <w:b/>
                <w:bCs/>
                <w:sz w:val="16"/>
                <w:szCs w:val="16"/>
                <w:lang w:eastAsia="nb-NO"/>
              </w:rPr>
              <w:t>Analysed</w:t>
            </w:r>
            <w:proofErr w:type="spellEnd"/>
            <w:r w:rsidRPr="0019408A">
              <w:rPr>
                <w:rFonts w:ascii="Times New Roman" w:eastAsia="Times New Roman" w:hAnsi="Times New Roman" w:cs="Times New Roman"/>
                <w:b/>
                <w:bCs/>
                <w:sz w:val="16"/>
                <w:szCs w:val="16"/>
                <w:lang w:eastAsia="nb-NO"/>
              </w:rPr>
              <w:t xml:space="preserve"> samples</w:t>
            </w:r>
          </w:p>
        </w:tc>
        <w:tc>
          <w:tcPr>
            <w:tcW w:w="2180" w:type="dxa"/>
            <w:tcBorders>
              <w:top w:val="nil"/>
              <w:left w:val="nil"/>
              <w:bottom w:val="nil"/>
              <w:right w:val="nil"/>
            </w:tcBorders>
            <w:shd w:val="clear" w:color="000000" w:fill="F2F2F2"/>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 </w:t>
            </w:r>
          </w:p>
        </w:tc>
        <w:tc>
          <w:tcPr>
            <w:tcW w:w="2180" w:type="dxa"/>
            <w:tcBorders>
              <w:top w:val="nil"/>
              <w:left w:val="nil"/>
              <w:bottom w:val="nil"/>
              <w:right w:val="single" w:sz="8" w:space="0" w:color="auto"/>
            </w:tcBorders>
            <w:shd w:val="clear" w:color="000000" w:fill="F2F2F2"/>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 </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Number for samples per patient, n (range)</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2 (1-3)</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 </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Sample taken at baseline, n (%)</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69 (84%)</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 </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Sample taken at 3 months, n (%)</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50 (61%)</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 </w:t>
            </w:r>
          </w:p>
        </w:tc>
      </w:tr>
      <w:tr w:rsidR="0019408A" w:rsidRPr="0019408A" w:rsidTr="00405223">
        <w:trPr>
          <w:trHeight w:val="499"/>
        </w:trPr>
        <w:tc>
          <w:tcPr>
            <w:tcW w:w="3880" w:type="dxa"/>
            <w:tcBorders>
              <w:top w:val="nil"/>
              <w:left w:val="single" w:sz="8" w:space="0" w:color="auto"/>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Sample taken at 12 months, n (%)</w:t>
            </w:r>
          </w:p>
        </w:tc>
        <w:tc>
          <w:tcPr>
            <w:tcW w:w="218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30 (37%)</w:t>
            </w:r>
          </w:p>
        </w:tc>
        <w:tc>
          <w:tcPr>
            <w:tcW w:w="2180" w:type="dxa"/>
            <w:tcBorders>
              <w:top w:val="nil"/>
              <w:left w:val="nil"/>
              <w:bottom w:val="single" w:sz="8"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 </w:t>
            </w:r>
          </w:p>
        </w:tc>
      </w:tr>
      <w:tr w:rsidR="0019408A" w:rsidRPr="0019408A" w:rsidTr="00405223">
        <w:trPr>
          <w:trHeight w:val="499"/>
        </w:trPr>
        <w:tc>
          <w:tcPr>
            <w:tcW w:w="3880" w:type="dxa"/>
            <w:tcBorders>
              <w:top w:val="nil"/>
              <w:left w:val="single" w:sz="8" w:space="0" w:color="auto"/>
              <w:bottom w:val="single" w:sz="4" w:space="0" w:color="auto"/>
              <w:right w:val="nil"/>
            </w:tcBorders>
            <w:shd w:val="clear" w:color="000000" w:fill="F2F2F2"/>
            <w:vAlign w:val="center"/>
            <w:hideMark/>
          </w:tcPr>
          <w:p w:rsidR="00405223" w:rsidRPr="0019408A" w:rsidRDefault="00405223" w:rsidP="00405223">
            <w:pPr>
              <w:spacing w:after="0" w:line="240" w:lineRule="auto"/>
              <w:rPr>
                <w:rFonts w:ascii="Times New Roman" w:eastAsia="Times New Roman" w:hAnsi="Times New Roman" w:cs="Times New Roman"/>
                <w:b/>
                <w:bCs/>
                <w:sz w:val="16"/>
                <w:szCs w:val="16"/>
                <w:lang w:val="nb-NO" w:eastAsia="nb-NO"/>
              </w:rPr>
            </w:pPr>
            <w:r w:rsidRPr="0019408A">
              <w:rPr>
                <w:rFonts w:ascii="Times New Roman" w:eastAsia="Times New Roman" w:hAnsi="Times New Roman" w:cs="Times New Roman"/>
                <w:b/>
                <w:bCs/>
                <w:sz w:val="16"/>
                <w:szCs w:val="16"/>
                <w:lang w:eastAsia="nb-NO"/>
              </w:rPr>
              <w:t>Clinical characteristics</w:t>
            </w:r>
          </w:p>
        </w:tc>
        <w:tc>
          <w:tcPr>
            <w:tcW w:w="2180" w:type="dxa"/>
            <w:tcBorders>
              <w:top w:val="nil"/>
              <w:left w:val="nil"/>
              <w:bottom w:val="single" w:sz="4" w:space="0" w:color="auto"/>
              <w:right w:val="nil"/>
            </w:tcBorders>
            <w:shd w:val="clear" w:color="000000" w:fill="F2F2F2"/>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 </w:t>
            </w:r>
          </w:p>
        </w:tc>
        <w:tc>
          <w:tcPr>
            <w:tcW w:w="2180" w:type="dxa"/>
            <w:tcBorders>
              <w:top w:val="nil"/>
              <w:left w:val="nil"/>
              <w:bottom w:val="single" w:sz="4" w:space="0" w:color="auto"/>
              <w:right w:val="single" w:sz="8" w:space="0" w:color="auto"/>
            </w:tcBorders>
            <w:shd w:val="clear" w:color="000000" w:fill="F2F2F2"/>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 </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Block-replace/titration regimen, n (%)</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47 (57%) / 35 (43%)</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Relapse rate in original study, n (%)</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40 (49%)</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Remission rate in original study, n (%)</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35 (43%)</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Dropped out from original study</w:t>
            </w:r>
            <w:r w:rsidRPr="0019408A">
              <w:rPr>
                <w:rFonts w:ascii="Times New Roman" w:eastAsia="Times New Roman" w:hAnsi="Times New Roman" w:cs="Times New Roman"/>
                <w:sz w:val="16"/>
                <w:szCs w:val="16"/>
                <w:vertAlign w:val="superscript"/>
                <w:lang w:eastAsia="nb-NO"/>
              </w:rPr>
              <w:t>1</w:t>
            </w:r>
            <w:r w:rsidRPr="0019408A">
              <w:rPr>
                <w:rFonts w:ascii="Times New Roman" w:eastAsia="Times New Roman" w:hAnsi="Times New Roman" w:cs="Times New Roman"/>
                <w:sz w:val="16"/>
                <w:szCs w:val="16"/>
                <w:lang w:eastAsia="nb-NO"/>
              </w:rPr>
              <w:t>, n (%)</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7 (9%)</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FA362A"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Normal Thyroid Function at the end of follow-up</w:t>
            </w:r>
            <w:r w:rsidR="00405223" w:rsidRPr="0019408A">
              <w:rPr>
                <w:rFonts w:ascii="Times New Roman" w:eastAsia="Times New Roman" w:hAnsi="Times New Roman" w:cs="Times New Roman"/>
                <w:sz w:val="16"/>
                <w:szCs w:val="16"/>
                <w:vertAlign w:val="superscript"/>
                <w:lang w:eastAsia="nb-NO"/>
              </w:rPr>
              <w:t>2</w:t>
            </w:r>
            <w:r w:rsidR="00405223" w:rsidRPr="0019408A">
              <w:rPr>
                <w:rFonts w:ascii="Times New Roman" w:eastAsia="Times New Roman" w:hAnsi="Times New Roman" w:cs="Times New Roman"/>
                <w:sz w:val="16"/>
                <w:szCs w:val="16"/>
                <w:lang w:eastAsia="nb-NO"/>
              </w:rPr>
              <w:t>, n (%)</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31 (38%)</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w:t>
            </w:r>
          </w:p>
        </w:tc>
      </w:tr>
      <w:tr w:rsidR="0019408A" w:rsidRPr="0019408A" w:rsidTr="00405223">
        <w:trPr>
          <w:trHeight w:val="499"/>
        </w:trPr>
        <w:tc>
          <w:tcPr>
            <w:tcW w:w="388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Autoimmune comorbidity</w:t>
            </w:r>
            <w:r w:rsidRPr="0019408A">
              <w:rPr>
                <w:rFonts w:ascii="Times New Roman" w:eastAsia="Times New Roman" w:hAnsi="Times New Roman" w:cs="Times New Roman"/>
                <w:sz w:val="16"/>
                <w:szCs w:val="16"/>
                <w:vertAlign w:val="superscript"/>
                <w:lang w:eastAsia="nb-NO"/>
              </w:rPr>
              <w:t>3</w:t>
            </w:r>
          </w:p>
        </w:tc>
        <w:tc>
          <w:tcPr>
            <w:tcW w:w="218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4 (5%)</w:t>
            </w:r>
          </w:p>
        </w:tc>
        <w:tc>
          <w:tcPr>
            <w:tcW w:w="218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w:t>
            </w:r>
          </w:p>
        </w:tc>
      </w:tr>
      <w:tr w:rsidR="0019408A" w:rsidRPr="0019408A" w:rsidTr="00405223">
        <w:trPr>
          <w:trHeight w:val="499"/>
        </w:trPr>
        <w:tc>
          <w:tcPr>
            <w:tcW w:w="3880" w:type="dxa"/>
            <w:tcBorders>
              <w:top w:val="nil"/>
              <w:left w:val="single" w:sz="8" w:space="0" w:color="auto"/>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Thyroid Eye Disease</w:t>
            </w:r>
            <w:r w:rsidRPr="0019408A">
              <w:rPr>
                <w:rFonts w:ascii="Times New Roman" w:eastAsia="Times New Roman" w:hAnsi="Times New Roman" w:cs="Times New Roman"/>
                <w:sz w:val="16"/>
                <w:szCs w:val="16"/>
                <w:vertAlign w:val="superscript"/>
                <w:lang w:eastAsia="nb-NO"/>
              </w:rPr>
              <w:t>3</w:t>
            </w:r>
          </w:p>
        </w:tc>
        <w:tc>
          <w:tcPr>
            <w:tcW w:w="2180" w:type="dxa"/>
            <w:tcBorders>
              <w:top w:val="nil"/>
              <w:left w:val="nil"/>
              <w:bottom w:val="single" w:sz="8" w:space="0" w:color="auto"/>
              <w:right w:val="single" w:sz="4" w:space="0" w:color="auto"/>
            </w:tcBorders>
            <w:shd w:val="clear" w:color="auto" w:fill="auto"/>
            <w:vAlign w:val="center"/>
            <w:hideMark/>
          </w:tcPr>
          <w:p w:rsidR="00405223" w:rsidRPr="0019408A" w:rsidRDefault="003B218A"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39 (48</w:t>
            </w:r>
            <w:r w:rsidR="00405223" w:rsidRPr="0019408A">
              <w:rPr>
                <w:rFonts w:ascii="Times New Roman" w:eastAsia="Times New Roman" w:hAnsi="Times New Roman" w:cs="Times New Roman"/>
                <w:sz w:val="16"/>
                <w:szCs w:val="16"/>
                <w:lang w:eastAsia="nb-NO"/>
              </w:rPr>
              <w:t>%)</w:t>
            </w:r>
          </w:p>
        </w:tc>
        <w:tc>
          <w:tcPr>
            <w:tcW w:w="2180" w:type="dxa"/>
            <w:tcBorders>
              <w:top w:val="nil"/>
              <w:left w:val="nil"/>
              <w:bottom w:val="single" w:sz="8"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eastAsia="nb-NO"/>
              </w:rPr>
              <w:t>-</w:t>
            </w:r>
          </w:p>
        </w:tc>
      </w:tr>
    </w:tbl>
    <w:p w:rsidR="00445E25" w:rsidRPr="0019408A" w:rsidRDefault="00445E25" w:rsidP="00445E25">
      <w:pPr>
        <w:spacing w:line="240" w:lineRule="auto"/>
        <w:ind w:left="360"/>
        <w:rPr>
          <w:rFonts w:ascii="Times New Roman" w:hAnsi="Times New Roman" w:cs="Times New Roman"/>
          <w:sz w:val="16"/>
          <w:szCs w:val="16"/>
        </w:rPr>
      </w:pPr>
      <w:r w:rsidRPr="0019408A">
        <w:rPr>
          <w:rFonts w:ascii="Times New Roman" w:hAnsi="Times New Roman" w:cs="Times New Roman"/>
          <w:sz w:val="16"/>
          <w:szCs w:val="16"/>
          <w:vertAlign w:val="superscript"/>
        </w:rPr>
        <w:t xml:space="preserve">1 </w:t>
      </w:r>
      <w:r w:rsidRPr="0019408A">
        <w:rPr>
          <w:rFonts w:ascii="Times New Roman" w:hAnsi="Times New Roman" w:cs="Times New Roman"/>
          <w:sz w:val="16"/>
          <w:szCs w:val="16"/>
        </w:rPr>
        <w:t>Did not complete 12 months of ATD-treatment</w:t>
      </w:r>
    </w:p>
    <w:p w:rsidR="00445E25" w:rsidRPr="0019408A" w:rsidRDefault="00445E25" w:rsidP="00445E25">
      <w:pPr>
        <w:spacing w:line="240" w:lineRule="auto"/>
        <w:ind w:left="360"/>
        <w:rPr>
          <w:rFonts w:ascii="Times New Roman" w:hAnsi="Times New Roman" w:cs="Times New Roman"/>
          <w:sz w:val="16"/>
          <w:szCs w:val="16"/>
        </w:rPr>
      </w:pPr>
      <w:r w:rsidRPr="0019408A">
        <w:rPr>
          <w:rFonts w:ascii="Times New Roman" w:hAnsi="Times New Roman" w:cs="Times New Roman"/>
          <w:sz w:val="16"/>
          <w:szCs w:val="16"/>
          <w:vertAlign w:val="superscript"/>
        </w:rPr>
        <w:t>2</w:t>
      </w:r>
      <w:r w:rsidRPr="0019408A">
        <w:rPr>
          <w:rFonts w:ascii="Times New Roman" w:hAnsi="Times New Roman" w:cs="Times New Roman"/>
          <w:sz w:val="16"/>
          <w:szCs w:val="16"/>
        </w:rPr>
        <w:t>Data missing on four patients</w:t>
      </w:r>
    </w:p>
    <w:p w:rsidR="00445E25" w:rsidRPr="0019408A" w:rsidRDefault="00445E25" w:rsidP="00445E25">
      <w:pPr>
        <w:spacing w:line="240" w:lineRule="auto"/>
        <w:ind w:left="360"/>
        <w:rPr>
          <w:rFonts w:ascii="Times New Roman" w:hAnsi="Times New Roman" w:cs="Times New Roman"/>
          <w:sz w:val="16"/>
          <w:szCs w:val="16"/>
        </w:rPr>
      </w:pPr>
      <w:r w:rsidRPr="0019408A">
        <w:rPr>
          <w:rFonts w:ascii="Times New Roman" w:hAnsi="Times New Roman" w:cs="Times New Roman"/>
          <w:sz w:val="16"/>
          <w:szCs w:val="16"/>
          <w:vertAlign w:val="superscript"/>
        </w:rPr>
        <w:t>3</w:t>
      </w:r>
      <w:r w:rsidRPr="0019408A">
        <w:rPr>
          <w:rFonts w:ascii="Times New Roman" w:hAnsi="Times New Roman" w:cs="Times New Roman"/>
          <w:sz w:val="16"/>
          <w:szCs w:val="16"/>
        </w:rPr>
        <w:t>At the time of participation in the original study</w:t>
      </w:r>
    </w:p>
    <w:p w:rsidR="002E7EAF" w:rsidRPr="0019408A" w:rsidRDefault="002E7EAF" w:rsidP="00445E25">
      <w:pPr>
        <w:spacing w:line="240" w:lineRule="auto"/>
        <w:ind w:left="360"/>
        <w:rPr>
          <w:rFonts w:ascii="Times New Roman" w:hAnsi="Times New Roman" w:cs="Times New Roman"/>
          <w:sz w:val="16"/>
          <w:szCs w:val="16"/>
        </w:rPr>
      </w:pPr>
    </w:p>
    <w:p w:rsidR="00445E25" w:rsidRPr="0019408A" w:rsidRDefault="00445E25" w:rsidP="00E955DE">
      <w:pPr>
        <w:spacing w:line="240" w:lineRule="auto"/>
        <w:rPr>
          <w:rFonts w:ascii="Times New Roman" w:hAnsi="Times New Roman" w:cs="Times New Roman"/>
          <w:sz w:val="20"/>
          <w:szCs w:val="20"/>
        </w:rPr>
      </w:pPr>
      <w:r w:rsidRPr="0019408A">
        <w:rPr>
          <w:rFonts w:ascii="Times New Roman" w:hAnsi="Times New Roman" w:cs="Times New Roman"/>
          <w:b/>
          <w:sz w:val="20"/>
          <w:szCs w:val="20"/>
        </w:rPr>
        <w:t xml:space="preserve">Table </w:t>
      </w:r>
      <w:r w:rsidR="00026543" w:rsidRPr="0019408A">
        <w:rPr>
          <w:rFonts w:ascii="Times New Roman" w:hAnsi="Times New Roman" w:cs="Times New Roman"/>
          <w:b/>
          <w:sz w:val="20"/>
          <w:szCs w:val="20"/>
        </w:rPr>
        <w:t>S</w:t>
      </w:r>
      <w:r w:rsidRPr="0019408A">
        <w:rPr>
          <w:rFonts w:ascii="Times New Roman" w:hAnsi="Times New Roman" w:cs="Times New Roman"/>
          <w:b/>
          <w:sz w:val="20"/>
          <w:szCs w:val="20"/>
        </w:rPr>
        <w:t xml:space="preserve">2. </w:t>
      </w:r>
      <w:r w:rsidRPr="0019408A">
        <w:rPr>
          <w:rFonts w:ascii="Times New Roman" w:hAnsi="Times New Roman" w:cs="Times New Roman"/>
          <w:sz w:val="20"/>
          <w:szCs w:val="20"/>
        </w:rPr>
        <w:t>Status at time of sampling for patients where biomarker analys</w:t>
      </w:r>
      <w:r w:rsidR="00C823D0" w:rsidRPr="0019408A">
        <w:rPr>
          <w:rFonts w:ascii="Times New Roman" w:hAnsi="Times New Roman" w:cs="Times New Roman"/>
          <w:sz w:val="20"/>
          <w:szCs w:val="20"/>
        </w:rPr>
        <w:t>e</w:t>
      </w:r>
      <w:r w:rsidRPr="0019408A">
        <w:rPr>
          <w:rFonts w:ascii="Times New Roman" w:hAnsi="Times New Roman" w:cs="Times New Roman"/>
          <w:sz w:val="20"/>
          <w:szCs w:val="20"/>
        </w:rPr>
        <w:t>s w</w:t>
      </w:r>
      <w:r w:rsidR="003E6B00" w:rsidRPr="0019408A">
        <w:rPr>
          <w:rFonts w:ascii="Times New Roman" w:hAnsi="Times New Roman" w:cs="Times New Roman"/>
          <w:sz w:val="20"/>
          <w:szCs w:val="20"/>
        </w:rPr>
        <w:t>ere</w:t>
      </w:r>
      <w:r w:rsidRPr="0019408A">
        <w:rPr>
          <w:rFonts w:ascii="Times New Roman" w:hAnsi="Times New Roman" w:cs="Times New Roman"/>
          <w:sz w:val="20"/>
          <w:szCs w:val="20"/>
        </w:rPr>
        <w:t xml:space="preserve"> performed</w:t>
      </w:r>
    </w:p>
    <w:tbl>
      <w:tblPr>
        <w:tblW w:w="9580" w:type="dxa"/>
        <w:tblCellMar>
          <w:left w:w="70" w:type="dxa"/>
          <w:right w:w="70" w:type="dxa"/>
        </w:tblCellMar>
        <w:tblLook w:val="04A0" w:firstRow="1" w:lastRow="0" w:firstColumn="1" w:lastColumn="0" w:noHBand="0" w:noVBand="1"/>
      </w:tblPr>
      <w:tblGrid>
        <w:gridCol w:w="2800"/>
        <w:gridCol w:w="2260"/>
        <w:gridCol w:w="2260"/>
        <w:gridCol w:w="2260"/>
      </w:tblGrid>
      <w:tr w:rsidR="0019408A" w:rsidRPr="0019408A" w:rsidTr="00405223">
        <w:trPr>
          <w:trHeight w:val="330"/>
        </w:trPr>
        <w:tc>
          <w:tcPr>
            <w:tcW w:w="2800" w:type="dxa"/>
            <w:tcBorders>
              <w:top w:val="single" w:sz="4" w:space="0" w:color="auto"/>
              <w:left w:val="single" w:sz="4" w:space="0" w:color="auto"/>
              <w:bottom w:val="single" w:sz="8" w:space="0" w:color="auto"/>
              <w:right w:val="single" w:sz="4" w:space="0" w:color="auto"/>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 </w:t>
            </w:r>
          </w:p>
        </w:tc>
        <w:tc>
          <w:tcPr>
            <w:tcW w:w="2260" w:type="dxa"/>
            <w:tcBorders>
              <w:top w:val="single" w:sz="4" w:space="0" w:color="auto"/>
              <w:left w:val="nil"/>
              <w:bottom w:val="single" w:sz="8" w:space="0" w:color="auto"/>
              <w:right w:val="single" w:sz="4"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b/>
                <w:bCs/>
                <w:sz w:val="16"/>
                <w:szCs w:val="16"/>
                <w:lang w:val="nb-NO" w:eastAsia="nb-NO"/>
              </w:rPr>
            </w:pPr>
            <w:r w:rsidRPr="0019408A">
              <w:rPr>
                <w:rFonts w:ascii="Times New Roman" w:eastAsia="Times New Roman" w:hAnsi="Times New Roman" w:cs="Times New Roman"/>
                <w:b/>
                <w:bCs/>
                <w:sz w:val="16"/>
                <w:szCs w:val="16"/>
                <w:lang w:val="nb-NO" w:eastAsia="nb-NO"/>
              </w:rPr>
              <w:t>Baseline</w:t>
            </w:r>
          </w:p>
        </w:tc>
        <w:tc>
          <w:tcPr>
            <w:tcW w:w="2260" w:type="dxa"/>
            <w:tcBorders>
              <w:top w:val="single" w:sz="4" w:space="0" w:color="auto"/>
              <w:left w:val="nil"/>
              <w:bottom w:val="single" w:sz="8" w:space="0" w:color="auto"/>
              <w:right w:val="single" w:sz="4"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b/>
                <w:bCs/>
                <w:sz w:val="16"/>
                <w:szCs w:val="16"/>
                <w:lang w:val="nb-NO" w:eastAsia="nb-NO"/>
              </w:rPr>
            </w:pPr>
            <w:r w:rsidRPr="0019408A">
              <w:rPr>
                <w:rFonts w:ascii="Times New Roman" w:eastAsia="Times New Roman" w:hAnsi="Times New Roman" w:cs="Times New Roman"/>
                <w:b/>
                <w:bCs/>
                <w:sz w:val="16"/>
                <w:szCs w:val="16"/>
                <w:lang w:val="nb-NO" w:eastAsia="nb-NO"/>
              </w:rPr>
              <w:t xml:space="preserve">3 </w:t>
            </w:r>
            <w:proofErr w:type="spellStart"/>
            <w:r w:rsidRPr="0019408A">
              <w:rPr>
                <w:rFonts w:ascii="Times New Roman" w:eastAsia="Times New Roman" w:hAnsi="Times New Roman" w:cs="Times New Roman"/>
                <w:b/>
                <w:bCs/>
                <w:sz w:val="16"/>
                <w:szCs w:val="16"/>
                <w:lang w:val="nb-NO" w:eastAsia="nb-NO"/>
              </w:rPr>
              <w:t>months</w:t>
            </w:r>
            <w:proofErr w:type="spellEnd"/>
          </w:p>
        </w:tc>
        <w:tc>
          <w:tcPr>
            <w:tcW w:w="2260" w:type="dxa"/>
            <w:tcBorders>
              <w:top w:val="single" w:sz="4" w:space="0" w:color="auto"/>
              <w:left w:val="nil"/>
              <w:bottom w:val="single" w:sz="8" w:space="0" w:color="auto"/>
              <w:right w:val="single" w:sz="4"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b/>
                <w:bCs/>
                <w:sz w:val="16"/>
                <w:szCs w:val="16"/>
                <w:lang w:val="nb-NO" w:eastAsia="nb-NO"/>
              </w:rPr>
            </w:pPr>
            <w:r w:rsidRPr="0019408A">
              <w:rPr>
                <w:rFonts w:ascii="Times New Roman" w:eastAsia="Times New Roman" w:hAnsi="Times New Roman" w:cs="Times New Roman"/>
                <w:b/>
                <w:bCs/>
                <w:sz w:val="16"/>
                <w:szCs w:val="16"/>
                <w:lang w:val="nb-NO" w:eastAsia="nb-NO"/>
              </w:rPr>
              <w:t xml:space="preserve">12 </w:t>
            </w:r>
            <w:proofErr w:type="spellStart"/>
            <w:r w:rsidRPr="0019408A">
              <w:rPr>
                <w:rFonts w:ascii="Times New Roman" w:eastAsia="Times New Roman" w:hAnsi="Times New Roman" w:cs="Times New Roman"/>
                <w:b/>
                <w:bCs/>
                <w:sz w:val="16"/>
                <w:szCs w:val="16"/>
                <w:lang w:val="nb-NO" w:eastAsia="nb-NO"/>
              </w:rPr>
              <w:t>months</w:t>
            </w:r>
            <w:proofErr w:type="spellEnd"/>
          </w:p>
        </w:tc>
      </w:tr>
      <w:tr w:rsidR="0019408A" w:rsidRPr="0019408A" w:rsidTr="00405223">
        <w:trPr>
          <w:trHeight w:val="439"/>
        </w:trPr>
        <w:tc>
          <w:tcPr>
            <w:tcW w:w="2800" w:type="dxa"/>
            <w:tcBorders>
              <w:top w:val="nil"/>
              <w:left w:val="single" w:sz="4" w:space="0" w:color="auto"/>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b/>
                <w:bCs/>
                <w:sz w:val="16"/>
                <w:szCs w:val="16"/>
                <w:lang w:val="nb-NO" w:eastAsia="nb-NO"/>
              </w:rPr>
            </w:pPr>
            <w:proofErr w:type="spellStart"/>
            <w:r w:rsidRPr="0019408A">
              <w:rPr>
                <w:rFonts w:ascii="Times New Roman" w:eastAsia="Times New Roman" w:hAnsi="Times New Roman" w:cs="Times New Roman"/>
                <w:b/>
                <w:bCs/>
                <w:sz w:val="16"/>
                <w:szCs w:val="16"/>
                <w:lang w:val="nb-NO" w:eastAsia="nb-NO"/>
              </w:rPr>
              <w:t>Number</w:t>
            </w:r>
            <w:proofErr w:type="spellEnd"/>
            <w:r w:rsidRPr="0019408A">
              <w:rPr>
                <w:rFonts w:ascii="Times New Roman" w:eastAsia="Times New Roman" w:hAnsi="Times New Roman" w:cs="Times New Roman"/>
                <w:b/>
                <w:bCs/>
                <w:sz w:val="16"/>
                <w:szCs w:val="16"/>
                <w:lang w:val="nb-NO" w:eastAsia="nb-NO"/>
              </w:rPr>
              <w:t xml:space="preserve"> </w:t>
            </w:r>
            <w:proofErr w:type="spellStart"/>
            <w:r w:rsidRPr="0019408A">
              <w:rPr>
                <w:rFonts w:ascii="Times New Roman" w:eastAsia="Times New Roman" w:hAnsi="Times New Roman" w:cs="Times New Roman"/>
                <w:b/>
                <w:bCs/>
                <w:sz w:val="16"/>
                <w:szCs w:val="16"/>
                <w:lang w:val="nb-NO" w:eastAsia="nb-NO"/>
              </w:rPr>
              <w:t>of</w:t>
            </w:r>
            <w:proofErr w:type="spellEnd"/>
            <w:r w:rsidRPr="0019408A">
              <w:rPr>
                <w:rFonts w:ascii="Times New Roman" w:eastAsia="Times New Roman" w:hAnsi="Times New Roman" w:cs="Times New Roman"/>
                <w:b/>
                <w:bCs/>
                <w:sz w:val="16"/>
                <w:szCs w:val="16"/>
                <w:lang w:val="nb-NO" w:eastAsia="nb-NO"/>
              </w:rPr>
              <w:t xml:space="preserve"> samples</w:t>
            </w:r>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69 (46%)</w:t>
            </w:r>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50 (34%)</w:t>
            </w:r>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30 (20%)</w:t>
            </w:r>
          </w:p>
        </w:tc>
      </w:tr>
      <w:tr w:rsidR="0019408A" w:rsidRPr="0019408A" w:rsidTr="00405223">
        <w:trPr>
          <w:trHeight w:val="439"/>
        </w:trPr>
        <w:tc>
          <w:tcPr>
            <w:tcW w:w="9580" w:type="dxa"/>
            <w:gridSpan w:val="4"/>
            <w:tcBorders>
              <w:top w:val="single" w:sz="8" w:space="0" w:color="auto"/>
              <w:left w:val="single" w:sz="4" w:space="0" w:color="auto"/>
              <w:bottom w:val="single" w:sz="4" w:space="0" w:color="auto"/>
              <w:right w:val="single" w:sz="4" w:space="0" w:color="000000"/>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b/>
                <w:bCs/>
                <w:sz w:val="16"/>
                <w:szCs w:val="16"/>
                <w:lang w:val="nb-NO" w:eastAsia="nb-NO"/>
              </w:rPr>
            </w:pPr>
            <w:proofErr w:type="spellStart"/>
            <w:r w:rsidRPr="0019408A">
              <w:rPr>
                <w:rFonts w:ascii="Times New Roman" w:eastAsia="Times New Roman" w:hAnsi="Times New Roman" w:cs="Times New Roman"/>
                <w:b/>
                <w:bCs/>
                <w:sz w:val="16"/>
                <w:szCs w:val="16"/>
                <w:lang w:val="nb-NO" w:eastAsia="nb-NO"/>
              </w:rPr>
              <w:t>Treatment</w:t>
            </w:r>
            <w:proofErr w:type="spellEnd"/>
            <w:r w:rsidRPr="0019408A">
              <w:rPr>
                <w:rFonts w:ascii="Times New Roman" w:eastAsia="Times New Roman" w:hAnsi="Times New Roman" w:cs="Times New Roman"/>
                <w:b/>
                <w:bCs/>
                <w:sz w:val="16"/>
                <w:szCs w:val="16"/>
                <w:lang w:val="nb-NO" w:eastAsia="nb-NO"/>
              </w:rPr>
              <w:t xml:space="preserve"> </w:t>
            </w:r>
            <w:proofErr w:type="spellStart"/>
            <w:r w:rsidRPr="0019408A">
              <w:rPr>
                <w:rFonts w:ascii="Times New Roman" w:eastAsia="Times New Roman" w:hAnsi="Times New Roman" w:cs="Times New Roman"/>
                <w:b/>
                <w:bCs/>
                <w:sz w:val="16"/>
                <w:szCs w:val="16"/>
                <w:lang w:val="nb-NO" w:eastAsia="nb-NO"/>
              </w:rPr>
              <w:t>group</w:t>
            </w:r>
            <w:proofErr w:type="spellEnd"/>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 xml:space="preserve">Block and </w:t>
            </w:r>
            <w:proofErr w:type="spellStart"/>
            <w:r w:rsidRPr="0019408A">
              <w:rPr>
                <w:rFonts w:ascii="Times New Roman" w:eastAsia="Times New Roman" w:hAnsi="Times New Roman" w:cs="Times New Roman"/>
                <w:sz w:val="16"/>
                <w:szCs w:val="16"/>
                <w:lang w:val="nb-NO" w:eastAsia="nb-NO"/>
              </w:rPr>
              <w:t>replace</w:t>
            </w:r>
            <w:proofErr w:type="spellEnd"/>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39 (56</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5%)</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33 (66%)</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16 (53%)</w:t>
            </w:r>
          </w:p>
        </w:tc>
      </w:tr>
      <w:tr w:rsidR="0019408A" w:rsidRPr="0019408A" w:rsidTr="00405223">
        <w:trPr>
          <w:trHeight w:val="439"/>
        </w:trPr>
        <w:tc>
          <w:tcPr>
            <w:tcW w:w="2800" w:type="dxa"/>
            <w:tcBorders>
              <w:top w:val="nil"/>
              <w:left w:val="single" w:sz="4" w:space="0" w:color="auto"/>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Titration</w:t>
            </w:r>
            <w:proofErr w:type="spellEnd"/>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30 (43</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5%)</w:t>
            </w:r>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17 (34%)</w:t>
            </w:r>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14 (47%)</w:t>
            </w:r>
          </w:p>
        </w:tc>
      </w:tr>
      <w:tr w:rsidR="0019408A" w:rsidRPr="0019408A" w:rsidTr="00405223">
        <w:trPr>
          <w:trHeight w:val="439"/>
        </w:trPr>
        <w:tc>
          <w:tcPr>
            <w:tcW w:w="9580" w:type="dxa"/>
            <w:gridSpan w:val="4"/>
            <w:tcBorders>
              <w:top w:val="single" w:sz="8" w:space="0" w:color="auto"/>
              <w:left w:val="single" w:sz="4" w:space="0" w:color="auto"/>
              <w:bottom w:val="single" w:sz="4" w:space="0" w:color="auto"/>
              <w:right w:val="single" w:sz="4" w:space="0" w:color="000000"/>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b/>
                <w:bCs/>
                <w:sz w:val="16"/>
                <w:szCs w:val="16"/>
                <w:lang w:eastAsia="nb-NO"/>
              </w:rPr>
            </w:pPr>
            <w:r w:rsidRPr="0019408A">
              <w:rPr>
                <w:rFonts w:ascii="Times New Roman" w:eastAsia="Times New Roman" w:hAnsi="Times New Roman" w:cs="Times New Roman"/>
                <w:b/>
                <w:bCs/>
                <w:sz w:val="16"/>
                <w:szCs w:val="16"/>
                <w:lang w:eastAsia="nb-NO"/>
              </w:rPr>
              <w:t>Treatment at time of sampling</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Untreated</w:t>
            </w:r>
            <w:proofErr w:type="spellEnd"/>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57 (82</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6%)</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Carbimazole</w:t>
            </w:r>
            <w:proofErr w:type="spellEnd"/>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 (8</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7%)</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17 (34%)</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13 (45%)</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Carbimazole</w:t>
            </w:r>
            <w:proofErr w:type="spellEnd"/>
            <w:r w:rsidRPr="0019408A">
              <w:rPr>
                <w:rFonts w:ascii="Times New Roman" w:eastAsia="Times New Roman" w:hAnsi="Times New Roman" w:cs="Times New Roman"/>
                <w:sz w:val="16"/>
                <w:szCs w:val="16"/>
                <w:lang w:val="nb-NO" w:eastAsia="nb-NO"/>
              </w:rPr>
              <w:t xml:space="preserve"> and </w:t>
            </w:r>
            <w:proofErr w:type="spellStart"/>
            <w:r w:rsidRPr="0019408A">
              <w:rPr>
                <w:rFonts w:ascii="Times New Roman" w:eastAsia="Times New Roman" w:hAnsi="Times New Roman" w:cs="Times New Roman"/>
                <w:sz w:val="16"/>
                <w:szCs w:val="16"/>
                <w:lang w:val="nb-NO" w:eastAsia="nb-NO"/>
              </w:rPr>
              <w:t>thyroxine</w:t>
            </w:r>
            <w:proofErr w:type="spellEnd"/>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28 (56%)</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16 (52%)</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Propylthiouracil</w:t>
            </w:r>
            <w:proofErr w:type="spellEnd"/>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2 (4%)</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 (3%)</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Propylthiouracil</w:t>
            </w:r>
            <w:proofErr w:type="spellEnd"/>
            <w:r w:rsidRPr="0019408A">
              <w:rPr>
                <w:rFonts w:ascii="Times New Roman" w:eastAsia="Times New Roman" w:hAnsi="Times New Roman" w:cs="Times New Roman"/>
                <w:sz w:val="16"/>
                <w:szCs w:val="16"/>
                <w:lang w:val="nb-NO" w:eastAsia="nb-NO"/>
              </w:rPr>
              <w:t xml:space="preserve"> and </w:t>
            </w:r>
            <w:proofErr w:type="spellStart"/>
            <w:r w:rsidRPr="0019408A">
              <w:rPr>
                <w:rFonts w:ascii="Times New Roman" w:eastAsia="Times New Roman" w:hAnsi="Times New Roman" w:cs="Times New Roman"/>
                <w:sz w:val="16"/>
                <w:szCs w:val="16"/>
                <w:lang w:val="nb-NO" w:eastAsia="nb-NO"/>
              </w:rPr>
              <w:t>thyroxine</w:t>
            </w:r>
            <w:proofErr w:type="spellEnd"/>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3 (6%)</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w:t>
            </w:r>
          </w:p>
        </w:tc>
      </w:tr>
      <w:tr w:rsidR="0019408A" w:rsidRPr="0019408A" w:rsidTr="00405223">
        <w:trPr>
          <w:trHeight w:val="439"/>
        </w:trPr>
        <w:tc>
          <w:tcPr>
            <w:tcW w:w="2800" w:type="dxa"/>
            <w:tcBorders>
              <w:top w:val="nil"/>
              <w:left w:val="single" w:sz="4" w:space="0" w:color="auto"/>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Unknown</w:t>
            </w:r>
            <w:proofErr w:type="spellEnd"/>
            <w:r w:rsidRPr="0019408A">
              <w:rPr>
                <w:rFonts w:ascii="Times New Roman" w:eastAsia="Times New Roman" w:hAnsi="Times New Roman" w:cs="Times New Roman"/>
                <w:sz w:val="16"/>
                <w:szCs w:val="16"/>
                <w:lang w:val="nb-NO" w:eastAsia="nb-NO"/>
              </w:rPr>
              <w:t>/</w:t>
            </w:r>
            <w:proofErr w:type="spellStart"/>
            <w:r w:rsidRPr="0019408A">
              <w:rPr>
                <w:rFonts w:ascii="Times New Roman" w:eastAsia="Times New Roman" w:hAnsi="Times New Roman" w:cs="Times New Roman"/>
                <w:sz w:val="16"/>
                <w:szCs w:val="16"/>
                <w:lang w:val="nb-NO" w:eastAsia="nb-NO"/>
              </w:rPr>
              <w:t>missing</w:t>
            </w:r>
            <w:proofErr w:type="spellEnd"/>
            <w:r w:rsidRPr="0019408A">
              <w:rPr>
                <w:rFonts w:ascii="Times New Roman" w:eastAsia="Times New Roman" w:hAnsi="Times New Roman" w:cs="Times New Roman"/>
                <w:sz w:val="16"/>
                <w:szCs w:val="16"/>
                <w:lang w:val="nb-NO" w:eastAsia="nb-NO"/>
              </w:rPr>
              <w:t xml:space="preserve"> data</w:t>
            </w:r>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 (8</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7%)</w:t>
            </w:r>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p>
        </w:tc>
      </w:tr>
      <w:tr w:rsidR="0019408A" w:rsidRPr="0019408A" w:rsidTr="00405223">
        <w:trPr>
          <w:trHeight w:val="439"/>
        </w:trPr>
        <w:tc>
          <w:tcPr>
            <w:tcW w:w="9580" w:type="dxa"/>
            <w:gridSpan w:val="4"/>
            <w:tcBorders>
              <w:top w:val="single" w:sz="8" w:space="0" w:color="auto"/>
              <w:left w:val="single" w:sz="4" w:space="0" w:color="auto"/>
              <w:bottom w:val="single" w:sz="4" w:space="0" w:color="auto"/>
              <w:right w:val="single" w:sz="4" w:space="0" w:color="000000"/>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b/>
                <w:bCs/>
                <w:sz w:val="16"/>
                <w:szCs w:val="16"/>
                <w:lang w:eastAsia="nb-NO"/>
              </w:rPr>
            </w:pPr>
            <w:r w:rsidRPr="0019408A">
              <w:rPr>
                <w:rFonts w:ascii="Times New Roman" w:eastAsia="Times New Roman" w:hAnsi="Times New Roman" w:cs="Times New Roman"/>
                <w:b/>
                <w:bCs/>
                <w:sz w:val="16"/>
                <w:szCs w:val="16"/>
                <w:lang w:eastAsia="nb-NO"/>
              </w:rPr>
              <w:t>ATD-dose at time of sampling</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Carbimazole</w:t>
            </w:r>
            <w:proofErr w:type="spellEnd"/>
            <w:r w:rsidRPr="0019408A">
              <w:rPr>
                <w:rFonts w:ascii="Times New Roman" w:eastAsia="Times New Roman" w:hAnsi="Times New Roman" w:cs="Times New Roman"/>
                <w:sz w:val="16"/>
                <w:szCs w:val="16"/>
                <w:lang w:val="nb-NO" w:eastAsia="nb-NO"/>
              </w:rPr>
              <w:t>, mg (range)</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30 (0-45)</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20 (10-30)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20 (5-30)</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Propylthiouracil</w:t>
            </w:r>
            <w:proofErr w:type="spellEnd"/>
            <w:r w:rsidRPr="0019408A">
              <w:rPr>
                <w:rFonts w:ascii="Times New Roman" w:eastAsia="Times New Roman" w:hAnsi="Times New Roman" w:cs="Times New Roman"/>
                <w:sz w:val="16"/>
                <w:szCs w:val="16"/>
                <w:lang w:val="nb-NO" w:eastAsia="nb-NO"/>
              </w:rPr>
              <w:t>, mg (range)</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400 (400-400)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300 (100-400)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100 (100-100)</w:t>
            </w:r>
          </w:p>
        </w:tc>
      </w:tr>
      <w:tr w:rsidR="0019408A" w:rsidRPr="0019408A" w:rsidTr="00405223">
        <w:trPr>
          <w:trHeight w:val="439"/>
        </w:trPr>
        <w:tc>
          <w:tcPr>
            <w:tcW w:w="9580" w:type="dxa"/>
            <w:gridSpan w:val="4"/>
            <w:tcBorders>
              <w:top w:val="single" w:sz="4" w:space="0" w:color="auto"/>
              <w:left w:val="single" w:sz="4" w:space="0" w:color="auto"/>
              <w:bottom w:val="single" w:sz="4" w:space="0" w:color="auto"/>
              <w:right w:val="single" w:sz="4" w:space="0" w:color="000000"/>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b/>
                <w:bCs/>
                <w:sz w:val="16"/>
                <w:szCs w:val="16"/>
                <w:lang w:eastAsia="nb-NO"/>
              </w:rPr>
            </w:pPr>
            <w:r w:rsidRPr="0019408A">
              <w:rPr>
                <w:rFonts w:ascii="Times New Roman" w:eastAsia="Times New Roman" w:hAnsi="Times New Roman" w:cs="Times New Roman"/>
                <w:b/>
                <w:bCs/>
                <w:sz w:val="16"/>
                <w:szCs w:val="16"/>
                <w:lang w:eastAsia="nb-NO"/>
              </w:rPr>
              <w:t>Laboratory levels at time of sampling</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 xml:space="preserve">TSH, </w:t>
            </w:r>
            <w:proofErr w:type="spellStart"/>
            <w:r w:rsidRPr="0019408A">
              <w:rPr>
                <w:rFonts w:ascii="Times New Roman" w:eastAsia="Times New Roman" w:hAnsi="Times New Roman" w:cs="Times New Roman"/>
                <w:sz w:val="16"/>
                <w:szCs w:val="16"/>
                <w:lang w:val="nb-NO" w:eastAsia="nb-NO"/>
              </w:rPr>
              <w:t>mIU</w:t>
            </w:r>
            <w:proofErr w:type="spellEnd"/>
            <w:r w:rsidRPr="0019408A">
              <w:rPr>
                <w:rFonts w:ascii="Times New Roman" w:eastAsia="Times New Roman" w:hAnsi="Times New Roman" w:cs="Times New Roman"/>
                <w:sz w:val="16"/>
                <w:szCs w:val="16"/>
                <w:lang w:val="nb-NO" w:eastAsia="nb-NO"/>
              </w:rPr>
              <w:t>/L (range)</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27188A"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05 (0</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03-0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10)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05 (0</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03-3</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50)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93 (0</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03-11)</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 xml:space="preserve">FT4, </w:t>
            </w:r>
            <w:proofErr w:type="spellStart"/>
            <w:r w:rsidRPr="0019408A">
              <w:rPr>
                <w:rFonts w:ascii="Times New Roman" w:eastAsia="Times New Roman" w:hAnsi="Times New Roman" w:cs="Times New Roman"/>
                <w:sz w:val="16"/>
                <w:szCs w:val="16"/>
                <w:lang w:val="nb-NO" w:eastAsia="nb-NO"/>
              </w:rPr>
              <w:t>pmol</w:t>
            </w:r>
            <w:proofErr w:type="spellEnd"/>
            <w:r w:rsidRPr="0019408A">
              <w:rPr>
                <w:rFonts w:ascii="Times New Roman" w:eastAsia="Times New Roman" w:hAnsi="Times New Roman" w:cs="Times New Roman"/>
                <w:sz w:val="16"/>
                <w:szCs w:val="16"/>
                <w:lang w:val="nb-NO" w:eastAsia="nb-NO"/>
              </w:rPr>
              <w:t>/L (range)</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67</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1 (18</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0-80)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15 (4-29)</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13 (9-19</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6)</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 xml:space="preserve">T3, </w:t>
            </w:r>
            <w:proofErr w:type="spellStart"/>
            <w:r w:rsidRPr="0019408A">
              <w:rPr>
                <w:rFonts w:ascii="Times New Roman" w:eastAsia="Times New Roman" w:hAnsi="Times New Roman" w:cs="Times New Roman"/>
                <w:sz w:val="16"/>
                <w:szCs w:val="16"/>
                <w:lang w:val="nb-NO" w:eastAsia="nb-NO"/>
              </w:rPr>
              <w:t>nmol</w:t>
            </w:r>
            <w:proofErr w:type="spellEnd"/>
            <w:r w:rsidRPr="0019408A">
              <w:rPr>
                <w:rFonts w:ascii="Times New Roman" w:eastAsia="Times New Roman" w:hAnsi="Times New Roman" w:cs="Times New Roman"/>
                <w:sz w:val="16"/>
                <w:szCs w:val="16"/>
                <w:lang w:val="nb-NO" w:eastAsia="nb-NO"/>
              </w:rPr>
              <w:t>/L (range)</w:t>
            </w:r>
            <w:r w:rsidRPr="0019408A">
              <w:rPr>
                <w:rFonts w:ascii="Times New Roman" w:eastAsia="Times New Roman" w:hAnsi="Times New Roman" w:cs="Times New Roman"/>
                <w:sz w:val="16"/>
                <w:szCs w:val="16"/>
                <w:vertAlign w:val="superscript"/>
                <w:lang w:val="nb-NO" w:eastAsia="nb-NO"/>
              </w:rPr>
              <w:t>1</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0 (2</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4-10)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2</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1 (1</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5-5</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8 (1</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3-3</w:t>
            </w:r>
            <w:r w:rsidR="00F85240" w:rsidRPr="0019408A">
              <w:rPr>
                <w:rFonts w:ascii="Times New Roman" w:eastAsia="Times New Roman" w:hAnsi="Times New Roman" w:cs="Times New Roman"/>
                <w:sz w:val="16"/>
                <w:szCs w:val="16"/>
                <w:lang w:val="nb-NO" w:eastAsia="nb-NO"/>
              </w:rPr>
              <w:t>.</w:t>
            </w:r>
            <w:r w:rsidRPr="0019408A">
              <w:rPr>
                <w:rFonts w:ascii="Times New Roman" w:eastAsia="Times New Roman" w:hAnsi="Times New Roman" w:cs="Times New Roman"/>
                <w:sz w:val="16"/>
                <w:szCs w:val="16"/>
                <w:lang w:val="nb-NO" w:eastAsia="nb-NO"/>
              </w:rPr>
              <w:t>3)</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TRAb</w:t>
            </w:r>
            <w:proofErr w:type="spellEnd"/>
            <w:r w:rsidRPr="0019408A">
              <w:rPr>
                <w:rFonts w:ascii="Times New Roman" w:eastAsia="Times New Roman" w:hAnsi="Times New Roman" w:cs="Times New Roman"/>
                <w:sz w:val="16"/>
                <w:szCs w:val="16"/>
                <w:lang w:val="nb-NO" w:eastAsia="nb-NO"/>
              </w:rPr>
              <w:t xml:space="preserve">, </w:t>
            </w:r>
            <w:proofErr w:type="spellStart"/>
            <w:r w:rsidRPr="0019408A">
              <w:rPr>
                <w:rFonts w:ascii="Times New Roman" w:eastAsia="Times New Roman" w:hAnsi="Times New Roman" w:cs="Times New Roman"/>
                <w:sz w:val="16"/>
                <w:szCs w:val="16"/>
                <w:lang w:val="nb-NO" w:eastAsia="nb-NO"/>
              </w:rPr>
              <w:t>mIU</w:t>
            </w:r>
            <w:proofErr w:type="spellEnd"/>
            <w:r w:rsidRPr="0019408A">
              <w:rPr>
                <w:rFonts w:ascii="Times New Roman" w:eastAsia="Times New Roman" w:hAnsi="Times New Roman" w:cs="Times New Roman"/>
                <w:sz w:val="16"/>
                <w:szCs w:val="16"/>
                <w:lang w:val="nb-NO" w:eastAsia="nb-NO"/>
              </w:rPr>
              <w:t>/L (range)</w:t>
            </w:r>
            <w:r w:rsidRPr="0019408A">
              <w:rPr>
                <w:rFonts w:ascii="Times New Roman" w:eastAsia="Times New Roman" w:hAnsi="Times New Roman" w:cs="Times New Roman"/>
                <w:sz w:val="16"/>
                <w:szCs w:val="16"/>
                <w:vertAlign w:val="superscript"/>
                <w:lang w:val="nb-NO" w:eastAsia="nb-NO"/>
              </w:rPr>
              <w:t>2</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50 (10-423)</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35 (10-421)</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10 (10-105)</w:t>
            </w:r>
          </w:p>
        </w:tc>
      </w:tr>
      <w:tr w:rsidR="0019408A" w:rsidRPr="0019408A" w:rsidTr="00405223">
        <w:trPr>
          <w:trHeight w:val="439"/>
        </w:trPr>
        <w:tc>
          <w:tcPr>
            <w:tcW w:w="2800" w:type="dxa"/>
            <w:tcBorders>
              <w:top w:val="nil"/>
              <w:left w:val="single" w:sz="4" w:space="0" w:color="auto"/>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TRAb</w:t>
            </w:r>
            <w:proofErr w:type="spellEnd"/>
            <w:r w:rsidRPr="0019408A">
              <w:rPr>
                <w:rFonts w:ascii="Times New Roman" w:eastAsia="Times New Roman" w:hAnsi="Times New Roman" w:cs="Times New Roman"/>
                <w:sz w:val="16"/>
                <w:szCs w:val="16"/>
                <w:lang w:val="nb-NO" w:eastAsia="nb-NO"/>
              </w:rPr>
              <w:t>, positive / negative</w:t>
            </w:r>
            <w:r w:rsidRPr="0019408A">
              <w:rPr>
                <w:rFonts w:ascii="Times New Roman" w:eastAsia="Times New Roman" w:hAnsi="Times New Roman" w:cs="Times New Roman"/>
                <w:sz w:val="16"/>
                <w:szCs w:val="16"/>
                <w:vertAlign w:val="superscript"/>
                <w:lang w:val="nb-NO" w:eastAsia="nb-NO"/>
              </w:rPr>
              <w:t>2</w:t>
            </w:r>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61 (90%) / 7</w:t>
            </w:r>
            <w:r w:rsidR="0027188A" w:rsidRPr="0019408A">
              <w:rPr>
                <w:rFonts w:ascii="Times New Roman" w:eastAsia="Times New Roman" w:hAnsi="Times New Roman" w:cs="Times New Roman"/>
                <w:sz w:val="16"/>
                <w:szCs w:val="16"/>
                <w:lang w:val="nb-NO" w:eastAsia="nb-NO"/>
              </w:rPr>
              <w:t xml:space="preserve"> </w:t>
            </w:r>
            <w:r w:rsidRPr="0019408A">
              <w:rPr>
                <w:rFonts w:ascii="Times New Roman" w:eastAsia="Times New Roman" w:hAnsi="Times New Roman" w:cs="Times New Roman"/>
                <w:sz w:val="16"/>
                <w:szCs w:val="16"/>
                <w:lang w:val="nb-NO" w:eastAsia="nb-NO"/>
              </w:rPr>
              <w:t>(10%)</w:t>
            </w:r>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37 (77%) / 11</w:t>
            </w:r>
            <w:r w:rsidR="0027188A" w:rsidRPr="0019408A">
              <w:rPr>
                <w:rFonts w:ascii="Times New Roman" w:eastAsia="Times New Roman" w:hAnsi="Times New Roman" w:cs="Times New Roman"/>
                <w:sz w:val="16"/>
                <w:szCs w:val="16"/>
                <w:lang w:val="nb-NO" w:eastAsia="nb-NO"/>
              </w:rPr>
              <w:t xml:space="preserve"> </w:t>
            </w:r>
            <w:r w:rsidRPr="0019408A">
              <w:rPr>
                <w:rFonts w:ascii="Times New Roman" w:eastAsia="Times New Roman" w:hAnsi="Times New Roman" w:cs="Times New Roman"/>
                <w:sz w:val="16"/>
                <w:szCs w:val="16"/>
                <w:lang w:val="nb-NO" w:eastAsia="nb-NO"/>
              </w:rPr>
              <w:t>(23%)</w:t>
            </w:r>
          </w:p>
        </w:tc>
        <w:tc>
          <w:tcPr>
            <w:tcW w:w="2260" w:type="dxa"/>
            <w:tcBorders>
              <w:top w:val="nil"/>
              <w:left w:val="nil"/>
              <w:bottom w:val="single" w:sz="8"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10 (34%) / 19 (66%)</w:t>
            </w:r>
          </w:p>
        </w:tc>
      </w:tr>
      <w:tr w:rsidR="0019408A" w:rsidRPr="0019408A" w:rsidTr="00405223">
        <w:trPr>
          <w:trHeight w:val="439"/>
        </w:trPr>
        <w:tc>
          <w:tcPr>
            <w:tcW w:w="9580" w:type="dxa"/>
            <w:gridSpan w:val="4"/>
            <w:tcBorders>
              <w:top w:val="single" w:sz="8" w:space="0" w:color="auto"/>
              <w:left w:val="single" w:sz="4" w:space="0" w:color="auto"/>
              <w:bottom w:val="single" w:sz="4" w:space="0" w:color="auto"/>
              <w:right w:val="single" w:sz="4" w:space="0" w:color="000000"/>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b/>
                <w:bCs/>
                <w:sz w:val="16"/>
                <w:szCs w:val="16"/>
                <w:lang w:eastAsia="nb-NO"/>
              </w:rPr>
            </w:pPr>
            <w:r w:rsidRPr="0019408A">
              <w:rPr>
                <w:rFonts w:ascii="Times New Roman" w:eastAsia="Times New Roman" w:hAnsi="Times New Roman" w:cs="Times New Roman"/>
                <w:b/>
                <w:bCs/>
                <w:sz w:val="16"/>
                <w:szCs w:val="16"/>
                <w:lang w:eastAsia="nb-NO"/>
              </w:rPr>
              <w:t>Thyroid function at time of sampling</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Overt</w:t>
            </w:r>
            <w:proofErr w:type="spellEnd"/>
            <w:r w:rsidRPr="0019408A">
              <w:rPr>
                <w:rFonts w:ascii="Times New Roman" w:eastAsia="Times New Roman" w:hAnsi="Times New Roman" w:cs="Times New Roman"/>
                <w:sz w:val="16"/>
                <w:szCs w:val="16"/>
                <w:lang w:val="nb-NO" w:eastAsia="nb-NO"/>
              </w:rPr>
              <w:t xml:space="preserve"> </w:t>
            </w:r>
            <w:proofErr w:type="spellStart"/>
            <w:r w:rsidRPr="0019408A">
              <w:rPr>
                <w:rFonts w:ascii="Times New Roman" w:eastAsia="Times New Roman" w:hAnsi="Times New Roman" w:cs="Times New Roman"/>
                <w:sz w:val="16"/>
                <w:szCs w:val="16"/>
                <w:lang w:val="nb-NO" w:eastAsia="nb-NO"/>
              </w:rPr>
              <w:t>hyperthyroidism</w:t>
            </w:r>
            <w:proofErr w:type="spellEnd"/>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69 (100%)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17 (34%)</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 (3%)</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Subclinical</w:t>
            </w:r>
            <w:proofErr w:type="spellEnd"/>
            <w:r w:rsidRPr="0019408A">
              <w:rPr>
                <w:rFonts w:ascii="Times New Roman" w:eastAsia="Times New Roman" w:hAnsi="Times New Roman" w:cs="Times New Roman"/>
                <w:sz w:val="16"/>
                <w:szCs w:val="16"/>
                <w:lang w:val="nb-NO" w:eastAsia="nb-NO"/>
              </w:rPr>
              <w:t xml:space="preserve"> </w:t>
            </w:r>
            <w:proofErr w:type="spellStart"/>
            <w:r w:rsidRPr="0019408A">
              <w:rPr>
                <w:rFonts w:ascii="Times New Roman" w:eastAsia="Times New Roman" w:hAnsi="Times New Roman" w:cs="Times New Roman"/>
                <w:sz w:val="16"/>
                <w:szCs w:val="16"/>
                <w:lang w:val="nb-NO" w:eastAsia="nb-NO"/>
              </w:rPr>
              <w:t>hyperthyroidism</w:t>
            </w:r>
            <w:proofErr w:type="spellEnd"/>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25 (50%)</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8 (27%)</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Subclinical</w:t>
            </w:r>
            <w:proofErr w:type="spellEnd"/>
            <w:r w:rsidRPr="0019408A">
              <w:rPr>
                <w:rFonts w:ascii="Times New Roman" w:eastAsia="Times New Roman" w:hAnsi="Times New Roman" w:cs="Times New Roman"/>
                <w:sz w:val="16"/>
                <w:szCs w:val="16"/>
                <w:lang w:val="nb-NO" w:eastAsia="nb-NO"/>
              </w:rPr>
              <w:t xml:space="preserve"> </w:t>
            </w:r>
            <w:proofErr w:type="spellStart"/>
            <w:r w:rsidRPr="0019408A">
              <w:rPr>
                <w:rFonts w:ascii="Times New Roman" w:eastAsia="Times New Roman" w:hAnsi="Times New Roman" w:cs="Times New Roman"/>
                <w:sz w:val="16"/>
                <w:szCs w:val="16"/>
                <w:lang w:val="nb-NO" w:eastAsia="nb-NO"/>
              </w:rPr>
              <w:t>hypothyroidism</w:t>
            </w:r>
            <w:proofErr w:type="spellEnd"/>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7 (23%)</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Overt</w:t>
            </w:r>
            <w:proofErr w:type="spellEnd"/>
            <w:r w:rsidRPr="0019408A">
              <w:rPr>
                <w:rFonts w:ascii="Times New Roman" w:eastAsia="Times New Roman" w:hAnsi="Times New Roman" w:cs="Times New Roman"/>
                <w:sz w:val="16"/>
                <w:szCs w:val="16"/>
                <w:lang w:val="nb-NO" w:eastAsia="nb-NO"/>
              </w:rPr>
              <w:t xml:space="preserve"> </w:t>
            </w:r>
            <w:proofErr w:type="spellStart"/>
            <w:r w:rsidRPr="0019408A">
              <w:rPr>
                <w:rFonts w:ascii="Times New Roman" w:eastAsia="Times New Roman" w:hAnsi="Times New Roman" w:cs="Times New Roman"/>
                <w:sz w:val="16"/>
                <w:szCs w:val="16"/>
                <w:lang w:val="nb-NO" w:eastAsia="nb-NO"/>
              </w:rPr>
              <w:t>hypothyroidism</w:t>
            </w:r>
            <w:proofErr w:type="spellEnd"/>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 (2%)</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w:t>
            </w:r>
          </w:p>
        </w:tc>
      </w:tr>
      <w:tr w:rsidR="0019408A" w:rsidRPr="0019408A" w:rsidTr="00405223">
        <w:trPr>
          <w:trHeight w:val="439"/>
        </w:trPr>
        <w:tc>
          <w:tcPr>
            <w:tcW w:w="2800" w:type="dxa"/>
            <w:tcBorders>
              <w:top w:val="nil"/>
              <w:left w:val="single" w:sz="4"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Euthyroid</w:t>
            </w:r>
            <w:proofErr w:type="spellEnd"/>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7 (14%)</w:t>
            </w:r>
          </w:p>
        </w:tc>
        <w:tc>
          <w:tcPr>
            <w:tcW w:w="2260" w:type="dxa"/>
            <w:tcBorders>
              <w:top w:val="nil"/>
              <w:left w:val="nil"/>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14 (47%)</w:t>
            </w:r>
          </w:p>
        </w:tc>
      </w:tr>
    </w:tbl>
    <w:p w:rsidR="00E955DE" w:rsidRPr="0019408A" w:rsidRDefault="00E955DE" w:rsidP="00E955DE">
      <w:pPr>
        <w:spacing w:line="240" w:lineRule="auto"/>
        <w:ind w:left="360"/>
        <w:rPr>
          <w:rFonts w:ascii="Times New Roman" w:hAnsi="Times New Roman" w:cs="Times New Roman"/>
          <w:sz w:val="16"/>
          <w:szCs w:val="16"/>
        </w:rPr>
      </w:pPr>
      <w:r w:rsidRPr="0019408A">
        <w:rPr>
          <w:rFonts w:ascii="Times New Roman" w:hAnsi="Times New Roman" w:cs="Times New Roman"/>
          <w:sz w:val="16"/>
          <w:szCs w:val="16"/>
          <w:vertAlign w:val="superscript"/>
        </w:rPr>
        <w:t>1</w:t>
      </w:r>
      <w:r w:rsidRPr="0019408A">
        <w:rPr>
          <w:rFonts w:ascii="Times New Roman" w:hAnsi="Times New Roman" w:cs="Times New Roman"/>
          <w:sz w:val="16"/>
          <w:szCs w:val="16"/>
        </w:rPr>
        <w:t>Data missing in two samples</w:t>
      </w:r>
    </w:p>
    <w:p w:rsidR="00E955DE" w:rsidRPr="0019408A" w:rsidRDefault="00E955DE" w:rsidP="00E955DE">
      <w:pPr>
        <w:spacing w:line="240" w:lineRule="auto"/>
        <w:ind w:left="360"/>
        <w:rPr>
          <w:rFonts w:ascii="Times New Roman" w:hAnsi="Times New Roman" w:cs="Times New Roman"/>
          <w:sz w:val="16"/>
          <w:szCs w:val="16"/>
        </w:rPr>
      </w:pPr>
      <w:r w:rsidRPr="0019408A">
        <w:rPr>
          <w:rFonts w:ascii="Times New Roman" w:hAnsi="Times New Roman" w:cs="Times New Roman"/>
          <w:sz w:val="16"/>
          <w:szCs w:val="16"/>
          <w:vertAlign w:val="superscript"/>
        </w:rPr>
        <w:t>2</w:t>
      </w:r>
      <w:r w:rsidRPr="0019408A">
        <w:rPr>
          <w:rFonts w:ascii="Times New Roman" w:hAnsi="Times New Roman" w:cs="Times New Roman"/>
          <w:sz w:val="16"/>
          <w:szCs w:val="16"/>
        </w:rPr>
        <w:t>Data missing in four samples</w:t>
      </w:r>
    </w:p>
    <w:p w:rsidR="00673BE1" w:rsidRPr="0019408A" w:rsidRDefault="00673BE1" w:rsidP="00E955DE">
      <w:pPr>
        <w:spacing w:line="240" w:lineRule="auto"/>
        <w:ind w:left="360"/>
        <w:rPr>
          <w:rFonts w:ascii="Times New Roman" w:hAnsi="Times New Roman" w:cs="Times New Roman"/>
        </w:rPr>
      </w:pPr>
    </w:p>
    <w:p w:rsidR="002E7EAF" w:rsidRPr="0019408A" w:rsidRDefault="002E7EAF" w:rsidP="00073511">
      <w:pPr>
        <w:spacing w:line="240" w:lineRule="auto"/>
        <w:rPr>
          <w:rFonts w:ascii="Times New Roman" w:hAnsi="Times New Roman" w:cs="Times New Roman"/>
          <w:b/>
          <w:sz w:val="20"/>
          <w:szCs w:val="20"/>
        </w:rPr>
      </w:pPr>
    </w:p>
    <w:p w:rsidR="00073511" w:rsidRPr="0019408A" w:rsidRDefault="00073511" w:rsidP="00073511">
      <w:pPr>
        <w:spacing w:line="240" w:lineRule="auto"/>
        <w:rPr>
          <w:rFonts w:ascii="Times New Roman" w:hAnsi="Times New Roman" w:cs="Times New Roman"/>
          <w:b/>
          <w:sz w:val="20"/>
          <w:szCs w:val="20"/>
        </w:rPr>
      </w:pPr>
      <w:r w:rsidRPr="0019408A">
        <w:rPr>
          <w:rFonts w:ascii="Times New Roman" w:hAnsi="Times New Roman" w:cs="Times New Roman"/>
          <w:b/>
          <w:sz w:val="20"/>
          <w:szCs w:val="20"/>
        </w:rPr>
        <w:t xml:space="preserve">Table </w:t>
      </w:r>
      <w:r w:rsidR="00026543" w:rsidRPr="0019408A">
        <w:rPr>
          <w:rFonts w:ascii="Times New Roman" w:hAnsi="Times New Roman" w:cs="Times New Roman"/>
          <w:b/>
          <w:sz w:val="20"/>
          <w:szCs w:val="20"/>
        </w:rPr>
        <w:t>S</w:t>
      </w:r>
      <w:r w:rsidRPr="0019408A">
        <w:rPr>
          <w:rFonts w:ascii="Times New Roman" w:hAnsi="Times New Roman" w:cs="Times New Roman"/>
          <w:b/>
          <w:sz w:val="20"/>
          <w:szCs w:val="20"/>
        </w:rPr>
        <w:t xml:space="preserve">3. </w:t>
      </w:r>
      <w:r w:rsidRPr="0019408A">
        <w:rPr>
          <w:rFonts w:ascii="Times New Roman" w:hAnsi="Times New Roman" w:cs="Times New Roman"/>
          <w:sz w:val="20"/>
          <w:szCs w:val="20"/>
        </w:rPr>
        <w:t xml:space="preserve">Overview of the 92 </w:t>
      </w:r>
      <w:proofErr w:type="spellStart"/>
      <w:r w:rsidRPr="0019408A">
        <w:rPr>
          <w:rFonts w:ascii="Times New Roman" w:hAnsi="Times New Roman" w:cs="Times New Roman"/>
          <w:sz w:val="20"/>
          <w:szCs w:val="20"/>
        </w:rPr>
        <w:t>analysed</w:t>
      </w:r>
      <w:proofErr w:type="spellEnd"/>
      <w:r w:rsidRPr="0019408A">
        <w:rPr>
          <w:rFonts w:ascii="Times New Roman" w:hAnsi="Times New Roman" w:cs="Times New Roman"/>
          <w:sz w:val="20"/>
          <w:szCs w:val="20"/>
        </w:rPr>
        <w:t xml:space="preserve"> biomarkers</w:t>
      </w:r>
    </w:p>
    <w:tbl>
      <w:tblPr>
        <w:tblW w:w="8720" w:type="dxa"/>
        <w:tblCellMar>
          <w:left w:w="70" w:type="dxa"/>
          <w:right w:w="70" w:type="dxa"/>
        </w:tblCellMar>
        <w:tblLook w:val="04A0" w:firstRow="1" w:lastRow="0" w:firstColumn="1" w:lastColumn="0" w:noHBand="0" w:noVBand="1"/>
      </w:tblPr>
      <w:tblGrid>
        <w:gridCol w:w="5800"/>
        <w:gridCol w:w="1720"/>
        <w:gridCol w:w="1200"/>
      </w:tblGrid>
      <w:tr w:rsidR="0019408A" w:rsidRPr="0019408A" w:rsidTr="00405223">
        <w:trPr>
          <w:trHeight w:val="720"/>
        </w:trPr>
        <w:tc>
          <w:tcPr>
            <w:tcW w:w="5800" w:type="dxa"/>
            <w:tcBorders>
              <w:top w:val="single" w:sz="8" w:space="0" w:color="auto"/>
              <w:left w:val="single" w:sz="8" w:space="0" w:color="auto"/>
              <w:bottom w:val="single" w:sz="8"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b/>
                <w:bCs/>
                <w:sz w:val="16"/>
                <w:szCs w:val="16"/>
                <w:lang w:val="nb-NO" w:eastAsia="nb-NO"/>
              </w:rPr>
            </w:pPr>
            <w:r w:rsidRPr="0019408A">
              <w:rPr>
                <w:rFonts w:ascii="Times New Roman" w:eastAsia="Times New Roman" w:hAnsi="Times New Roman" w:cs="Times New Roman"/>
                <w:b/>
                <w:bCs/>
                <w:sz w:val="16"/>
                <w:szCs w:val="16"/>
                <w:lang w:val="nb-NO" w:eastAsia="nb-NO"/>
              </w:rPr>
              <w:t>Biomarker</w:t>
            </w:r>
          </w:p>
        </w:tc>
        <w:tc>
          <w:tcPr>
            <w:tcW w:w="1720" w:type="dxa"/>
            <w:tcBorders>
              <w:top w:val="single" w:sz="8" w:space="0" w:color="auto"/>
              <w:left w:val="nil"/>
              <w:bottom w:val="single" w:sz="8"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b/>
                <w:bCs/>
                <w:sz w:val="16"/>
                <w:szCs w:val="16"/>
                <w:lang w:val="nb-NO" w:eastAsia="nb-NO"/>
              </w:rPr>
            </w:pPr>
            <w:r w:rsidRPr="0019408A">
              <w:rPr>
                <w:rFonts w:ascii="Times New Roman" w:eastAsia="Times New Roman" w:hAnsi="Times New Roman" w:cs="Times New Roman"/>
                <w:b/>
                <w:bCs/>
                <w:sz w:val="16"/>
                <w:szCs w:val="16"/>
                <w:lang w:val="nb-NO" w:eastAsia="nb-NO"/>
              </w:rPr>
              <w:t>LOD (</w:t>
            </w:r>
            <w:proofErr w:type="spellStart"/>
            <w:r w:rsidRPr="0019408A">
              <w:rPr>
                <w:rFonts w:ascii="Times New Roman" w:eastAsia="Times New Roman" w:hAnsi="Times New Roman" w:cs="Times New Roman"/>
                <w:b/>
                <w:bCs/>
                <w:sz w:val="16"/>
                <w:szCs w:val="16"/>
                <w:lang w:val="nb-NO" w:eastAsia="nb-NO"/>
              </w:rPr>
              <w:t>pg</w:t>
            </w:r>
            <w:proofErr w:type="spellEnd"/>
            <w:r w:rsidRPr="0019408A">
              <w:rPr>
                <w:rFonts w:ascii="Times New Roman" w:eastAsia="Times New Roman" w:hAnsi="Times New Roman" w:cs="Times New Roman"/>
                <w:b/>
                <w:bCs/>
                <w:sz w:val="16"/>
                <w:szCs w:val="16"/>
                <w:lang w:val="nb-NO" w:eastAsia="nb-NO"/>
              </w:rPr>
              <w:t>/</w:t>
            </w:r>
            <w:proofErr w:type="spellStart"/>
            <w:r w:rsidRPr="0019408A">
              <w:rPr>
                <w:rFonts w:ascii="Times New Roman" w:eastAsia="Times New Roman" w:hAnsi="Times New Roman" w:cs="Times New Roman"/>
                <w:b/>
                <w:bCs/>
                <w:sz w:val="16"/>
                <w:szCs w:val="16"/>
                <w:lang w:val="nb-NO" w:eastAsia="nb-NO"/>
              </w:rPr>
              <w:t>mL</w:t>
            </w:r>
            <w:proofErr w:type="spellEnd"/>
            <w:r w:rsidRPr="0019408A">
              <w:rPr>
                <w:rFonts w:ascii="Times New Roman" w:eastAsia="Times New Roman" w:hAnsi="Times New Roman" w:cs="Times New Roman"/>
                <w:b/>
                <w:bCs/>
                <w:sz w:val="16"/>
                <w:szCs w:val="16"/>
                <w:lang w:val="nb-NO" w:eastAsia="nb-NO"/>
              </w:rPr>
              <w:t>)</w:t>
            </w:r>
          </w:p>
        </w:tc>
        <w:tc>
          <w:tcPr>
            <w:tcW w:w="1200" w:type="dxa"/>
            <w:tcBorders>
              <w:top w:val="single" w:sz="8" w:space="0" w:color="auto"/>
              <w:left w:val="nil"/>
              <w:bottom w:val="single" w:sz="8"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b/>
                <w:bCs/>
                <w:sz w:val="16"/>
                <w:szCs w:val="16"/>
                <w:lang w:val="nb-NO" w:eastAsia="nb-NO"/>
              </w:rPr>
            </w:pPr>
            <w:r w:rsidRPr="0019408A">
              <w:rPr>
                <w:rFonts w:ascii="Times New Roman" w:eastAsia="Times New Roman" w:hAnsi="Times New Roman" w:cs="Times New Roman"/>
                <w:b/>
                <w:bCs/>
                <w:sz w:val="16"/>
                <w:szCs w:val="16"/>
                <w:lang w:val="nb-NO" w:eastAsia="nb-NO"/>
              </w:rPr>
              <w:t>CV</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Adenosine</w:t>
            </w:r>
            <w:proofErr w:type="spellEnd"/>
            <w:r w:rsidRPr="0019408A">
              <w:rPr>
                <w:rFonts w:ascii="Times New Roman" w:eastAsia="Times New Roman" w:hAnsi="Times New Roman" w:cs="Times New Roman"/>
                <w:sz w:val="16"/>
                <w:szCs w:val="16"/>
                <w:lang w:val="nb-NO" w:eastAsia="nb-NO"/>
              </w:rPr>
              <w:t xml:space="preserve"> </w:t>
            </w:r>
            <w:proofErr w:type="spellStart"/>
            <w:r w:rsidRPr="0019408A">
              <w:rPr>
                <w:rFonts w:ascii="Times New Roman" w:eastAsia="Times New Roman" w:hAnsi="Times New Roman" w:cs="Times New Roman"/>
                <w:sz w:val="16"/>
                <w:szCs w:val="16"/>
                <w:lang w:val="nb-NO" w:eastAsia="nb-NO"/>
              </w:rPr>
              <w:t>deaminase</w:t>
            </w:r>
            <w:proofErr w:type="spellEnd"/>
            <w:r w:rsidRPr="0019408A">
              <w:rPr>
                <w:rFonts w:ascii="Times New Roman" w:eastAsia="Times New Roman" w:hAnsi="Times New Roman" w:cs="Times New Roman"/>
                <w:sz w:val="16"/>
                <w:szCs w:val="16"/>
                <w:lang w:val="nb-NO" w:eastAsia="nb-NO"/>
              </w:rPr>
              <w:t xml:space="preserve"> (ADA)</w:t>
            </w:r>
          </w:p>
        </w:tc>
        <w:tc>
          <w:tcPr>
            <w:tcW w:w="1720" w:type="dxa"/>
            <w:tcBorders>
              <w:top w:val="nil"/>
              <w:left w:val="nil"/>
              <w:bottom w:val="single" w:sz="4" w:space="0" w:color="auto"/>
              <w:right w:val="single" w:sz="4" w:space="0" w:color="auto"/>
            </w:tcBorders>
            <w:shd w:val="clear" w:color="auto" w:fill="auto"/>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48</w:t>
            </w:r>
          </w:p>
        </w:tc>
        <w:tc>
          <w:tcPr>
            <w:tcW w:w="120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5 %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Artemin</w:t>
            </w:r>
            <w:proofErr w:type="spellEnd"/>
            <w:r w:rsidRPr="0019408A">
              <w:rPr>
                <w:rFonts w:ascii="Times New Roman" w:eastAsia="Times New Roman" w:hAnsi="Times New Roman" w:cs="Times New Roman"/>
                <w:sz w:val="16"/>
                <w:szCs w:val="16"/>
                <w:lang w:val="nb-NO" w:eastAsia="nb-NO"/>
              </w:rPr>
              <w:t xml:space="preserve"> (ARTN)</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24</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7 %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Axin-1 (AXIN1)</w:t>
            </w:r>
          </w:p>
        </w:tc>
        <w:tc>
          <w:tcPr>
            <w:tcW w:w="1720" w:type="dxa"/>
            <w:tcBorders>
              <w:top w:val="nil"/>
              <w:left w:val="nil"/>
              <w:bottom w:val="single" w:sz="4" w:space="0" w:color="auto"/>
              <w:right w:val="single" w:sz="4" w:space="0" w:color="auto"/>
            </w:tcBorders>
            <w:shd w:val="clear" w:color="auto" w:fill="auto"/>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61</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00</w:t>
            </w:r>
          </w:p>
        </w:tc>
        <w:tc>
          <w:tcPr>
            <w:tcW w:w="120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Beta-nerve growth factor (Beta-NGF)</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48</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Caspase-8 (CASP-8)</w:t>
            </w:r>
          </w:p>
        </w:tc>
        <w:tc>
          <w:tcPr>
            <w:tcW w:w="1720" w:type="dxa"/>
            <w:tcBorders>
              <w:top w:val="nil"/>
              <w:left w:val="nil"/>
              <w:bottom w:val="single" w:sz="4" w:space="0" w:color="auto"/>
              <w:right w:val="single" w:sz="4" w:space="0" w:color="auto"/>
            </w:tcBorders>
            <w:shd w:val="clear" w:color="auto" w:fill="auto"/>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48</w:t>
            </w:r>
          </w:p>
        </w:tc>
        <w:tc>
          <w:tcPr>
            <w:tcW w:w="120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7 %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C-C motif chemokine 3 (CCL3)</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06</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C-C motif chemokine 4 (CCL4)</w:t>
            </w:r>
          </w:p>
        </w:tc>
        <w:tc>
          <w:tcPr>
            <w:tcW w:w="1720" w:type="dxa"/>
            <w:tcBorders>
              <w:top w:val="nil"/>
              <w:left w:val="nil"/>
              <w:bottom w:val="single" w:sz="4" w:space="0" w:color="auto"/>
              <w:right w:val="single" w:sz="4" w:space="0" w:color="auto"/>
            </w:tcBorders>
            <w:shd w:val="clear" w:color="auto" w:fill="auto"/>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90</w:t>
            </w:r>
          </w:p>
        </w:tc>
        <w:tc>
          <w:tcPr>
            <w:tcW w:w="120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C-C motif chemokine 19 (CCL19)</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15</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30</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8 %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C-C motif chemokine 20 (CCL20)</w:t>
            </w:r>
          </w:p>
        </w:tc>
        <w:tc>
          <w:tcPr>
            <w:tcW w:w="1720" w:type="dxa"/>
            <w:tcBorders>
              <w:top w:val="nil"/>
              <w:left w:val="nil"/>
              <w:bottom w:val="single" w:sz="4" w:space="0" w:color="auto"/>
              <w:right w:val="single" w:sz="4" w:space="0" w:color="auto"/>
            </w:tcBorders>
            <w:shd w:val="clear" w:color="auto" w:fill="auto"/>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7</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60</w:t>
            </w:r>
          </w:p>
        </w:tc>
        <w:tc>
          <w:tcPr>
            <w:tcW w:w="120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7 %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C-C motif chemokine 23 (CCL23)</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30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50</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C-C motif chemokine 25 (CCL25)</w:t>
            </w:r>
          </w:p>
        </w:tc>
        <w:tc>
          <w:tcPr>
            <w:tcW w:w="1720" w:type="dxa"/>
            <w:tcBorders>
              <w:top w:val="nil"/>
              <w:left w:val="nil"/>
              <w:bottom w:val="single" w:sz="4" w:space="0" w:color="auto"/>
              <w:right w:val="single" w:sz="4" w:space="0" w:color="auto"/>
            </w:tcBorders>
            <w:shd w:val="clear" w:color="auto" w:fill="auto"/>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3</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80</w:t>
            </w:r>
          </w:p>
        </w:tc>
        <w:tc>
          <w:tcPr>
            <w:tcW w:w="120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C-C motif chemokine 28 (CCL28)</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61</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00</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7 %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T-cell surface glycoprotein CD5 (CD5)</w:t>
            </w:r>
          </w:p>
        </w:tc>
        <w:tc>
          <w:tcPr>
            <w:tcW w:w="1720" w:type="dxa"/>
            <w:tcBorders>
              <w:top w:val="nil"/>
              <w:left w:val="nil"/>
              <w:bottom w:val="single" w:sz="4" w:space="0" w:color="auto"/>
              <w:right w:val="single" w:sz="4" w:space="0" w:color="auto"/>
            </w:tcBorders>
            <w:shd w:val="clear" w:color="auto" w:fill="auto"/>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06</w:t>
            </w:r>
          </w:p>
        </w:tc>
        <w:tc>
          <w:tcPr>
            <w:tcW w:w="120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5 %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T cell surface glycoprotein CD6 isoform (CD6)</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24</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 xml:space="preserve">CD40L </w:t>
            </w:r>
            <w:proofErr w:type="spellStart"/>
            <w:r w:rsidRPr="0019408A">
              <w:rPr>
                <w:rFonts w:ascii="Times New Roman" w:eastAsia="Times New Roman" w:hAnsi="Times New Roman" w:cs="Times New Roman"/>
                <w:sz w:val="16"/>
                <w:szCs w:val="16"/>
                <w:lang w:val="nb-NO" w:eastAsia="nb-NO"/>
              </w:rPr>
              <w:t>receptor</w:t>
            </w:r>
            <w:proofErr w:type="spellEnd"/>
            <w:r w:rsidRPr="0019408A">
              <w:rPr>
                <w:rFonts w:ascii="Times New Roman" w:eastAsia="Times New Roman" w:hAnsi="Times New Roman" w:cs="Times New Roman"/>
                <w:sz w:val="16"/>
                <w:szCs w:val="16"/>
                <w:lang w:val="nb-NO" w:eastAsia="nb-NO"/>
              </w:rPr>
              <w:t xml:space="preserve"> (CD40)</w:t>
            </w:r>
          </w:p>
        </w:tc>
        <w:tc>
          <w:tcPr>
            <w:tcW w:w="1720" w:type="dxa"/>
            <w:tcBorders>
              <w:top w:val="nil"/>
              <w:left w:val="nil"/>
              <w:bottom w:val="single" w:sz="4" w:space="0" w:color="auto"/>
              <w:right w:val="single" w:sz="4" w:space="0" w:color="auto"/>
            </w:tcBorders>
            <w:shd w:val="clear" w:color="auto" w:fill="auto"/>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01</w:t>
            </w:r>
          </w:p>
        </w:tc>
        <w:tc>
          <w:tcPr>
            <w:tcW w:w="120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5 %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C-X-C motif chemokine 5 (CXCL5)</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95</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7 %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C-X-C motif chemokine 6 (CXCL6)</w:t>
            </w:r>
          </w:p>
        </w:tc>
        <w:tc>
          <w:tcPr>
            <w:tcW w:w="1720" w:type="dxa"/>
            <w:tcBorders>
              <w:top w:val="nil"/>
              <w:left w:val="nil"/>
              <w:bottom w:val="single" w:sz="4" w:space="0" w:color="auto"/>
              <w:right w:val="single" w:sz="4" w:space="0" w:color="auto"/>
            </w:tcBorders>
            <w:shd w:val="clear" w:color="auto" w:fill="auto"/>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7</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60</w:t>
            </w:r>
          </w:p>
        </w:tc>
        <w:tc>
          <w:tcPr>
            <w:tcW w:w="120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8 %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C-X-C motif chemokine 9 (CXCL9)</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0</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95</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6 %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eastAsia="nb-NO"/>
              </w:rPr>
            </w:pPr>
            <w:r w:rsidRPr="0019408A">
              <w:rPr>
                <w:rFonts w:ascii="Times New Roman" w:eastAsia="Times New Roman" w:hAnsi="Times New Roman" w:cs="Times New Roman"/>
                <w:sz w:val="16"/>
                <w:szCs w:val="16"/>
                <w:lang w:eastAsia="nb-NO"/>
              </w:rPr>
              <w:t>C-X-C motif chemokine 10 (CXCL10)</w:t>
            </w:r>
          </w:p>
        </w:tc>
        <w:tc>
          <w:tcPr>
            <w:tcW w:w="1720" w:type="dxa"/>
            <w:tcBorders>
              <w:top w:val="nil"/>
              <w:left w:val="nil"/>
              <w:bottom w:val="single" w:sz="4" w:space="0" w:color="auto"/>
              <w:right w:val="single" w:sz="4" w:space="0" w:color="auto"/>
            </w:tcBorders>
            <w:shd w:val="clear" w:color="auto" w:fill="auto"/>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7</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60</w:t>
            </w:r>
          </w:p>
        </w:tc>
        <w:tc>
          <w:tcPr>
            <w:tcW w:w="1200" w:type="dxa"/>
            <w:tcBorders>
              <w:top w:val="nil"/>
              <w:left w:val="nil"/>
              <w:bottom w:val="single" w:sz="4" w:space="0" w:color="auto"/>
              <w:right w:val="single" w:sz="8" w:space="0" w:color="auto"/>
            </w:tcBorders>
            <w:shd w:val="clear" w:color="auto" w:fill="auto"/>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7 %</w:t>
            </w:r>
          </w:p>
        </w:tc>
      </w:tr>
      <w:tr w:rsidR="0019408A" w:rsidRPr="0019408A"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19408A" w:rsidRDefault="00405223" w:rsidP="00405223">
            <w:pPr>
              <w:spacing w:after="0" w:line="240" w:lineRule="auto"/>
              <w:rPr>
                <w:rFonts w:ascii="Times New Roman" w:eastAsia="Times New Roman" w:hAnsi="Times New Roman" w:cs="Times New Roman"/>
                <w:sz w:val="16"/>
                <w:szCs w:val="16"/>
                <w:lang w:val="nb-NO" w:eastAsia="nb-NO"/>
              </w:rPr>
            </w:pPr>
            <w:proofErr w:type="spellStart"/>
            <w:r w:rsidRPr="0019408A">
              <w:rPr>
                <w:rFonts w:ascii="Times New Roman" w:eastAsia="Times New Roman" w:hAnsi="Times New Roman" w:cs="Times New Roman"/>
                <w:sz w:val="16"/>
                <w:szCs w:val="16"/>
                <w:lang w:val="nb-NO" w:eastAsia="nb-NO"/>
              </w:rPr>
              <w:t>Cystatin</w:t>
            </w:r>
            <w:proofErr w:type="spellEnd"/>
            <w:r w:rsidRPr="0019408A">
              <w:rPr>
                <w:rFonts w:ascii="Times New Roman" w:eastAsia="Times New Roman" w:hAnsi="Times New Roman" w:cs="Times New Roman"/>
                <w:sz w:val="16"/>
                <w:szCs w:val="16"/>
                <w:lang w:val="nb-NO" w:eastAsia="nb-NO"/>
              </w:rPr>
              <w:t>-D (CST5)</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19408A" w:rsidRDefault="00673BE1"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1</w:t>
            </w:r>
            <w:r w:rsidR="00F85240" w:rsidRPr="0019408A">
              <w:rPr>
                <w:rFonts w:ascii="Times New Roman" w:eastAsia="Times New Roman" w:hAnsi="Times New Roman" w:cs="Times New Roman"/>
                <w:sz w:val="16"/>
                <w:szCs w:val="16"/>
                <w:lang w:val="nb-NO" w:eastAsia="nb-NO"/>
              </w:rPr>
              <w:t>.</w:t>
            </w:r>
            <w:r w:rsidR="00405223" w:rsidRPr="0019408A">
              <w:rPr>
                <w:rFonts w:ascii="Times New Roman" w:eastAsia="Times New Roman" w:hAnsi="Times New Roman" w:cs="Times New Roman"/>
                <w:sz w:val="16"/>
                <w:szCs w:val="16"/>
                <w:lang w:val="nb-NO" w:eastAsia="nb-NO"/>
              </w:rPr>
              <w:t>90</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19408A" w:rsidRDefault="00405223" w:rsidP="00405223">
            <w:pPr>
              <w:spacing w:after="0" w:line="240" w:lineRule="auto"/>
              <w:jc w:val="center"/>
              <w:rPr>
                <w:rFonts w:ascii="Times New Roman" w:eastAsia="Times New Roman" w:hAnsi="Times New Roman" w:cs="Times New Roman"/>
                <w:sz w:val="16"/>
                <w:szCs w:val="16"/>
                <w:lang w:val="nb-NO" w:eastAsia="nb-NO"/>
              </w:rPr>
            </w:pPr>
            <w:r w:rsidRPr="0019408A">
              <w:rPr>
                <w:rFonts w:ascii="Times New Roman" w:eastAsia="Times New Roman" w:hAnsi="Times New Roman" w:cs="Times New Roman"/>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Delta and Notch-like epidermal growth factor-related receptor (DNER)</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95</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Eukaryotic translation initiation factor 4E-binding protein 1 (4E-BP1)</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NA</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en-GB" w:eastAsia="nb-NO"/>
              </w:rPr>
            </w:pPr>
            <w:r w:rsidRPr="00DD5E67">
              <w:rPr>
                <w:rFonts w:ascii="Times New Roman" w:eastAsia="Times New Roman" w:hAnsi="Times New Roman" w:cs="Times New Roman"/>
                <w:color w:val="11161D"/>
                <w:sz w:val="16"/>
                <w:szCs w:val="16"/>
                <w:lang w:val="en-GB" w:eastAsia="nb-NO"/>
              </w:rPr>
              <w:t>Protein S100-A12 (EN-RAGE)</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122</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10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Eotaxin</w:t>
            </w:r>
            <w:proofErr w:type="spellEnd"/>
            <w:r w:rsidRPr="00DD5E67">
              <w:rPr>
                <w:rFonts w:ascii="Times New Roman" w:eastAsia="Times New Roman" w:hAnsi="Times New Roman" w:cs="Times New Roman"/>
                <w:color w:val="11161D"/>
                <w:sz w:val="16"/>
                <w:szCs w:val="16"/>
                <w:lang w:val="nb-NO" w:eastAsia="nb-NO"/>
              </w:rPr>
              <w:t xml:space="preserve"> (CCL11)</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80</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Fibroblast </w:t>
            </w:r>
            <w:proofErr w:type="spellStart"/>
            <w:r w:rsidRPr="00DD5E67">
              <w:rPr>
                <w:rFonts w:ascii="Times New Roman" w:eastAsia="Times New Roman" w:hAnsi="Times New Roman" w:cs="Times New Roman"/>
                <w:color w:val="11161D"/>
                <w:sz w:val="16"/>
                <w:szCs w:val="16"/>
                <w:lang w:val="nb-NO" w:eastAsia="nb-NO"/>
              </w:rPr>
              <w:t>growth</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5 (FGF5)</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Fibroblast Growth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19 (FGF-19)</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60</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Fibroblast </w:t>
            </w:r>
            <w:proofErr w:type="spellStart"/>
            <w:r w:rsidRPr="00DD5E67">
              <w:rPr>
                <w:rFonts w:ascii="Times New Roman" w:eastAsia="Times New Roman" w:hAnsi="Times New Roman" w:cs="Times New Roman"/>
                <w:color w:val="11161D"/>
                <w:sz w:val="16"/>
                <w:szCs w:val="16"/>
                <w:lang w:val="nb-NO" w:eastAsia="nb-NO"/>
              </w:rPr>
              <w:t>growth</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21 (FGF21)</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DEDED"/>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Fibroblast Growth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23 (FGF-23)</w:t>
            </w:r>
          </w:p>
        </w:tc>
        <w:tc>
          <w:tcPr>
            <w:tcW w:w="1720" w:type="dxa"/>
            <w:tcBorders>
              <w:top w:val="nil"/>
              <w:left w:val="nil"/>
              <w:bottom w:val="single" w:sz="4" w:space="0" w:color="auto"/>
              <w:right w:val="single" w:sz="4" w:space="0" w:color="auto"/>
            </w:tcBorders>
            <w:shd w:val="clear" w:color="000000" w:fill="EDEDED"/>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122</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10</w:t>
            </w:r>
          </w:p>
        </w:tc>
        <w:tc>
          <w:tcPr>
            <w:tcW w:w="1200" w:type="dxa"/>
            <w:tcBorders>
              <w:top w:val="nil"/>
              <w:left w:val="nil"/>
              <w:bottom w:val="single" w:sz="4" w:space="0" w:color="auto"/>
              <w:right w:val="single" w:sz="8" w:space="0" w:color="auto"/>
            </w:tcBorders>
            <w:shd w:val="clear" w:color="000000" w:fill="EDEDED"/>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Fms-related</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tyrosine</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kinase</w:t>
            </w:r>
            <w:proofErr w:type="spellEnd"/>
            <w:r w:rsidRPr="00DD5E67">
              <w:rPr>
                <w:rFonts w:ascii="Times New Roman" w:eastAsia="Times New Roman" w:hAnsi="Times New Roman" w:cs="Times New Roman"/>
                <w:color w:val="11161D"/>
                <w:sz w:val="16"/>
                <w:szCs w:val="16"/>
                <w:lang w:val="nb-NO" w:eastAsia="nb-NO"/>
              </w:rPr>
              <w:t xml:space="preserve"> 3 ligand (Flt3L)</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01</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Fractalkine</w:t>
            </w:r>
            <w:proofErr w:type="spellEnd"/>
            <w:r w:rsidRPr="00DD5E67">
              <w:rPr>
                <w:rFonts w:ascii="Times New Roman" w:eastAsia="Times New Roman" w:hAnsi="Times New Roman" w:cs="Times New Roman"/>
                <w:color w:val="11161D"/>
                <w:sz w:val="16"/>
                <w:szCs w:val="16"/>
                <w:lang w:val="nb-NO" w:eastAsia="nb-NO"/>
              </w:rPr>
              <w:t xml:space="preserve"> (CX3CL1)</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15</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30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Growth-regulated alpha protein (CXCL1)</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80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Hepatocyte</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growth</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(HGF)</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60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Interferon gamma (IFN-gamma)</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24</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Interleukin-8 (IL8)</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03</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Leukemia</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inhibitory</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(LIF)</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80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Leukemia inhibitory factor receptor (LIFR)</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50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Lymphotoxin-alpha</w:t>
            </w:r>
            <w:proofErr w:type="spellEnd"/>
            <w:r w:rsidRPr="00DD5E67">
              <w:rPr>
                <w:rFonts w:ascii="Times New Roman" w:eastAsia="Times New Roman" w:hAnsi="Times New Roman" w:cs="Times New Roman"/>
                <w:color w:val="11161D"/>
                <w:sz w:val="16"/>
                <w:szCs w:val="16"/>
                <w:lang w:val="nb-NO" w:eastAsia="nb-NO"/>
              </w:rPr>
              <w:t xml:space="preserve"> (TNF-beta)</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24</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000000"/>
                <w:sz w:val="16"/>
                <w:szCs w:val="16"/>
                <w:lang w:eastAsia="nb-NO"/>
              </w:rPr>
            </w:pPr>
            <w:r w:rsidRPr="00DD5E67">
              <w:rPr>
                <w:rFonts w:ascii="Times New Roman" w:eastAsia="Times New Roman" w:hAnsi="Times New Roman" w:cs="Times New Roman"/>
                <w:color w:val="000000"/>
                <w:sz w:val="16"/>
                <w:szCs w:val="16"/>
                <w:lang w:eastAsia="nb-NO"/>
              </w:rPr>
              <w:t>Vascular endothelial growth factor A (VEGFA)</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06</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T-cell surface glycoprotein CD8 alpha chain (CD8A)</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NA</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Monocyte</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chemotactic</w:t>
            </w:r>
            <w:proofErr w:type="spellEnd"/>
            <w:r w:rsidRPr="00DD5E67">
              <w:rPr>
                <w:rFonts w:ascii="Times New Roman" w:eastAsia="Times New Roman" w:hAnsi="Times New Roman" w:cs="Times New Roman"/>
                <w:color w:val="11161D"/>
                <w:sz w:val="16"/>
                <w:szCs w:val="16"/>
                <w:lang w:val="nb-NO" w:eastAsia="nb-NO"/>
              </w:rPr>
              <w:t xml:space="preserve"> protein 2 (MCP-2)</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06</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Monocyte</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chemotactic</w:t>
            </w:r>
            <w:proofErr w:type="spellEnd"/>
            <w:r w:rsidRPr="00DD5E67">
              <w:rPr>
                <w:rFonts w:ascii="Times New Roman" w:eastAsia="Times New Roman" w:hAnsi="Times New Roman" w:cs="Times New Roman"/>
                <w:color w:val="11161D"/>
                <w:sz w:val="16"/>
                <w:szCs w:val="16"/>
                <w:lang w:val="nb-NO" w:eastAsia="nb-NO"/>
              </w:rPr>
              <w:t xml:space="preserve"> protein 3 (MCP-3)</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48</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Monocyte</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chemotactic</w:t>
            </w:r>
            <w:proofErr w:type="spellEnd"/>
            <w:r w:rsidRPr="00DD5E67">
              <w:rPr>
                <w:rFonts w:ascii="Times New Roman" w:eastAsia="Times New Roman" w:hAnsi="Times New Roman" w:cs="Times New Roman"/>
                <w:color w:val="11161D"/>
                <w:sz w:val="16"/>
                <w:szCs w:val="16"/>
                <w:lang w:val="nb-NO" w:eastAsia="nb-NO"/>
              </w:rPr>
              <w:t xml:space="preserve"> protein 4 (MCP-4)</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24</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Glial cell line-derived neurotrophic factor (GDNF)</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01</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CUB domain-containing protein 1 (CDCP1)</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12</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Macrophage colony-stimulating factor 1 (CSF1)</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Matrix metalloproteinase-1 (MMP-1)</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Matrix metalloproteinase-10 (MMP10)</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95</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Monocyte</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chemotactic</w:t>
            </w:r>
            <w:proofErr w:type="spellEnd"/>
            <w:r w:rsidRPr="00DD5E67">
              <w:rPr>
                <w:rFonts w:ascii="Times New Roman" w:eastAsia="Times New Roman" w:hAnsi="Times New Roman" w:cs="Times New Roman"/>
                <w:color w:val="11161D"/>
                <w:sz w:val="16"/>
                <w:szCs w:val="16"/>
                <w:lang w:val="nb-NO" w:eastAsia="nb-NO"/>
              </w:rPr>
              <w:t xml:space="preserve"> protein 1 (MCP-1)</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03</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Natural killer cell receptor 2B4 (CD244)</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06</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Neurotrophin-3 (NT-3)</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12</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Neurturin</w:t>
            </w:r>
            <w:proofErr w:type="spellEnd"/>
            <w:r w:rsidRPr="00DD5E67">
              <w:rPr>
                <w:rFonts w:ascii="Times New Roman" w:eastAsia="Times New Roman" w:hAnsi="Times New Roman" w:cs="Times New Roman"/>
                <w:color w:val="11161D"/>
                <w:sz w:val="16"/>
                <w:szCs w:val="16"/>
                <w:lang w:val="nb-NO" w:eastAsia="nb-NO"/>
              </w:rPr>
              <w:t xml:space="preserve"> (NRTN)</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80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Interleukin-7 (IL7)</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24</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Oncostatin</w:t>
            </w:r>
            <w:proofErr w:type="spellEnd"/>
            <w:r w:rsidRPr="00DD5E67">
              <w:rPr>
                <w:rFonts w:ascii="Times New Roman" w:eastAsia="Times New Roman" w:hAnsi="Times New Roman" w:cs="Times New Roman"/>
                <w:color w:val="11161D"/>
                <w:sz w:val="16"/>
                <w:szCs w:val="16"/>
                <w:lang w:val="nb-NO" w:eastAsia="nb-NO"/>
              </w:rPr>
              <w:t>-M (OSM)</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03</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Osteoprotegerin</w:t>
            </w:r>
            <w:proofErr w:type="spellEnd"/>
            <w:r w:rsidRPr="00DD5E67">
              <w:rPr>
                <w:rFonts w:ascii="Times New Roman" w:eastAsia="Times New Roman" w:hAnsi="Times New Roman" w:cs="Times New Roman"/>
                <w:color w:val="11161D"/>
                <w:sz w:val="16"/>
                <w:szCs w:val="16"/>
                <w:lang w:val="nb-NO" w:eastAsia="nb-NO"/>
              </w:rPr>
              <w:t xml:space="preserve"> (OPG)</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24</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Latency-associated peptide transforming growth factor beta-1 (LAP TGF-beta-1)</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Urokinase</w:t>
            </w:r>
            <w:proofErr w:type="spellEnd"/>
            <w:r w:rsidRPr="00DD5E67">
              <w:rPr>
                <w:rFonts w:ascii="Times New Roman" w:eastAsia="Times New Roman" w:hAnsi="Times New Roman" w:cs="Times New Roman"/>
                <w:color w:val="11161D"/>
                <w:sz w:val="16"/>
                <w:szCs w:val="16"/>
                <w:lang w:val="nb-NO" w:eastAsia="nb-NO"/>
              </w:rPr>
              <w:t xml:space="preserve">-type </w:t>
            </w:r>
            <w:proofErr w:type="spellStart"/>
            <w:r w:rsidRPr="00DD5E67">
              <w:rPr>
                <w:rFonts w:ascii="Times New Roman" w:eastAsia="Times New Roman" w:hAnsi="Times New Roman" w:cs="Times New Roman"/>
                <w:color w:val="11161D"/>
                <w:sz w:val="16"/>
                <w:szCs w:val="16"/>
                <w:lang w:val="nb-NO" w:eastAsia="nb-NO"/>
              </w:rPr>
              <w:t>plasminogen</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activator</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uPA</w:t>
            </w:r>
            <w:proofErr w:type="spellEnd"/>
            <w:r w:rsidRPr="00DD5E67">
              <w:rPr>
                <w:rFonts w:ascii="Times New Roman" w:eastAsia="Times New Roman" w:hAnsi="Times New Roman" w:cs="Times New Roman"/>
                <w:color w:val="11161D"/>
                <w:sz w:val="16"/>
                <w:szCs w:val="16"/>
                <w:lang w:val="nb-NO" w:eastAsia="nb-NO"/>
              </w:rPr>
              <w:t>)</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12</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Interleukin-1 </w:t>
            </w:r>
            <w:proofErr w:type="spellStart"/>
            <w:r w:rsidRPr="00DD5E67">
              <w:rPr>
                <w:rFonts w:ascii="Times New Roman" w:eastAsia="Times New Roman" w:hAnsi="Times New Roman" w:cs="Times New Roman"/>
                <w:color w:val="11161D"/>
                <w:sz w:val="16"/>
                <w:szCs w:val="16"/>
                <w:lang w:val="nb-NO" w:eastAsia="nb-NO"/>
              </w:rPr>
              <w:t>alpha</w:t>
            </w:r>
            <w:proofErr w:type="spellEnd"/>
            <w:r w:rsidRPr="00DD5E67">
              <w:rPr>
                <w:rFonts w:ascii="Times New Roman" w:eastAsia="Times New Roman" w:hAnsi="Times New Roman" w:cs="Times New Roman"/>
                <w:color w:val="11161D"/>
                <w:sz w:val="16"/>
                <w:szCs w:val="16"/>
                <w:lang w:val="nb-NO" w:eastAsia="nb-NO"/>
              </w:rPr>
              <w:t xml:space="preserve"> (IL-1A)</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48</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Interleukin-2 (IL-2)</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50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Interleukin-2 receptor subunit beta (IL-2RB)</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15</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30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Interleukin-4 (IL4)</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24</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Interleukin-5 (IL5)</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80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Interleukin-6 (IL6)</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12</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Interleukin-10 (IL10)</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48</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Interleukin-10 receptor subunit alpha (IL10RA)</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80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Interleukin-10 receptor subunit beta (IL-10RB)</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12</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n-NO" w:eastAsia="nb-NO"/>
              </w:rPr>
            </w:pPr>
            <w:r w:rsidRPr="00DD5E67">
              <w:rPr>
                <w:rFonts w:ascii="Times New Roman" w:eastAsia="Times New Roman" w:hAnsi="Times New Roman" w:cs="Times New Roman"/>
                <w:color w:val="11161D"/>
                <w:sz w:val="16"/>
                <w:szCs w:val="16"/>
                <w:lang w:val="nn-NO" w:eastAsia="nb-NO"/>
              </w:rPr>
              <w:t xml:space="preserve">Interleukin-12 </w:t>
            </w:r>
            <w:proofErr w:type="spellStart"/>
            <w:r w:rsidRPr="00DD5E67">
              <w:rPr>
                <w:rFonts w:ascii="Times New Roman" w:eastAsia="Times New Roman" w:hAnsi="Times New Roman" w:cs="Times New Roman"/>
                <w:color w:val="11161D"/>
                <w:sz w:val="16"/>
                <w:szCs w:val="16"/>
                <w:lang w:val="nn-NO" w:eastAsia="nb-NO"/>
              </w:rPr>
              <w:t>subunit</w:t>
            </w:r>
            <w:proofErr w:type="spellEnd"/>
            <w:r w:rsidRPr="00DD5E67">
              <w:rPr>
                <w:rFonts w:ascii="Times New Roman" w:eastAsia="Times New Roman" w:hAnsi="Times New Roman" w:cs="Times New Roman"/>
                <w:color w:val="11161D"/>
                <w:sz w:val="16"/>
                <w:szCs w:val="16"/>
                <w:lang w:val="nn-NO" w:eastAsia="nb-NO"/>
              </w:rPr>
              <w:t xml:space="preserve"> beta (IL-12B)</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12</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Interleukin-13 (IL13)</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60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14 %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Interleukin-15 receptor subunit alpha (IL-15RA)</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95</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Interleukin-17A (IL-17A)</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80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Interleukin-17C (IL-17C)</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50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Interleukin-18 (IL18)</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06</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Interleukin-18 </w:t>
            </w:r>
            <w:proofErr w:type="spellStart"/>
            <w:r w:rsidRPr="00DD5E67">
              <w:rPr>
                <w:rFonts w:ascii="Times New Roman" w:eastAsia="Times New Roman" w:hAnsi="Times New Roman" w:cs="Times New Roman"/>
                <w:color w:val="11161D"/>
                <w:sz w:val="16"/>
                <w:szCs w:val="16"/>
                <w:lang w:val="nb-NO" w:eastAsia="nb-NO"/>
              </w:rPr>
              <w:t>receptor</w:t>
            </w:r>
            <w:proofErr w:type="spellEnd"/>
            <w:r w:rsidRPr="00DD5E67">
              <w:rPr>
                <w:rFonts w:ascii="Times New Roman" w:eastAsia="Times New Roman" w:hAnsi="Times New Roman" w:cs="Times New Roman"/>
                <w:color w:val="11161D"/>
                <w:sz w:val="16"/>
                <w:szCs w:val="16"/>
                <w:lang w:val="nb-NO" w:eastAsia="nb-NO"/>
              </w:rPr>
              <w:t xml:space="preserve"> 1 (IL-18R1)</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06</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Interleukin-20 (IL20)</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60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Interleukin-20 receptor subunit alpha (IL-20RA)</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Interleukin-22 receptor subunit alpha-1 (IL22RA1)</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24</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Interleukin-24 (IL24)</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Interleukin-33 (IL33)</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80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C-X-C motif chemokine 11 (CXCL11)</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60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Programmed cell death 1 ligand 1 (PD-L1)</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80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Sulfotransferase</w:t>
            </w:r>
            <w:proofErr w:type="spellEnd"/>
            <w:r w:rsidRPr="00DD5E67">
              <w:rPr>
                <w:rFonts w:ascii="Times New Roman" w:eastAsia="Times New Roman" w:hAnsi="Times New Roman" w:cs="Times New Roman"/>
                <w:color w:val="11161D"/>
                <w:sz w:val="16"/>
                <w:szCs w:val="16"/>
                <w:lang w:val="nb-NO" w:eastAsia="nb-NO"/>
              </w:rPr>
              <w:t xml:space="preserve"> 1A1 (ST1A1)</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244</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10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Signaling lymphocytic activation molecule (SLAMF1)</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50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SIR2-like protein 2 (SIRT2)</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60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STAM-binding protein (STAMBP)</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60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Stem </w:t>
            </w:r>
            <w:proofErr w:type="spellStart"/>
            <w:r w:rsidRPr="00DD5E67">
              <w:rPr>
                <w:rFonts w:ascii="Times New Roman" w:eastAsia="Times New Roman" w:hAnsi="Times New Roman" w:cs="Times New Roman"/>
                <w:color w:val="11161D"/>
                <w:sz w:val="16"/>
                <w:szCs w:val="16"/>
                <w:lang w:val="nb-NO" w:eastAsia="nb-NO"/>
              </w:rPr>
              <w:t>cell</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(SCF)</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TNF-related activation-induced cytokine (TRANCE)</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80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TNF-related apoptosis-inducing ligand (TRAIL)</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95</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Thymic</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stromal</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lymphopoietin</w:t>
            </w:r>
            <w:proofErr w:type="spellEnd"/>
            <w:r w:rsidRPr="00DD5E67">
              <w:rPr>
                <w:rFonts w:ascii="Times New Roman" w:eastAsia="Times New Roman" w:hAnsi="Times New Roman" w:cs="Times New Roman"/>
                <w:color w:val="11161D"/>
                <w:sz w:val="16"/>
                <w:szCs w:val="16"/>
                <w:lang w:val="nb-NO" w:eastAsia="nb-NO"/>
              </w:rPr>
              <w:t xml:space="preserve"> (TSLP)</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80</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000000"/>
                <w:sz w:val="16"/>
                <w:szCs w:val="16"/>
                <w:lang w:eastAsia="nb-NO"/>
              </w:rPr>
            </w:pPr>
            <w:r w:rsidRPr="00DD5E67">
              <w:rPr>
                <w:rFonts w:ascii="Times New Roman" w:eastAsia="Times New Roman" w:hAnsi="Times New Roman" w:cs="Times New Roman"/>
                <w:color w:val="000000"/>
                <w:sz w:val="16"/>
                <w:szCs w:val="16"/>
                <w:lang w:eastAsia="nb-NO"/>
              </w:rPr>
              <w:t>Transforming growth factor alpha (TGF-</w:t>
            </w:r>
            <w:proofErr w:type="spellStart"/>
            <w:r w:rsidRPr="00DD5E67">
              <w:rPr>
                <w:rFonts w:ascii="Times New Roman" w:eastAsia="Times New Roman" w:hAnsi="Times New Roman" w:cs="Times New Roman"/>
                <w:color w:val="000000"/>
                <w:sz w:val="16"/>
                <w:szCs w:val="16"/>
                <w:lang w:eastAsia="nb-NO"/>
              </w:rPr>
              <w:t>alfa</w:t>
            </w:r>
            <w:proofErr w:type="spellEnd"/>
            <w:r w:rsidRPr="00DD5E67">
              <w:rPr>
                <w:rFonts w:ascii="Times New Roman" w:eastAsia="Times New Roman" w:hAnsi="Times New Roman" w:cs="Times New Roman"/>
                <w:color w:val="000000"/>
                <w:sz w:val="16"/>
                <w:szCs w:val="16"/>
                <w:lang w:eastAsia="nb-NO"/>
              </w:rPr>
              <w:t>)</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48</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Tumor </w:t>
            </w:r>
            <w:proofErr w:type="spellStart"/>
            <w:r w:rsidRPr="00DD5E67">
              <w:rPr>
                <w:rFonts w:ascii="Times New Roman" w:eastAsia="Times New Roman" w:hAnsi="Times New Roman" w:cs="Times New Roman"/>
                <w:color w:val="11161D"/>
                <w:sz w:val="16"/>
                <w:szCs w:val="16"/>
                <w:lang w:val="nb-NO" w:eastAsia="nb-NO"/>
              </w:rPr>
              <w:t>necrosis</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(TNF)</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95</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Tumor necrosis factor (Ligand) superfamily, member 12 (TWEAK)</w:t>
            </w:r>
          </w:p>
        </w:tc>
        <w:tc>
          <w:tcPr>
            <w:tcW w:w="1720" w:type="dxa"/>
            <w:tcBorders>
              <w:top w:val="nil"/>
              <w:left w:val="nil"/>
              <w:bottom w:val="single" w:sz="4"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90</w:t>
            </w:r>
          </w:p>
        </w:tc>
        <w:tc>
          <w:tcPr>
            <w:tcW w:w="1200" w:type="dxa"/>
            <w:tcBorders>
              <w:top w:val="nil"/>
              <w:left w:val="nil"/>
              <w:bottom w:val="single" w:sz="4"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r w:rsidR="00405223" w:rsidRPr="00405223" w:rsidTr="00405223">
        <w:trPr>
          <w:trHeight w:val="660"/>
        </w:trPr>
        <w:tc>
          <w:tcPr>
            <w:tcW w:w="5800" w:type="dxa"/>
            <w:tcBorders>
              <w:top w:val="nil"/>
              <w:left w:val="single" w:sz="8" w:space="0" w:color="auto"/>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Tumor necrosis factor receptor superfamily member 9 (TNFRSF9)</w:t>
            </w:r>
          </w:p>
        </w:tc>
        <w:tc>
          <w:tcPr>
            <w:tcW w:w="1720" w:type="dxa"/>
            <w:tcBorders>
              <w:top w:val="nil"/>
              <w:left w:val="nil"/>
              <w:bottom w:val="single" w:sz="4" w:space="0" w:color="auto"/>
              <w:right w:val="single" w:sz="4" w:space="0" w:color="auto"/>
            </w:tcBorders>
            <w:shd w:val="clear" w:color="auto" w:fill="auto"/>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03</w:t>
            </w:r>
          </w:p>
        </w:tc>
        <w:tc>
          <w:tcPr>
            <w:tcW w:w="1200"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5 %</w:t>
            </w:r>
          </w:p>
        </w:tc>
      </w:tr>
      <w:tr w:rsidR="00405223" w:rsidRPr="00405223" w:rsidTr="00405223">
        <w:trPr>
          <w:trHeight w:val="660"/>
        </w:trPr>
        <w:tc>
          <w:tcPr>
            <w:tcW w:w="5800" w:type="dxa"/>
            <w:tcBorders>
              <w:top w:val="nil"/>
              <w:left w:val="single" w:sz="8" w:space="0" w:color="auto"/>
              <w:bottom w:val="single" w:sz="8" w:space="0" w:color="auto"/>
              <w:right w:val="single" w:sz="4" w:space="0" w:color="auto"/>
            </w:tcBorders>
            <w:shd w:val="clear" w:color="000000" w:fill="E7E6E6"/>
            <w:vAlign w:val="center"/>
            <w:hideMark/>
          </w:tcPr>
          <w:p w:rsidR="00405223" w:rsidRPr="00DD5E67" w:rsidRDefault="00405223" w:rsidP="00405223">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Tumor necrosis factor ligand superfamily member 14 (TNFSF14)</w:t>
            </w:r>
          </w:p>
        </w:tc>
        <w:tc>
          <w:tcPr>
            <w:tcW w:w="1720" w:type="dxa"/>
            <w:tcBorders>
              <w:top w:val="nil"/>
              <w:left w:val="nil"/>
              <w:bottom w:val="single" w:sz="8" w:space="0" w:color="auto"/>
              <w:right w:val="single" w:sz="4" w:space="0" w:color="auto"/>
            </w:tcBorders>
            <w:shd w:val="clear" w:color="000000" w:fill="E7E6E6"/>
            <w:vAlign w:val="center"/>
            <w:hideMark/>
          </w:tcPr>
          <w:p w:rsidR="00405223" w:rsidRPr="00DD5E67" w:rsidRDefault="00673BE1"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405223" w:rsidRPr="00DD5E67">
              <w:rPr>
                <w:rFonts w:ascii="Times New Roman" w:eastAsia="Times New Roman" w:hAnsi="Times New Roman" w:cs="Times New Roman"/>
                <w:color w:val="000000"/>
                <w:sz w:val="16"/>
                <w:szCs w:val="16"/>
                <w:lang w:val="nb-NO" w:eastAsia="nb-NO"/>
              </w:rPr>
              <w:t>95</w:t>
            </w:r>
          </w:p>
        </w:tc>
        <w:tc>
          <w:tcPr>
            <w:tcW w:w="1200" w:type="dxa"/>
            <w:tcBorders>
              <w:top w:val="nil"/>
              <w:left w:val="nil"/>
              <w:bottom w:val="single" w:sz="8" w:space="0" w:color="auto"/>
              <w:right w:val="single" w:sz="8" w:space="0" w:color="auto"/>
            </w:tcBorders>
            <w:shd w:val="clear" w:color="000000" w:fill="E7E6E6"/>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6 %</w:t>
            </w:r>
          </w:p>
        </w:tc>
      </w:tr>
    </w:tbl>
    <w:p w:rsidR="00405223" w:rsidRDefault="00405223" w:rsidP="00073511">
      <w:pPr>
        <w:spacing w:line="240" w:lineRule="auto"/>
        <w:rPr>
          <w:lang w:val="nb-NO"/>
        </w:rPr>
      </w:pPr>
    </w:p>
    <w:p w:rsidR="00073511" w:rsidRPr="00B33D9C" w:rsidRDefault="00073511" w:rsidP="00073511">
      <w:pPr>
        <w:spacing w:line="240" w:lineRule="auto"/>
        <w:rPr>
          <w:rFonts w:ascii="Times New Roman" w:hAnsi="Times New Roman" w:cs="Times New Roman"/>
          <w:b/>
          <w:sz w:val="24"/>
          <w:szCs w:val="24"/>
        </w:rPr>
      </w:pPr>
    </w:p>
    <w:p w:rsidR="00343488" w:rsidRDefault="00343488" w:rsidP="00073511">
      <w:pPr>
        <w:spacing w:line="240" w:lineRule="auto"/>
        <w:rPr>
          <w:rFonts w:ascii="Times New Roman" w:hAnsi="Times New Roman" w:cs="Times New Roman"/>
          <w:b/>
          <w:sz w:val="24"/>
          <w:szCs w:val="24"/>
        </w:rPr>
      </w:pPr>
    </w:p>
    <w:p w:rsidR="00343488" w:rsidRDefault="00343488" w:rsidP="00073511">
      <w:pPr>
        <w:spacing w:line="240" w:lineRule="auto"/>
        <w:rPr>
          <w:rFonts w:ascii="Times New Roman" w:hAnsi="Times New Roman" w:cs="Times New Roman"/>
          <w:b/>
          <w:sz w:val="24"/>
          <w:szCs w:val="24"/>
        </w:rPr>
      </w:pPr>
    </w:p>
    <w:p w:rsidR="00343488" w:rsidRDefault="00343488" w:rsidP="00073511">
      <w:pPr>
        <w:spacing w:line="240" w:lineRule="auto"/>
        <w:rPr>
          <w:rFonts w:ascii="Times New Roman" w:hAnsi="Times New Roman" w:cs="Times New Roman"/>
          <w:b/>
          <w:sz w:val="24"/>
          <w:szCs w:val="24"/>
        </w:rPr>
      </w:pPr>
    </w:p>
    <w:p w:rsidR="00343488" w:rsidRDefault="00343488" w:rsidP="00073511">
      <w:pPr>
        <w:spacing w:line="240" w:lineRule="auto"/>
        <w:rPr>
          <w:rFonts w:ascii="Times New Roman" w:hAnsi="Times New Roman" w:cs="Times New Roman"/>
          <w:b/>
          <w:sz w:val="24"/>
          <w:szCs w:val="24"/>
        </w:rPr>
      </w:pPr>
    </w:p>
    <w:p w:rsidR="00673BE1" w:rsidRDefault="00673BE1" w:rsidP="00073511">
      <w:pPr>
        <w:spacing w:line="240" w:lineRule="auto"/>
        <w:rPr>
          <w:rFonts w:ascii="Times New Roman" w:hAnsi="Times New Roman" w:cs="Times New Roman"/>
          <w:b/>
          <w:sz w:val="24"/>
          <w:szCs w:val="24"/>
        </w:rPr>
      </w:pPr>
    </w:p>
    <w:p w:rsidR="00673BE1" w:rsidRDefault="00673BE1" w:rsidP="00073511">
      <w:pPr>
        <w:spacing w:line="240" w:lineRule="auto"/>
        <w:rPr>
          <w:rFonts w:ascii="Times New Roman" w:hAnsi="Times New Roman" w:cs="Times New Roman"/>
          <w:b/>
          <w:sz w:val="24"/>
          <w:szCs w:val="24"/>
        </w:rPr>
      </w:pPr>
    </w:p>
    <w:p w:rsidR="00673BE1" w:rsidRDefault="00673BE1" w:rsidP="00073511">
      <w:pPr>
        <w:spacing w:line="240" w:lineRule="auto"/>
        <w:rPr>
          <w:rFonts w:ascii="Times New Roman" w:hAnsi="Times New Roman" w:cs="Times New Roman"/>
          <w:b/>
          <w:sz w:val="24"/>
          <w:szCs w:val="24"/>
        </w:rPr>
      </w:pPr>
    </w:p>
    <w:p w:rsidR="00673BE1" w:rsidRDefault="00673BE1" w:rsidP="00073511">
      <w:pPr>
        <w:spacing w:line="240" w:lineRule="auto"/>
        <w:rPr>
          <w:rFonts w:ascii="Times New Roman" w:hAnsi="Times New Roman" w:cs="Times New Roman"/>
          <w:b/>
          <w:sz w:val="24"/>
          <w:szCs w:val="24"/>
        </w:rPr>
      </w:pPr>
    </w:p>
    <w:p w:rsidR="00673BE1" w:rsidRDefault="00673BE1" w:rsidP="00073511">
      <w:pPr>
        <w:spacing w:line="240" w:lineRule="auto"/>
        <w:rPr>
          <w:rFonts w:ascii="Times New Roman" w:hAnsi="Times New Roman" w:cs="Times New Roman"/>
          <w:b/>
          <w:sz w:val="24"/>
          <w:szCs w:val="24"/>
        </w:rPr>
      </w:pPr>
    </w:p>
    <w:p w:rsidR="00405223" w:rsidRPr="00DD5E67" w:rsidRDefault="00073511" w:rsidP="009B62BA">
      <w:pPr>
        <w:spacing w:line="480" w:lineRule="auto"/>
        <w:rPr>
          <w:rFonts w:ascii="Times New Roman" w:hAnsi="Times New Roman" w:cs="Times New Roman"/>
          <w:sz w:val="20"/>
          <w:szCs w:val="20"/>
        </w:rPr>
      </w:pPr>
      <w:r w:rsidRPr="00DD5E67">
        <w:rPr>
          <w:rFonts w:ascii="Times New Roman" w:hAnsi="Times New Roman" w:cs="Times New Roman"/>
          <w:b/>
          <w:sz w:val="20"/>
          <w:szCs w:val="20"/>
        </w:rPr>
        <w:t xml:space="preserve">Table </w:t>
      </w:r>
      <w:r w:rsidR="00026543" w:rsidRPr="00DD5E67">
        <w:rPr>
          <w:rFonts w:ascii="Times New Roman" w:hAnsi="Times New Roman" w:cs="Times New Roman"/>
          <w:b/>
          <w:sz w:val="20"/>
          <w:szCs w:val="20"/>
        </w:rPr>
        <w:t>S</w:t>
      </w:r>
      <w:r w:rsidRPr="00DD5E67">
        <w:rPr>
          <w:rFonts w:ascii="Times New Roman" w:hAnsi="Times New Roman" w:cs="Times New Roman"/>
          <w:b/>
          <w:sz w:val="20"/>
          <w:szCs w:val="20"/>
        </w:rPr>
        <w:t xml:space="preserve">4. </w:t>
      </w:r>
      <w:r w:rsidRPr="00DD5E67">
        <w:rPr>
          <w:rFonts w:ascii="Times New Roman" w:hAnsi="Times New Roman" w:cs="Times New Roman"/>
          <w:sz w:val="20"/>
          <w:szCs w:val="20"/>
        </w:rPr>
        <w:t>Distribution of 61 biomarkers with significantly different concentrations GD patients versus healthy controls</w:t>
      </w:r>
      <w:r w:rsidR="00673BE1" w:rsidRPr="00DD5E67">
        <w:rPr>
          <w:rFonts w:ascii="Times New Roman" w:hAnsi="Times New Roman" w:cs="Times New Roman"/>
          <w:sz w:val="20"/>
          <w:szCs w:val="20"/>
        </w:rPr>
        <w:t xml:space="preserve">. </w:t>
      </w:r>
      <w:r w:rsidRPr="00DD5E67">
        <w:rPr>
          <w:rFonts w:ascii="Times New Roman" w:hAnsi="Times New Roman" w:cs="Times New Roman"/>
          <w:sz w:val="20"/>
          <w:szCs w:val="20"/>
        </w:rPr>
        <w:t>Benjamin Hochberg procedure was applied to adjust p-values for statistical significance to control for false discovery rate due to multiple comparison</w:t>
      </w:r>
      <w:r w:rsidR="00C823D0" w:rsidRPr="00DD5E67">
        <w:rPr>
          <w:rFonts w:ascii="Times New Roman" w:hAnsi="Times New Roman" w:cs="Times New Roman"/>
          <w:sz w:val="20"/>
          <w:szCs w:val="20"/>
        </w:rPr>
        <w:t>s</w:t>
      </w:r>
      <w:r w:rsidRPr="00DD5E67">
        <w:rPr>
          <w:rFonts w:ascii="Times New Roman" w:hAnsi="Times New Roman" w:cs="Times New Roman"/>
          <w:sz w:val="20"/>
          <w:szCs w:val="20"/>
        </w:rPr>
        <w:t xml:space="preserve">. </w:t>
      </w:r>
      <w:r w:rsidR="0037180A" w:rsidRPr="00DD5E67">
        <w:rPr>
          <w:rFonts w:ascii="Times New Roman" w:hAnsi="Times New Roman" w:cs="Times New Roman"/>
          <w:sz w:val="20"/>
          <w:szCs w:val="20"/>
          <w:lang w:val="en"/>
        </w:rPr>
        <w:t>The results are reported as relative quantification between samples, by a unit</w:t>
      </w:r>
      <w:r w:rsidR="0037180A" w:rsidRPr="00DD5E67">
        <w:rPr>
          <w:rFonts w:ascii="Times New Roman" w:hAnsi="Times New Roman" w:cs="Times New Roman"/>
          <w:sz w:val="20"/>
          <w:szCs w:val="20"/>
        </w:rPr>
        <w:t xml:space="preserve"> named Normalized Protein expression (NPX). As NPX-values are in Log2-scale, a difference in one NPX equals a doubling in protein concentration.</w:t>
      </w:r>
    </w:p>
    <w:tbl>
      <w:tblPr>
        <w:tblW w:w="9820" w:type="dxa"/>
        <w:tblCellMar>
          <w:left w:w="70" w:type="dxa"/>
          <w:right w:w="70" w:type="dxa"/>
        </w:tblCellMar>
        <w:tblLook w:val="04A0" w:firstRow="1" w:lastRow="0" w:firstColumn="1" w:lastColumn="0" w:noHBand="0" w:noVBand="1"/>
      </w:tblPr>
      <w:tblGrid>
        <w:gridCol w:w="3080"/>
        <w:gridCol w:w="1900"/>
        <w:gridCol w:w="1900"/>
        <w:gridCol w:w="1380"/>
        <w:gridCol w:w="620"/>
        <w:gridCol w:w="940"/>
      </w:tblGrid>
      <w:tr w:rsidR="00205571" w:rsidRPr="00205571" w:rsidTr="00205571">
        <w:trPr>
          <w:trHeight w:val="615"/>
        </w:trPr>
        <w:tc>
          <w:tcPr>
            <w:tcW w:w="3080"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Biomarker</w:t>
            </w:r>
          </w:p>
        </w:tc>
        <w:tc>
          <w:tcPr>
            <w:tcW w:w="1900"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 xml:space="preserve">Graves </w:t>
            </w:r>
            <w:proofErr w:type="spellStart"/>
            <w:r w:rsidRPr="00DD5E67">
              <w:rPr>
                <w:rFonts w:ascii="Times New Roman" w:eastAsia="Times New Roman" w:hAnsi="Times New Roman" w:cs="Times New Roman"/>
                <w:b/>
                <w:bCs/>
                <w:color w:val="000000"/>
                <w:sz w:val="16"/>
                <w:szCs w:val="16"/>
                <w:lang w:val="nb-NO" w:eastAsia="nb-NO"/>
              </w:rPr>
              <w:t>Disease</w:t>
            </w:r>
            <w:proofErr w:type="spellEnd"/>
            <w:r w:rsidRPr="00DD5E67">
              <w:rPr>
                <w:rFonts w:ascii="Times New Roman" w:eastAsia="Times New Roman" w:hAnsi="Times New Roman" w:cs="Times New Roman"/>
                <w:b/>
                <w:bCs/>
                <w:color w:val="000000"/>
                <w:sz w:val="16"/>
                <w:szCs w:val="16"/>
                <w:lang w:val="nb-NO" w:eastAsia="nb-NO"/>
              </w:rPr>
              <w:br/>
              <w:t>Median (range)</w:t>
            </w:r>
          </w:p>
        </w:tc>
        <w:tc>
          <w:tcPr>
            <w:tcW w:w="1900"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Healthy</w:t>
            </w:r>
            <w:proofErr w:type="spellEnd"/>
            <w:r w:rsidRPr="00DD5E67">
              <w:rPr>
                <w:rFonts w:ascii="Times New Roman" w:eastAsia="Times New Roman" w:hAnsi="Times New Roman" w:cs="Times New Roman"/>
                <w:b/>
                <w:bCs/>
                <w:color w:val="000000"/>
                <w:sz w:val="16"/>
                <w:szCs w:val="16"/>
                <w:lang w:val="nb-NO" w:eastAsia="nb-NO"/>
              </w:rPr>
              <w:t xml:space="preserve"> </w:t>
            </w:r>
            <w:proofErr w:type="spellStart"/>
            <w:r w:rsidRPr="00DD5E67">
              <w:rPr>
                <w:rFonts w:ascii="Times New Roman" w:eastAsia="Times New Roman" w:hAnsi="Times New Roman" w:cs="Times New Roman"/>
                <w:b/>
                <w:bCs/>
                <w:color w:val="000000"/>
                <w:sz w:val="16"/>
                <w:szCs w:val="16"/>
                <w:lang w:val="nb-NO" w:eastAsia="nb-NO"/>
              </w:rPr>
              <w:t>control</w:t>
            </w:r>
            <w:proofErr w:type="spellEnd"/>
            <w:r w:rsidRPr="00DD5E67">
              <w:rPr>
                <w:rFonts w:ascii="Times New Roman" w:eastAsia="Times New Roman" w:hAnsi="Times New Roman" w:cs="Times New Roman"/>
                <w:b/>
                <w:bCs/>
                <w:color w:val="000000"/>
                <w:sz w:val="16"/>
                <w:szCs w:val="16"/>
                <w:lang w:val="nb-NO" w:eastAsia="nb-NO"/>
              </w:rPr>
              <w:br/>
              <w:t>Median (range)</w:t>
            </w:r>
          </w:p>
        </w:tc>
        <w:tc>
          <w:tcPr>
            <w:tcW w:w="1380" w:type="dxa"/>
            <w:tcBorders>
              <w:top w:val="single" w:sz="8" w:space="0" w:color="auto"/>
              <w:left w:val="nil"/>
              <w:bottom w:val="single" w:sz="8" w:space="0" w:color="auto"/>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LOD</w:t>
            </w:r>
            <w:r w:rsidRPr="00DD5E67">
              <w:rPr>
                <w:rFonts w:ascii="Times New Roman" w:eastAsia="Times New Roman" w:hAnsi="Times New Roman" w:cs="Times New Roman"/>
                <w:b/>
                <w:bCs/>
                <w:color w:val="000000"/>
                <w:sz w:val="16"/>
                <w:szCs w:val="16"/>
                <w:lang w:val="nb-NO" w:eastAsia="nb-NO"/>
              </w:rPr>
              <w:br/>
              <w:t>(% &lt; LOD)</w:t>
            </w:r>
          </w:p>
        </w:tc>
        <w:tc>
          <w:tcPr>
            <w:tcW w:w="620"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CV</w:t>
            </w:r>
          </w:p>
        </w:tc>
        <w:tc>
          <w:tcPr>
            <w:tcW w:w="940" w:type="dxa"/>
            <w:tcBorders>
              <w:top w:val="single" w:sz="8" w:space="0" w:color="auto"/>
              <w:left w:val="single" w:sz="8" w:space="0" w:color="auto"/>
              <w:bottom w:val="single" w:sz="8" w:space="0" w:color="auto"/>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w:t>
            </w:r>
            <w:proofErr w:type="spellStart"/>
            <w:r w:rsidRPr="00DD5E67">
              <w:rPr>
                <w:rFonts w:ascii="Times New Roman" w:eastAsia="Times New Roman" w:hAnsi="Times New Roman" w:cs="Times New Roman"/>
                <w:b/>
                <w:bCs/>
                <w:color w:val="000000"/>
                <w:sz w:val="16"/>
                <w:szCs w:val="16"/>
                <w:lang w:val="nb-NO" w:eastAsia="nb-NO"/>
              </w:rPr>
              <w:t>value</w:t>
            </w:r>
            <w:proofErr w:type="spellEnd"/>
            <w:r w:rsidRPr="00DD5E67">
              <w:rPr>
                <w:rFonts w:ascii="Times New Roman" w:eastAsia="Times New Roman" w:hAnsi="Times New Roman" w:cs="Times New Roman"/>
                <w:b/>
                <w:bCs/>
                <w:color w:val="000000"/>
                <w:sz w:val="16"/>
                <w:szCs w:val="16"/>
                <w:lang w:val="nb-NO" w:eastAsia="nb-NO"/>
              </w:rPr>
              <w:t>*</w:t>
            </w:r>
          </w:p>
        </w:tc>
      </w:tr>
      <w:tr w:rsidR="00205571" w:rsidRPr="00205571" w:rsidTr="00205571">
        <w:trPr>
          <w:trHeight w:val="615"/>
        </w:trPr>
        <w:tc>
          <w:tcPr>
            <w:tcW w:w="3080" w:type="dxa"/>
            <w:tcBorders>
              <w:top w:val="nil"/>
              <w:left w:val="single" w:sz="8" w:space="0" w:color="auto"/>
              <w:bottom w:val="single" w:sz="8" w:space="0" w:color="auto"/>
              <w:right w:val="nil"/>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Increased</w:t>
            </w:r>
            <w:proofErr w:type="spellEnd"/>
          </w:p>
        </w:tc>
        <w:tc>
          <w:tcPr>
            <w:tcW w:w="1900" w:type="dxa"/>
            <w:tcBorders>
              <w:top w:val="nil"/>
              <w:left w:val="nil"/>
              <w:bottom w:val="single" w:sz="8" w:space="0" w:color="auto"/>
              <w:right w:val="nil"/>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 </w:t>
            </w:r>
          </w:p>
        </w:tc>
        <w:tc>
          <w:tcPr>
            <w:tcW w:w="1900" w:type="dxa"/>
            <w:tcBorders>
              <w:top w:val="nil"/>
              <w:left w:val="nil"/>
              <w:bottom w:val="single" w:sz="8" w:space="0" w:color="auto"/>
              <w:right w:val="nil"/>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 </w:t>
            </w:r>
          </w:p>
        </w:tc>
        <w:tc>
          <w:tcPr>
            <w:tcW w:w="1380" w:type="dxa"/>
            <w:tcBorders>
              <w:top w:val="nil"/>
              <w:left w:val="nil"/>
              <w:bottom w:val="single" w:sz="8" w:space="0" w:color="auto"/>
              <w:right w:val="nil"/>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 </w:t>
            </w:r>
          </w:p>
        </w:tc>
        <w:tc>
          <w:tcPr>
            <w:tcW w:w="620" w:type="dxa"/>
            <w:tcBorders>
              <w:top w:val="nil"/>
              <w:left w:val="nil"/>
              <w:bottom w:val="single" w:sz="8" w:space="0" w:color="auto"/>
              <w:right w:val="nil"/>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 </w:t>
            </w:r>
          </w:p>
        </w:tc>
        <w:tc>
          <w:tcPr>
            <w:tcW w:w="940" w:type="dxa"/>
            <w:tcBorders>
              <w:top w:val="nil"/>
              <w:left w:val="nil"/>
              <w:bottom w:val="single" w:sz="8" w:space="0" w:color="auto"/>
              <w:right w:val="single" w:sz="8"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 </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C-C motif chemokine 28 (CCL28)</w:t>
            </w:r>
          </w:p>
        </w:tc>
        <w:tc>
          <w:tcPr>
            <w:tcW w:w="1900" w:type="dxa"/>
            <w:tcBorders>
              <w:top w:val="nil"/>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35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82-3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72)</w:t>
            </w:r>
          </w:p>
        </w:tc>
        <w:tc>
          <w:tcPr>
            <w:tcW w:w="1900" w:type="dxa"/>
            <w:tcBorders>
              <w:top w:val="nil"/>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57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76)</w:t>
            </w:r>
          </w:p>
        </w:tc>
        <w:tc>
          <w:tcPr>
            <w:tcW w:w="1380" w:type="dxa"/>
            <w:tcBorders>
              <w:top w:val="nil"/>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 (5%)</w:t>
            </w:r>
          </w:p>
        </w:tc>
        <w:tc>
          <w:tcPr>
            <w:tcW w:w="620" w:type="dxa"/>
            <w:tcBorders>
              <w:top w:val="nil"/>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p>
        </w:tc>
        <w:tc>
          <w:tcPr>
            <w:tcW w:w="940" w:type="dxa"/>
            <w:tcBorders>
              <w:top w:val="nil"/>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Hepatocyte</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growth</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(HGF)</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72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08-10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79)</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61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51-8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36)</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49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w:t>
            </w:r>
            <w:r w:rsidRPr="00DD5E67">
              <w:rPr>
                <w:rFonts w:ascii="Times New Roman" w:eastAsia="Times New Roman" w:hAnsi="Times New Roman" w:cs="Times New Roman"/>
                <w:color w:val="000000"/>
                <w:sz w:val="16"/>
                <w:szCs w:val="16"/>
                <w:lang w:val="nb-NO" w:eastAsia="nb-NO"/>
              </w:rPr>
              <w:t>01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Tumor </w:t>
            </w:r>
            <w:proofErr w:type="spellStart"/>
            <w:r w:rsidRPr="00DD5E67">
              <w:rPr>
                <w:rFonts w:ascii="Times New Roman" w:eastAsia="Times New Roman" w:hAnsi="Times New Roman" w:cs="Times New Roman"/>
                <w:color w:val="11161D"/>
                <w:sz w:val="16"/>
                <w:szCs w:val="16"/>
                <w:lang w:val="nb-NO" w:eastAsia="nb-NO"/>
              </w:rPr>
              <w:t>necrosis</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(TNF)</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43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26-4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15)</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 (0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99-2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88)</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15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85"/>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Tumor necrosis factor receptor superfamily member 9 (TNFRSF9)</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13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43-9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50)</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82 (5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95-7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66)</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06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7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TNF-related activation-induced cytokine (TRANCE)</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42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94-6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80)</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78 (3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59-6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27)</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45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25"/>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Interleukin-15 receptor subunit alpha (IL-15RA)</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81 (0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92-2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84)</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13 (0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92-1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73)</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92 (8%)</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SIR2-like protein 2 (SIRT2)</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90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81-10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56)</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81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81-4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97)</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81 (22%)</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Axin-1 (AXIN1)</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23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51-9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39)</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52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51-3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95)</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51 (8%)</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85"/>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Eukaryotic translation initiation factor 4E-binding protein 1 (4E-BP1)</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54 (3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83-11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01)</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59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59-8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92)</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71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Interferon gamma (IFN-gamma)</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65 (5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43-11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50)</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02 (5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39-10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21)</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35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CD40L </w:t>
            </w:r>
            <w:proofErr w:type="spellStart"/>
            <w:r w:rsidRPr="00DD5E67">
              <w:rPr>
                <w:rFonts w:ascii="Times New Roman" w:eastAsia="Times New Roman" w:hAnsi="Times New Roman" w:cs="Times New Roman"/>
                <w:color w:val="11161D"/>
                <w:sz w:val="16"/>
                <w:szCs w:val="16"/>
                <w:lang w:val="nb-NO" w:eastAsia="nb-NO"/>
              </w:rPr>
              <w:t>receptor</w:t>
            </w:r>
            <w:proofErr w:type="spellEnd"/>
            <w:r w:rsidRPr="00DD5E67">
              <w:rPr>
                <w:rFonts w:ascii="Times New Roman" w:eastAsia="Times New Roman" w:hAnsi="Times New Roman" w:cs="Times New Roman"/>
                <w:color w:val="11161D"/>
                <w:sz w:val="16"/>
                <w:szCs w:val="16"/>
                <w:lang w:val="nb-NO" w:eastAsia="nb-NO"/>
              </w:rPr>
              <w:t xml:space="preserve"> (CD40)</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24 (11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09-14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09)</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39 (10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30-12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15)</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21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55"/>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T-cell surface glycoprotein CD5 (CD5)</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32 (5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28-8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43)</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63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67-6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09)</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88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Fibroblast Growth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23 (FGF-23)</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78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36-3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34)</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38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36-2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28)</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36 (28%)</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7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Interleukin-10 receptor subunit beta (IL-10RB)</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 (5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21-7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62)</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54 (5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60-7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31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Interleukin-12 </w:t>
            </w:r>
            <w:proofErr w:type="spellStart"/>
            <w:r w:rsidRPr="00DD5E67">
              <w:rPr>
                <w:rFonts w:ascii="Times New Roman" w:eastAsia="Times New Roman" w:hAnsi="Times New Roman" w:cs="Times New Roman"/>
                <w:color w:val="11161D"/>
                <w:sz w:val="16"/>
                <w:szCs w:val="16"/>
                <w:lang w:val="nb-NO" w:eastAsia="nb-NO"/>
              </w:rPr>
              <w:t>subunit</w:t>
            </w:r>
            <w:proofErr w:type="spellEnd"/>
            <w:r w:rsidRPr="00DD5E67">
              <w:rPr>
                <w:rFonts w:ascii="Times New Roman" w:eastAsia="Times New Roman" w:hAnsi="Times New Roman" w:cs="Times New Roman"/>
                <w:color w:val="11161D"/>
                <w:sz w:val="16"/>
                <w:szCs w:val="16"/>
                <w:lang w:val="nb-NO" w:eastAsia="nb-NO"/>
              </w:rPr>
              <w:t xml:space="preserve"> beta (IL-12B)</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16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63-8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81)</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04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73-7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31)</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07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Interleukin-17A (IL-17A)</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01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55-3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39)</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55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55-3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69)</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55 (29%)</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Caspase-8 (CASP-8)</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 (3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46-11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04)</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74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34-6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27)</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98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STAM-binding protein (STAMBP)</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38 (3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51-10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25)</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21 (3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08-5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68)</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61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C-C motif chemokine 19 (CCL19)</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14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39-12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15)</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14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04-12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33)</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53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85"/>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Latency-associated peptide transforming growth factor beta-1 (LAP TGF-beta-1)</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57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30-9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02)</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17 (5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11-7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41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25"/>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Vascular endothelial growth factor A (VEGF-A)</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94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88-13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20)</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59 (9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48-11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51)</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20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55"/>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Natural killer cell receptor 2B4 (CD244)</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40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77-9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06)</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11 (5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42-6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63)</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58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Osteoprotegerin</w:t>
            </w:r>
            <w:proofErr w:type="spellEnd"/>
            <w:r w:rsidRPr="00DD5E67">
              <w:rPr>
                <w:rFonts w:ascii="Times New Roman" w:eastAsia="Times New Roman" w:hAnsi="Times New Roman" w:cs="Times New Roman"/>
                <w:color w:val="11161D"/>
                <w:sz w:val="16"/>
                <w:szCs w:val="16"/>
                <w:lang w:val="nb-NO" w:eastAsia="nb-NO"/>
              </w:rPr>
              <w:t xml:space="preserve"> (OPG)</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29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38-11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02)</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80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90-10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65)</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35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Interleukin-6 (IL6)</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65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73-6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41)</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66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62-3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95)</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62 (18%)</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CUB domain-containing protein 1 (CDCP1)</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31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16-4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64)</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44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20-3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97)</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55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C-C motif chemokine 3 (CCL3)</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32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72-7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80)</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59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44-7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48)</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52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C-C motif chemokine 4 (CCL4)</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79 (5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28-9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24)</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10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72-10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30)</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72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Interleukin-18 (IL18)</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13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08-11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13)</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48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38-9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58)</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05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Interleukin-18 </w:t>
            </w:r>
            <w:proofErr w:type="spellStart"/>
            <w:r w:rsidRPr="00DD5E67">
              <w:rPr>
                <w:rFonts w:ascii="Times New Roman" w:eastAsia="Times New Roman" w:hAnsi="Times New Roman" w:cs="Times New Roman"/>
                <w:color w:val="11161D"/>
                <w:sz w:val="16"/>
                <w:szCs w:val="16"/>
                <w:lang w:val="nb-NO" w:eastAsia="nb-NO"/>
              </w:rPr>
              <w:t>receptor</w:t>
            </w:r>
            <w:proofErr w:type="spellEnd"/>
            <w:r w:rsidRPr="00DD5E67">
              <w:rPr>
                <w:rFonts w:ascii="Times New Roman" w:eastAsia="Times New Roman" w:hAnsi="Times New Roman" w:cs="Times New Roman"/>
                <w:color w:val="11161D"/>
                <w:sz w:val="16"/>
                <w:szCs w:val="16"/>
                <w:lang w:val="nb-NO" w:eastAsia="nb-NO"/>
              </w:rPr>
              <w:t xml:space="preserve"> 1 (IL-18R1)</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27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34-10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35)</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43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04-9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10)</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79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Neurotrophin-3 (NT-3)</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97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89-5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74)</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85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85-5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43)</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85 (23%)</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Interleukin-7 (IL7)</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09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42)</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32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83)</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 (17%)</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Programmed cell death 1 ligand 1 (PD-L1)</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02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13-7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55)</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36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03-6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77)</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08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Sulfotransferase</w:t>
            </w:r>
            <w:proofErr w:type="spellEnd"/>
            <w:r w:rsidRPr="00DD5E67">
              <w:rPr>
                <w:rFonts w:ascii="Times New Roman" w:eastAsia="Times New Roman" w:hAnsi="Times New Roman" w:cs="Times New Roman"/>
                <w:color w:val="11161D"/>
                <w:sz w:val="16"/>
                <w:szCs w:val="16"/>
                <w:lang w:val="nb-NO" w:eastAsia="nb-NO"/>
              </w:rPr>
              <w:t xml:space="preserve"> 1A1 (ST1A1)</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98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28-8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48)</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35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11-5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90)</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11 (9%)</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25"/>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Urokinase</w:t>
            </w:r>
            <w:proofErr w:type="spellEnd"/>
            <w:r w:rsidRPr="00DD5E67">
              <w:rPr>
                <w:rFonts w:ascii="Times New Roman" w:eastAsia="Times New Roman" w:hAnsi="Times New Roman" w:cs="Times New Roman"/>
                <w:color w:val="11161D"/>
                <w:sz w:val="16"/>
                <w:szCs w:val="16"/>
                <w:lang w:val="nb-NO" w:eastAsia="nb-NO"/>
              </w:rPr>
              <w:t xml:space="preserve">-type </w:t>
            </w:r>
            <w:proofErr w:type="spellStart"/>
            <w:r w:rsidRPr="00DD5E67">
              <w:rPr>
                <w:rFonts w:ascii="Times New Roman" w:eastAsia="Times New Roman" w:hAnsi="Times New Roman" w:cs="Times New Roman"/>
                <w:color w:val="11161D"/>
                <w:sz w:val="16"/>
                <w:szCs w:val="16"/>
                <w:lang w:val="nb-NO" w:eastAsia="nb-NO"/>
              </w:rPr>
              <w:t>plasminogen</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activator</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uPA</w:t>
            </w:r>
            <w:proofErr w:type="spellEnd"/>
            <w:r w:rsidRPr="00DD5E67">
              <w:rPr>
                <w:rFonts w:ascii="Times New Roman" w:eastAsia="Times New Roman" w:hAnsi="Times New Roman" w:cs="Times New Roman"/>
                <w:color w:val="11161D"/>
                <w:sz w:val="16"/>
                <w:szCs w:val="16"/>
                <w:lang w:val="nb-NO" w:eastAsia="nb-NO"/>
              </w:rPr>
              <w:t>)</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21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67-10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93)</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93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97-10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83)</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59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C-C motif chemokine 23 (CCL23)</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81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62-11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54)</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51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71-11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45)</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28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DC0D9A"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60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Signaling lymphocytic activation molecule (SLAMF1)</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41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80-3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40)</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80-3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25)</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80 (8%)</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w:t>
            </w:r>
            <w:r w:rsidR="00C60527"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Tumor necrosis factor (Ligand) superfamily, member 12 (TWEAK)</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88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48-10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09)</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62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67-9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58)</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79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w:t>
            </w:r>
            <w:r w:rsidR="00C60527" w:rsidRPr="00DD5E67">
              <w:rPr>
                <w:rFonts w:ascii="Times New Roman" w:eastAsia="Times New Roman" w:hAnsi="Times New Roman" w:cs="Times New Roman"/>
                <w:color w:val="000000"/>
                <w:sz w:val="16"/>
                <w:szCs w:val="16"/>
                <w:lang w:val="nb-NO" w:eastAsia="nb-NO"/>
              </w:rPr>
              <w:t>2</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C-X-C motif chemokine 10 (CXCL10)</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96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10-12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10)</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34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70-11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79)</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47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C-C motif chemokine 20 (CCL20)</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82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43-13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87)</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39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12-10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79)</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19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Stem </w:t>
            </w:r>
            <w:proofErr w:type="spellStart"/>
            <w:r w:rsidRPr="00DD5E67">
              <w:rPr>
                <w:rFonts w:ascii="Times New Roman" w:eastAsia="Times New Roman" w:hAnsi="Times New Roman" w:cs="Times New Roman"/>
                <w:color w:val="11161D"/>
                <w:sz w:val="16"/>
                <w:szCs w:val="16"/>
                <w:lang w:val="nb-NO" w:eastAsia="nb-NO"/>
              </w:rPr>
              <w:t>cell</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(SCF)</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68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74-10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59)</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46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36-10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26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w:t>
            </w:r>
            <w:r w:rsidR="00C60527"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1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 cell surface glycoprotein CD6 isoform (CD6)</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63 (5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31-8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37)</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45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80-7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46)</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09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w:t>
            </w:r>
            <w:r w:rsidR="00C60527" w:rsidRPr="00DD5E67">
              <w:rPr>
                <w:rFonts w:ascii="Times New Roman" w:eastAsia="Times New Roman" w:hAnsi="Times New Roman" w:cs="Times New Roman"/>
                <w:color w:val="000000"/>
                <w:sz w:val="16"/>
                <w:szCs w:val="16"/>
                <w:lang w:val="nb-NO" w:eastAsia="nb-NO"/>
              </w:rPr>
              <w:t>2</w:t>
            </w:r>
          </w:p>
        </w:tc>
      </w:tr>
      <w:tr w:rsidR="00205571" w:rsidRPr="00205571" w:rsidTr="00205571">
        <w:trPr>
          <w:trHeight w:val="5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Tumor necrosis factor ligand superfamily member 14 (TNFSF14)</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52 (3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68-9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53)</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19 (3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65-6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54)</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90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w:t>
            </w:r>
            <w:r w:rsidR="00C60527" w:rsidRPr="00DD5E67">
              <w:rPr>
                <w:rFonts w:ascii="Times New Roman" w:eastAsia="Times New Roman" w:hAnsi="Times New Roman" w:cs="Times New Roman"/>
                <w:color w:val="000000"/>
                <w:sz w:val="16"/>
                <w:szCs w:val="16"/>
                <w:lang w:val="nb-NO" w:eastAsia="nb-NO"/>
              </w:rPr>
              <w:t>2</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Fractalkine</w:t>
            </w:r>
            <w:proofErr w:type="spellEnd"/>
            <w:r w:rsidRPr="00DD5E67">
              <w:rPr>
                <w:rFonts w:ascii="Times New Roman" w:eastAsia="Times New Roman" w:hAnsi="Times New Roman" w:cs="Times New Roman"/>
                <w:color w:val="11161D"/>
                <w:sz w:val="16"/>
                <w:szCs w:val="16"/>
                <w:lang w:val="nb-NO" w:eastAsia="nb-NO"/>
              </w:rPr>
              <w:t xml:space="preserve"> (CX3CL1)</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67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99-6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37 (3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26-5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40)</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54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TNF-related apoptosis-inducing ligand (TRAIL)</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95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66-8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95)</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78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06-8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41)</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14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005</w:t>
            </w:r>
          </w:p>
        </w:tc>
      </w:tr>
      <w:tr w:rsidR="00205571" w:rsidRPr="00205571" w:rsidTr="00205571">
        <w:trPr>
          <w:trHeight w:val="615"/>
        </w:trPr>
        <w:tc>
          <w:tcPr>
            <w:tcW w:w="3080" w:type="dxa"/>
            <w:tcBorders>
              <w:top w:val="single" w:sz="4" w:space="0" w:color="auto"/>
              <w:left w:val="single" w:sz="8" w:space="0" w:color="auto"/>
              <w:bottom w:val="nil"/>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Fms-related</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tyrosine</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kinase</w:t>
            </w:r>
            <w:proofErr w:type="spellEnd"/>
            <w:r w:rsidRPr="00DD5E67">
              <w:rPr>
                <w:rFonts w:ascii="Times New Roman" w:eastAsia="Times New Roman" w:hAnsi="Times New Roman" w:cs="Times New Roman"/>
                <w:color w:val="11161D"/>
                <w:sz w:val="16"/>
                <w:szCs w:val="16"/>
                <w:lang w:val="nb-NO" w:eastAsia="nb-NO"/>
              </w:rPr>
              <w:t xml:space="preserve"> 3 ligand (Flt3L)</w:t>
            </w:r>
          </w:p>
        </w:tc>
        <w:tc>
          <w:tcPr>
            <w:tcW w:w="1900" w:type="dxa"/>
            <w:tcBorders>
              <w:top w:val="single" w:sz="4" w:space="0" w:color="auto"/>
              <w:left w:val="single" w:sz="4" w:space="0" w:color="auto"/>
              <w:bottom w:val="nil"/>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80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02-11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04)</w:t>
            </w:r>
          </w:p>
        </w:tc>
        <w:tc>
          <w:tcPr>
            <w:tcW w:w="1900" w:type="dxa"/>
            <w:tcBorders>
              <w:top w:val="single" w:sz="4" w:space="0" w:color="auto"/>
              <w:left w:val="single" w:sz="4" w:space="0" w:color="auto"/>
              <w:bottom w:val="nil"/>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61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37-10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49)</w:t>
            </w:r>
          </w:p>
        </w:tc>
        <w:tc>
          <w:tcPr>
            <w:tcW w:w="1380" w:type="dxa"/>
            <w:tcBorders>
              <w:top w:val="single" w:sz="4" w:space="0" w:color="auto"/>
              <w:left w:val="single" w:sz="4" w:space="0" w:color="auto"/>
              <w:bottom w:val="nil"/>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28 (0%)</w:t>
            </w:r>
          </w:p>
        </w:tc>
        <w:tc>
          <w:tcPr>
            <w:tcW w:w="620" w:type="dxa"/>
            <w:tcBorders>
              <w:top w:val="single" w:sz="4" w:space="0" w:color="auto"/>
              <w:left w:val="single" w:sz="4" w:space="0" w:color="auto"/>
              <w:bottom w:val="nil"/>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nil"/>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01</w:t>
            </w:r>
          </w:p>
        </w:tc>
      </w:tr>
      <w:tr w:rsidR="00205571" w:rsidRPr="00205571" w:rsidTr="00205571">
        <w:trPr>
          <w:trHeight w:val="615"/>
        </w:trPr>
        <w:tc>
          <w:tcPr>
            <w:tcW w:w="3080" w:type="dxa"/>
            <w:tcBorders>
              <w:top w:val="single" w:sz="8" w:space="0" w:color="auto"/>
              <w:left w:val="single" w:sz="8" w:space="0" w:color="auto"/>
              <w:bottom w:val="single" w:sz="8" w:space="0" w:color="auto"/>
              <w:right w:val="nil"/>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b/>
                <w:color w:val="11161D"/>
                <w:sz w:val="16"/>
                <w:szCs w:val="16"/>
                <w:lang w:val="nb-NO" w:eastAsia="nb-NO"/>
              </w:rPr>
            </w:pPr>
            <w:proofErr w:type="spellStart"/>
            <w:r w:rsidRPr="00DD5E67">
              <w:rPr>
                <w:rFonts w:ascii="Times New Roman" w:eastAsia="Times New Roman" w:hAnsi="Times New Roman" w:cs="Times New Roman"/>
                <w:b/>
                <w:color w:val="11161D"/>
                <w:sz w:val="16"/>
                <w:szCs w:val="16"/>
                <w:lang w:val="nb-NO" w:eastAsia="nb-NO"/>
              </w:rPr>
              <w:t>Decreased</w:t>
            </w:r>
            <w:proofErr w:type="spellEnd"/>
          </w:p>
        </w:tc>
        <w:tc>
          <w:tcPr>
            <w:tcW w:w="1900" w:type="dxa"/>
            <w:tcBorders>
              <w:top w:val="single" w:sz="8" w:space="0" w:color="auto"/>
              <w:left w:val="nil"/>
              <w:bottom w:val="single" w:sz="8" w:space="0" w:color="auto"/>
              <w:right w:val="nil"/>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 </w:t>
            </w:r>
          </w:p>
        </w:tc>
        <w:tc>
          <w:tcPr>
            <w:tcW w:w="1900" w:type="dxa"/>
            <w:tcBorders>
              <w:top w:val="single" w:sz="8" w:space="0" w:color="auto"/>
              <w:left w:val="nil"/>
              <w:bottom w:val="single" w:sz="8" w:space="0" w:color="auto"/>
              <w:right w:val="nil"/>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 </w:t>
            </w:r>
          </w:p>
        </w:tc>
        <w:tc>
          <w:tcPr>
            <w:tcW w:w="1380" w:type="dxa"/>
            <w:tcBorders>
              <w:top w:val="single" w:sz="8" w:space="0" w:color="auto"/>
              <w:left w:val="nil"/>
              <w:bottom w:val="single" w:sz="8" w:space="0" w:color="auto"/>
              <w:right w:val="nil"/>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 </w:t>
            </w:r>
          </w:p>
        </w:tc>
        <w:tc>
          <w:tcPr>
            <w:tcW w:w="620" w:type="dxa"/>
            <w:tcBorders>
              <w:top w:val="single" w:sz="8" w:space="0" w:color="auto"/>
              <w:left w:val="nil"/>
              <w:bottom w:val="single" w:sz="8" w:space="0" w:color="auto"/>
              <w:right w:val="nil"/>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 </w:t>
            </w:r>
          </w:p>
        </w:tc>
        <w:tc>
          <w:tcPr>
            <w:tcW w:w="940" w:type="dxa"/>
            <w:tcBorders>
              <w:top w:val="single" w:sz="8" w:space="0" w:color="auto"/>
              <w:left w:val="nil"/>
              <w:bottom w:val="single" w:sz="8" w:space="0" w:color="auto"/>
              <w:right w:val="single" w:sz="8"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 </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C-X-C motif chemokine 11 (CXCL11)</w:t>
            </w:r>
          </w:p>
        </w:tc>
        <w:tc>
          <w:tcPr>
            <w:tcW w:w="1900" w:type="dxa"/>
            <w:tcBorders>
              <w:top w:val="nil"/>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23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91-9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88)</w:t>
            </w:r>
          </w:p>
        </w:tc>
        <w:tc>
          <w:tcPr>
            <w:tcW w:w="1900" w:type="dxa"/>
            <w:tcBorders>
              <w:top w:val="nil"/>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88 (9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79-1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,14)</w:t>
            </w:r>
          </w:p>
        </w:tc>
        <w:tc>
          <w:tcPr>
            <w:tcW w:w="1380" w:type="dxa"/>
            <w:tcBorders>
              <w:top w:val="nil"/>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53 (0%)</w:t>
            </w:r>
          </w:p>
        </w:tc>
        <w:tc>
          <w:tcPr>
            <w:tcW w:w="620" w:type="dxa"/>
            <w:tcBorders>
              <w:top w:val="nil"/>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p>
        </w:tc>
        <w:tc>
          <w:tcPr>
            <w:tcW w:w="940" w:type="dxa"/>
            <w:tcBorders>
              <w:top w:val="nil"/>
              <w:left w:val="single" w:sz="4" w:space="0" w:color="auto"/>
              <w:bottom w:val="single" w:sz="4" w:space="0" w:color="auto"/>
              <w:right w:val="single" w:sz="8" w:space="0" w:color="auto"/>
            </w:tcBorders>
            <w:shd w:val="clear" w:color="000000" w:fill="E7E6E6"/>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Eotaxin</w:t>
            </w:r>
            <w:proofErr w:type="spellEnd"/>
            <w:r w:rsidRPr="00DD5E67">
              <w:rPr>
                <w:rFonts w:ascii="Times New Roman" w:eastAsia="Times New Roman" w:hAnsi="Times New Roman" w:cs="Times New Roman"/>
                <w:color w:val="11161D"/>
                <w:sz w:val="16"/>
                <w:szCs w:val="16"/>
                <w:lang w:val="nb-NO" w:eastAsia="nb-NO"/>
              </w:rPr>
              <w:t xml:space="preserve"> (CCL11)</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65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14-9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40)</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16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54-10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21)</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76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Monocyte</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chemotactic</w:t>
            </w:r>
            <w:proofErr w:type="spellEnd"/>
            <w:r w:rsidRPr="00DD5E67">
              <w:rPr>
                <w:rFonts w:ascii="Times New Roman" w:eastAsia="Times New Roman" w:hAnsi="Times New Roman" w:cs="Times New Roman"/>
                <w:color w:val="11161D"/>
                <w:sz w:val="16"/>
                <w:szCs w:val="16"/>
                <w:lang w:val="nb-NO" w:eastAsia="nb-NO"/>
              </w:rPr>
              <w:t xml:space="preserve"> protein 3 (MCP-3)</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89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53-4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58)</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20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09-4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44)</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53 (16%)</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Monocyte</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chemotactic</w:t>
            </w:r>
            <w:proofErr w:type="spellEnd"/>
            <w:r w:rsidRPr="00DD5E67">
              <w:rPr>
                <w:rFonts w:ascii="Times New Roman" w:eastAsia="Times New Roman" w:hAnsi="Times New Roman" w:cs="Times New Roman"/>
                <w:color w:val="11161D"/>
                <w:sz w:val="16"/>
                <w:szCs w:val="16"/>
                <w:lang w:val="nb-NO" w:eastAsia="nb-NO"/>
              </w:rPr>
              <w:t xml:space="preserve"> protein 4 (MCP-4)</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75 (11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79-16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65)</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76 (15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22-18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31)</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49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Protein S100-A12 (EN-RAGE)</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83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82-5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98)</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10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46-6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42)</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44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C-X-C motif chemokine 6 (CXCL6)</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68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29-11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74)</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96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73-11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56)</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04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Matrix metalloproteinase-1 (MMP-1)</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16 (10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03-15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97 (11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25-15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86)</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38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Interleukin-17C (IL-17C)</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69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50-3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13)</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31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50-5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50 (17%)</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 xml:space="preserve">Fibroblast Growth </w:t>
            </w:r>
            <w:proofErr w:type="spellStart"/>
            <w:r w:rsidRPr="00DD5E67">
              <w:rPr>
                <w:rFonts w:ascii="Times New Roman" w:eastAsia="Times New Roman" w:hAnsi="Times New Roman" w:cs="Times New Roman"/>
                <w:color w:val="11161D"/>
                <w:sz w:val="16"/>
                <w:szCs w:val="16"/>
                <w:lang w:val="nb-NO" w:eastAsia="nb-NO"/>
              </w:rPr>
              <w:t>factor</w:t>
            </w:r>
            <w:proofErr w:type="spellEnd"/>
            <w:r w:rsidRPr="00DD5E67">
              <w:rPr>
                <w:rFonts w:ascii="Times New Roman" w:eastAsia="Times New Roman" w:hAnsi="Times New Roman" w:cs="Times New Roman"/>
                <w:color w:val="11161D"/>
                <w:sz w:val="16"/>
                <w:szCs w:val="16"/>
                <w:lang w:val="nb-NO" w:eastAsia="nb-NO"/>
              </w:rPr>
              <w:t xml:space="preserve"> 19 (FGF-19)</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27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89-10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61)</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41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83-11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45)</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86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70"/>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proofErr w:type="spellStart"/>
            <w:r w:rsidRPr="00DD5E67">
              <w:rPr>
                <w:rFonts w:ascii="Times New Roman" w:eastAsia="Times New Roman" w:hAnsi="Times New Roman" w:cs="Times New Roman"/>
                <w:color w:val="11161D"/>
                <w:sz w:val="16"/>
                <w:szCs w:val="16"/>
                <w:lang w:val="nb-NO" w:eastAsia="nb-NO"/>
              </w:rPr>
              <w:t>Monocyte</w:t>
            </w:r>
            <w:proofErr w:type="spellEnd"/>
            <w:r w:rsidRPr="00DD5E67">
              <w:rPr>
                <w:rFonts w:ascii="Times New Roman" w:eastAsia="Times New Roman" w:hAnsi="Times New Roman" w:cs="Times New Roman"/>
                <w:color w:val="11161D"/>
                <w:sz w:val="16"/>
                <w:szCs w:val="16"/>
                <w:lang w:val="nb-NO" w:eastAsia="nb-NO"/>
              </w:rPr>
              <w:t xml:space="preserve"> </w:t>
            </w:r>
            <w:proofErr w:type="spellStart"/>
            <w:r w:rsidRPr="00DD5E67">
              <w:rPr>
                <w:rFonts w:ascii="Times New Roman" w:eastAsia="Times New Roman" w:hAnsi="Times New Roman" w:cs="Times New Roman"/>
                <w:color w:val="11161D"/>
                <w:sz w:val="16"/>
                <w:szCs w:val="16"/>
                <w:lang w:val="nb-NO" w:eastAsia="nb-NO"/>
              </w:rPr>
              <w:t>chemotactic</w:t>
            </w:r>
            <w:proofErr w:type="spellEnd"/>
            <w:r w:rsidRPr="00DD5E67">
              <w:rPr>
                <w:rFonts w:ascii="Times New Roman" w:eastAsia="Times New Roman" w:hAnsi="Times New Roman" w:cs="Times New Roman"/>
                <w:color w:val="11161D"/>
                <w:sz w:val="16"/>
                <w:szCs w:val="16"/>
                <w:lang w:val="nb-NO" w:eastAsia="nb-NO"/>
              </w:rPr>
              <w:t xml:space="preserve"> protein 1 (MCP-1)</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60 (9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88-13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66)</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91 (10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80-12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73)</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41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C-C motif chemokine 25 (CCL-25)</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62 (3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19-7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26)</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91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98-7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31)</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28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C60527"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20557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205571"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555"/>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Delta and Notch-like epidermal growth factor-related receptor (DNER)</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38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34-10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11)</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53 (8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47-10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02)</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70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w:t>
            </w:r>
            <w:r w:rsidR="00C60527" w:rsidRPr="00DD5E67">
              <w:rPr>
                <w:rFonts w:ascii="Times New Roman" w:eastAsia="Times New Roman" w:hAnsi="Times New Roman" w:cs="Times New Roman"/>
                <w:color w:val="000000"/>
                <w:sz w:val="16"/>
                <w:szCs w:val="16"/>
                <w:lang w:val="nb-NO" w:eastAsia="nb-NO"/>
              </w:rPr>
              <w:t>2</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val="nb-NO" w:eastAsia="nb-NO"/>
              </w:rPr>
            </w:pPr>
            <w:r w:rsidRPr="00DD5E67">
              <w:rPr>
                <w:rFonts w:ascii="Times New Roman" w:eastAsia="Times New Roman" w:hAnsi="Times New Roman" w:cs="Times New Roman"/>
                <w:color w:val="11161D"/>
                <w:sz w:val="16"/>
                <w:szCs w:val="16"/>
                <w:lang w:val="nb-NO" w:eastAsia="nb-NO"/>
              </w:rPr>
              <w:t>Interleukin-8 (IL8)</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22 (3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51-9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02)</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46 (4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20-8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38)</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68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w:t>
            </w:r>
            <w:r w:rsidR="00C60527" w:rsidRPr="00DD5E67">
              <w:rPr>
                <w:rFonts w:ascii="Times New Roman" w:eastAsia="Times New Roman" w:hAnsi="Times New Roman" w:cs="Times New Roman"/>
                <w:color w:val="000000"/>
                <w:sz w:val="16"/>
                <w:szCs w:val="16"/>
                <w:lang w:val="nb-NO" w:eastAsia="nb-NO"/>
              </w:rPr>
              <w:t>2</w:t>
            </w:r>
          </w:p>
        </w:tc>
      </w:tr>
      <w:tr w:rsidR="00205571" w:rsidRPr="00205571" w:rsidTr="00205571">
        <w:trPr>
          <w:trHeight w:val="525"/>
        </w:trPr>
        <w:tc>
          <w:tcPr>
            <w:tcW w:w="3080" w:type="dxa"/>
            <w:tcBorders>
              <w:top w:val="nil"/>
              <w:left w:val="single" w:sz="8" w:space="0" w:color="auto"/>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11161D"/>
                <w:sz w:val="16"/>
                <w:szCs w:val="16"/>
                <w:lang w:eastAsia="nb-NO"/>
              </w:rPr>
            </w:pPr>
            <w:r w:rsidRPr="00DD5E67">
              <w:rPr>
                <w:rFonts w:ascii="Times New Roman" w:eastAsia="Times New Roman" w:hAnsi="Times New Roman" w:cs="Times New Roman"/>
                <w:color w:val="11161D"/>
                <w:sz w:val="16"/>
                <w:szCs w:val="16"/>
                <w:lang w:eastAsia="nb-NO"/>
              </w:rPr>
              <w:t>T-cell surface glycoprotein CD8 alpha chain (CD8A)</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26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88-11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05)</w:t>
            </w:r>
          </w:p>
        </w:tc>
        <w:tc>
          <w:tcPr>
            <w:tcW w:w="190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58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43-10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82)</w:t>
            </w:r>
          </w:p>
        </w:tc>
        <w:tc>
          <w:tcPr>
            <w:tcW w:w="138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65 (0%)</w:t>
            </w:r>
          </w:p>
        </w:tc>
        <w:tc>
          <w:tcPr>
            <w:tcW w:w="620" w:type="dxa"/>
            <w:tcBorders>
              <w:top w:val="nil"/>
              <w:left w:val="nil"/>
              <w:bottom w:val="single" w:sz="4"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p>
        </w:tc>
        <w:tc>
          <w:tcPr>
            <w:tcW w:w="940" w:type="dxa"/>
            <w:tcBorders>
              <w:top w:val="nil"/>
              <w:left w:val="nil"/>
              <w:bottom w:val="single" w:sz="4" w:space="0" w:color="auto"/>
              <w:right w:val="single" w:sz="8"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00</w:t>
            </w:r>
            <w:r w:rsidR="00C60527" w:rsidRPr="00DD5E67">
              <w:rPr>
                <w:rFonts w:ascii="Times New Roman" w:eastAsia="Times New Roman" w:hAnsi="Times New Roman" w:cs="Times New Roman"/>
                <w:color w:val="000000"/>
                <w:sz w:val="16"/>
                <w:szCs w:val="16"/>
                <w:lang w:val="nb-NO" w:eastAsia="nb-NO"/>
              </w:rPr>
              <w:t>1</w:t>
            </w:r>
          </w:p>
        </w:tc>
      </w:tr>
      <w:tr w:rsidR="00205571" w:rsidRPr="00205571" w:rsidTr="00205571">
        <w:trPr>
          <w:trHeight w:val="440"/>
        </w:trPr>
        <w:tc>
          <w:tcPr>
            <w:tcW w:w="3080" w:type="dxa"/>
            <w:tcBorders>
              <w:top w:val="single" w:sz="4" w:space="0" w:color="auto"/>
              <w:left w:val="single" w:sz="8"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Matrix metalloproteinase-10 (MMP10)</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76 (6</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91-10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52)</w:t>
            </w:r>
          </w:p>
        </w:tc>
        <w:tc>
          <w:tcPr>
            <w:tcW w:w="190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97 (7</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57-12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28)</w:t>
            </w:r>
          </w:p>
        </w:tc>
        <w:tc>
          <w:tcPr>
            <w:tcW w:w="138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46 (0%)</w:t>
            </w:r>
          </w:p>
        </w:tc>
        <w:tc>
          <w:tcPr>
            <w:tcW w:w="620" w:type="dxa"/>
            <w:tcBorders>
              <w:top w:val="single" w:sz="4" w:space="0" w:color="auto"/>
              <w:left w:val="single" w:sz="4" w:space="0" w:color="auto"/>
              <w:bottom w:val="single" w:sz="4" w:space="0" w:color="auto"/>
              <w:right w:val="single" w:sz="4"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p>
        </w:tc>
        <w:tc>
          <w:tcPr>
            <w:tcW w:w="940" w:type="dxa"/>
            <w:tcBorders>
              <w:top w:val="single" w:sz="4" w:space="0" w:color="auto"/>
              <w:left w:val="single" w:sz="4" w:space="0" w:color="auto"/>
              <w:bottom w:val="single" w:sz="4" w:space="0" w:color="auto"/>
              <w:right w:val="single" w:sz="8" w:space="0" w:color="auto"/>
            </w:tcBorders>
            <w:shd w:val="clear" w:color="000000" w:fill="E7E6E6"/>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02</w:t>
            </w:r>
          </w:p>
        </w:tc>
      </w:tr>
      <w:tr w:rsidR="00205571" w:rsidRPr="00205571" w:rsidTr="00205571">
        <w:trPr>
          <w:trHeight w:val="555"/>
        </w:trPr>
        <w:tc>
          <w:tcPr>
            <w:tcW w:w="3080" w:type="dxa"/>
            <w:tcBorders>
              <w:top w:val="nil"/>
              <w:left w:val="single" w:sz="8" w:space="0" w:color="auto"/>
              <w:bottom w:val="single" w:sz="8" w:space="0" w:color="auto"/>
              <w:right w:val="single" w:sz="4" w:space="0" w:color="auto"/>
            </w:tcBorders>
            <w:shd w:val="clear" w:color="auto" w:fill="auto"/>
            <w:vAlign w:val="center"/>
            <w:hideMark/>
          </w:tcPr>
          <w:p w:rsidR="00205571" w:rsidRPr="00DD5E67" w:rsidRDefault="00205571" w:rsidP="00205571">
            <w:pPr>
              <w:spacing w:after="0" w:line="240" w:lineRule="auto"/>
              <w:rPr>
                <w:rFonts w:ascii="Times New Roman" w:eastAsia="Times New Roman" w:hAnsi="Times New Roman" w:cs="Times New Roman"/>
                <w:color w:val="000000"/>
                <w:sz w:val="16"/>
                <w:szCs w:val="16"/>
                <w:lang w:eastAsia="nb-NO"/>
              </w:rPr>
            </w:pPr>
            <w:r w:rsidRPr="00DD5E67">
              <w:rPr>
                <w:rFonts w:ascii="Times New Roman" w:eastAsia="Times New Roman" w:hAnsi="Times New Roman" w:cs="Times New Roman"/>
                <w:color w:val="000000"/>
                <w:sz w:val="16"/>
                <w:szCs w:val="16"/>
                <w:lang w:eastAsia="nb-NO"/>
              </w:rPr>
              <w:t>Transforming growth factor alpha (TGF-</w:t>
            </w:r>
            <w:proofErr w:type="spellStart"/>
            <w:r w:rsidRPr="00DD5E67">
              <w:rPr>
                <w:rFonts w:ascii="Times New Roman" w:eastAsia="Times New Roman" w:hAnsi="Times New Roman" w:cs="Times New Roman"/>
                <w:color w:val="000000"/>
                <w:sz w:val="16"/>
                <w:szCs w:val="16"/>
                <w:lang w:eastAsia="nb-NO"/>
              </w:rPr>
              <w:t>alfa</w:t>
            </w:r>
            <w:proofErr w:type="spellEnd"/>
            <w:r w:rsidRPr="00DD5E67">
              <w:rPr>
                <w:rFonts w:ascii="Times New Roman" w:eastAsia="Times New Roman" w:hAnsi="Times New Roman" w:cs="Times New Roman"/>
                <w:color w:val="000000"/>
                <w:sz w:val="16"/>
                <w:szCs w:val="16"/>
                <w:lang w:eastAsia="nb-NO"/>
              </w:rPr>
              <w:t>)</w:t>
            </w:r>
          </w:p>
        </w:tc>
        <w:tc>
          <w:tcPr>
            <w:tcW w:w="1900" w:type="dxa"/>
            <w:tcBorders>
              <w:top w:val="nil"/>
              <w:left w:val="nil"/>
              <w:bottom w:val="single" w:sz="8"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88 (1</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74-4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61)</w:t>
            </w:r>
          </w:p>
        </w:tc>
        <w:tc>
          <w:tcPr>
            <w:tcW w:w="1900" w:type="dxa"/>
            <w:tcBorders>
              <w:top w:val="nil"/>
              <w:left w:val="nil"/>
              <w:bottom w:val="single" w:sz="8"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07 (2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13-4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03)</w:t>
            </w:r>
          </w:p>
        </w:tc>
        <w:tc>
          <w:tcPr>
            <w:tcW w:w="1380" w:type="dxa"/>
            <w:tcBorders>
              <w:top w:val="nil"/>
              <w:left w:val="nil"/>
              <w:bottom w:val="single" w:sz="8"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94 (0%)</w:t>
            </w:r>
          </w:p>
        </w:tc>
        <w:tc>
          <w:tcPr>
            <w:tcW w:w="620" w:type="dxa"/>
            <w:tcBorders>
              <w:top w:val="nil"/>
              <w:left w:val="nil"/>
              <w:bottom w:val="single" w:sz="8" w:space="0" w:color="auto"/>
              <w:right w:val="single" w:sz="4"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p>
        </w:tc>
        <w:tc>
          <w:tcPr>
            <w:tcW w:w="940" w:type="dxa"/>
            <w:tcBorders>
              <w:top w:val="nil"/>
              <w:left w:val="nil"/>
              <w:bottom w:val="single" w:sz="8" w:space="0" w:color="auto"/>
              <w:right w:val="single" w:sz="8" w:space="0" w:color="auto"/>
            </w:tcBorders>
            <w:shd w:val="clear" w:color="auto" w:fill="auto"/>
            <w:vAlign w:val="center"/>
            <w:hideMark/>
          </w:tcPr>
          <w:p w:rsidR="00205571" w:rsidRPr="00DD5E67" w:rsidRDefault="00205571" w:rsidP="00205571">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w:t>
            </w:r>
            <w:r w:rsidR="00C60527" w:rsidRPr="00DD5E67">
              <w:rPr>
                <w:rFonts w:ascii="Times New Roman" w:eastAsia="Times New Roman" w:hAnsi="Times New Roman" w:cs="Times New Roman"/>
                <w:color w:val="000000"/>
                <w:sz w:val="16"/>
                <w:szCs w:val="16"/>
                <w:lang w:val="nb-NO" w:eastAsia="nb-NO"/>
              </w:rPr>
              <w:t>5</w:t>
            </w:r>
          </w:p>
        </w:tc>
      </w:tr>
    </w:tbl>
    <w:p w:rsidR="00205571" w:rsidRDefault="00205571" w:rsidP="009B62BA">
      <w:pPr>
        <w:spacing w:line="480" w:lineRule="auto"/>
        <w:rPr>
          <w:rFonts w:ascii="Times New Roman" w:hAnsi="Times New Roman" w:cs="Times New Roman"/>
          <w:sz w:val="24"/>
          <w:szCs w:val="24"/>
        </w:rPr>
      </w:pPr>
    </w:p>
    <w:p w:rsidR="00EA6F3B" w:rsidRDefault="00EA6F3B" w:rsidP="009B62BA">
      <w:pPr>
        <w:spacing w:line="480" w:lineRule="auto"/>
        <w:rPr>
          <w:rFonts w:ascii="Times New Roman" w:hAnsi="Times New Roman" w:cs="Times New Roman"/>
          <w:sz w:val="24"/>
          <w:szCs w:val="24"/>
        </w:rPr>
      </w:pPr>
    </w:p>
    <w:p w:rsidR="00EA6F3B" w:rsidRDefault="00EA6F3B" w:rsidP="009B62BA">
      <w:pPr>
        <w:spacing w:line="480" w:lineRule="auto"/>
        <w:rPr>
          <w:rFonts w:ascii="Times New Roman" w:hAnsi="Times New Roman" w:cs="Times New Roman"/>
          <w:sz w:val="24"/>
          <w:szCs w:val="24"/>
        </w:rPr>
      </w:pPr>
    </w:p>
    <w:p w:rsidR="00EA6F3B" w:rsidRDefault="00EA6F3B" w:rsidP="009B62BA">
      <w:pPr>
        <w:spacing w:line="480" w:lineRule="auto"/>
        <w:rPr>
          <w:rFonts w:ascii="Times New Roman" w:hAnsi="Times New Roman" w:cs="Times New Roman"/>
          <w:sz w:val="24"/>
          <w:szCs w:val="24"/>
        </w:rPr>
      </w:pPr>
    </w:p>
    <w:p w:rsidR="00EA6F3B" w:rsidRPr="0037180A" w:rsidRDefault="00EA6F3B" w:rsidP="009B62BA">
      <w:pPr>
        <w:spacing w:line="480" w:lineRule="auto"/>
        <w:rPr>
          <w:rFonts w:ascii="Times New Roman" w:hAnsi="Times New Roman" w:cs="Times New Roman"/>
          <w:sz w:val="24"/>
          <w:szCs w:val="24"/>
        </w:rPr>
      </w:pPr>
    </w:p>
    <w:p w:rsidR="005F10E6" w:rsidRDefault="005F10E6" w:rsidP="00991858">
      <w:pPr>
        <w:spacing w:line="480" w:lineRule="auto"/>
        <w:rPr>
          <w:rFonts w:ascii="Times New Roman" w:eastAsia="Helvetica Neue" w:hAnsi="Times New Roman" w:cs="Times New Roman"/>
          <w:b/>
          <w:sz w:val="24"/>
          <w:szCs w:val="24"/>
        </w:rPr>
      </w:pPr>
    </w:p>
    <w:p w:rsidR="002E7EAF" w:rsidRDefault="002E7EAF" w:rsidP="00991858">
      <w:pPr>
        <w:spacing w:line="480" w:lineRule="auto"/>
        <w:rPr>
          <w:rFonts w:ascii="Times New Roman" w:eastAsia="Helvetica Neue" w:hAnsi="Times New Roman" w:cs="Times New Roman"/>
          <w:b/>
          <w:sz w:val="24"/>
          <w:szCs w:val="24"/>
        </w:rPr>
      </w:pPr>
    </w:p>
    <w:p w:rsidR="002E7EAF" w:rsidRDefault="002E7EAF" w:rsidP="00991858">
      <w:pPr>
        <w:spacing w:line="480" w:lineRule="auto"/>
        <w:rPr>
          <w:rFonts w:ascii="Times New Roman" w:eastAsia="Helvetica Neue" w:hAnsi="Times New Roman" w:cs="Times New Roman"/>
          <w:b/>
          <w:sz w:val="24"/>
          <w:szCs w:val="24"/>
        </w:rPr>
      </w:pPr>
    </w:p>
    <w:p w:rsidR="002E7EAF" w:rsidRDefault="002E7EAF" w:rsidP="00991858">
      <w:pPr>
        <w:spacing w:line="480" w:lineRule="auto"/>
        <w:rPr>
          <w:rFonts w:ascii="Times New Roman" w:eastAsia="Helvetica Neue" w:hAnsi="Times New Roman" w:cs="Times New Roman"/>
          <w:b/>
          <w:sz w:val="24"/>
          <w:szCs w:val="24"/>
        </w:rPr>
      </w:pPr>
    </w:p>
    <w:p w:rsidR="00AF5092" w:rsidRPr="00DD5E67" w:rsidRDefault="00AF5092" w:rsidP="00991858">
      <w:pPr>
        <w:spacing w:line="480" w:lineRule="auto"/>
        <w:rPr>
          <w:rFonts w:ascii="Times New Roman" w:hAnsi="Times New Roman" w:cs="Times New Roman"/>
          <w:color w:val="232323"/>
          <w:sz w:val="20"/>
          <w:szCs w:val="20"/>
          <w:shd w:val="clear" w:color="auto" w:fill="FFFFFF"/>
        </w:rPr>
      </w:pPr>
      <w:r w:rsidRPr="00DD5E67">
        <w:rPr>
          <w:rFonts w:ascii="Times New Roman" w:eastAsia="Helvetica Neue" w:hAnsi="Times New Roman" w:cs="Times New Roman"/>
          <w:b/>
          <w:sz w:val="20"/>
          <w:szCs w:val="20"/>
        </w:rPr>
        <w:t xml:space="preserve">Table </w:t>
      </w:r>
      <w:r w:rsidR="00026543" w:rsidRPr="00DD5E67">
        <w:rPr>
          <w:rFonts w:ascii="Times New Roman" w:eastAsia="Helvetica Neue" w:hAnsi="Times New Roman" w:cs="Times New Roman"/>
          <w:b/>
          <w:sz w:val="20"/>
          <w:szCs w:val="20"/>
        </w:rPr>
        <w:t>S</w:t>
      </w:r>
      <w:r w:rsidR="00073511" w:rsidRPr="00DD5E67">
        <w:rPr>
          <w:rFonts w:ascii="Times New Roman" w:eastAsia="Helvetica Neue" w:hAnsi="Times New Roman" w:cs="Times New Roman"/>
          <w:b/>
          <w:sz w:val="20"/>
          <w:szCs w:val="20"/>
        </w:rPr>
        <w:t>5</w:t>
      </w:r>
      <w:r w:rsidRPr="00DD5E67">
        <w:rPr>
          <w:rFonts w:ascii="Times New Roman" w:eastAsia="Helvetica Neue" w:hAnsi="Times New Roman" w:cs="Times New Roman"/>
          <w:b/>
          <w:sz w:val="20"/>
          <w:szCs w:val="20"/>
        </w:rPr>
        <w:t>.</w:t>
      </w:r>
      <w:r w:rsidRPr="00DD5E67">
        <w:rPr>
          <w:rFonts w:ascii="Times New Roman" w:eastAsia="Helvetica Neue" w:hAnsi="Times New Roman" w:cs="Times New Roman"/>
          <w:sz w:val="20"/>
          <w:szCs w:val="20"/>
        </w:rPr>
        <w:t xml:space="preserve"> Frequency of positive autoantibodies to parietal cells, intrinsic factor and </w:t>
      </w:r>
      <w:r w:rsidRPr="00DD5E67">
        <w:rPr>
          <w:rFonts w:ascii="Times New Roman" w:hAnsi="Times New Roman" w:cs="Times New Roman"/>
          <w:color w:val="232323"/>
          <w:sz w:val="20"/>
          <w:szCs w:val="20"/>
          <w:shd w:val="clear" w:color="auto" w:fill="FFFFFF"/>
        </w:rPr>
        <w:t>tissue transglutaminase (</w:t>
      </w:r>
      <w:proofErr w:type="spellStart"/>
      <w:r w:rsidRPr="00DD5E67">
        <w:rPr>
          <w:rFonts w:ascii="Times New Roman" w:hAnsi="Times New Roman" w:cs="Times New Roman"/>
          <w:color w:val="232323"/>
          <w:sz w:val="20"/>
          <w:szCs w:val="20"/>
          <w:shd w:val="clear" w:color="auto" w:fill="FFFFFF"/>
        </w:rPr>
        <w:t>tTG</w:t>
      </w:r>
      <w:proofErr w:type="spellEnd"/>
      <w:r w:rsidRPr="00DD5E67">
        <w:rPr>
          <w:rFonts w:ascii="Times New Roman" w:hAnsi="Times New Roman" w:cs="Times New Roman"/>
          <w:color w:val="232323"/>
          <w:sz w:val="20"/>
          <w:szCs w:val="20"/>
          <w:shd w:val="clear" w:color="auto" w:fill="FFFFFF"/>
        </w:rPr>
        <w:t>)-IgA at time of the original study in 161/182 included patients. Numbers are also given for patients with and without B12-deficiency and celiac disease as of 2022. For three patients disease status was missing. Data are presented as n (%).</w:t>
      </w:r>
    </w:p>
    <w:p w:rsidR="00405223" w:rsidRPr="00663117" w:rsidRDefault="00405223" w:rsidP="00991858">
      <w:pPr>
        <w:spacing w:line="480" w:lineRule="auto"/>
      </w:pPr>
    </w:p>
    <w:tbl>
      <w:tblPr>
        <w:tblW w:w="9988" w:type="dxa"/>
        <w:tblLayout w:type="fixed"/>
        <w:tblCellMar>
          <w:left w:w="70" w:type="dxa"/>
          <w:right w:w="70" w:type="dxa"/>
        </w:tblCellMar>
        <w:tblLook w:val="04A0" w:firstRow="1" w:lastRow="0" w:firstColumn="1" w:lastColumn="0" w:noHBand="0" w:noVBand="1"/>
      </w:tblPr>
      <w:tblGrid>
        <w:gridCol w:w="2117"/>
        <w:gridCol w:w="1134"/>
        <w:gridCol w:w="1492"/>
        <w:gridCol w:w="1559"/>
        <w:gridCol w:w="1701"/>
        <w:gridCol w:w="1985"/>
      </w:tblGrid>
      <w:tr w:rsidR="00662AE2" w:rsidRPr="00405223" w:rsidTr="00662AE2">
        <w:trPr>
          <w:trHeight w:val="870"/>
        </w:trPr>
        <w:tc>
          <w:tcPr>
            <w:tcW w:w="2117" w:type="dxa"/>
            <w:tcBorders>
              <w:top w:val="single" w:sz="8" w:space="0" w:color="auto"/>
              <w:left w:val="single" w:sz="8" w:space="0" w:color="auto"/>
              <w:bottom w:val="single" w:sz="8" w:space="0" w:color="auto"/>
              <w:right w:val="single" w:sz="8" w:space="0" w:color="auto"/>
            </w:tcBorders>
            <w:shd w:val="clear" w:color="000000" w:fill="F2F2F2"/>
            <w:vAlign w:val="center"/>
            <w:hideMark/>
          </w:tcPr>
          <w:p w:rsidR="00405223" w:rsidRPr="00DD5E67" w:rsidRDefault="00405223" w:rsidP="00405223">
            <w:pPr>
              <w:spacing w:after="0" w:line="24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eastAsia="nb-NO"/>
              </w:rPr>
              <w:t>Autoantibodies</w:t>
            </w:r>
          </w:p>
        </w:tc>
        <w:tc>
          <w:tcPr>
            <w:tcW w:w="1134" w:type="dxa"/>
            <w:tcBorders>
              <w:top w:val="single" w:sz="8" w:space="0" w:color="auto"/>
              <w:left w:val="nil"/>
              <w:bottom w:val="single" w:sz="8" w:space="0" w:color="auto"/>
              <w:right w:val="single" w:sz="8" w:space="0" w:color="auto"/>
            </w:tcBorders>
            <w:shd w:val="clear" w:color="000000" w:fill="F2F2F2"/>
            <w:vAlign w:val="center"/>
            <w:hideMark/>
          </w:tcPr>
          <w:p w:rsidR="00405223" w:rsidRPr="00DD5E67" w:rsidRDefault="00405223" w:rsidP="00405223">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eastAsia="nb-NO"/>
              </w:rPr>
              <w:t>All patients</w:t>
            </w:r>
            <w:r w:rsidRPr="00DD5E67">
              <w:rPr>
                <w:rFonts w:ascii="Times New Roman" w:eastAsia="Times New Roman" w:hAnsi="Times New Roman" w:cs="Times New Roman"/>
                <w:b/>
                <w:bCs/>
                <w:color w:val="000000"/>
                <w:sz w:val="16"/>
                <w:szCs w:val="16"/>
                <w:lang w:eastAsia="nb-NO"/>
              </w:rPr>
              <w:br/>
              <w:t>(n = 161)</w:t>
            </w:r>
          </w:p>
        </w:tc>
        <w:tc>
          <w:tcPr>
            <w:tcW w:w="1492" w:type="dxa"/>
            <w:tcBorders>
              <w:top w:val="single" w:sz="8" w:space="0" w:color="auto"/>
              <w:left w:val="nil"/>
              <w:bottom w:val="single" w:sz="8" w:space="0" w:color="auto"/>
              <w:right w:val="single" w:sz="8" w:space="0" w:color="auto"/>
            </w:tcBorders>
            <w:shd w:val="clear" w:color="000000" w:fill="F2F2F2"/>
            <w:vAlign w:val="center"/>
            <w:hideMark/>
          </w:tcPr>
          <w:p w:rsidR="00405223" w:rsidRPr="00DD5E67" w:rsidRDefault="00662AE2" w:rsidP="00662AE2">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eastAsia="nb-NO"/>
              </w:rPr>
              <w:t>B12-deficienct</w:t>
            </w:r>
            <w:r w:rsidR="00405223" w:rsidRPr="00DD5E67">
              <w:rPr>
                <w:rFonts w:ascii="Times New Roman" w:eastAsia="Times New Roman" w:hAnsi="Times New Roman" w:cs="Times New Roman"/>
                <w:b/>
                <w:bCs/>
                <w:color w:val="000000"/>
                <w:sz w:val="16"/>
                <w:szCs w:val="16"/>
                <w:lang w:eastAsia="nb-NO"/>
              </w:rPr>
              <w:t xml:space="preserve"> </w:t>
            </w:r>
            <w:r w:rsidR="00405223" w:rsidRPr="00DD5E67">
              <w:rPr>
                <w:rFonts w:ascii="Times New Roman" w:eastAsia="Times New Roman" w:hAnsi="Times New Roman" w:cs="Times New Roman"/>
                <w:b/>
                <w:bCs/>
                <w:color w:val="000000"/>
                <w:sz w:val="16"/>
                <w:szCs w:val="16"/>
                <w:lang w:eastAsia="nb-NO"/>
              </w:rPr>
              <w:br/>
              <w:t>(n= 40)</w:t>
            </w:r>
          </w:p>
        </w:tc>
        <w:tc>
          <w:tcPr>
            <w:tcW w:w="1559" w:type="dxa"/>
            <w:tcBorders>
              <w:top w:val="single" w:sz="8" w:space="0" w:color="auto"/>
              <w:left w:val="nil"/>
              <w:bottom w:val="single" w:sz="8" w:space="0" w:color="auto"/>
              <w:right w:val="single" w:sz="8" w:space="0" w:color="auto"/>
            </w:tcBorders>
            <w:shd w:val="clear" w:color="000000" w:fill="F2F2F2"/>
            <w:vAlign w:val="center"/>
            <w:hideMark/>
          </w:tcPr>
          <w:p w:rsidR="00405223" w:rsidRPr="00DD5E67" w:rsidRDefault="00405223" w:rsidP="00405223">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eastAsia="nb-NO"/>
              </w:rPr>
              <w:t>B12-sufficient</w:t>
            </w:r>
            <w:r w:rsidRPr="00DD5E67">
              <w:rPr>
                <w:rFonts w:ascii="Times New Roman" w:eastAsia="Times New Roman" w:hAnsi="Times New Roman" w:cs="Times New Roman"/>
                <w:b/>
                <w:bCs/>
                <w:color w:val="000000"/>
                <w:sz w:val="16"/>
                <w:szCs w:val="16"/>
                <w:lang w:eastAsia="nb-NO"/>
              </w:rPr>
              <w:br/>
              <w:t>(n=118)</w:t>
            </w:r>
          </w:p>
        </w:tc>
        <w:tc>
          <w:tcPr>
            <w:tcW w:w="1701" w:type="dxa"/>
            <w:tcBorders>
              <w:top w:val="single" w:sz="8" w:space="0" w:color="auto"/>
              <w:left w:val="nil"/>
              <w:bottom w:val="single" w:sz="8" w:space="0" w:color="auto"/>
              <w:right w:val="single" w:sz="8" w:space="0" w:color="auto"/>
            </w:tcBorders>
            <w:shd w:val="clear" w:color="000000" w:fill="F2F2F2"/>
            <w:vAlign w:val="center"/>
            <w:hideMark/>
          </w:tcPr>
          <w:p w:rsidR="00405223" w:rsidRPr="00DD5E67" w:rsidRDefault="00662AE2" w:rsidP="00662AE2">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eastAsia="nb-NO"/>
              </w:rPr>
              <w:t>Celiac Disease</w:t>
            </w:r>
            <w:r w:rsidR="00405223" w:rsidRPr="00DD5E67">
              <w:rPr>
                <w:rFonts w:ascii="Times New Roman" w:eastAsia="Times New Roman" w:hAnsi="Times New Roman" w:cs="Times New Roman"/>
                <w:b/>
                <w:bCs/>
                <w:color w:val="000000"/>
                <w:sz w:val="16"/>
                <w:szCs w:val="16"/>
                <w:lang w:eastAsia="nb-NO"/>
              </w:rPr>
              <w:br/>
              <w:t>(n=6)</w:t>
            </w:r>
          </w:p>
        </w:tc>
        <w:tc>
          <w:tcPr>
            <w:tcW w:w="1985" w:type="dxa"/>
            <w:tcBorders>
              <w:top w:val="single" w:sz="8" w:space="0" w:color="auto"/>
              <w:left w:val="nil"/>
              <w:bottom w:val="single" w:sz="8" w:space="0" w:color="auto"/>
              <w:right w:val="single" w:sz="8" w:space="0" w:color="auto"/>
            </w:tcBorders>
            <w:shd w:val="clear" w:color="000000" w:fill="F2F2F2"/>
            <w:vAlign w:val="center"/>
            <w:hideMark/>
          </w:tcPr>
          <w:p w:rsidR="00405223" w:rsidRPr="00DD5E67" w:rsidRDefault="00405223" w:rsidP="00405223">
            <w:pPr>
              <w:spacing w:after="0" w:line="24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eastAsia="nb-NO"/>
              </w:rPr>
              <w:t>No Celiac Disease</w:t>
            </w:r>
            <w:r w:rsidRPr="00DD5E67">
              <w:rPr>
                <w:rFonts w:ascii="Times New Roman" w:eastAsia="Times New Roman" w:hAnsi="Times New Roman" w:cs="Times New Roman"/>
                <w:b/>
                <w:bCs/>
                <w:color w:val="000000"/>
                <w:sz w:val="16"/>
                <w:szCs w:val="16"/>
                <w:lang w:eastAsia="nb-NO"/>
              </w:rPr>
              <w:br/>
              <w:t>(n=152)</w:t>
            </w:r>
          </w:p>
        </w:tc>
      </w:tr>
      <w:tr w:rsidR="00662AE2" w:rsidRPr="00405223" w:rsidTr="00662AE2">
        <w:trPr>
          <w:trHeight w:val="495"/>
        </w:trPr>
        <w:tc>
          <w:tcPr>
            <w:tcW w:w="2117" w:type="dxa"/>
            <w:tcBorders>
              <w:top w:val="nil"/>
              <w:left w:val="single" w:sz="8" w:space="0" w:color="auto"/>
              <w:bottom w:val="nil"/>
              <w:right w:val="single" w:sz="8"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eastAsia="nb-NO"/>
              </w:rPr>
              <w:t>Parietal cells</w:t>
            </w:r>
          </w:p>
        </w:tc>
        <w:tc>
          <w:tcPr>
            <w:tcW w:w="1134" w:type="dxa"/>
            <w:tcBorders>
              <w:top w:val="nil"/>
              <w:left w:val="nil"/>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18 (11%)</w:t>
            </w:r>
          </w:p>
        </w:tc>
        <w:tc>
          <w:tcPr>
            <w:tcW w:w="1492" w:type="dxa"/>
            <w:tcBorders>
              <w:top w:val="nil"/>
              <w:left w:val="nil"/>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5 (13%)</w:t>
            </w:r>
          </w:p>
        </w:tc>
        <w:tc>
          <w:tcPr>
            <w:tcW w:w="1559" w:type="dxa"/>
            <w:tcBorders>
              <w:top w:val="nil"/>
              <w:left w:val="nil"/>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13 (11%)</w:t>
            </w:r>
          </w:p>
        </w:tc>
        <w:tc>
          <w:tcPr>
            <w:tcW w:w="1701" w:type="dxa"/>
            <w:tcBorders>
              <w:top w:val="nil"/>
              <w:left w:val="nil"/>
              <w:bottom w:val="single" w:sz="4" w:space="0" w:color="auto"/>
              <w:right w:val="single" w:sz="4"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w:t>
            </w:r>
          </w:p>
        </w:tc>
        <w:tc>
          <w:tcPr>
            <w:tcW w:w="1985" w:type="dxa"/>
            <w:tcBorders>
              <w:top w:val="nil"/>
              <w:left w:val="nil"/>
              <w:bottom w:val="single" w:sz="4"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w:t>
            </w:r>
          </w:p>
        </w:tc>
      </w:tr>
      <w:tr w:rsidR="00662AE2" w:rsidRPr="00405223" w:rsidTr="00662AE2">
        <w:trPr>
          <w:trHeight w:val="495"/>
        </w:trPr>
        <w:tc>
          <w:tcPr>
            <w:tcW w:w="2117" w:type="dxa"/>
            <w:tcBorders>
              <w:top w:val="single" w:sz="4" w:space="0" w:color="auto"/>
              <w:left w:val="single" w:sz="8" w:space="0" w:color="auto"/>
              <w:bottom w:val="single" w:sz="4" w:space="0" w:color="auto"/>
              <w:right w:val="single" w:sz="8" w:space="0" w:color="auto"/>
            </w:tcBorders>
            <w:shd w:val="clear" w:color="000000" w:fill="F2F2F2"/>
            <w:vAlign w:val="center"/>
            <w:hideMark/>
          </w:tcPr>
          <w:p w:rsidR="00405223" w:rsidRPr="00DD5E67" w:rsidRDefault="00405223" w:rsidP="00405223">
            <w:pPr>
              <w:spacing w:after="0" w:line="24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eastAsia="nb-NO"/>
              </w:rPr>
              <w:t>Intrinsic Factor</w:t>
            </w:r>
          </w:p>
        </w:tc>
        <w:tc>
          <w:tcPr>
            <w:tcW w:w="1134" w:type="dxa"/>
            <w:tcBorders>
              <w:top w:val="nil"/>
              <w:left w:val="nil"/>
              <w:bottom w:val="single" w:sz="4" w:space="0" w:color="auto"/>
              <w:right w:val="single" w:sz="4" w:space="0" w:color="auto"/>
            </w:tcBorders>
            <w:shd w:val="clear" w:color="000000" w:fill="F2F2F2"/>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3 (2%)</w:t>
            </w:r>
          </w:p>
        </w:tc>
        <w:tc>
          <w:tcPr>
            <w:tcW w:w="1492" w:type="dxa"/>
            <w:tcBorders>
              <w:top w:val="nil"/>
              <w:left w:val="nil"/>
              <w:bottom w:val="single" w:sz="4" w:space="0" w:color="auto"/>
              <w:right w:val="single" w:sz="4" w:space="0" w:color="auto"/>
            </w:tcBorders>
            <w:shd w:val="clear" w:color="000000" w:fill="F2F2F2"/>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3 (7</w:t>
            </w:r>
            <w:r w:rsidR="00F85240">
              <w:rPr>
                <w:rFonts w:ascii="Times New Roman" w:eastAsia="Times New Roman" w:hAnsi="Times New Roman" w:cs="Times New Roman"/>
                <w:color w:val="000000"/>
                <w:sz w:val="16"/>
                <w:szCs w:val="16"/>
                <w:lang w:eastAsia="nb-NO"/>
              </w:rPr>
              <w:t>.</w:t>
            </w:r>
            <w:r w:rsidRPr="00DD5E67">
              <w:rPr>
                <w:rFonts w:ascii="Times New Roman" w:eastAsia="Times New Roman" w:hAnsi="Times New Roman" w:cs="Times New Roman"/>
                <w:color w:val="000000"/>
                <w:sz w:val="16"/>
                <w:szCs w:val="16"/>
                <w:lang w:eastAsia="nb-NO"/>
              </w:rPr>
              <w:t>5%)</w:t>
            </w:r>
          </w:p>
        </w:tc>
        <w:tc>
          <w:tcPr>
            <w:tcW w:w="1559" w:type="dxa"/>
            <w:tcBorders>
              <w:top w:val="nil"/>
              <w:left w:val="nil"/>
              <w:bottom w:val="single" w:sz="4" w:space="0" w:color="auto"/>
              <w:right w:val="single" w:sz="4" w:space="0" w:color="auto"/>
            </w:tcBorders>
            <w:shd w:val="clear" w:color="000000" w:fill="F2F2F2"/>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0</w:t>
            </w:r>
          </w:p>
        </w:tc>
        <w:tc>
          <w:tcPr>
            <w:tcW w:w="1701" w:type="dxa"/>
            <w:tcBorders>
              <w:top w:val="nil"/>
              <w:left w:val="nil"/>
              <w:bottom w:val="single" w:sz="4" w:space="0" w:color="auto"/>
              <w:right w:val="single" w:sz="4" w:space="0" w:color="auto"/>
            </w:tcBorders>
            <w:shd w:val="clear" w:color="000000" w:fill="F2F2F2"/>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w:t>
            </w:r>
          </w:p>
        </w:tc>
        <w:tc>
          <w:tcPr>
            <w:tcW w:w="1985" w:type="dxa"/>
            <w:tcBorders>
              <w:top w:val="nil"/>
              <w:left w:val="nil"/>
              <w:bottom w:val="single" w:sz="4" w:space="0" w:color="auto"/>
              <w:right w:val="single" w:sz="8" w:space="0" w:color="auto"/>
            </w:tcBorders>
            <w:shd w:val="clear" w:color="000000" w:fill="F2F2F2"/>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w:t>
            </w:r>
          </w:p>
        </w:tc>
      </w:tr>
      <w:tr w:rsidR="00662AE2" w:rsidRPr="00405223" w:rsidTr="00662AE2">
        <w:trPr>
          <w:trHeight w:val="630"/>
        </w:trPr>
        <w:tc>
          <w:tcPr>
            <w:tcW w:w="2117" w:type="dxa"/>
            <w:tcBorders>
              <w:top w:val="nil"/>
              <w:left w:val="single" w:sz="8" w:space="0" w:color="auto"/>
              <w:bottom w:val="single" w:sz="8" w:space="0" w:color="auto"/>
              <w:right w:val="single" w:sz="8" w:space="0" w:color="auto"/>
            </w:tcBorders>
            <w:shd w:val="clear" w:color="auto" w:fill="auto"/>
            <w:vAlign w:val="center"/>
            <w:hideMark/>
          </w:tcPr>
          <w:p w:rsidR="00405223" w:rsidRPr="00DD5E67" w:rsidRDefault="00405223" w:rsidP="00405223">
            <w:pPr>
              <w:spacing w:after="0" w:line="24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eastAsia="nb-NO"/>
              </w:rPr>
              <w:t>Tissue Transglutaminase (</w:t>
            </w:r>
            <w:proofErr w:type="spellStart"/>
            <w:r w:rsidRPr="00DD5E67">
              <w:rPr>
                <w:rFonts w:ascii="Times New Roman" w:eastAsia="Times New Roman" w:hAnsi="Times New Roman" w:cs="Times New Roman"/>
                <w:b/>
                <w:bCs/>
                <w:color w:val="000000"/>
                <w:sz w:val="16"/>
                <w:szCs w:val="16"/>
                <w:lang w:eastAsia="nb-NO"/>
              </w:rPr>
              <w:t>tTG</w:t>
            </w:r>
            <w:proofErr w:type="spellEnd"/>
            <w:r w:rsidRPr="00DD5E67">
              <w:rPr>
                <w:rFonts w:ascii="Times New Roman" w:eastAsia="Times New Roman" w:hAnsi="Times New Roman" w:cs="Times New Roman"/>
                <w:b/>
                <w:bCs/>
                <w:color w:val="000000"/>
                <w:sz w:val="16"/>
                <w:szCs w:val="16"/>
                <w:lang w:eastAsia="nb-NO"/>
              </w:rPr>
              <w:t>)-IgA</w:t>
            </w:r>
          </w:p>
        </w:tc>
        <w:tc>
          <w:tcPr>
            <w:tcW w:w="1134" w:type="dxa"/>
            <w:tcBorders>
              <w:top w:val="nil"/>
              <w:left w:val="nil"/>
              <w:bottom w:val="single" w:sz="8" w:space="0" w:color="auto"/>
              <w:right w:val="single" w:sz="4"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7 (4%)</w:t>
            </w:r>
          </w:p>
        </w:tc>
        <w:tc>
          <w:tcPr>
            <w:tcW w:w="1492" w:type="dxa"/>
            <w:tcBorders>
              <w:top w:val="nil"/>
              <w:left w:val="nil"/>
              <w:bottom w:val="single" w:sz="8" w:space="0" w:color="auto"/>
              <w:right w:val="single" w:sz="4"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2 (5%)</w:t>
            </w:r>
          </w:p>
        </w:tc>
        <w:tc>
          <w:tcPr>
            <w:tcW w:w="1559" w:type="dxa"/>
            <w:tcBorders>
              <w:top w:val="nil"/>
              <w:left w:val="nil"/>
              <w:bottom w:val="single" w:sz="8" w:space="0" w:color="auto"/>
              <w:right w:val="single" w:sz="4"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5 (4%)</w:t>
            </w:r>
          </w:p>
        </w:tc>
        <w:tc>
          <w:tcPr>
            <w:tcW w:w="1701" w:type="dxa"/>
            <w:tcBorders>
              <w:top w:val="nil"/>
              <w:left w:val="nil"/>
              <w:bottom w:val="single" w:sz="8" w:space="0" w:color="auto"/>
              <w:right w:val="single" w:sz="4"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1 (17%)</w:t>
            </w:r>
          </w:p>
        </w:tc>
        <w:tc>
          <w:tcPr>
            <w:tcW w:w="1985" w:type="dxa"/>
            <w:tcBorders>
              <w:top w:val="nil"/>
              <w:left w:val="nil"/>
              <w:bottom w:val="single" w:sz="8" w:space="0" w:color="auto"/>
              <w:right w:val="single" w:sz="8" w:space="0" w:color="auto"/>
            </w:tcBorders>
            <w:shd w:val="clear" w:color="auto" w:fill="auto"/>
            <w:vAlign w:val="center"/>
            <w:hideMark/>
          </w:tcPr>
          <w:p w:rsidR="00405223" w:rsidRPr="00DD5E67" w:rsidRDefault="00405223" w:rsidP="00405223">
            <w:pPr>
              <w:spacing w:after="0" w:line="24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eastAsia="nb-NO"/>
              </w:rPr>
              <w:t>6 (4%)</w:t>
            </w:r>
          </w:p>
        </w:tc>
      </w:tr>
    </w:tbl>
    <w:p w:rsidR="00AF5092" w:rsidRDefault="00AF5092" w:rsidP="00AF5092">
      <w:pPr>
        <w:spacing w:line="480" w:lineRule="auto"/>
        <w:rPr>
          <w:rFonts w:ascii="Times New Roman" w:eastAsia="Helvetica Neue" w:hAnsi="Times New Roman" w:cs="Times New Roman"/>
          <w:sz w:val="24"/>
          <w:szCs w:val="24"/>
        </w:rPr>
      </w:pPr>
    </w:p>
    <w:p w:rsidR="00AF5092" w:rsidRDefault="00AF5092" w:rsidP="00AF5092">
      <w:pPr>
        <w:spacing w:line="480" w:lineRule="auto"/>
        <w:rPr>
          <w:rFonts w:ascii="Times New Roman" w:eastAsia="Helvetica Neue" w:hAnsi="Times New Roman" w:cs="Times New Roman"/>
          <w:sz w:val="24"/>
          <w:szCs w:val="24"/>
        </w:rPr>
      </w:pPr>
      <w:bookmarkStart w:id="1" w:name="OLE_LINK6"/>
      <w:bookmarkStart w:id="2" w:name="OLE_LINK7"/>
    </w:p>
    <w:p w:rsidR="00AF5092" w:rsidRDefault="00AF5092" w:rsidP="00AF5092">
      <w:pPr>
        <w:rPr>
          <w:rFonts w:ascii="Times New Roman" w:eastAsia="Helvetica Neue" w:hAnsi="Times New Roman" w:cs="Times New Roman"/>
          <w:b/>
          <w:sz w:val="24"/>
          <w:szCs w:val="24"/>
        </w:rPr>
      </w:pPr>
      <w:r>
        <w:rPr>
          <w:rFonts w:ascii="Times New Roman" w:eastAsia="Helvetica Neue" w:hAnsi="Times New Roman" w:cs="Times New Roman"/>
          <w:b/>
          <w:sz w:val="24"/>
          <w:szCs w:val="24"/>
        </w:rPr>
        <w:br w:type="page"/>
      </w:r>
    </w:p>
    <w:bookmarkEnd w:id="1"/>
    <w:bookmarkEnd w:id="2"/>
    <w:p w:rsidR="00663117" w:rsidRPr="00DD5E67" w:rsidRDefault="00B33D9C" w:rsidP="00991858">
      <w:pPr>
        <w:spacing w:line="480" w:lineRule="auto"/>
        <w:rPr>
          <w:rFonts w:ascii="Times New Roman" w:hAnsi="Times New Roman" w:cs="Times New Roman"/>
          <w:sz w:val="20"/>
          <w:szCs w:val="20"/>
        </w:rPr>
      </w:pPr>
      <w:r w:rsidRPr="00DD5E67">
        <w:rPr>
          <w:rFonts w:ascii="Times New Roman" w:hAnsi="Times New Roman" w:cs="Times New Roman"/>
          <w:b/>
          <w:sz w:val="20"/>
          <w:szCs w:val="20"/>
        </w:rPr>
        <w:t>Table S</w:t>
      </w:r>
      <w:r w:rsidR="00812D11">
        <w:rPr>
          <w:rFonts w:ascii="Times New Roman" w:hAnsi="Times New Roman" w:cs="Times New Roman"/>
          <w:b/>
          <w:sz w:val="20"/>
          <w:szCs w:val="20"/>
        </w:rPr>
        <w:t>6</w:t>
      </w:r>
      <w:r w:rsidRPr="00DD5E67">
        <w:rPr>
          <w:rFonts w:ascii="Times New Roman" w:hAnsi="Times New Roman" w:cs="Times New Roman"/>
          <w:sz w:val="20"/>
          <w:szCs w:val="20"/>
        </w:rPr>
        <w:t>:</w:t>
      </w:r>
      <w:r w:rsidRPr="00DD5E67">
        <w:rPr>
          <w:rFonts w:ascii="Times New Roman" w:hAnsi="Times New Roman" w:cs="Times New Roman"/>
          <w:b/>
          <w:sz w:val="20"/>
          <w:szCs w:val="20"/>
        </w:rPr>
        <w:t xml:space="preserve"> All GD patients.</w:t>
      </w:r>
      <w:r w:rsidRPr="00DD5E67">
        <w:rPr>
          <w:rFonts w:ascii="Times New Roman" w:hAnsi="Times New Roman" w:cs="Times New Roman"/>
          <w:sz w:val="20"/>
          <w:szCs w:val="20"/>
        </w:rPr>
        <w:t xml:space="preserve"> Results from linear mixed model analysis of longitudinal changes in NPX variables for all GD patients. The models include main effect for time</w:t>
      </w:r>
      <w:r w:rsidR="00991858" w:rsidRPr="00DD5E67">
        <w:rPr>
          <w:rFonts w:ascii="Times New Roman" w:hAnsi="Times New Roman" w:cs="Times New Roman"/>
          <w:sz w:val="20"/>
          <w:szCs w:val="20"/>
        </w:rPr>
        <w:t xml:space="preserve"> </w:t>
      </w:r>
      <w:r w:rsidRPr="00DD5E67">
        <w:rPr>
          <w:rFonts w:ascii="Times New Roman" w:hAnsi="Times New Roman" w:cs="Times New Roman"/>
          <w:sz w:val="20"/>
          <w:szCs w:val="20"/>
        </w:rPr>
        <w:t>points as fixed effects, and a random intercept was included for each patient</w:t>
      </w:r>
      <w:r w:rsidR="0075663B" w:rsidRPr="00DD5E67">
        <w:rPr>
          <w:rFonts w:ascii="Times New Roman" w:hAnsi="Times New Roman" w:cs="Times New Roman"/>
          <w:sz w:val="20"/>
          <w:szCs w:val="20"/>
        </w:rPr>
        <w:t xml:space="preserve"> (</w:t>
      </w:r>
      <w:r w:rsidR="0075663B" w:rsidRPr="00DD5E67">
        <w:rPr>
          <w:rFonts w:ascii="Times New Roman" w:hAnsi="Times New Roman" w:cs="Times New Roman"/>
          <w:i/>
          <w:sz w:val="20"/>
          <w:szCs w:val="20"/>
        </w:rPr>
        <w:t>value ~ time + (1|ID</w:t>
      </w:r>
      <w:r w:rsidR="0075663B" w:rsidRPr="00DD5E67">
        <w:rPr>
          <w:rFonts w:ascii="Times New Roman" w:hAnsi="Times New Roman" w:cs="Times New Roman"/>
          <w:sz w:val="20"/>
          <w:szCs w:val="20"/>
        </w:rPr>
        <w:t>)</w:t>
      </w:r>
      <w:r w:rsidRPr="00DD5E67">
        <w:rPr>
          <w:rFonts w:ascii="Times New Roman" w:hAnsi="Times New Roman" w:cs="Times New Roman"/>
          <w:sz w:val="20"/>
          <w:szCs w:val="20"/>
        </w:rPr>
        <w:t xml:space="preserve">. The time variable was reference coded to the baseline measurement. P-values are not corrected for multiple testing. </w:t>
      </w:r>
    </w:p>
    <w:tbl>
      <w:tblPr>
        <w:tblW w:w="9100" w:type="dxa"/>
        <w:tblCellMar>
          <w:left w:w="70" w:type="dxa"/>
          <w:right w:w="70" w:type="dxa"/>
        </w:tblCellMar>
        <w:tblLook w:val="04A0" w:firstRow="1" w:lastRow="0" w:firstColumn="1" w:lastColumn="0" w:noHBand="0" w:noVBand="1"/>
      </w:tblPr>
      <w:tblGrid>
        <w:gridCol w:w="1900"/>
        <w:gridCol w:w="1076"/>
        <w:gridCol w:w="1324"/>
        <w:gridCol w:w="1076"/>
        <w:gridCol w:w="1324"/>
        <w:gridCol w:w="1076"/>
        <w:gridCol w:w="1324"/>
      </w:tblGrid>
      <w:tr w:rsidR="00663117" w:rsidRPr="00663117" w:rsidTr="00663117">
        <w:trPr>
          <w:trHeight w:val="315"/>
        </w:trPr>
        <w:tc>
          <w:tcPr>
            <w:tcW w:w="1900" w:type="dxa"/>
            <w:tcBorders>
              <w:top w:val="single" w:sz="8" w:space="0" w:color="auto"/>
              <w:left w:val="single" w:sz="8" w:space="0" w:color="auto"/>
              <w:bottom w:val="nil"/>
              <w:right w:val="nil"/>
            </w:tcBorders>
            <w:shd w:val="clear" w:color="000000" w:fill="F2F2F2"/>
            <w:noWrap/>
            <w:vAlign w:val="center"/>
            <w:hideMark/>
          </w:tcPr>
          <w:p w:rsidR="00663117" w:rsidRPr="00DD5E67" w:rsidRDefault="00663117"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Variable</w:t>
            </w:r>
          </w:p>
        </w:tc>
        <w:tc>
          <w:tcPr>
            <w:tcW w:w="2400" w:type="dxa"/>
            <w:gridSpan w:val="2"/>
            <w:tcBorders>
              <w:top w:val="single" w:sz="8" w:space="0" w:color="auto"/>
              <w:left w:val="single" w:sz="8" w:space="0" w:color="auto"/>
              <w:bottom w:val="single" w:sz="4" w:space="0" w:color="auto"/>
              <w:right w:val="single" w:sz="8" w:space="0" w:color="000000"/>
            </w:tcBorders>
            <w:shd w:val="clear" w:color="000000" w:fill="F2F2F2"/>
            <w:noWrap/>
            <w:vAlign w:val="center"/>
            <w:hideMark/>
          </w:tcPr>
          <w:p w:rsidR="00663117" w:rsidRPr="00DD5E67" w:rsidRDefault="00663117"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w:t>
            </w:r>
            <w:proofErr w:type="spellStart"/>
            <w:r w:rsidRPr="00DD5E67">
              <w:rPr>
                <w:rFonts w:ascii="Times New Roman" w:eastAsia="Times New Roman" w:hAnsi="Times New Roman" w:cs="Times New Roman"/>
                <w:b/>
                <w:bCs/>
                <w:color w:val="000000"/>
                <w:sz w:val="16"/>
                <w:szCs w:val="16"/>
                <w:lang w:val="nb-NO" w:eastAsia="nb-NO"/>
              </w:rPr>
              <w:t>Intercept</w:t>
            </w:r>
            <w:proofErr w:type="spellEnd"/>
            <w:r w:rsidRPr="00DD5E67">
              <w:rPr>
                <w:rFonts w:ascii="Times New Roman" w:eastAsia="Times New Roman" w:hAnsi="Times New Roman" w:cs="Times New Roman"/>
                <w:b/>
                <w:bCs/>
                <w:color w:val="000000"/>
                <w:sz w:val="16"/>
                <w:szCs w:val="16"/>
                <w:lang w:val="nb-NO" w:eastAsia="nb-NO"/>
              </w:rPr>
              <w:t>)</w:t>
            </w:r>
          </w:p>
        </w:tc>
        <w:tc>
          <w:tcPr>
            <w:tcW w:w="2400" w:type="dxa"/>
            <w:gridSpan w:val="2"/>
            <w:tcBorders>
              <w:top w:val="single" w:sz="8" w:space="0" w:color="auto"/>
              <w:left w:val="nil"/>
              <w:bottom w:val="single" w:sz="4" w:space="0" w:color="auto"/>
              <w:right w:val="single" w:sz="8" w:space="0" w:color="000000"/>
            </w:tcBorders>
            <w:shd w:val="clear" w:color="000000" w:fill="F2F2F2"/>
            <w:noWrap/>
            <w:vAlign w:val="center"/>
            <w:hideMark/>
          </w:tcPr>
          <w:p w:rsidR="00663117" w:rsidRPr="00DD5E67" w:rsidRDefault="00663117"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Time3</w:t>
            </w:r>
          </w:p>
        </w:tc>
        <w:tc>
          <w:tcPr>
            <w:tcW w:w="2400" w:type="dxa"/>
            <w:gridSpan w:val="2"/>
            <w:tcBorders>
              <w:top w:val="single" w:sz="8" w:space="0" w:color="auto"/>
              <w:left w:val="nil"/>
              <w:bottom w:val="single" w:sz="4" w:space="0" w:color="auto"/>
              <w:right w:val="single" w:sz="8" w:space="0" w:color="000000"/>
            </w:tcBorders>
            <w:shd w:val="clear" w:color="000000" w:fill="F2F2F2"/>
            <w:noWrap/>
            <w:vAlign w:val="center"/>
            <w:hideMark/>
          </w:tcPr>
          <w:p w:rsidR="00663117" w:rsidRPr="00DD5E67" w:rsidRDefault="00663117"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Time12</w:t>
            </w:r>
          </w:p>
        </w:tc>
      </w:tr>
      <w:tr w:rsidR="00663117" w:rsidRPr="00663117" w:rsidTr="00663117">
        <w:trPr>
          <w:trHeight w:val="330"/>
        </w:trPr>
        <w:tc>
          <w:tcPr>
            <w:tcW w:w="1900" w:type="dxa"/>
            <w:tcBorders>
              <w:top w:val="nil"/>
              <w:left w:val="single" w:sz="8" w:space="0" w:color="auto"/>
              <w:bottom w:val="single" w:sz="8" w:space="0" w:color="auto"/>
              <w:right w:val="nil"/>
            </w:tcBorders>
            <w:shd w:val="clear" w:color="000000" w:fill="F2F2F2"/>
            <w:noWrap/>
            <w:hideMark/>
          </w:tcPr>
          <w:p w:rsidR="00663117" w:rsidRPr="00DD5E67" w:rsidRDefault="00663117" w:rsidP="00991858">
            <w:pPr>
              <w:spacing w:after="0" w:line="360" w:lineRule="auto"/>
              <w:jc w:val="center"/>
              <w:rPr>
                <w:rFonts w:ascii="Calibri" w:eastAsia="Times New Roman" w:hAnsi="Calibri" w:cs="Calibri"/>
                <w:color w:val="000000"/>
                <w:sz w:val="16"/>
                <w:szCs w:val="16"/>
                <w:lang w:val="nb-NO" w:eastAsia="nb-NO"/>
              </w:rPr>
            </w:pPr>
            <w:r w:rsidRPr="00DD5E67">
              <w:rPr>
                <w:rFonts w:ascii="Calibri" w:eastAsia="Times New Roman" w:hAnsi="Calibri" w:cs="Calibri"/>
                <w:color w:val="000000"/>
                <w:sz w:val="16"/>
                <w:szCs w:val="16"/>
                <w:lang w:val="nb-NO" w:eastAsia="nb-NO"/>
              </w:rPr>
              <w:t> </w:t>
            </w:r>
          </w:p>
        </w:tc>
        <w:tc>
          <w:tcPr>
            <w:tcW w:w="1076" w:type="dxa"/>
            <w:tcBorders>
              <w:top w:val="nil"/>
              <w:left w:val="single" w:sz="8" w:space="0" w:color="auto"/>
              <w:bottom w:val="single" w:sz="8" w:space="0" w:color="auto"/>
              <w:right w:val="single" w:sz="4" w:space="0" w:color="auto"/>
            </w:tcBorders>
            <w:shd w:val="clear" w:color="000000" w:fill="F2F2F2"/>
            <w:noWrap/>
            <w:vAlign w:val="center"/>
            <w:hideMark/>
          </w:tcPr>
          <w:p w:rsidR="00663117" w:rsidRPr="00DD5E67" w:rsidRDefault="00663117" w:rsidP="00991858">
            <w:pPr>
              <w:spacing w:after="0" w:line="36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Effect</w:t>
            </w:r>
            <w:proofErr w:type="spellEnd"/>
          </w:p>
        </w:tc>
        <w:tc>
          <w:tcPr>
            <w:tcW w:w="1324" w:type="dxa"/>
            <w:tcBorders>
              <w:top w:val="nil"/>
              <w:left w:val="nil"/>
              <w:bottom w:val="single" w:sz="8" w:space="0" w:color="auto"/>
              <w:right w:val="single" w:sz="8" w:space="0" w:color="auto"/>
            </w:tcBorders>
            <w:shd w:val="clear" w:color="000000" w:fill="F2F2F2"/>
            <w:noWrap/>
            <w:vAlign w:val="center"/>
            <w:hideMark/>
          </w:tcPr>
          <w:p w:rsidR="00663117" w:rsidRPr="00DD5E67" w:rsidRDefault="00663117"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w:t>
            </w:r>
            <w:proofErr w:type="spellStart"/>
            <w:r w:rsidRPr="00DD5E67">
              <w:rPr>
                <w:rFonts w:ascii="Times New Roman" w:eastAsia="Times New Roman" w:hAnsi="Times New Roman" w:cs="Times New Roman"/>
                <w:b/>
                <w:bCs/>
                <w:color w:val="000000"/>
                <w:sz w:val="16"/>
                <w:szCs w:val="16"/>
                <w:lang w:val="nb-NO" w:eastAsia="nb-NO"/>
              </w:rPr>
              <w:t>value</w:t>
            </w:r>
            <w:proofErr w:type="spellEnd"/>
          </w:p>
        </w:tc>
        <w:tc>
          <w:tcPr>
            <w:tcW w:w="1076" w:type="dxa"/>
            <w:tcBorders>
              <w:top w:val="nil"/>
              <w:left w:val="single" w:sz="8" w:space="0" w:color="auto"/>
              <w:bottom w:val="single" w:sz="8" w:space="0" w:color="auto"/>
              <w:right w:val="single" w:sz="4" w:space="0" w:color="auto"/>
            </w:tcBorders>
            <w:shd w:val="clear" w:color="000000" w:fill="F2F2F2"/>
            <w:noWrap/>
            <w:vAlign w:val="center"/>
            <w:hideMark/>
          </w:tcPr>
          <w:p w:rsidR="00663117" w:rsidRPr="00DD5E67" w:rsidRDefault="00663117" w:rsidP="00991858">
            <w:pPr>
              <w:spacing w:after="0" w:line="36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Effect</w:t>
            </w:r>
            <w:proofErr w:type="spellEnd"/>
          </w:p>
        </w:tc>
        <w:tc>
          <w:tcPr>
            <w:tcW w:w="1324" w:type="dxa"/>
            <w:tcBorders>
              <w:top w:val="nil"/>
              <w:left w:val="nil"/>
              <w:bottom w:val="single" w:sz="8" w:space="0" w:color="auto"/>
              <w:right w:val="single" w:sz="8" w:space="0" w:color="auto"/>
            </w:tcBorders>
            <w:shd w:val="clear" w:color="000000" w:fill="F2F2F2"/>
            <w:noWrap/>
            <w:vAlign w:val="center"/>
            <w:hideMark/>
          </w:tcPr>
          <w:p w:rsidR="00663117" w:rsidRPr="00DD5E67" w:rsidRDefault="00663117"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w:t>
            </w:r>
            <w:proofErr w:type="spellStart"/>
            <w:r w:rsidRPr="00DD5E67">
              <w:rPr>
                <w:rFonts w:ascii="Times New Roman" w:eastAsia="Times New Roman" w:hAnsi="Times New Roman" w:cs="Times New Roman"/>
                <w:b/>
                <w:bCs/>
                <w:color w:val="000000"/>
                <w:sz w:val="16"/>
                <w:szCs w:val="16"/>
                <w:lang w:val="nb-NO" w:eastAsia="nb-NO"/>
              </w:rPr>
              <w:t>value</w:t>
            </w:r>
            <w:proofErr w:type="spellEnd"/>
          </w:p>
        </w:tc>
        <w:tc>
          <w:tcPr>
            <w:tcW w:w="1076" w:type="dxa"/>
            <w:tcBorders>
              <w:top w:val="nil"/>
              <w:left w:val="single" w:sz="8" w:space="0" w:color="auto"/>
              <w:bottom w:val="single" w:sz="8" w:space="0" w:color="auto"/>
              <w:right w:val="single" w:sz="4" w:space="0" w:color="auto"/>
            </w:tcBorders>
            <w:shd w:val="clear" w:color="000000" w:fill="F2F2F2"/>
            <w:noWrap/>
            <w:vAlign w:val="center"/>
            <w:hideMark/>
          </w:tcPr>
          <w:p w:rsidR="00663117" w:rsidRPr="00DD5E67" w:rsidRDefault="00663117" w:rsidP="00991858">
            <w:pPr>
              <w:spacing w:after="0" w:line="36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Effect</w:t>
            </w:r>
            <w:proofErr w:type="spellEnd"/>
          </w:p>
        </w:tc>
        <w:tc>
          <w:tcPr>
            <w:tcW w:w="1324" w:type="dxa"/>
            <w:tcBorders>
              <w:top w:val="nil"/>
              <w:left w:val="nil"/>
              <w:bottom w:val="single" w:sz="8" w:space="0" w:color="auto"/>
              <w:right w:val="single" w:sz="8" w:space="0" w:color="auto"/>
            </w:tcBorders>
            <w:shd w:val="clear" w:color="000000" w:fill="F2F2F2"/>
            <w:noWrap/>
            <w:vAlign w:val="center"/>
            <w:hideMark/>
          </w:tcPr>
          <w:p w:rsidR="00663117" w:rsidRPr="00DD5E67" w:rsidRDefault="00663117"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w:t>
            </w:r>
            <w:proofErr w:type="spellStart"/>
            <w:r w:rsidRPr="00DD5E67">
              <w:rPr>
                <w:rFonts w:ascii="Times New Roman" w:eastAsia="Times New Roman" w:hAnsi="Times New Roman" w:cs="Times New Roman"/>
                <w:b/>
                <w:bCs/>
                <w:color w:val="000000"/>
                <w:sz w:val="16"/>
                <w:szCs w:val="16"/>
                <w:lang w:val="nb-NO" w:eastAsia="nb-NO"/>
              </w:rPr>
              <w:t>value</w:t>
            </w:r>
            <w:proofErr w:type="spellEnd"/>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4E-BP1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11</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406336"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45</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21</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26</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ADA</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04</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406336"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60</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406336"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75</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406336"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AXIN1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50</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406336"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04</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83</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CASP8</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15</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406336"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48</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406336"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39</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04</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CCL11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56</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406336"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34</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72</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CCL19</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93</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406336"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49</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406336"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27</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04</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CCL20</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58</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406336"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09</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55</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406336"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98</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CCL23</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06</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19</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20</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08</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66</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CCL25</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66</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55</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78</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CCL28</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82</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46</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67</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CCL3</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48</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29</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18</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CCL4</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94</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67</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52</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CD244</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61</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34</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38</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02</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CD40</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18</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02</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77</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83</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CD5</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86</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632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10</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936321"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CD6</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30</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28</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05</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99</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CD8A</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96</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CDCP1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15</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30</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06</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04</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CSF1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35</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53</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20</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19</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17</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37</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CST5</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39</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53</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52</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CX3CL1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89</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24</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39</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73</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06</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64</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22</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CXCL10</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49</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F3466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82</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w:t>
            </w:r>
            <w:r w:rsidR="00F34663"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CXCL11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20</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11</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48</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42</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03</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CXCL5</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57</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26</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07</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09</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59</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CXCL6</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08</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10</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46</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93</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CXCL9</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83</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54</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44</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04</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DNER</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23</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06</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57</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12</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36</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EN-RAGE</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89</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89</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05</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74</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FGF-19</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63</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69</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40</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4D766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FGF-21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44</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06</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70</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13</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45</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FGF-23</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13</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35</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04</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13</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54</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Flt3L</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19</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91</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19</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13</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09</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53</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HGF</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14</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95</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0093230A"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84</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65</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CF6B68"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IFN-gamma</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84</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39</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59</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IL10</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75</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61</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59</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IL10RA</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07</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10</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16</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93230A"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IL10RB</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18</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16</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03</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38</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IL12B</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95</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35</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50</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9E6D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IL15RA</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140A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37</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140A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140A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87</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140A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140A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13</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3140A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IL17A</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08</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13</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46</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35</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IL17C</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13</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97</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34</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IL18</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13</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31</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42</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IL18R1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17</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38</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26</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60</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A8558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IL6</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2B701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25</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2B701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2B701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2B701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2B701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16</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2B701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35</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IL7</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32</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09</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55</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10</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60</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IL8</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08</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65</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02</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93</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LAP TGF-beta-1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77</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41</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33</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07</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LIF-R</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13</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11</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46</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19</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160C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29</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MCP-1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72</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69</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75</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MCP-2</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46</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37</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28</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09035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05</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MCP-3</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07</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43</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38</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MCP-4</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3B61B9"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78</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06</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65</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28</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07</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MMP-1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36</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87</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29</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MMP-10</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40</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59</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83</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NT-3</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49</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49</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16</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OPG</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25</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04</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09</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11</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50</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PD-L1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56</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69</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78</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3B61B9"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SCF</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C6562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95</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C6562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C6562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44</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C6562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C6562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48</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C6562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SIRT2</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29</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06</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02</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SLAMF1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89</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20</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27</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OSM</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17</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44</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17</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23005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27</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ST1A1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33</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55</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41</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03</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STAMBP</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06</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17</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12</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53</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TGF-</w:t>
            </w:r>
            <w:proofErr w:type="spellStart"/>
            <w:r w:rsidRPr="00DD5E67">
              <w:rPr>
                <w:rFonts w:ascii="Times New Roman" w:eastAsia="Times New Roman" w:hAnsi="Times New Roman" w:cs="Times New Roman"/>
                <w:b/>
                <w:bCs/>
                <w:color w:val="000000"/>
                <w:sz w:val="16"/>
                <w:szCs w:val="16"/>
                <w:lang w:val="nb-NO" w:eastAsia="nb-NO"/>
              </w:rPr>
              <w:t>alpha</w:t>
            </w:r>
            <w:proofErr w:type="spellEnd"/>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60</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15</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32</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20</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27</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TNF</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43</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10</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42</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40</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4B699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TNFB</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34</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73</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26</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04</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TNFRSF9</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07</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75</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66</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122FB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TNFSF14</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04</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68</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80</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TRAIL</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15</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51</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66</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TRANCE</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91</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32</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02</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76</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15"/>
        </w:trPr>
        <w:tc>
          <w:tcPr>
            <w:tcW w:w="1900"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TWEAK</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17</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49</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32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96</w:t>
            </w:r>
          </w:p>
        </w:tc>
        <w:tc>
          <w:tcPr>
            <w:tcW w:w="107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19</w:t>
            </w:r>
          </w:p>
        </w:tc>
        <w:tc>
          <w:tcPr>
            <w:tcW w:w="132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19</w:t>
            </w:r>
          </w:p>
        </w:tc>
      </w:tr>
      <w:tr w:rsidR="00663117" w:rsidRPr="00663117" w:rsidTr="00663117">
        <w:trPr>
          <w:trHeight w:val="315"/>
        </w:trPr>
        <w:tc>
          <w:tcPr>
            <w:tcW w:w="1900" w:type="dxa"/>
            <w:tcBorders>
              <w:top w:val="nil"/>
              <w:left w:val="single" w:sz="8" w:space="0" w:color="auto"/>
              <w:bottom w:val="single" w:sz="4" w:space="0" w:color="auto"/>
              <w:right w:val="single" w:sz="4" w:space="0" w:color="auto"/>
            </w:tcBorders>
            <w:shd w:val="clear" w:color="auto" w:fill="auto"/>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uPA</w:t>
            </w:r>
            <w:proofErr w:type="spellEnd"/>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26</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88</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55</w:t>
            </w:r>
          </w:p>
        </w:tc>
        <w:tc>
          <w:tcPr>
            <w:tcW w:w="1324"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nil"/>
              <w:left w:val="nil"/>
              <w:bottom w:val="single" w:sz="4" w:space="0" w:color="auto"/>
              <w:right w:val="single" w:sz="4"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90</w:t>
            </w:r>
          </w:p>
        </w:tc>
        <w:tc>
          <w:tcPr>
            <w:tcW w:w="1324" w:type="dxa"/>
            <w:tcBorders>
              <w:top w:val="nil"/>
              <w:left w:val="nil"/>
              <w:bottom w:val="single" w:sz="4" w:space="0" w:color="auto"/>
              <w:right w:val="single" w:sz="8" w:space="0" w:color="auto"/>
            </w:tcBorders>
            <w:shd w:val="clear" w:color="auto" w:fill="auto"/>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r>
      <w:tr w:rsidR="00663117" w:rsidRPr="00663117" w:rsidTr="00663117">
        <w:trPr>
          <w:trHeight w:val="330"/>
        </w:trPr>
        <w:tc>
          <w:tcPr>
            <w:tcW w:w="1900" w:type="dxa"/>
            <w:tcBorders>
              <w:top w:val="single" w:sz="4" w:space="0" w:color="auto"/>
              <w:left w:val="single" w:sz="8" w:space="0" w:color="auto"/>
              <w:bottom w:val="single" w:sz="8" w:space="0" w:color="auto"/>
              <w:right w:val="single" w:sz="4" w:space="0" w:color="auto"/>
            </w:tcBorders>
            <w:shd w:val="clear" w:color="000000" w:fill="F2F2F2"/>
            <w:noWrap/>
            <w:vAlign w:val="center"/>
            <w:hideMark/>
          </w:tcPr>
          <w:p w:rsidR="00663117" w:rsidRPr="00DD5E67" w:rsidRDefault="00663117"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VEGF-A</w:t>
            </w:r>
          </w:p>
        </w:tc>
        <w:tc>
          <w:tcPr>
            <w:tcW w:w="1076" w:type="dxa"/>
            <w:tcBorders>
              <w:top w:val="single" w:sz="4" w:space="0" w:color="auto"/>
              <w:left w:val="single" w:sz="4" w:space="0" w:color="auto"/>
              <w:bottom w:val="single" w:sz="8"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16</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65</w:t>
            </w:r>
          </w:p>
        </w:tc>
        <w:tc>
          <w:tcPr>
            <w:tcW w:w="1324" w:type="dxa"/>
            <w:tcBorders>
              <w:top w:val="single" w:sz="4" w:space="0" w:color="auto"/>
              <w:left w:val="single" w:sz="4" w:space="0" w:color="auto"/>
              <w:bottom w:val="single" w:sz="8"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076" w:type="dxa"/>
            <w:tcBorders>
              <w:top w:val="single" w:sz="4" w:space="0" w:color="auto"/>
              <w:left w:val="single" w:sz="4" w:space="0" w:color="auto"/>
              <w:bottom w:val="single" w:sz="8"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29</w:t>
            </w:r>
          </w:p>
        </w:tc>
        <w:tc>
          <w:tcPr>
            <w:tcW w:w="1324" w:type="dxa"/>
            <w:tcBorders>
              <w:top w:val="single" w:sz="4" w:space="0" w:color="auto"/>
              <w:left w:val="single" w:sz="4" w:space="0" w:color="auto"/>
              <w:bottom w:val="single" w:sz="8"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01</w:t>
            </w:r>
          </w:p>
        </w:tc>
        <w:tc>
          <w:tcPr>
            <w:tcW w:w="1076" w:type="dxa"/>
            <w:tcBorders>
              <w:top w:val="single" w:sz="4" w:space="0" w:color="auto"/>
              <w:left w:val="single" w:sz="4" w:space="0" w:color="auto"/>
              <w:bottom w:val="single" w:sz="8" w:space="0" w:color="auto"/>
              <w:right w:val="single" w:sz="4"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02</w:t>
            </w:r>
          </w:p>
        </w:tc>
        <w:tc>
          <w:tcPr>
            <w:tcW w:w="1324" w:type="dxa"/>
            <w:tcBorders>
              <w:top w:val="single" w:sz="4" w:space="0" w:color="auto"/>
              <w:left w:val="single" w:sz="4" w:space="0" w:color="auto"/>
              <w:bottom w:val="single" w:sz="8" w:space="0" w:color="auto"/>
              <w:right w:val="single" w:sz="8" w:space="0" w:color="auto"/>
            </w:tcBorders>
            <w:shd w:val="clear" w:color="000000" w:fill="F2F2F2"/>
            <w:noWrap/>
            <w:vAlign w:val="center"/>
            <w:hideMark/>
          </w:tcPr>
          <w:p w:rsidR="00663117" w:rsidRPr="00DD5E67" w:rsidRDefault="00633E4E"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663117" w:rsidRPr="00DD5E67">
              <w:rPr>
                <w:rFonts w:ascii="Times New Roman" w:eastAsia="Times New Roman" w:hAnsi="Times New Roman" w:cs="Times New Roman"/>
                <w:color w:val="000000"/>
                <w:sz w:val="16"/>
                <w:szCs w:val="16"/>
                <w:lang w:val="nb-NO" w:eastAsia="nb-NO"/>
              </w:rPr>
              <w:t>87</w:t>
            </w:r>
          </w:p>
        </w:tc>
      </w:tr>
    </w:tbl>
    <w:p w:rsidR="00663117" w:rsidRDefault="00663117">
      <w:pPr>
        <w:rPr>
          <w:rFonts w:ascii="Times New Roman" w:hAnsi="Times New Roman" w:cs="Times New Roman"/>
          <w:sz w:val="24"/>
          <w:szCs w:val="24"/>
        </w:rPr>
      </w:pPr>
      <w:r>
        <w:rPr>
          <w:rFonts w:ascii="Times New Roman" w:hAnsi="Times New Roman" w:cs="Times New Roman"/>
          <w:sz w:val="24"/>
          <w:szCs w:val="24"/>
        </w:rPr>
        <w:br w:type="page"/>
      </w:r>
    </w:p>
    <w:p w:rsidR="0013473C" w:rsidRDefault="0013473C" w:rsidP="00204E55">
      <w:pPr>
        <w:spacing w:line="360" w:lineRule="auto"/>
        <w:rPr>
          <w:rFonts w:ascii="Times New Roman" w:hAnsi="Times New Roman" w:cs="Times New Roman"/>
          <w:b/>
          <w:sz w:val="24"/>
          <w:szCs w:val="24"/>
        </w:rPr>
        <w:sectPr w:rsidR="0013473C" w:rsidSect="0013473C">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lnNumType w:countBy="1" w:restart="continuous"/>
          <w:cols w:space="708"/>
          <w:docGrid w:linePitch="360"/>
        </w:sectPr>
      </w:pPr>
    </w:p>
    <w:p w:rsidR="00A16916" w:rsidRPr="00DD5E67" w:rsidRDefault="00B33D9C" w:rsidP="00991858">
      <w:pPr>
        <w:spacing w:line="480" w:lineRule="auto"/>
        <w:rPr>
          <w:rFonts w:ascii="Times New Roman" w:hAnsi="Times New Roman" w:cs="Times New Roman"/>
          <w:sz w:val="20"/>
          <w:szCs w:val="20"/>
        </w:rPr>
      </w:pPr>
      <w:r w:rsidRPr="00DD5E67">
        <w:rPr>
          <w:rFonts w:ascii="Times New Roman" w:hAnsi="Times New Roman" w:cs="Times New Roman"/>
          <w:b/>
          <w:sz w:val="20"/>
          <w:szCs w:val="20"/>
        </w:rPr>
        <w:t>Table S</w:t>
      </w:r>
      <w:r w:rsidR="00812D11">
        <w:rPr>
          <w:rFonts w:ascii="Times New Roman" w:hAnsi="Times New Roman" w:cs="Times New Roman"/>
          <w:b/>
          <w:sz w:val="20"/>
          <w:szCs w:val="20"/>
        </w:rPr>
        <w:t>7</w:t>
      </w:r>
      <w:r w:rsidRPr="00DD5E67">
        <w:rPr>
          <w:rFonts w:ascii="Times New Roman" w:hAnsi="Times New Roman" w:cs="Times New Roman"/>
          <w:b/>
          <w:sz w:val="20"/>
          <w:szCs w:val="20"/>
        </w:rPr>
        <w:t>:</w:t>
      </w:r>
      <w:r w:rsidRPr="00DD5E67">
        <w:rPr>
          <w:rFonts w:ascii="Times New Roman" w:hAnsi="Times New Roman" w:cs="Times New Roman"/>
          <w:sz w:val="20"/>
          <w:szCs w:val="20"/>
        </w:rPr>
        <w:t xml:space="preserve"> </w:t>
      </w:r>
      <w:r w:rsidRPr="00DD5E67">
        <w:rPr>
          <w:rFonts w:ascii="Times New Roman" w:hAnsi="Times New Roman" w:cs="Times New Roman"/>
          <w:b/>
          <w:sz w:val="20"/>
          <w:szCs w:val="20"/>
        </w:rPr>
        <w:t>ATD-regimen.</w:t>
      </w:r>
      <w:r w:rsidRPr="00DD5E67">
        <w:rPr>
          <w:rFonts w:ascii="Times New Roman" w:hAnsi="Times New Roman" w:cs="Times New Roman"/>
          <w:sz w:val="20"/>
          <w:szCs w:val="20"/>
        </w:rPr>
        <w:t xml:space="preserve"> Results from linear mixed model analysis of longitudinal changes in NPX variables for different treatment groups (ATD-regimen).  The models include main effect for time point, group, and the time-group interactions as fixed effects, and a random intercept was included for each patient</w:t>
      </w:r>
      <w:r w:rsidR="0075663B" w:rsidRPr="00DD5E67">
        <w:rPr>
          <w:rFonts w:ascii="Times New Roman" w:hAnsi="Times New Roman" w:cs="Times New Roman"/>
          <w:sz w:val="20"/>
          <w:szCs w:val="20"/>
        </w:rPr>
        <w:t xml:space="preserve"> (formula: </w:t>
      </w:r>
      <w:r w:rsidR="0075663B" w:rsidRPr="00DD5E67">
        <w:rPr>
          <w:rFonts w:ascii="Times New Roman" w:hAnsi="Times New Roman" w:cs="Times New Roman"/>
          <w:i/>
          <w:sz w:val="20"/>
          <w:szCs w:val="20"/>
        </w:rPr>
        <w:t xml:space="preserve">value ~ time + group + </w:t>
      </w:r>
      <w:proofErr w:type="spellStart"/>
      <w:r w:rsidR="0075663B" w:rsidRPr="00DD5E67">
        <w:rPr>
          <w:rFonts w:ascii="Times New Roman" w:hAnsi="Times New Roman" w:cs="Times New Roman"/>
          <w:i/>
          <w:sz w:val="20"/>
          <w:szCs w:val="20"/>
        </w:rPr>
        <w:t>time:group</w:t>
      </w:r>
      <w:proofErr w:type="spellEnd"/>
      <w:r w:rsidR="0075663B" w:rsidRPr="00DD5E67">
        <w:rPr>
          <w:rFonts w:ascii="Times New Roman" w:hAnsi="Times New Roman" w:cs="Times New Roman"/>
          <w:i/>
          <w:sz w:val="20"/>
          <w:szCs w:val="20"/>
        </w:rPr>
        <w:t xml:space="preserve"> + (1|ID)</w:t>
      </w:r>
      <w:r w:rsidR="0075663B" w:rsidRPr="00DD5E67">
        <w:rPr>
          <w:rFonts w:ascii="Times New Roman" w:hAnsi="Times New Roman" w:cs="Times New Roman"/>
          <w:sz w:val="20"/>
          <w:szCs w:val="20"/>
        </w:rPr>
        <w:t>)</w:t>
      </w:r>
      <w:r w:rsidRPr="00DD5E67">
        <w:rPr>
          <w:rFonts w:ascii="Times New Roman" w:hAnsi="Times New Roman" w:cs="Times New Roman"/>
          <w:sz w:val="20"/>
          <w:szCs w:val="20"/>
        </w:rPr>
        <w:t xml:space="preserve">. The time variable was reference coded to the baseline measurement. Treatment groups were reference coded to the blocking group. P-values are not adjusted for multiple testing. </w:t>
      </w:r>
    </w:p>
    <w:tbl>
      <w:tblPr>
        <w:tblW w:w="14307" w:type="dxa"/>
        <w:tblLayout w:type="fixed"/>
        <w:tblCellMar>
          <w:left w:w="70" w:type="dxa"/>
          <w:right w:w="70" w:type="dxa"/>
        </w:tblCellMar>
        <w:tblLook w:val="04A0" w:firstRow="1" w:lastRow="0" w:firstColumn="1" w:lastColumn="0" w:noHBand="0" w:noVBand="1"/>
      </w:tblPr>
      <w:tblGrid>
        <w:gridCol w:w="1266"/>
        <w:gridCol w:w="851"/>
        <w:gridCol w:w="992"/>
        <w:gridCol w:w="992"/>
        <w:gridCol w:w="992"/>
        <w:gridCol w:w="993"/>
        <w:gridCol w:w="1134"/>
        <w:gridCol w:w="850"/>
        <w:gridCol w:w="1134"/>
        <w:gridCol w:w="1134"/>
        <w:gridCol w:w="1418"/>
        <w:gridCol w:w="1134"/>
        <w:gridCol w:w="1417"/>
      </w:tblGrid>
      <w:tr w:rsidR="0013473C" w:rsidRPr="00663117" w:rsidTr="00673BE1">
        <w:trPr>
          <w:trHeight w:val="375"/>
        </w:trPr>
        <w:tc>
          <w:tcPr>
            <w:tcW w:w="1266" w:type="dxa"/>
            <w:tcBorders>
              <w:top w:val="single" w:sz="8" w:space="0" w:color="auto"/>
              <w:left w:val="single" w:sz="8" w:space="0" w:color="auto"/>
              <w:bottom w:val="nil"/>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Variable</w:t>
            </w:r>
          </w:p>
        </w:tc>
        <w:tc>
          <w:tcPr>
            <w:tcW w:w="1843" w:type="dxa"/>
            <w:gridSpan w:val="2"/>
            <w:tcBorders>
              <w:top w:val="single" w:sz="8" w:space="0" w:color="auto"/>
              <w:left w:val="single" w:sz="8" w:space="0" w:color="auto"/>
              <w:bottom w:val="single" w:sz="4" w:space="0" w:color="auto"/>
              <w:right w:val="single" w:sz="8" w:space="0" w:color="000000"/>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Intercept</w:t>
            </w:r>
            <w:proofErr w:type="spellEnd"/>
          </w:p>
        </w:tc>
        <w:tc>
          <w:tcPr>
            <w:tcW w:w="1984" w:type="dxa"/>
            <w:gridSpan w:val="2"/>
            <w:tcBorders>
              <w:top w:val="single" w:sz="8" w:space="0" w:color="auto"/>
              <w:left w:val="nil"/>
              <w:bottom w:val="single" w:sz="4" w:space="0" w:color="auto"/>
              <w:right w:val="single" w:sz="8" w:space="0" w:color="000000"/>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Time3</w:t>
            </w:r>
          </w:p>
        </w:tc>
        <w:tc>
          <w:tcPr>
            <w:tcW w:w="2127" w:type="dxa"/>
            <w:gridSpan w:val="2"/>
            <w:tcBorders>
              <w:top w:val="single" w:sz="8" w:space="0" w:color="auto"/>
              <w:left w:val="nil"/>
              <w:bottom w:val="single" w:sz="4" w:space="0" w:color="auto"/>
              <w:right w:val="single" w:sz="8" w:space="0" w:color="000000"/>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Time12</w:t>
            </w:r>
          </w:p>
        </w:tc>
        <w:tc>
          <w:tcPr>
            <w:tcW w:w="1984" w:type="dxa"/>
            <w:gridSpan w:val="2"/>
            <w:tcBorders>
              <w:top w:val="single" w:sz="8" w:space="0" w:color="auto"/>
              <w:left w:val="nil"/>
              <w:bottom w:val="single" w:sz="4" w:space="0" w:color="auto"/>
              <w:right w:val="single" w:sz="8" w:space="0" w:color="000000"/>
            </w:tcBorders>
            <w:shd w:val="clear" w:color="000000" w:fill="F2F2F2"/>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GroupTitration</w:t>
            </w:r>
            <w:proofErr w:type="spellEnd"/>
          </w:p>
        </w:tc>
        <w:tc>
          <w:tcPr>
            <w:tcW w:w="2552" w:type="dxa"/>
            <w:gridSpan w:val="2"/>
            <w:tcBorders>
              <w:top w:val="single" w:sz="8" w:space="0" w:color="auto"/>
              <w:left w:val="nil"/>
              <w:bottom w:val="single" w:sz="4" w:space="0" w:color="auto"/>
              <w:right w:val="single" w:sz="8" w:space="0" w:color="000000"/>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Time3:groupTitration</w:t>
            </w:r>
          </w:p>
        </w:tc>
        <w:tc>
          <w:tcPr>
            <w:tcW w:w="2551" w:type="dxa"/>
            <w:gridSpan w:val="2"/>
            <w:tcBorders>
              <w:top w:val="single" w:sz="8" w:space="0" w:color="auto"/>
              <w:left w:val="nil"/>
              <w:bottom w:val="single" w:sz="4" w:space="0" w:color="auto"/>
              <w:right w:val="single" w:sz="8" w:space="0" w:color="000000"/>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Time12:groupTitration</w:t>
            </w:r>
          </w:p>
        </w:tc>
      </w:tr>
      <w:tr w:rsidR="0013473C" w:rsidRPr="00663117" w:rsidTr="00673BE1">
        <w:trPr>
          <w:trHeight w:val="390"/>
        </w:trPr>
        <w:tc>
          <w:tcPr>
            <w:tcW w:w="1266" w:type="dxa"/>
            <w:tcBorders>
              <w:top w:val="nil"/>
              <w:left w:val="single" w:sz="8" w:space="0" w:color="auto"/>
              <w:bottom w:val="single" w:sz="8" w:space="0" w:color="auto"/>
              <w:right w:val="nil"/>
            </w:tcBorders>
            <w:shd w:val="clear" w:color="000000" w:fill="F2F2F2"/>
            <w:noWrap/>
            <w:hideMark/>
          </w:tcPr>
          <w:p w:rsidR="0013473C" w:rsidRPr="00DD5E67" w:rsidRDefault="0013473C" w:rsidP="00991858">
            <w:pPr>
              <w:spacing w:after="0" w:line="360" w:lineRule="auto"/>
              <w:rPr>
                <w:rFonts w:ascii="Calibri" w:eastAsia="Times New Roman" w:hAnsi="Calibri" w:cs="Calibri"/>
                <w:color w:val="000000"/>
                <w:sz w:val="16"/>
                <w:szCs w:val="16"/>
                <w:lang w:val="nb-NO" w:eastAsia="nb-NO"/>
              </w:rPr>
            </w:pPr>
            <w:r w:rsidRPr="00DD5E67">
              <w:rPr>
                <w:rFonts w:ascii="Calibri" w:eastAsia="Times New Roman" w:hAnsi="Calibri" w:cs="Calibri"/>
                <w:color w:val="000000"/>
                <w:sz w:val="16"/>
                <w:szCs w:val="16"/>
                <w:lang w:val="nb-NO" w:eastAsia="nb-NO"/>
              </w:rPr>
              <w:t> </w:t>
            </w:r>
          </w:p>
        </w:tc>
        <w:tc>
          <w:tcPr>
            <w:tcW w:w="851" w:type="dxa"/>
            <w:tcBorders>
              <w:top w:val="nil"/>
              <w:left w:val="single" w:sz="8" w:space="0" w:color="auto"/>
              <w:bottom w:val="single" w:sz="8" w:space="0" w:color="auto"/>
              <w:right w:val="single" w:sz="4"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Effect</w:t>
            </w:r>
            <w:proofErr w:type="spellEnd"/>
          </w:p>
        </w:tc>
        <w:tc>
          <w:tcPr>
            <w:tcW w:w="992" w:type="dxa"/>
            <w:tcBorders>
              <w:top w:val="nil"/>
              <w:left w:val="nil"/>
              <w:bottom w:val="single" w:sz="8" w:space="0" w:color="auto"/>
              <w:right w:val="single" w:sz="8"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w:t>
            </w:r>
            <w:proofErr w:type="spellStart"/>
            <w:r w:rsidRPr="00DD5E67">
              <w:rPr>
                <w:rFonts w:ascii="Times New Roman" w:eastAsia="Times New Roman" w:hAnsi="Times New Roman" w:cs="Times New Roman"/>
                <w:b/>
                <w:bCs/>
                <w:color w:val="000000"/>
                <w:sz w:val="16"/>
                <w:szCs w:val="16"/>
                <w:lang w:val="nb-NO" w:eastAsia="nb-NO"/>
              </w:rPr>
              <w:t>value</w:t>
            </w:r>
            <w:proofErr w:type="spellEnd"/>
          </w:p>
        </w:tc>
        <w:tc>
          <w:tcPr>
            <w:tcW w:w="992" w:type="dxa"/>
            <w:tcBorders>
              <w:top w:val="nil"/>
              <w:left w:val="nil"/>
              <w:bottom w:val="single" w:sz="8" w:space="0" w:color="auto"/>
              <w:right w:val="single" w:sz="4"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Effect</w:t>
            </w:r>
            <w:proofErr w:type="spellEnd"/>
          </w:p>
        </w:tc>
        <w:tc>
          <w:tcPr>
            <w:tcW w:w="992" w:type="dxa"/>
            <w:tcBorders>
              <w:top w:val="nil"/>
              <w:left w:val="nil"/>
              <w:bottom w:val="single" w:sz="8" w:space="0" w:color="auto"/>
              <w:right w:val="single" w:sz="8"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w:t>
            </w:r>
            <w:proofErr w:type="spellStart"/>
            <w:r w:rsidRPr="00DD5E67">
              <w:rPr>
                <w:rFonts w:ascii="Times New Roman" w:eastAsia="Times New Roman" w:hAnsi="Times New Roman" w:cs="Times New Roman"/>
                <w:b/>
                <w:bCs/>
                <w:color w:val="000000"/>
                <w:sz w:val="16"/>
                <w:szCs w:val="16"/>
                <w:lang w:val="nb-NO" w:eastAsia="nb-NO"/>
              </w:rPr>
              <w:t>value</w:t>
            </w:r>
            <w:proofErr w:type="spellEnd"/>
          </w:p>
        </w:tc>
        <w:tc>
          <w:tcPr>
            <w:tcW w:w="993" w:type="dxa"/>
            <w:tcBorders>
              <w:top w:val="nil"/>
              <w:left w:val="nil"/>
              <w:bottom w:val="single" w:sz="8" w:space="0" w:color="auto"/>
              <w:right w:val="single" w:sz="4"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Effect</w:t>
            </w:r>
            <w:proofErr w:type="spellEnd"/>
          </w:p>
        </w:tc>
        <w:tc>
          <w:tcPr>
            <w:tcW w:w="1134" w:type="dxa"/>
            <w:tcBorders>
              <w:top w:val="nil"/>
              <w:left w:val="nil"/>
              <w:bottom w:val="single" w:sz="8" w:space="0" w:color="auto"/>
              <w:right w:val="single" w:sz="8"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w:t>
            </w:r>
            <w:proofErr w:type="spellStart"/>
            <w:r w:rsidRPr="00DD5E67">
              <w:rPr>
                <w:rFonts w:ascii="Times New Roman" w:eastAsia="Times New Roman" w:hAnsi="Times New Roman" w:cs="Times New Roman"/>
                <w:b/>
                <w:bCs/>
                <w:color w:val="000000"/>
                <w:sz w:val="16"/>
                <w:szCs w:val="16"/>
                <w:lang w:val="nb-NO" w:eastAsia="nb-NO"/>
              </w:rPr>
              <w:t>value</w:t>
            </w:r>
            <w:proofErr w:type="spellEnd"/>
          </w:p>
        </w:tc>
        <w:tc>
          <w:tcPr>
            <w:tcW w:w="850" w:type="dxa"/>
            <w:tcBorders>
              <w:top w:val="nil"/>
              <w:left w:val="nil"/>
              <w:bottom w:val="nil"/>
              <w:right w:val="single" w:sz="4" w:space="0" w:color="auto"/>
            </w:tcBorders>
            <w:shd w:val="clear" w:color="000000" w:fill="F2F2F2"/>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Effect</w:t>
            </w:r>
            <w:proofErr w:type="spellEnd"/>
          </w:p>
        </w:tc>
        <w:tc>
          <w:tcPr>
            <w:tcW w:w="1134" w:type="dxa"/>
            <w:tcBorders>
              <w:top w:val="nil"/>
              <w:left w:val="nil"/>
              <w:bottom w:val="nil"/>
              <w:right w:val="single" w:sz="8" w:space="0" w:color="auto"/>
            </w:tcBorders>
            <w:shd w:val="clear" w:color="000000" w:fill="F2F2F2"/>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w:t>
            </w:r>
            <w:proofErr w:type="spellStart"/>
            <w:r w:rsidRPr="00DD5E67">
              <w:rPr>
                <w:rFonts w:ascii="Times New Roman" w:eastAsia="Times New Roman" w:hAnsi="Times New Roman" w:cs="Times New Roman"/>
                <w:b/>
                <w:bCs/>
                <w:color w:val="000000"/>
                <w:sz w:val="16"/>
                <w:szCs w:val="16"/>
                <w:lang w:val="nb-NO" w:eastAsia="nb-NO"/>
              </w:rPr>
              <w:t>value</w:t>
            </w:r>
            <w:proofErr w:type="spellEnd"/>
          </w:p>
        </w:tc>
        <w:tc>
          <w:tcPr>
            <w:tcW w:w="1134" w:type="dxa"/>
            <w:tcBorders>
              <w:top w:val="nil"/>
              <w:left w:val="nil"/>
              <w:bottom w:val="nil"/>
              <w:right w:val="single" w:sz="4"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Effect</w:t>
            </w:r>
            <w:proofErr w:type="spellEnd"/>
          </w:p>
        </w:tc>
        <w:tc>
          <w:tcPr>
            <w:tcW w:w="1418" w:type="dxa"/>
            <w:tcBorders>
              <w:top w:val="nil"/>
              <w:left w:val="nil"/>
              <w:bottom w:val="nil"/>
              <w:right w:val="single" w:sz="8"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w:t>
            </w:r>
            <w:proofErr w:type="spellStart"/>
            <w:r w:rsidRPr="00DD5E67">
              <w:rPr>
                <w:rFonts w:ascii="Times New Roman" w:eastAsia="Times New Roman" w:hAnsi="Times New Roman" w:cs="Times New Roman"/>
                <w:b/>
                <w:bCs/>
                <w:color w:val="000000"/>
                <w:sz w:val="16"/>
                <w:szCs w:val="16"/>
                <w:lang w:val="nb-NO" w:eastAsia="nb-NO"/>
              </w:rPr>
              <w:t>value</w:t>
            </w:r>
            <w:proofErr w:type="spellEnd"/>
          </w:p>
        </w:tc>
        <w:tc>
          <w:tcPr>
            <w:tcW w:w="1134" w:type="dxa"/>
            <w:tcBorders>
              <w:top w:val="nil"/>
              <w:left w:val="nil"/>
              <w:bottom w:val="nil"/>
              <w:right w:val="single" w:sz="4"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Effect</w:t>
            </w:r>
            <w:proofErr w:type="spellEnd"/>
          </w:p>
        </w:tc>
        <w:tc>
          <w:tcPr>
            <w:tcW w:w="1417" w:type="dxa"/>
            <w:tcBorders>
              <w:top w:val="nil"/>
              <w:left w:val="nil"/>
              <w:bottom w:val="nil"/>
              <w:right w:val="single" w:sz="8"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w:t>
            </w:r>
            <w:proofErr w:type="spellStart"/>
            <w:r w:rsidRPr="00DD5E67">
              <w:rPr>
                <w:rFonts w:ascii="Times New Roman" w:eastAsia="Times New Roman" w:hAnsi="Times New Roman" w:cs="Times New Roman"/>
                <w:b/>
                <w:bCs/>
                <w:color w:val="000000"/>
                <w:sz w:val="16"/>
                <w:szCs w:val="16"/>
                <w:lang w:val="nb-NO" w:eastAsia="nb-NO"/>
              </w:rPr>
              <w:t>value</w:t>
            </w:r>
            <w:proofErr w:type="spellEnd"/>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4E-BP1</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50</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45</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30</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68</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ADA</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83</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97</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30</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40</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26</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AXIN1</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78</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78</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63</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99</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24</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55</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CASP8</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77</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34</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25</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60</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69</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19</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66</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CCL11</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05</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59</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57</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63</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22</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44</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CCL19</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13</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26</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49</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04</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57</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98</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22</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41</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CCL20</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25</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17</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43</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26</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30</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67</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22</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58</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CCL23</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90</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05</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97</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43</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44</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17</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22</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55</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CCL25</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45</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75</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22</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34</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47</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99</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CCL28</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53</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33</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05</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62</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22</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43</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98</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CCL3</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89</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63</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17</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53</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14</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48</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17</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66</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CCL4</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63</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75</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49</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04</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33</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98</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CD244</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52</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52</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05</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32</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32</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20</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60</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CD40</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69</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95</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91</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26</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25</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29</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33</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94</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CD5</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13</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66</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60</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01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42</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25</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41</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58</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CD6</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67</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68</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39</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51</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24</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52</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CD8A</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93</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87</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73</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56</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52</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32</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26</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CDCP1</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33</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95</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39</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39</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14</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67</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CSF1</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37</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33</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30</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14</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19</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45</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53</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43</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CST5</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44</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56</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58</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19</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43</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09</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78</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11</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76</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CX3CL1</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29</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61</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CXCL1</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75</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62</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30</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40</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76</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88</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CXCL10</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12</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29</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58</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99</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32</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54</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39</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CXCL11</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40</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65</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89</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CXCL5</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31</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22</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09</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74</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74</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58</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04</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92</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CXCL6</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23</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29</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89</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43</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44</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72</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CXCL9</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39</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05</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14</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20</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40</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17</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58</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93</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DNER</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27</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26</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05</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24</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50</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50</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EN-RAGE</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26</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99</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55</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30</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31</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FB4B2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74</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FGF-19</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68</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47</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20</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04</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85</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72</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FGF-21</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45</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50</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29</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20</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49</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05</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89</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FGF-23</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99</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44</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57</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40</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09</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19</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55</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97</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Flt3L</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30</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76</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70</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29</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29</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86</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HGF</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15</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87</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54</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17</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47</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IFN-gamma</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86</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51</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71</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26</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63</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14</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69</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IL10</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66</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58</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19</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45</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14</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58</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25</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40</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IL10RA</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80</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09</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09</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53</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49</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74</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IL10RB</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17</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212AE1"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66</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19</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IL12B</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96</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67</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24</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31</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19</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IL15RA</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44</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41</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41</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55</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66</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IL17A</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99</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39</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55</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05</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68</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05</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52</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20</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IL17C</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70</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22</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32</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05</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88</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79</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IL18</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14</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72</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53</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55</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50</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04</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49</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22</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48</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IL18R1</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15</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32</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32</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53</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65</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59</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36</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19</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IL6</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43</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42</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36</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D6495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91</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58</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IL7</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84</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63</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58</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69</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99</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82</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IL8</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98</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90</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34</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14</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69</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88</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LAP TGF-beta-1</w:t>
            </w:r>
          </w:p>
        </w:tc>
        <w:tc>
          <w:tcPr>
            <w:tcW w:w="851" w:type="dxa"/>
            <w:tcBorders>
              <w:top w:val="single" w:sz="4" w:space="0" w:color="auto"/>
              <w:left w:val="single" w:sz="8" w:space="0" w:color="auto"/>
              <w:bottom w:val="nil"/>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992" w:type="dxa"/>
            <w:tcBorders>
              <w:top w:val="single" w:sz="4" w:space="0" w:color="auto"/>
              <w:left w:val="single" w:sz="4" w:space="0" w:color="auto"/>
              <w:bottom w:val="nil"/>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nil"/>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49</w:t>
            </w:r>
          </w:p>
        </w:tc>
        <w:tc>
          <w:tcPr>
            <w:tcW w:w="992" w:type="dxa"/>
            <w:tcBorders>
              <w:top w:val="single" w:sz="4" w:space="0" w:color="auto"/>
              <w:left w:val="single" w:sz="4" w:space="0" w:color="auto"/>
              <w:bottom w:val="nil"/>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993" w:type="dxa"/>
            <w:tcBorders>
              <w:top w:val="single" w:sz="4" w:space="0" w:color="auto"/>
              <w:left w:val="single" w:sz="8" w:space="0" w:color="auto"/>
              <w:bottom w:val="nil"/>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40</w:t>
            </w:r>
          </w:p>
        </w:tc>
        <w:tc>
          <w:tcPr>
            <w:tcW w:w="1134" w:type="dxa"/>
            <w:tcBorders>
              <w:top w:val="single" w:sz="4" w:space="0" w:color="auto"/>
              <w:left w:val="single" w:sz="4" w:space="0" w:color="auto"/>
              <w:bottom w:val="nil"/>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17</w:t>
            </w:r>
          </w:p>
        </w:tc>
        <w:tc>
          <w:tcPr>
            <w:tcW w:w="850" w:type="dxa"/>
            <w:tcBorders>
              <w:top w:val="single" w:sz="4" w:space="0" w:color="auto"/>
              <w:left w:val="single" w:sz="8" w:space="0" w:color="auto"/>
              <w:bottom w:val="nil"/>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1134" w:type="dxa"/>
            <w:tcBorders>
              <w:top w:val="single" w:sz="4" w:space="0" w:color="auto"/>
              <w:left w:val="single" w:sz="4" w:space="0" w:color="auto"/>
              <w:bottom w:val="nil"/>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1134" w:type="dxa"/>
            <w:tcBorders>
              <w:top w:val="single" w:sz="4" w:space="0" w:color="auto"/>
              <w:left w:val="single" w:sz="8" w:space="0" w:color="auto"/>
              <w:bottom w:val="nil"/>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1418" w:type="dxa"/>
            <w:tcBorders>
              <w:top w:val="single" w:sz="4" w:space="0" w:color="auto"/>
              <w:left w:val="single" w:sz="4" w:space="0" w:color="auto"/>
              <w:bottom w:val="nil"/>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95</w:t>
            </w:r>
          </w:p>
        </w:tc>
        <w:tc>
          <w:tcPr>
            <w:tcW w:w="1134" w:type="dxa"/>
            <w:tcBorders>
              <w:top w:val="single" w:sz="4" w:space="0" w:color="auto"/>
              <w:left w:val="single" w:sz="8" w:space="0" w:color="auto"/>
              <w:bottom w:val="nil"/>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417" w:type="dxa"/>
            <w:tcBorders>
              <w:top w:val="single" w:sz="4" w:space="0" w:color="auto"/>
              <w:left w:val="single" w:sz="4" w:space="0" w:color="auto"/>
              <w:bottom w:val="nil"/>
              <w:right w:val="single" w:sz="8"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0,81</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LIFR</w:t>
            </w:r>
          </w:p>
        </w:tc>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15</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992" w:type="dxa"/>
            <w:tcBorders>
              <w:top w:val="single" w:sz="4" w:space="0" w:color="auto"/>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34</w:t>
            </w:r>
          </w:p>
        </w:tc>
        <w:tc>
          <w:tcPr>
            <w:tcW w:w="992" w:type="dxa"/>
            <w:tcBorders>
              <w:top w:val="single" w:sz="4" w:space="0" w:color="auto"/>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53</w:t>
            </w:r>
          </w:p>
        </w:tc>
        <w:tc>
          <w:tcPr>
            <w:tcW w:w="1134" w:type="dxa"/>
            <w:tcBorders>
              <w:top w:val="single" w:sz="4" w:space="0" w:color="auto"/>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33</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53</w:t>
            </w:r>
          </w:p>
        </w:tc>
        <w:tc>
          <w:tcPr>
            <w:tcW w:w="1418" w:type="dxa"/>
            <w:tcBorders>
              <w:top w:val="single" w:sz="4" w:space="0" w:color="auto"/>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66</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MCP1</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72</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77</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26</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24</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49</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MCP-2</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40</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11</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14</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58</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17</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57</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MCP-3</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33</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04</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23</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44</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04</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86</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MCP-4</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16</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94</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19</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47</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20</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50</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43</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MMP1</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57</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96</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32</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04</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85</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42</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MMP10</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69</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47</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20</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39</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52</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NT-3</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70</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63</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47</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20</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98</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OPG</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28</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52</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41</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41</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68</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61</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PD-L1</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17</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42</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12</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61</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53</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SCF</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84</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w:t>
            </w:r>
            <w:r w:rsidR="00B642C0"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95</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98</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11</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50</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40</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SIRT2</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23</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65</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72</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05</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86</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43</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41</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SLAMF1</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30</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78</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74</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09</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81</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22</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61</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OSM</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82</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24</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20</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52</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04</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56</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70</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ST1A1</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3</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53</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49</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89</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3473C"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Pr="00DD5E67">
              <w:rPr>
                <w:rFonts w:ascii="Times New Roman" w:eastAsia="Times New Roman" w:hAnsi="Times New Roman" w:cs="Times New Roman"/>
                <w:color w:val="000000"/>
                <w:sz w:val="16"/>
                <w:szCs w:val="16"/>
                <w:lang w:val="nb-NO" w:eastAsia="nb-NO"/>
              </w:rPr>
              <w:t>26</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45</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32</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43</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STAMBP</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4</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44</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29</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33</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89</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95</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31</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47</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TGF-</w:t>
            </w:r>
            <w:proofErr w:type="spellStart"/>
            <w:r w:rsidRPr="00DD5E67">
              <w:rPr>
                <w:rFonts w:ascii="Times New Roman" w:eastAsia="Times New Roman" w:hAnsi="Times New Roman" w:cs="Times New Roman"/>
                <w:b/>
                <w:bCs/>
                <w:color w:val="000000"/>
                <w:sz w:val="16"/>
                <w:szCs w:val="16"/>
                <w:lang w:val="nb-NO" w:eastAsia="nb-NO"/>
              </w:rPr>
              <w:t>alpha</w:t>
            </w:r>
            <w:proofErr w:type="spellEnd"/>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6</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91</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59</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47</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34</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36</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21</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62</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TNF</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5</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85</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85</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60</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17</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49</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17</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52</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23</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TNFB</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75</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62</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27</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92</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39</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54</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TNFRSF9</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46</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86</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72</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23</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29</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39</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34</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20</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TNFSF14</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7</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92</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89</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40</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36</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25</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TRAIL</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38</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69</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86</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26</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28</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42</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15</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30</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TRANCE</w:t>
            </w:r>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8</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55</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35</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06</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94</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A97FEF"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08</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74</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02</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96</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25</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48</w:t>
            </w:r>
          </w:p>
        </w:tc>
      </w:tr>
      <w:tr w:rsidR="0013473C" w:rsidRPr="00663117" w:rsidTr="00673BE1">
        <w:trPr>
          <w:trHeight w:val="315"/>
        </w:trPr>
        <w:tc>
          <w:tcPr>
            <w:tcW w:w="1266" w:type="dxa"/>
            <w:tcBorders>
              <w:top w:val="single" w:sz="4" w:space="0" w:color="auto"/>
              <w:left w:val="single" w:sz="8" w:space="0" w:color="auto"/>
              <w:bottom w:val="single" w:sz="4"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TWEAK</w:t>
            </w:r>
          </w:p>
        </w:tc>
        <w:tc>
          <w:tcPr>
            <w:tcW w:w="851"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61</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18</w:t>
            </w:r>
          </w:p>
        </w:tc>
        <w:tc>
          <w:tcPr>
            <w:tcW w:w="992"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29</w:t>
            </w:r>
          </w:p>
        </w:tc>
        <w:tc>
          <w:tcPr>
            <w:tcW w:w="993"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04</w:t>
            </w:r>
          </w:p>
        </w:tc>
        <w:tc>
          <w:tcPr>
            <w:tcW w:w="1134"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607384"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86</w:t>
            </w:r>
          </w:p>
        </w:tc>
        <w:tc>
          <w:tcPr>
            <w:tcW w:w="850" w:type="dxa"/>
            <w:tcBorders>
              <w:top w:val="single" w:sz="4" w:space="0" w:color="auto"/>
              <w:left w:val="single" w:sz="8" w:space="0" w:color="auto"/>
              <w:bottom w:val="single" w:sz="4"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29</w:t>
            </w:r>
          </w:p>
        </w:tc>
        <w:tc>
          <w:tcPr>
            <w:tcW w:w="1134" w:type="dxa"/>
            <w:tcBorders>
              <w:top w:val="single" w:sz="4" w:space="0" w:color="auto"/>
              <w:left w:val="single" w:sz="4" w:space="0" w:color="auto"/>
              <w:bottom w:val="single" w:sz="4"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24</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44</w:t>
            </w:r>
          </w:p>
        </w:tc>
        <w:tc>
          <w:tcPr>
            <w:tcW w:w="1418"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11</w:t>
            </w:r>
          </w:p>
        </w:tc>
        <w:tc>
          <w:tcPr>
            <w:tcW w:w="1134" w:type="dxa"/>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39</w:t>
            </w:r>
          </w:p>
        </w:tc>
        <w:tc>
          <w:tcPr>
            <w:tcW w:w="1417"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23</w:t>
            </w:r>
          </w:p>
        </w:tc>
      </w:tr>
      <w:tr w:rsidR="0013473C" w:rsidRPr="00663117" w:rsidTr="00673BE1">
        <w:trPr>
          <w:trHeight w:val="315"/>
        </w:trPr>
        <w:tc>
          <w:tcPr>
            <w:tcW w:w="1266" w:type="dxa"/>
            <w:tcBorders>
              <w:top w:val="nil"/>
              <w:left w:val="single" w:sz="8" w:space="0" w:color="auto"/>
              <w:bottom w:val="single" w:sz="4" w:space="0" w:color="auto"/>
              <w:right w:val="nil"/>
            </w:tcBorders>
            <w:shd w:val="clear" w:color="auto" w:fill="auto"/>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proofErr w:type="spellStart"/>
            <w:r w:rsidRPr="00DD5E67">
              <w:rPr>
                <w:rFonts w:ascii="Times New Roman" w:eastAsia="Times New Roman" w:hAnsi="Times New Roman" w:cs="Times New Roman"/>
                <w:b/>
                <w:bCs/>
                <w:color w:val="000000"/>
                <w:sz w:val="16"/>
                <w:szCs w:val="16"/>
                <w:lang w:val="nb-NO" w:eastAsia="nb-NO"/>
              </w:rPr>
              <w:t>uPA</w:t>
            </w:r>
            <w:proofErr w:type="spellEnd"/>
          </w:p>
        </w:tc>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25</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65</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nil"/>
              <w:left w:val="nil"/>
              <w:bottom w:val="single" w:sz="4" w:space="0" w:color="auto"/>
              <w:right w:val="single" w:sz="4" w:space="0" w:color="auto"/>
            </w:tcBorders>
            <w:shd w:val="clear" w:color="auto" w:fill="auto"/>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87</w:t>
            </w:r>
          </w:p>
        </w:tc>
        <w:tc>
          <w:tcPr>
            <w:tcW w:w="992" w:type="dxa"/>
            <w:tcBorders>
              <w:top w:val="nil"/>
              <w:left w:val="nil"/>
              <w:bottom w:val="single" w:sz="4" w:space="0" w:color="auto"/>
              <w:right w:val="single" w:sz="8" w:space="0" w:color="auto"/>
            </w:tcBorders>
            <w:shd w:val="clear" w:color="auto" w:fill="auto"/>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3" w:type="dxa"/>
            <w:tcBorders>
              <w:top w:val="nil"/>
              <w:left w:val="nil"/>
              <w:bottom w:val="single" w:sz="4" w:space="0" w:color="auto"/>
              <w:right w:val="single" w:sz="4" w:space="0" w:color="auto"/>
            </w:tcBorders>
            <w:shd w:val="clear" w:color="auto" w:fill="auto"/>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11</w:t>
            </w:r>
          </w:p>
        </w:tc>
        <w:tc>
          <w:tcPr>
            <w:tcW w:w="1134" w:type="dxa"/>
            <w:tcBorders>
              <w:top w:val="nil"/>
              <w:left w:val="nil"/>
              <w:bottom w:val="single" w:sz="4" w:space="0" w:color="auto"/>
              <w:right w:val="single" w:sz="8" w:space="0" w:color="auto"/>
            </w:tcBorders>
            <w:shd w:val="clear" w:color="auto" w:fill="auto"/>
            <w:noWrap/>
            <w:vAlign w:val="center"/>
            <w:hideMark/>
          </w:tcPr>
          <w:p w:rsidR="0013473C" w:rsidRPr="00DD5E67" w:rsidRDefault="00607384"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850" w:type="dxa"/>
            <w:tcBorders>
              <w:top w:val="nil"/>
              <w:left w:val="nil"/>
              <w:bottom w:val="single" w:sz="4" w:space="0" w:color="auto"/>
              <w:right w:val="single" w:sz="4" w:space="0" w:color="auto"/>
            </w:tcBorders>
            <w:shd w:val="clear" w:color="auto" w:fill="auto"/>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39</w:t>
            </w:r>
          </w:p>
        </w:tc>
        <w:tc>
          <w:tcPr>
            <w:tcW w:w="1134" w:type="dxa"/>
            <w:tcBorders>
              <w:top w:val="nil"/>
              <w:left w:val="nil"/>
              <w:bottom w:val="single" w:sz="4" w:space="0" w:color="auto"/>
              <w:right w:val="single" w:sz="8" w:space="0" w:color="auto"/>
            </w:tcBorders>
            <w:shd w:val="clear" w:color="auto" w:fill="auto"/>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10</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89</w:t>
            </w:r>
          </w:p>
        </w:tc>
        <w:tc>
          <w:tcPr>
            <w:tcW w:w="1418" w:type="dxa"/>
            <w:tcBorders>
              <w:top w:val="nil"/>
              <w:left w:val="nil"/>
              <w:bottom w:val="single" w:sz="4" w:space="0" w:color="auto"/>
              <w:right w:val="single" w:sz="8" w:space="0" w:color="auto"/>
            </w:tcBorders>
            <w:shd w:val="clear" w:color="auto" w:fill="auto"/>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01</w:t>
            </w:r>
          </w:p>
        </w:tc>
        <w:tc>
          <w:tcPr>
            <w:tcW w:w="1134" w:type="dxa"/>
            <w:tcBorders>
              <w:top w:val="nil"/>
              <w:left w:val="nil"/>
              <w:bottom w:val="single" w:sz="4" w:space="0" w:color="auto"/>
              <w:right w:val="single" w:sz="4"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53</w:t>
            </w:r>
          </w:p>
        </w:tc>
        <w:tc>
          <w:tcPr>
            <w:tcW w:w="1417" w:type="dxa"/>
            <w:tcBorders>
              <w:top w:val="nil"/>
              <w:left w:val="nil"/>
              <w:bottom w:val="single" w:sz="4" w:space="0" w:color="auto"/>
              <w:right w:val="single" w:sz="8" w:space="0" w:color="auto"/>
            </w:tcBorders>
            <w:shd w:val="clear" w:color="auto" w:fill="auto"/>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16</w:t>
            </w:r>
          </w:p>
        </w:tc>
      </w:tr>
      <w:tr w:rsidR="0013473C" w:rsidRPr="00663117" w:rsidTr="00673BE1">
        <w:trPr>
          <w:trHeight w:val="330"/>
        </w:trPr>
        <w:tc>
          <w:tcPr>
            <w:tcW w:w="1266" w:type="dxa"/>
            <w:tcBorders>
              <w:top w:val="single" w:sz="4" w:space="0" w:color="auto"/>
              <w:left w:val="single" w:sz="8" w:space="0" w:color="auto"/>
              <w:bottom w:val="single" w:sz="8" w:space="0" w:color="auto"/>
              <w:right w:val="nil"/>
            </w:tcBorders>
            <w:shd w:val="clear" w:color="000000" w:fill="F2F2F2"/>
            <w:noWrap/>
            <w:vAlign w:val="center"/>
            <w:hideMark/>
          </w:tcPr>
          <w:p w:rsidR="0013473C" w:rsidRPr="00DD5E67" w:rsidRDefault="0013473C" w:rsidP="00991858">
            <w:pPr>
              <w:spacing w:after="0" w:line="360" w:lineRule="auto"/>
              <w:rPr>
                <w:rFonts w:ascii="Times New Roman" w:eastAsia="Times New Roman" w:hAnsi="Times New Roman" w:cs="Times New Roman"/>
                <w:b/>
                <w:bCs/>
                <w:color w:val="000000"/>
                <w:sz w:val="16"/>
                <w:szCs w:val="16"/>
                <w:lang w:val="nb-NO" w:eastAsia="nb-NO"/>
              </w:rPr>
            </w:pPr>
            <w:r w:rsidRPr="00DD5E67">
              <w:rPr>
                <w:rFonts w:ascii="Times New Roman" w:eastAsia="Times New Roman" w:hAnsi="Times New Roman" w:cs="Times New Roman"/>
                <w:b/>
                <w:bCs/>
                <w:color w:val="000000"/>
                <w:sz w:val="16"/>
                <w:szCs w:val="16"/>
                <w:lang w:val="nb-NO" w:eastAsia="nb-NO"/>
              </w:rPr>
              <w:t>VEGFA</w:t>
            </w:r>
          </w:p>
        </w:tc>
        <w:tc>
          <w:tcPr>
            <w:tcW w:w="851" w:type="dxa"/>
            <w:tcBorders>
              <w:top w:val="single" w:sz="4" w:space="0" w:color="auto"/>
              <w:left w:val="single" w:sz="8" w:space="0" w:color="auto"/>
              <w:bottom w:val="single" w:sz="8" w:space="0" w:color="auto"/>
              <w:right w:val="single" w:sz="4" w:space="0" w:color="auto"/>
            </w:tcBorders>
            <w:shd w:val="clear" w:color="000000" w:fill="F2F2F2"/>
            <w:noWrap/>
            <w:vAlign w:val="center"/>
            <w:hideMark/>
          </w:tcPr>
          <w:p w:rsidR="0013473C" w:rsidRPr="00DD5E67" w:rsidRDefault="007521FB"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19</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24</w:t>
            </w:r>
          </w:p>
        </w:tc>
        <w:tc>
          <w:tcPr>
            <w:tcW w:w="992" w:type="dxa"/>
            <w:tcBorders>
              <w:top w:val="single" w:sz="4" w:space="0" w:color="auto"/>
              <w:left w:val="single" w:sz="4" w:space="0" w:color="auto"/>
              <w:bottom w:val="single" w:sz="8" w:space="0" w:color="auto"/>
              <w:right w:val="single" w:sz="8" w:space="0" w:color="auto"/>
            </w:tcBorders>
            <w:shd w:val="clear" w:color="000000" w:fill="F2F2F2"/>
            <w:noWrap/>
            <w:vAlign w:val="center"/>
            <w:hideMark/>
          </w:tcPr>
          <w:p w:rsidR="0013473C" w:rsidRPr="00DD5E67" w:rsidRDefault="00E75A4D"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&lt;0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00</w:t>
            </w:r>
            <w:r w:rsidRPr="00DD5E67">
              <w:rPr>
                <w:rFonts w:ascii="Times New Roman" w:eastAsia="Times New Roman" w:hAnsi="Times New Roman" w:cs="Times New Roman"/>
                <w:color w:val="000000"/>
                <w:sz w:val="16"/>
                <w:szCs w:val="16"/>
                <w:lang w:val="nb-NO" w:eastAsia="nb-NO"/>
              </w:rPr>
              <w:t>1</w:t>
            </w:r>
          </w:p>
        </w:tc>
        <w:tc>
          <w:tcPr>
            <w:tcW w:w="992" w:type="dxa"/>
            <w:tcBorders>
              <w:top w:val="single" w:sz="4" w:space="0" w:color="auto"/>
              <w:left w:val="single" w:sz="8" w:space="0" w:color="auto"/>
              <w:bottom w:val="single" w:sz="8" w:space="0" w:color="auto"/>
              <w:right w:val="single" w:sz="4" w:space="0" w:color="auto"/>
            </w:tcBorders>
            <w:shd w:val="clear" w:color="000000" w:fill="F2F2F2"/>
            <w:noWrap/>
            <w:vAlign w:val="center"/>
            <w:hideMark/>
          </w:tcPr>
          <w:p w:rsidR="0013473C" w:rsidRPr="00DD5E67" w:rsidRDefault="00B642C0"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37</w:t>
            </w:r>
          </w:p>
        </w:tc>
        <w:tc>
          <w:tcPr>
            <w:tcW w:w="992" w:type="dxa"/>
            <w:tcBorders>
              <w:top w:val="single" w:sz="4" w:space="0" w:color="auto"/>
              <w:left w:val="single" w:sz="4" w:space="0" w:color="auto"/>
              <w:bottom w:val="single" w:sz="8" w:space="0" w:color="auto"/>
              <w:right w:val="single" w:sz="8" w:space="0" w:color="auto"/>
            </w:tcBorders>
            <w:shd w:val="clear" w:color="000000" w:fill="F2F2F2"/>
            <w:noWrap/>
            <w:vAlign w:val="center"/>
            <w:hideMark/>
          </w:tcPr>
          <w:p w:rsidR="0013473C" w:rsidRPr="00DD5E67" w:rsidRDefault="00FD411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03</w:t>
            </w:r>
          </w:p>
        </w:tc>
        <w:tc>
          <w:tcPr>
            <w:tcW w:w="993" w:type="dxa"/>
            <w:tcBorders>
              <w:top w:val="single" w:sz="4" w:space="0" w:color="auto"/>
              <w:left w:val="single" w:sz="8" w:space="0" w:color="auto"/>
              <w:bottom w:val="single" w:sz="8" w:space="0" w:color="auto"/>
              <w:right w:val="single" w:sz="4" w:space="0" w:color="auto"/>
            </w:tcBorders>
            <w:shd w:val="clear" w:color="000000" w:fill="F2F2F2"/>
            <w:noWrap/>
            <w:vAlign w:val="center"/>
            <w:hideMark/>
          </w:tcPr>
          <w:p w:rsidR="0013473C" w:rsidRPr="00DD5E67" w:rsidRDefault="00490443"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13</w:t>
            </w:r>
          </w:p>
        </w:tc>
        <w:tc>
          <w:tcPr>
            <w:tcW w:w="1134" w:type="dxa"/>
            <w:tcBorders>
              <w:top w:val="single" w:sz="4" w:space="0" w:color="auto"/>
              <w:left w:val="single" w:sz="4" w:space="0" w:color="auto"/>
              <w:bottom w:val="single" w:sz="8" w:space="0" w:color="auto"/>
              <w:right w:val="single" w:sz="8" w:space="0" w:color="auto"/>
            </w:tcBorders>
            <w:shd w:val="clear" w:color="000000" w:fill="F2F2F2"/>
            <w:noWrap/>
            <w:vAlign w:val="center"/>
            <w:hideMark/>
          </w:tcPr>
          <w:p w:rsidR="0013473C" w:rsidRPr="00DD5E67" w:rsidRDefault="00A72FA2"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56</w:t>
            </w:r>
          </w:p>
        </w:tc>
        <w:tc>
          <w:tcPr>
            <w:tcW w:w="850" w:type="dxa"/>
            <w:tcBorders>
              <w:top w:val="single" w:sz="4" w:space="0" w:color="auto"/>
              <w:left w:val="single" w:sz="8" w:space="0" w:color="auto"/>
              <w:bottom w:val="single" w:sz="8" w:space="0" w:color="auto"/>
              <w:right w:val="single" w:sz="4" w:space="0" w:color="auto"/>
            </w:tcBorders>
            <w:shd w:val="clear" w:color="000000" w:fill="F2F2F2"/>
            <w:vAlign w:val="center"/>
            <w:hideMark/>
          </w:tcPr>
          <w:p w:rsidR="0013473C" w:rsidRPr="00DD5E67" w:rsidRDefault="006971E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24</w:t>
            </w:r>
          </w:p>
        </w:tc>
        <w:tc>
          <w:tcPr>
            <w:tcW w:w="1134" w:type="dxa"/>
            <w:tcBorders>
              <w:top w:val="single" w:sz="4" w:space="0" w:color="auto"/>
              <w:left w:val="single" w:sz="4" w:space="0" w:color="auto"/>
              <w:bottom w:val="single" w:sz="8" w:space="0" w:color="auto"/>
              <w:right w:val="single" w:sz="8" w:space="0" w:color="auto"/>
            </w:tcBorders>
            <w:shd w:val="clear" w:color="000000" w:fill="F2F2F2"/>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34</w:t>
            </w:r>
          </w:p>
        </w:tc>
        <w:tc>
          <w:tcPr>
            <w:tcW w:w="1134" w:type="dxa"/>
            <w:tcBorders>
              <w:top w:val="single" w:sz="4" w:space="0" w:color="auto"/>
              <w:left w:val="single" w:sz="8" w:space="0" w:color="auto"/>
              <w:bottom w:val="single" w:sz="8" w:space="0" w:color="auto"/>
              <w:right w:val="single" w:sz="4" w:space="0" w:color="auto"/>
            </w:tcBorders>
            <w:shd w:val="clear" w:color="000000" w:fill="F2F2F2"/>
            <w:noWrap/>
            <w:vAlign w:val="center"/>
            <w:hideMark/>
          </w:tcPr>
          <w:p w:rsidR="0013473C" w:rsidRPr="00DD5E67" w:rsidRDefault="00122A1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07</w:t>
            </w:r>
          </w:p>
        </w:tc>
        <w:tc>
          <w:tcPr>
            <w:tcW w:w="1418" w:type="dxa"/>
            <w:tcBorders>
              <w:top w:val="single" w:sz="4" w:space="0" w:color="auto"/>
              <w:left w:val="single" w:sz="4" w:space="0" w:color="auto"/>
              <w:bottom w:val="single" w:sz="8" w:space="0" w:color="auto"/>
              <w:right w:val="single" w:sz="8" w:space="0" w:color="auto"/>
            </w:tcBorders>
            <w:shd w:val="clear" w:color="000000" w:fill="F2F2F2"/>
            <w:noWrap/>
            <w:vAlign w:val="center"/>
            <w:hideMark/>
          </w:tcPr>
          <w:p w:rsidR="0013473C" w:rsidRPr="00DD5E67" w:rsidRDefault="00A44935"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79</w:t>
            </w:r>
          </w:p>
        </w:tc>
        <w:tc>
          <w:tcPr>
            <w:tcW w:w="1134" w:type="dxa"/>
            <w:tcBorders>
              <w:top w:val="single" w:sz="4" w:space="0" w:color="auto"/>
              <w:left w:val="single" w:sz="8" w:space="0" w:color="auto"/>
              <w:bottom w:val="single" w:sz="8" w:space="0" w:color="auto"/>
              <w:right w:val="single" w:sz="4"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23</w:t>
            </w:r>
          </w:p>
        </w:tc>
        <w:tc>
          <w:tcPr>
            <w:tcW w:w="1417" w:type="dxa"/>
            <w:tcBorders>
              <w:top w:val="single" w:sz="4" w:space="0" w:color="auto"/>
              <w:left w:val="single" w:sz="4" w:space="0" w:color="auto"/>
              <w:bottom w:val="single" w:sz="8" w:space="0" w:color="auto"/>
              <w:right w:val="single" w:sz="8" w:space="0" w:color="auto"/>
            </w:tcBorders>
            <w:shd w:val="clear" w:color="000000" w:fill="F2F2F2"/>
            <w:noWrap/>
            <w:vAlign w:val="center"/>
            <w:hideMark/>
          </w:tcPr>
          <w:p w:rsidR="0013473C" w:rsidRPr="00DD5E67" w:rsidRDefault="00E407E7" w:rsidP="00991858">
            <w:pPr>
              <w:spacing w:after="0" w:line="360" w:lineRule="auto"/>
              <w:jc w:val="center"/>
              <w:rPr>
                <w:rFonts w:ascii="Times New Roman" w:eastAsia="Times New Roman" w:hAnsi="Times New Roman" w:cs="Times New Roman"/>
                <w:color w:val="000000"/>
                <w:sz w:val="16"/>
                <w:szCs w:val="16"/>
                <w:lang w:val="nb-NO" w:eastAsia="nb-NO"/>
              </w:rPr>
            </w:pPr>
            <w:r w:rsidRPr="00DD5E67">
              <w:rPr>
                <w:rFonts w:ascii="Times New Roman" w:eastAsia="Times New Roman" w:hAnsi="Times New Roman" w:cs="Times New Roman"/>
                <w:color w:val="000000"/>
                <w:sz w:val="16"/>
                <w:szCs w:val="16"/>
                <w:lang w:val="nb-NO" w:eastAsia="nb-NO"/>
              </w:rPr>
              <w:t>0</w:t>
            </w:r>
            <w:r w:rsidR="00F85240">
              <w:rPr>
                <w:rFonts w:ascii="Times New Roman" w:eastAsia="Times New Roman" w:hAnsi="Times New Roman" w:cs="Times New Roman"/>
                <w:color w:val="000000"/>
                <w:sz w:val="16"/>
                <w:szCs w:val="16"/>
                <w:lang w:val="nb-NO" w:eastAsia="nb-NO"/>
              </w:rPr>
              <w:t>.</w:t>
            </w:r>
            <w:r w:rsidR="0013473C" w:rsidRPr="00DD5E67">
              <w:rPr>
                <w:rFonts w:ascii="Times New Roman" w:eastAsia="Times New Roman" w:hAnsi="Times New Roman" w:cs="Times New Roman"/>
                <w:color w:val="000000"/>
                <w:sz w:val="16"/>
                <w:szCs w:val="16"/>
                <w:lang w:val="nb-NO" w:eastAsia="nb-NO"/>
              </w:rPr>
              <w:t>48</w:t>
            </w:r>
          </w:p>
        </w:tc>
      </w:tr>
    </w:tbl>
    <w:p w:rsidR="0013473C" w:rsidRDefault="0013473C" w:rsidP="00A16916">
      <w:pPr>
        <w:pStyle w:val="EndNoteBibliography"/>
        <w:spacing w:after="0"/>
        <w:sectPr w:rsidR="0013473C" w:rsidSect="0013473C">
          <w:pgSz w:w="16838" w:h="11906" w:orient="landscape"/>
          <w:pgMar w:top="1418" w:right="1418" w:bottom="1418" w:left="1418" w:header="709" w:footer="709" w:gutter="0"/>
          <w:lnNumType w:countBy="1" w:restart="continuous"/>
          <w:cols w:space="708"/>
          <w:docGrid w:linePitch="360"/>
        </w:sectPr>
      </w:pPr>
    </w:p>
    <w:p w:rsidR="00A16916" w:rsidRPr="00EA6F3B" w:rsidRDefault="00A16916" w:rsidP="00991858">
      <w:pPr>
        <w:pStyle w:val="EndNoteBibliography"/>
        <w:spacing w:after="0" w:line="480" w:lineRule="auto"/>
        <w:rPr>
          <w:rFonts w:ascii="Times New Roman" w:hAnsi="Times New Roman" w:cs="Times New Roman"/>
          <w:b/>
          <w:sz w:val="24"/>
        </w:rPr>
      </w:pPr>
      <w:r w:rsidRPr="00EA6F3B">
        <w:rPr>
          <w:rFonts w:ascii="Times New Roman" w:hAnsi="Times New Roman" w:cs="Times New Roman"/>
          <w:b/>
          <w:sz w:val="24"/>
        </w:rPr>
        <w:t>References</w:t>
      </w:r>
    </w:p>
    <w:p w:rsidR="00A16916" w:rsidRPr="00EA6F3B" w:rsidRDefault="00A16916" w:rsidP="00991858">
      <w:pPr>
        <w:pStyle w:val="EndNoteBibliography"/>
        <w:spacing w:after="0" w:line="480" w:lineRule="auto"/>
        <w:rPr>
          <w:rFonts w:ascii="Times New Roman" w:hAnsi="Times New Roman" w:cs="Times New Roman"/>
          <w:sz w:val="24"/>
        </w:rPr>
      </w:pPr>
    </w:p>
    <w:p w:rsidR="00DD5E67" w:rsidRPr="00DD5E67" w:rsidRDefault="00A16916" w:rsidP="00DD5E67">
      <w:pPr>
        <w:pStyle w:val="EndNoteBibliography"/>
        <w:spacing w:after="0"/>
      </w:pPr>
      <w:r w:rsidRPr="00EA6F3B">
        <w:rPr>
          <w:rFonts w:ascii="Times New Roman" w:hAnsi="Times New Roman" w:cs="Times New Roman"/>
          <w:sz w:val="24"/>
        </w:rPr>
        <w:fldChar w:fldCharType="begin"/>
      </w:r>
      <w:r w:rsidRPr="00EA6F3B">
        <w:rPr>
          <w:rFonts w:ascii="Times New Roman" w:hAnsi="Times New Roman" w:cs="Times New Roman"/>
          <w:sz w:val="24"/>
          <w:lang w:val="sv-SE"/>
        </w:rPr>
        <w:instrText xml:space="preserve"> ADDIN EN.REFLIST </w:instrText>
      </w:r>
      <w:r w:rsidRPr="00EA6F3B">
        <w:rPr>
          <w:rFonts w:ascii="Times New Roman" w:hAnsi="Times New Roman" w:cs="Times New Roman"/>
          <w:sz w:val="24"/>
        </w:rPr>
        <w:fldChar w:fldCharType="separate"/>
      </w:r>
      <w:r w:rsidR="00DD5E67" w:rsidRPr="00DD5E67">
        <w:t>1.</w:t>
      </w:r>
      <w:r w:rsidR="00DD5E67" w:rsidRPr="00DD5E67">
        <w:tab/>
        <w:t>Törring O, Watt T, Sjölin G, Byström K, Abraham-Nordling M, Calissendorff J, et al. Impaired Quality of Life After Radioiodine Therapy Compared to Antithyroid Drugs or Surgical Treatment for Graves' Hyperthyroidism: A Long-Term Follow-Up with the Thyroid-Related Patient-Reported Outcome Questionnaire and 36-Item Short Form Health Status Survey. Thyroid. 2019;29(3):322-31.</w:t>
      </w:r>
    </w:p>
    <w:p w:rsidR="00DD5E67" w:rsidRPr="00DD5E67" w:rsidRDefault="00DD5E67" w:rsidP="00DD5E67">
      <w:pPr>
        <w:pStyle w:val="EndNoteBibliography"/>
        <w:spacing w:after="0"/>
      </w:pPr>
      <w:r w:rsidRPr="00DD5E67">
        <w:t>2.</w:t>
      </w:r>
      <w:r w:rsidRPr="00DD5E67">
        <w:tab/>
        <w:t>Cramon P, Bonnema SJ, Bjorner JB, Ekholm O, Feldt-Rasmussen U, Frendl DM, et al. Quality of life in patients with benign nontoxic goiter: impact of disease and treatment response, and comparison with the general population. Thyroid. 2015;25(3):284-91.</w:t>
      </w:r>
    </w:p>
    <w:p w:rsidR="00DD5E67" w:rsidRPr="00DD5E67" w:rsidRDefault="00DD5E67" w:rsidP="00DD5E67">
      <w:pPr>
        <w:pStyle w:val="EndNoteBibliography"/>
      </w:pPr>
      <w:r w:rsidRPr="00DD5E67">
        <w:t>3.</w:t>
      </w:r>
      <w:r w:rsidRPr="00DD5E67">
        <w:tab/>
        <w:t>Thévenot EA, Roux A, Xu Y, Ezan E, Junot C. Analysis of the Human Adult Urinary Metabolome Variations with Age, Body Mass Index, and Gender by Implementing a Comprehensive Workflow for Univariate and OPLS Statistical Analyses. Journal of Proteome Research. 2015;14(8):3322-35.</w:t>
      </w:r>
    </w:p>
    <w:p w:rsidR="00AF5092" w:rsidRDefault="00A16916" w:rsidP="00991858">
      <w:pPr>
        <w:spacing w:line="480" w:lineRule="auto"/>
      </w:pPr>
      <w:r w:rsidRPr="00EA6F3B">
        <w:rPr>
          <w:rFonts w:ascii="Times New Roman" w:hAnsi="Times New Roman" w:cs="Times New Roman"/>
          <w:sz w:val="24"/>
        </w:rPr>
        <w:fldChar w:fldCharType="end"/>
      </w:r>
    </w:p>
    <w:sectPr w:rsidR="00AF5092" w:rsidSect="0013473C">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7F5" w:rsidRDefault="005A37F5">
      <w:pPr>
        <w:spacing w:after="0" w:line="240" w:lineRule="auto"/>
      </w:pPr>
      <w:r>
        <w:separator/>
      </w:r>
    </w:p>
  </w:endnote>
  <w:endnote w:type="continuationSeparator" w:id="0">
    <w:p w:rsidR="005A37F5" w:rsidRDefault="005A3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Helvetica Neue">
    <w:altName w:val="Corbel"/>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7F5" w:rsidRDefault="005A37F5">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397528"/>
      <w:docPartObj>
        <w:docPartGallery w:val="Page Numbers (Bottom of Page)"/>
        <w:docPartUnique/>
      </w:docPartObj>
    </w:sdtPr>
    <w:sdtEndPr/>
    <w:sdtContent>
      <w:p w:rsidR="005A37F5" w:rsidRDefault="005A37F5">
        <w:pPr>
          <w:pStyle w:val="Bunntekst"/>
          <w:jc w:val="right"/>
        </w:pPr>
        <w:r>
          <w:fldChar w:fldCharType="begin"/>
        </w:r>
        <w:r>
          <w:instrText>PAGE   \* MERGEFORMAT</w:instrText>
        </w:r>
        <w:r>
          <w:fldChar w:fldCharType="separate"/>
        </w:r>
        <w:r w:rsidR="0004684D">
          <w:rPr>
            <w:noProof/>
          </w:rPr>
          <w:t>21</w:t>
        </w:r>
        <w:r>
          <w:fldChar w:fldCharType="end"/>
        </w:r>
      </w:p>
    </w:sdtContent>
  </w:sdt>
  <w:p w:rsidR="005A37F5" w:rsidRDefault="005A37F5">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7F5" w:rsidRDefault="005A37F5">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7F5" w:rsidRDefault="005A37F5">
      <w:pPr>
        <w:spacing w:after="0" w:line="240" w:lineRule="auto"/>
      </w:pPr>
      <w:r>
        <w:separator/>
      </w:r>
    </w:p>
  </w:footnote>
  <w:footnote w:type="continuationSeparator" w:id="0">
    <w:p w:rsidR="005A37F5" w:rsidRDefault="005A3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7F5" w:rsidRDefault="005A37F5">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7F5" w:rsidRDefault="005A37F5">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7F5" w:rsidRDefault="005A37F5">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9282A"/>
    <w:multiLevelType w:val="hybridMultilevel"/>
    <w:tmpl w:val="0CC2AC84"/>
    <w:lvl w:ilvl="0" w:tplc="412ED2EA">
      <w:start w:val="22"/>
      <w:numFmt w:val="bullet"/>
      <w:lvlText w:val=""/>
      <w:lvlJc w:val="left"/>
      <w:pPr>
        <w:ind w:left="720" w:hanging="360"/>
      </w:pPr>
      <w:rPr>
        <w:rFonts w:ascii="Symbol" w:eastAsia="Helvetica Neue" w:hAnsi="Symbol"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20423FC8"/>
    <w:multiLevelType w:val="hybridMultilevel"/>
    <w:tmpl w:val="4D70380A"/>
    <w:lvl w:ilvl="0" w:tplc="4B788ED6">
      <w:start w:val="28"/>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239D016F"/>
    <w:multiLevelType w:val="hybridMultilevel"/>
    <w:tmpl w:val="CC6029BE"/>
    <w:lvl w:ilvl="0" w:tplc="8D34ACE2">
      <w:start w:val="33"/>
      <w:numFmt w:val="bullet"/>
      <w:lvlText w:val=""/>
      <w:lvlJc w:val="left"/>
      <w:pPr>
        <w:ind w:left="720" w:hanging="360"/>
      </w:pPr>
      <w:rPr>
        <w:rFonts w:ascii="Symbol" w:eastAsiaTheme="minorHAnsi" w:hAnsi="Symbol"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29543C26"/>
    <w:multiLevelType w:val="hybridMultilevel"/>
    <w:tmpl w:val="8D64ADCA"/>
    <w:lvl w:ilvl="0" w:tplc="9D1CE898">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2E204B15"/>
    <w:multiLevelType w:val="hybridMultilevel"/>
    <w:tmpl w:val="05FCE50E"/>
    <w:lvl w:ilvl="0" w:tplc="D550EE14">
      <w:start w:val="22"/>
      <w:numFmt w:val="bullet"/>
      <w:lvlText w:val=""/>
      <w:lvlJc w:val="left"/>
      <w:pPr>
        <w:ind w:left="720" w:hanging="360"/>
      </w:pPr>
      <w:rPr>
        <w:rFonts w:ascii="Symbol" w:eastAsia="Helvetica Neue" w:hAnsi="Symbol"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3E017894"/>
    <w:multiLevelType w:val="hybridMultilevel"/>
    <w:tmpl w:val="4B380B8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3F7704B1"/>
    <w:multiLevelType w:val="hybridMultilevel"/>
    <w:tmpl w:val="BC12879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486B0730"/>
    <w:multiLevelType w:val="multilevel"/>
    <w:tmpl w:val="E4427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E9A3633"/>
    <w:multiLevelType w:val="hybridMultilevel"/>
    <w:tmpl w:val="DB480680"/>
    <w:lvl w:ilvl="0" w:tplc="0E4A8D4A">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511A1227"/>
    <w:multiLevelType w:val="multilevel"/>
    <w:tmpl w:val="08F63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9"/>
  </w:num>
  <w:num w:numId="3">
    <w:abstractNumId w:val="2"/>
  </w:num>
  <w:num w:numId="4">
    <w:abstractNumId w:val="1"/>
  </w:num>
  <w:num w:numId="5">
    <w:abstractNumId w:val="3"/>
  </w:num>
  <w:num w:numId="6">
    <w:abstractNumId w:val="5"/>
  </w:num>
  <w:num w:numId="7">
    <w:abstractNumId w:val="8"/>
  </w:num>
  <w:num w:numId="8">
    <w:abstractNumId w:val="6"/>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nb-NO"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trackRevisions/>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aawarzt4xa50vewetqpr2f7rftxpzw5vptw&quot;&gt;Bibliotek - Ann-Elin-Converted&lt;record-ids&gt;&lt;item&gt;113&lt;/item&gt;&lt;item&gt;125&lt;/item&gt;&lt;/record-ids&gt;&lt;/item&gt;&lt;/Libraries&gt;"/>
  </w:docVars>
  <w:rsids>
    <w:rsidRoot w:val="00B33D9C"/>
    <w:rsid w:val="00000E28"/>
    <w:rsid w:val="00025AAF"/>
    <w:rsid w:val="00026543"/>
    <w:rsid w:val="00026839"/>
    <w:rsid w:val="0004684D"/>
    <w:rsid w:val="00073511"/>
    <w:rsid w:val="00077F3C"/>
    <w:rsid w:val="000827F0"/>
    <w:rsid w:val="000855C4"/>
    <w:rsid w:val="00086A70"/>
    <w:rsid w:val="00090359"/>
    <w:rsid w:val="000931BD"/>
    <w:rsid w:val="000B2912"/>
    <w:rsid w:val="000C6E46"/>
    <w:rsid w:val="000E7462"/>
    <w:rsid w:val="00110AD7"/>
    <w:rsid w:val="00113AB1"/>
    <w:rsid w:val="00120E3A"/>
    <w:rsid w:val="00122A15"/>
    <w:rsid w:val="00122FB7"/>
    <w:rsid w:val="0013473C"/>
    <w:rsid w:val="00135099"/>
    <w:rsid w:val="0013655E"/>
    <w:rsid w:val="00136769"/>
    <w:rsid w:val="00160CB7"/>
    <w:rsid w:val="00164A68"/>
    <w:rsid w:val="00180530"/>
    <w:rsid w:val="0019408A"/>
    <w:rsid w:val="001A4C6F"/>
    <w:rsid w:val="001A6E81"/>
    <w:rsid w:val="001B3B3F"/>
    <w:rsid w:val="001C64B3"/>
    <w:rsid w:val="001E1E0B"/>
    <w:rsid w:val="001E7C85"/>
    <w:rsid w:val="00204978"/>
    <w:rsid w:val="00204E55"/>
    <w:rsid w:val="00205571"/>
    <w:rsid w:val="00206F52"/>
    <w:rsid w:val="00212AE1"/>
    <w:rsid w:val="00222632"/>
    <w:rsid w:val="00230052"/>
    <w:rsid w:val="002308DA"/>
    <w:rsid w:val="00237EA7"/>
    <w:rsid w:val="0024536C"/>
    <w:rsid w:val="002504FC"/>
    <w:rsid w:val="00252433"/>
    <w:rsid w:val="00260FC6"/>
    <w:rsid w:val="0027188A"/>
    <w:rsid w:val="00287BE2"/>
    <w:rsid w:val="00291B6C"/>
    <w:rsid w:val="00292CB6"/>
    <w:rsid w:val="002A6CAE"/>
    <w:rsid w:val="002B701F"/>
    <w:rsid w:val="002C0F31"/>
    <w:rsid w:val="002C7CD6"/>
    <w:rsid w:val="002E2748"/>
    <w:rsid w:val="002E7EAF"/>
    <w:rsid w:val="002F7EE6"/>
    <w:rsid w:val="003140A3"/>
    <w:rsid w:val="00343488"/>
    <w:rsid w:val="00347548"/>
    <w:rsid w:val="0037180A"/>
    <w:rsid w:val="003763AE"/>
    <w:rsid w:val="003977C5"/>
    <w:rsid w:val="003A11C4"/>
    <w:rsid w:val="003A5756"/>
    <w:rsid w:val="003B218A"/>
    <w:rsid w:val="003B61B9"/>
    <w:rsid w:val="003E6B00"/>
    <w:rsid w:val="00401752"/>
    <w:rsid w:val="00405223"/>
    <w:rsid w:val="00406336"/>
    <w:rsid w:val="0040642F"/>
    <w:rsid w:val="0041102E"/>
    <w:rsid w:val="0041108A"/>
    <w:rsid w:val="00422775"/>
    <w:rsid w:val="00433621"/>
    <w:rsid w:val="00445E25"/>
    <w:rsid w:val="00453917"/>
    <w:rsid w:val="004649A9"/>
    <w:rsid w:val="00474511"/>
    <w:rsid w:val="00490443"/>
    <w:rsid w:val="00497B86"/>
    <w:rsid w:val="004A3C10"/>
    <w:rsid w:val="004B0411"/>
    <w:rsid w:val="004B5E74"/>
    <w:rsid w:val="004B699F"/>
    <w:rsid w:val="004C0AE1"/>
    <w:rsid w:val="004D766C"/>
    <w:rsid w:val="004E1B47"/>
    <w:rsid w:val="004E6F69"/>
    <w:rsid w:val="004F4B06"/>
    <w:rsid w:val="0050160D"/>
    <w:rsid w:val="00501D3A"/>
    <w:rsid w:val="0051390E"/>
    <w:rsid w:val="00514E33"/>
    <w:rsid w:val="005210E6"/>
    <w:rsid w:val="00542BE8"/>
    <w:rsid w:val="00552BD9"/>
    <w:rsid w:val="005570BA"/>
    <w:rsid w:val="00557BB8"/>
    <w:rsid w:val="00572229"/>
    <w:rsid w:val="005767F9"/>
    <w:rsid w:val="00590AFC"/>
    <w:rsid w:val="005A37F5"/>
    <w:rsid w:val="005A5646"/>
    <w:rsid w:val="005B6B27"/>
    <w:rsid w:val="005D25EF"/>
    <w:rsid w:val="005F10E6"/>
    <w:rsid w:val="005F6F7B"/>
    <w:rsid w:val="00607384"/>
    <w:rsid w:val="00633E4E"/>
    <w:rsid w:val="00641A19"/>
    <w:rsid w:val="00652544"/>
    <w:rsid w:val="00662AE2"/>
    <w:rsid w:val="00663117"/>
    <w:rsid w:val="0066760E"/>
    <w:rsid w:val="00673BE1"/>
    <w:rsid w:val="00673D12"/>
    <w:rsid w:val="00692704"/>
    <w:rsid w:val="006971E5"/>
    <w:rsid w:val="006A65E5"/>
    <w:rsid w:val="006E36B9"/>
    <w:rsid w:val="00734862"/>
    <w:rsid w:val="0074231B"/>
    <w:rsid w:val="00745E94"/>
    <w:rsid w:val="00751423"/>
    <w:rsid w:val="007521FB"/>
    <w:rsid w:val="0075663B"/>
    <w:rsid w:val="00763389"/>
    <w:rsid w:val="00790D80"/>
    <w:rsid w:val="007A25B3"/>
    <w:rsid w:val="007C6DD8"/>
    <w:rsid w:val="007E0F3F"/>
    <w:rsid w:val="007E5FF3"/>
    <w:rsid w:val="007F05A4"/>
    <w:rsid w:val="00803F16"/>
    <w:rsid w:val="00812D11"/>
    <w:rsid w:val="00817BFB"/>
    <w:rsid w:val="0084317F"/>
    <w:rsid w:val="00846246"/>
    <w:rsid w:val="00854124"/>
    <w:rsid w:val="008641B0"/>
    <w:rsid w:val="00871F8D"/>
    <w:rsid w:val="008A22A2"/>
    <w:rsid w:val="008A2F27"/>
    <w:rsid w:val="008A5B65"/>
    <w:rsid w:val="008C62C4"/>
    <w:rsid w:val="008D243A"/>
    <w:rsid w:val="00901973"/>
    <w:rsid w:val="00912BDE"/>
    <w:rsid w:val="00926F05"/>
    <w:rsid w:val="0093230A"/>
    <w:rsid w:val="00936321"/>
    <w:rsid w:val="00945118"/>
    <w:rsid w:val="0096164F"/>
    <w:rsid w:val="009847E1"/>
    <w:rsid w:val="00985CF2"/>
    <w:rsid w:val="00991858"/>
    <w:rsid w:val="00995091"/>
    <w:rsid w:val="009B62BA"/>
    <w:rsid w:val="009D051E"/>
    <w:rsid w:val="009E6D43"/>
    <w:rsid w:val="00A07C1A"/>
    <w:rsid w:val="00A156BB"/>
    <w:rsid w:val="00A16916"/>
    <w:rsid w:val="00A44935"/>
    <w:rsid w:val="00A457FC"/>
    <w:rsid w:val="00A46EA8"/>
    <w:rsid w:val="00A64427"/>
    <w:rsid w:val="00A66C3B"/>
    <w:rsid w:val="00A72FA2"/>
    <w:rsid w:val="00A85582"/>
    <w:rsid w:val="00A910B5"/>
    <w:rsid w:val="00A92032"/>
    <w:rsid w:val="00A93903"/>
    <w:rsid w:val="00A97FEF"/>
    <w:rsid w:val="00AC1E13"/>
    <w:rsid w:val="00AC35D7"/>
    <w:rsid w:val="00AD15F1"/>
    <w:rsid w:val="00AD6977"/>
    <w:rsid w:val="00AF5092"/>
    <w:rsid w:val="00B25D28"/>
    <w:rsid w:val="00B33D9C"/>
    <w:rsid w:val="00B364FE"/>
    <w:rsid w:val="00B40322"/>
    <w:rsid w:val="00B431B1"/>
    <w:rsid w:val="00B5442C"/>
    <w:rsid w:val="00B547E6"/>
    <w:rsid w:val="00B642C0"/>
    <w:rsid w:val="00B749B7"/>
    <w:rsid w:val="00B77472"/>
    <w:rsid w:val="00BB3516"/>
    <w:rsid w:val="00BD4230"/>
    <w:rsid w:val="00BD77A0"/>
    <w:rsid w:val="00BE1D16"/>
    <w:rsid w:val="00BE2D2C"/>
    <w:rsid w:val="00BE7582"/>
    <w:rsid w:val="00C07876"/>
    <w:rsid w:val="00C16714"/>
    <w:rsid w:val="00C215BC"/>
    <w:rsid w:val="00C40994"/>
    <w:rsid w:val="00C42E93"/>
    <w:rsid w:val="00C60527"/>
    <w:rsid w:val="00C6562B"/>
    <w:rsid w:val="00C801C3"/>
    <w:rsid w:val="00C823D0"/>
    <w:rsid w:val="00CB2D4C"/>
    <w:rsid w:val="00CB374A"/>
    <w:rsid w:val="00CD3F61"/>
    <w:rsid w:val="00CD5CD3"/>
    <w:rsid w:val="00CF1E4E"/>
    <w:rsid w:val="00CF2EB0"/>
    <w:rsid w:val="00CF34A5"/>
    <w:rsid w:val="00CF6B68"/>
    <w:rsid w:val="00D033CF"/>
    <w:rsid w:val="00D33A5A"/>
    <w:rsid w:val="00D46CD0"/>
    <w:rsid w:val="00D64953"/>
    <w:rsid w:val="00D661C4"/>
    <w:rsid w:val="00D768E4"/>
    <w:rsid w:val="00DA31A7"/>
    <w:rsid w:val="00DA4108"/>
    <w:rsid w:val="00DB2A77"/>
    <w:rsid w:val="00DC0D9A"/>
    <w:rsid w:val="00DC1890"/>
    <w:rsid w:val="00DD104B"/>
    <w:rsid w:val="00DD5E67"/>
    <w:rsid w:val="00DD7877"/>
    <w:rsid w:val="00DF1A1F"/>
    <w:rsid w:val="00DF39AA"/>
    <w:rsid w:val="00DF7B5C"/>
    <w:rsid w:val="00E2203B"/>
    <w:rsid w:val="00E407E7"/>
    <w:rsid w:val="00E42B4E"/>
    <w:rsid w:val="00E50560"/>
    <w:rsid w:val="00E64C6C"/>
    <w:rsid w:val="00E65877"/>
    <w:rsid w:val="00E6720C"/>
    <w:rsid w:val="00E75A4D"/>
    <w:rsid w:val="00E81AA6"/>
    <w:rsid w:val="00E955DE"/>
    <w:rsid w:val="00EA2E3C"/>
    <w:rsid w:val="00EA629D"/>
    <w:rsid w:val="00EA6F3B"/>
    <w:rsid w:val="00EB6220"/>
    <w:rsid w:val="00ED5019"/>
    <w:rsid w:val="00EF2612"/>
    <w:rsid w:val="00EF5F77"/>
    <w:rsid w:val="00F02313"/>
    <w:rsid w:val="00F34663"/>
    <w:rsid w:val="00F50752"/>
    <w:rsid w:val="00F6043F"/>
    <w:rsid w:val="00F62765"/>
    <w:rsid w:val="00F77E33"/>
    <w:rsid w:val="00F83936"/>
    <w:rsid w:val="00F85240"/>
    <w:rsid w:val="00FA040D"/>
    <w:rsid w:val="00FA362A"/>
    <w:rsid w:val="00FB4B20"/>
    <w:rsid w:val="00FC1254"/>
    <w:rsid w:val="00FD411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DCD1261"/>
  <w15:chartTrackingRefBased/>
  <w15:docId w15:val="{0743EA04-D558-4DC5-9921-91F74C5A2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Overskrift1">
    <w:name w:val="heading 1"/>
    <w:basedOn w:val="Normal"/>
    <w:next w:val="Normal"/>
    <w:link w:val="Overskrift1Tegn"/>
    <w:uiPriority w:val="9"/>
    <w:qFormat/>
    <w:rsid w:val="00B33D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3">
    <w:name w:val="heading 3"/>
    <w:basedOn w:val="Normal"/>
    <w:link w:val="Overskrift3Tegn"/>
    <w:uiPriority w:val="9"/>
    <w:qFormat/>
    <w:rsid w:val="00B33D9C"/>
    <w:pPr>
      <w:spacing w:before="100" w:beforeAutospacing="1" w:after="100" w:afterAutospacing="1" w:line="240" w:lineRule="auto"/>
      <w:outlineLvl w:val="2"/>
    </w:pPr>
    <w:rPr>
      <w:rFonts w:ascii="Times New Roman" w:eastAsia="Times New Roman" w:hAnsi="Times New Roman" w:cs="Times New Roman"/>
      <w:b/>
      <w:bCs/>
      <w:sz w:val="27"/>
      <w:szCs w:val="27"/>
      <w:lang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33D9C"/>
    <w:rPr>
      <w:rFonts w:asciiTheme="majorHAnsi" w:eastAsiaTheme="majorEastAsia" w:hAnsiTheme="majorHAnsi" w:cstheme="majorBidi"/>
      <w:color w:val="2E74B5" w:themeColor="accent1" w:themeShade="BF"/>
      <w:sz w:val="32"/>
      <w:szCs w:val="32"/>
    </w:rPr>
  </w:style>
  <w:style w:type="character" w:customStyle="1" w:styleId="Overskrift3Tegn">
    <w:name w:val="Overskrift 3 Tegn"/>
    <w:basedOn w:val="Standardskriftforavsnitt"/>
    <w:link w:val="Overskrift3"/>
    <w:uiPriority w:val="9"/>
    <w:rsid w:val="00B33D9C"/>
    <w:rPr>
      <w:rFonts w:ascii="Times New Roman" w:eastAsia="Times New Roman" w:hAnsi="Times New Roman" w:cs="Times New Roman"/>
      <w:b/>
      <w:bCs/>
      <w:sz w:val="27"/>
      <w:szCs w:val="27"/>
      <w:lang w:eastAsia="nb-NO"/>
    </w:rPr>
  </w:style>
  <w:style w:type="numbering" w:customStyle="1" w:styleId="Ingenliste1">
    <w:name w:val="Ingen liste1"/>
    <w:next w:val="Ingenliste"/>
    <w:uiPriority w:val="99"/>
    <w:semiHidden/>
    <w:unhideWhenUsed/>
    <w:rsid w:val="00B33D9C"/>
  </w:style>
  <w:style w:type="character" w:styleId="Hyperkobling">
    <w:name w:val="Hyperlink"/>
    <w:basedOn w:val="Standardskriftforavsnitt"/>
    <w:uiPriority w:val="99"/>
    <w:semiHidden/>
    <w:unhideWhenUsed/>
    <w:rsid w:val="00B33D9C"/>
    <w:rPr>
      <w:color w:val="0000FF"/>
      <w:u w:val="single"/>
    </w:rPr>
  </w:style>
  <w:style w:type="character" w:styleId="Linjenummer">
    <w:name w:val="line number"/>
    <w:basedOn w:val="Standardskriftforavsnitt"/>
    <w:uiPriority w:val="99"/>
    <w:semiHidden/>
    <w:unhideWhenUsed/>
    <w:rsid w:val="00B33D9C"/>
  </w:style>
  <w:style w:type="paragraph" w:styleId="Topptekst">
    <w:name w:val="header"/>
    <w:basedOn w:val="Normal"/>
    <w:link w:val="TopptekstTegn"/>
    <w:uiPriority w:val="99"/>
    <w:unhideWhenUsed/>
    <w:rsid w:val="00B33D9C"/>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B33D9C"/>
  </w:style>
  <w:style w:type="paragraph" w:styleId="Bunntekst">
    <w:name w:val="footer"/>
    <w:basedOn w:val="Normal"/>
    <w:link w:val="BunntekstTegn"/>
    <w:uiPriority w:val="99"/>
    <w:unhideWhenUsed/>
    <w:rsid w:val="00B33D9C"/>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B33D9C"/>
  </w:style>
  <w:style w:type="paragraph" w:styleId="Brdtekst">
    <w:name w:val="Body Text"/>
    <w:basedOn w:val="Normal"/>
    <w:link w:val="BrdtekstTegn"/>
    <w:uiPriority w:val="99"/>
    <w:unhideWhenUsed/>
    <w:rsid w:val="00B33D9C"/>
    <w:pPr>
      <w:spacing w:after="120"/>
    </w:pPr>
  </w:style>
  <w:style w:type="character" w:customStyle="1" w:styleId="BrdtekstTegn">
    <w:name w:val="Brødtekst Tegn"/>
    <w:basedOn w:val="Standardskriftforavsnitt"/>
    <w:link w:val="Brdtekst"/>
    <w:uiPriority w:val="99"/>
    <w:rsid w:val="00B33D9C"/>
  </w:style>
  <w:style w:type="paragraph" w:customStyle="1" w:styleId="EndNoteBibliographyTitle">
    <w:name w:val="EndNote Bibliography Title"/>
    <w:basedOn w:val="Normal"/>
    <w:link w:val="EndNoteBibliographyTitleTegn"/>
    <w:rsid w:val="00B33D9C"/>
    <w:pPr>
      <w:spacing w:after="0"/>
      <w:jc w:val="center"/>
    </w:pPr>
    <w:rPr>
      <w:rFonts w:ascii="Calibri" w:hAnsi="Calibri" w:cs="Calibri"/>
      <w:noProof/>
    </w:rPr>
  </w:style>
  <w:style w:type="character" w:customStyle="1" w:styleId="EndNoteBibliographyTitleTegn">
    <w:name w:val="EndNote Bibliography Title Tegn"/>
    <w:basedOn w:val="Standardskriftforavsnitt"/>
    <w:link w:val="EndNoteBibliographyTitle"/>
    <w:rsid w:val="00B33D9C"/>
    <w:rPr>
      <w:rFonts w:ascii="Calibri" w:hAnsi="Calibri" w:cs="Calibri"/>
      <w:noProof/>
      <w:lang w:val="en-US"/>
    </w:rPr>
  </w:style>
  <w:style w:type="paragraph" w:customStyle="1" w:styleId="EndNoteBibliography">
    <w:name w:val="EndNote Bibliography"/>
    <w:basedOn w:val="Normal"/>
    <w:link w:val="EndNoteBibliographyTegn"/>
    <w:rsid w:val="00B33D9C"/>
    <w:pPr>
      <w:spacing w:line="240" w:lineRule="auto"/>
    </w:pPr>
    <w:rPr>
      <w:rFonts w:ascii="Calibri" w:hAnsi="Calibri" w:cs="Calibri"/>
      <w:noProof/>
    </w:rPr>
  </w:style>
  <w:style w:type="character" w:customStyle="1" w:styleId="EndNoteBibliographyTegn">
    <w:name w:val="EndNote Bibliography Tegn"/>
    <w:basedOn w:val="Standardskriftforavsnitt"/>
    <w:link w:val="EndNoteBibliography"/>
    <w:rsid w:val="00B33D9C"/>
    <w:rPr>
      <w:rFonts w:ascii="Calibri" w:hAnsi="Calibri" w:cs="Calibri"/>
      <w:noProof/>
      <w:lang w:val="en-US"/>
    </w:rPr>
  </w:style>
  <w:style w:type="character" w:customStyle="1" w:styleId="a">
    <w:name w:val="_"/>
    <w:basedOn w:val="Standardskriftforavsnitt"/>
    <w:rsid w:val="00B33D9C"/>
  </w:style>
  <w:style w:type="character" w:styleId="Merknadsreferanse">
    <w:name w:val="annotation reference"/>
    <w:basedOn w:val="Standardskriftforavsnitt"/>
    <w:uiPriority w:val="99"/>
    <w:semiHidden/>
    <w:unhideWhenUsed/>
    <w:rsid w:val="00B33D9C"/>
    <w:rPr>
      <w:sz w:val="16"/>
      <w:szCs w:val="16"/>
    </w:rPr>
  </w:style>
  <w:style w:type="paragraph" w:styleId="Merknadstekst">
    <w:name w:val="annotation text"/>
    <w:basedOn w:val="Normal"/>
    <w:link w:val="MerknadstekstTegn"/>
    <w:uiPriority w:val="99"/>
    <w:unhideWhenUsed/>
    <w:rsid w:val="00B33D9C"/>
    <w:pPr>
      <w:spacing w:line="240" w:lineRule="auto"/>
    </w:pPr>
    <w:rPr>
      <w:sz w:val="20"/>
      <w:szCs w:val="20"/>
    </w:rPr>
  </w:style>
  <w:style w:type="character" w:customStyle="1" w:styleId="MerknadstekstTegn">
    <w:name w:val="Merknadstekst Tegn"/>
    <w:basedOn w:val="Standardskriftforavsnitt"/>
    <w:link w:val="Merknadstekst"/>
    <w:uiPriority w:val="99"/>
    <w:rsid w:val="00B33D9C"/>
    <w:rPr>
      <w:sz w:val="20"/>
      <w:szCs w:val="20"/>
    </w:rPr>
  </w:style>
  <w:style w:type="paragraph" w:styleId="Kommentaremne">
    <w:name w:val="annotation subject"/>
    <w:basedOn w:val="Merknadstekst"/>
    <w:next w:val="Merknadstekst"/>
    <w:link w:val="KommentaremneTegn"/>
    <w:uiPriority w:val="99"/>
    <w:semiHidden/>
    <w:unhideWhenUsed/>
    <w:rsid w:val="00B33D9C"/>
    <w:rPr>
      <w:b/>
      <w:bCs/>
    </w:rPr>
  </w:style>
  <w:style w:type="character" w:customStyle="1" w:styleId="KommentaremneTegn">
    <w:name w:val="Kommentaremne Tegn"/>
    <w:basedOn w:val="MerknadstekstTegn"/>
    <w:link w:val="Kommentaremne"/>
    <w:uiPriority w:val="99"/>
    <w:semiHidden/>
    <w:rsid w:val="00B33D9C"/>
    <w:rPr>
      <w:b/>
      <w:bCs/>
      <w:sz w:val="20"/>
      <w:szCs w:val="20"/>
    </w:rPr>
  </w:style>
  <w:style w:type="paragraph" w:styleId="Bobletekst">
    <w:name w:val="Balloon Text"/>
    <w:basedOn w:val="Normal"/>
    <w:link w:val="BobletekstTegn"/>
    <w:uiPriority w:val="99"/>
    <w:semiHidden/>
    <w:unhideWhenUsed/>
    <w:rsid w:val="00B33D9C"/>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B33D9C"/>
    <w:rPr>
      <w:rFonts w:ascii="Segoe UI" w:hAnsi="Segoe UI" w:cs="Segoe UI"/>
      <w:sz w:val="18"/>
      <w:szCs w:val="18"/>
    </w:rPr>
  </w:style>
  <w:style w:type="character" w:styleId="Utheving">
    <w:name w:val="Emphasis"/>
    <w:basedOn w:val="Standardskriftforavsnitt"/>
    <w:uiPriority w:val="20"/>
    <w:qFormat/>
    <w:rsid w:val="00B33D9C"/>
    <w:rPr>
      <w:i/>
      <w:iCs/>
    </w:rPr>
  </w:style>
  <w:style w:type="table" w:styleId="Tabellrutenett">
    <w:name w:val="Table Grid"/>
    <w:basedOn w:val="Vanligtabell"/>
    <w:uiPriority w:val="39"/>
    <w:rsid w:val="00B33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vsnitt">
    <w:name w:val="List Paragraph"/>
    <w:basedOn w:val="Normal"/>
    <w:uiPriority w:val="34"/>
    <w:qFormat/>
    <w:rsid w:val="00B33D9C"/>
    <w:pPr>
      <w:ind w:left="720"/>
      <w:contextualSpacing/>
    </w:pPr>
  </w:style>
  <w:style w:type="paragraph" w:styleId="HTML-forhndsformatert">
    <w:name w:val="HTML Preformatted"/>
    <w:basedOn w:val="Normal"/>
    <w:link w:val="HTML-forhndsformatertTegn"/>
    <w:uiPriority w:val="99"/>
    <w:unhideWhenUsed/>
    <w:rsid w:val="00B33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forhndsformatertTegn">
    <w:name w:val="HTML-forhåndsformatert Tegn"/>
    <w:basedOn w:val="Standardskriftforavsnitt"/>
    <w:link w:val="HTML-forhndsformatert"/>
    <w:uiPriority w:val="99"/>
    <w:rsid w:val="00B33D9C"/>
    <w:rPr>
      <w:rFonts w:ascii="Courier New" w:eastAsia="Times New Roman" w:hAnsi="Courier New" w:cs="Courier New"/>
      <w:sz w:val="20"/>
      <w:szCs w:val="20"/>
      <w:lang w:val="en-US"/>
    </w:rPr>
  </w:style>
  <w:style w:type="character" w:customStyle="1" w:styleId="y2iqfc">
    <w:name w:val="y2iqfc"/>
    <w:basedOn w:val="Standardskriftforavsnitt"/>
    <w:rsid w:val="00B33D9C"/>
  </w:style>
  <w:style w:type="table" w:customStyle="1" w:styleId="Marietabell">
    <w:name w:val="Marie_tabell"/>
    <w:basedOn w:val="Vanligtabell"/>
    <w:uiPriority w:val="99"/>
    <w:rsid w:val="00B33D9C"/>
    <w:pPr>
      <w:spacing w:after="0" w:line="240" w:lineRule="auto"/>
    </w:pPr>
    <w:rPr>
      <w:sz w:val="20"/>
    </w:rPr>
    <w:tblPr/>
    <w:tblStylePr w:type="firstRow">
      <w:rPr>
        <w:b/>
      </w:rPr>
      <w:tblPr/>
      <w:tcPr>
        <w:tcBorders>
          <w:top w:val="single" w:sz="4" w:space="0" w:color="auto"/>
          <w:bottom w:val="single" w:sz="4" w:space="0" w:color="auto"/>
        </w:tcBorders>
      </w:tcPr>
    </w:tblStylePr>
  </w:style>
  <w:style w:type="paragraph" w:styleId="Revisjon">
    <w:name w:val="Revision"/>
    <w:hidden/>
    <w:uiPriority w:val="99"/>
    <w:semiHidden/>
    <w:rsid w:val="00B33D9C"/>
    <w:pPr>
      <w:spacing w:after="0" w:line="240" w:lineRule="auto"/>
    </w:pPr>
  </w:style>
  <w:style w:type="character" w:styleId="Fulgthyperkobling">
    <w:name w:val="FollowedHyperlink"/>
    <w:basedOn w:val="Standardskriftforavsnitt"/>
    <w:uiPriority w:val="99"/>
    <w:semiHidden/>
    <w:unhideWhenUsed/>
    <w:rsid w:val="00663117"/>
    <w:rPr>
      <w:color w:val="954F72"/>
      <w:u w:val="single"/>
    </w:rPr>
  </w:style>
  <w:style w:type="paragraph" w:customStyle="1" w:styleId="msonormal0">
    <w:name w:val="msonormal"/>
    <w:basedOn w:val="Normal"/>
    <w:rsid w:val="00663117"/>
    <w:pPr>
      <w:spacing w:before="100" w:beforeAutospacing="1" w:after="100" w:afterAutospacing="1" w:line="240" w:lineRule="auto"/>
    </w:pPr>
    <w:rPr>
      <w:rFonts w:ascii="Times New Roman" w:eastAsia="Times New Roman" w:hAnsi="Times New Roman" w:cs="Times New Roman"/>
      <w:sz w:val="24"/>
      <w:szCs w:val="24"/>
      <w:lang w:val="nb-NO" w:eastAsia="nb-NO"/>
    </w:rPr>
  </w:style>
  <w:style w:type="paragraph" w:customStyle="1" w:styleId="xl65">
    <w:name w:val="xl65"/>
    <w:basedOn w:val="Normal"/>
    <w:rsid w:val="00663117"/>
    <w:pPr>
      <w:pBdr>
        <w:left w:val="single" w:sz="8" w:space="0" w:color="auto"/>
        <w:bottom w:val="single" w:sz="8"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nb-NO" w:eastAsia="nb-NO"/>
    </w:rPr>
  </w:style>
  <w:style w:type="paragraph" w:customStyle="1" w:styleId="xl66">
    <w:name w:val="xl66"/>
    <w:basedOn w:val="Normal"/>
    <w:rsid w:val="00663117"/>
    <w:pPr>
      <w:pBdr>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nb-NO" w:eastAsia="nb-NO"/>
    </w:rPr>
  </w:style>
  <w:style w:type="paragraph" w:customStyle="1" w:styleId="xl67">
    <w:name w:val="xl67"/>
    <w:basedOn w:val="Normal"/>
    <w:rsid w:val="00663117"/>
    <w:pPr>
      <w:spacing w:before="100" w:beforeAutospacing="1" w:after="100" w:afterAutospacing="1" w:line="240" w:lineRule="auto"/>
    </w:pPr>
    <w:rPr>
      <w:rFonts w:ascii="Times New Roman" w:eastAsia="Times New Roman" w:hAnsi="Times New Roman" w:cs="Times New Roman"/>
      <w:sz w:val="24"/>
      <w:szCs w:val="24"/>
      <w:lang w:val="nb-NO" w:eastAsia="nb-NO"/>
    </w:rPr>
  </w:style>
  <w:style w:type="paragraph" w:customStyle="1" w:styleId="xl68">
    <w:name w:val="xl68"/>
    <w:basedOn w:val="Normal"/>
    <w:rsid w:val="00663117"/>
    <w:pPr>
      <w:pBdr>
        <w:left w:val="single" w:sz="8"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nb-NO" w:eastAsia="nb-NO"/>
    </w:rPr>
  </w:style>
  <w:style w:type="paragraph" w:customStyle="1" w:styleId="xl69">
    <w:name w:val="xl69"/>
    <w:basedOn w:val="Normal"/>
    <w:rsid w:val="00663117"/>
    <w:pPr>
      <w:pBdr>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nb-NO" w:eastAsia="nb-NO"/>
    </w:rPr>
  </w:style>
  <w:style w:type="paragraph" w:customStyle="1" w:styleId="xl70">
    <w:name w:val="xl70"/>
    <w:basedOn w:val="Normal"/>
    <w:rsid w:val="00663117"/>
    <w:pPr>
      <w:pBdr>
        <w:left w:val="single" w:sz="8"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nb-NO" w:eastAsia="nb-NO"/>
    </w:rPr>
  </w:style>
  <w:style w:type="paragraph" w:customStyle="1" w:styleId="xl71">
    <w:name w:val="xl71"/>
    <w:basedOn w:val="Normal"/>
    <w:rsid w:val="00663117"/>
    <w:pPr>
      <w:pBdr>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nb-NO" w:eastAsia="nb-NO"/>
    </w:rPr>
  </w:style>
  <w:style w:type="paragraph" w:customStyle="1" w:styleId="xl72">
    <w:name w:val="xl72"/>
    <w:basedOn w:val="Normal"/>
    <w:rsid w:val="00663117"/>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nb-NO" w:eastAsia="nb-NO"/>
    </w:rPr>
  </w:style>
  <w:style w:type="paragraph" w:customStyle="1" w:styleId="xl73">
    <w:name w:val="xl73"/>
    <w:basedOn w:val="Normal"/>
    <w:rsid w:val="0066311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74">
    <w:name w:val="xl74"/>
    <w:basedOn w:val="Normal"/>
    <w:rsid w:val="00663117"/>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75">
    <w:name w:val="xl75"/>
    <w:basedOn w:val="Normal"/>
    <w:rsid w:val="0066311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76">
    <w:name w:val="xl76"/>
    <w:basedOn w:val="Normal"/>
    <w:rsid w:val="0066311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77">
    <w:name w:val="xl77"/>
    <w:basedOn w:val="Normal"/>
    <w:rsid w:val="0066311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78">
    <w:name w:val="xl78"/>
    <w:basedOn w:val="Normal"/>
    <w:rsid w:val="0066311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79">
    <w:name w:val="xl79"/>
    <w:basedOn w:val="Normal"/>
    <w:rsid w:val="00663117"/>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nb-NO" w:eastAsia="nb-NO"/>
    </w:rPr>
  </w:style>
  <w:style w:type="paragraph" w:customStyle="1" w:styleId="xl80">
    <w:name w:val="xl80"/>
    <w:basedOn w:val="Normal"/>
    <w:rsid w:val="0066311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81">
    <w:name w:val="xl81"/>
    <w:basedOn w:val="Normal"/>
    <w:rsid w:val="00663117"/>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82">
    <w:name w:val="xl82"/>
    <w:basedOn w:val="Normal"/>
    <w:rsid w:val="00663117"/>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83">
    <w:name w:val="xl83"/>
    <w:basedOn w:val="Normal"/>
    <w:rsid w:val="00663117"/>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84">
    <w:name w:val="xl84"/>
    <w:basedOn w:val="Normal"/>
    <w:rsid w:val="00663117"/>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nb-NO" w:eastAsia="nb-NO"/>
    </w:rPr>
  </w:style>
  <w:style w:type="paragraph" w:customStyle="1" w:styleId="xl85">
    <w:name w:val="xl85"/>
    <w:basedOn w:val="Normal"/>
    <w:rsid w:val="0066311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86">
    <w:name w:val="xl86"/>
    <w:basedOn w:val="Normal"/>
    <w:rsid w:val="0066311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87">
    <w:name w:val="xl87"/>
    <w:basedOn w:val="Normal"/>
    <w:rsid w:val="0066311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88">
    <w:name w:val="xl88"/>
    <w:basedOn w:val="Normal"/>
    <w:rsid w:val="0066311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nb-NO" w:eastAsia="nb-NO"/>
    </w:rPr>
  </w:style>
  <w:style w:type="paragraph" w:customStyle="1" w:styleId="xl89">
    <w:name w:val="xl89"/>
    <w:basedOn w:val="Normal"/>
    <w:rsid w:val="00663117"/>
    <w:pPr>
      <w:pBdr>
        <w:top w:val="single" w:sz="8" w:space="0" w:color="auto"/>
        <w:left w:val="single" w:sz="8"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nb-NO" w:eastAsia="nb-NO"/>
    </w:rPr>
  </w:style>
  <w:style w:type="paragraph" w:customStyle="1" w:styleId="xl90">
    <w:name w:val="xl90"/>
    <w:basedOn w:val="Normal"/>
    <w:rsid w:val="00663117"/>
    <w:pPr>
      <w:pBdr>
        <w:left w:val="single" w:sz="8" w:space="0" w:color="auto"/>
        <w:bottom w:val="single" w:sz="8"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sz w:val="24"/>
      <w:szCs w:val="24"/>
      <w:lang w:val="nb-NO" w:eastAsia="nb-NO"/>
    </w:rPr>
  </w:style>
  <w:style w:type="paragraph" w:customStyle="1" w:styleId="xl91">
    <w:name w:val="xl91"/>
    <w:basedOn w:val="Normal"/>
    <w:rsid w:val="00663117"/>
    <w:pPr>
      <w:pBdr>
        <w:top w:val="single" w:sz="8" w:space="0" w:color="auto"/>
        <w:left w:val="single" w:sz="8"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nb-NO" w:eastAsia="nb-NO"/>
    </w:rPr>
  </w:style>
  <w:style w:type="paragraph" w:customStyle="1" w:styleId="xl92">
    <w:name w:val="xl92"/>
    <w:basedOn w:val="Normal"/>
    <w:rsid w:val="00663117"/>
    <w:pPr>
      <w:pBdr>
        <w:top w:val="single" w:sz="8"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nb-NO" w:eastAsia="nb-NO"/>
    </w:rPr>
  </w:style>
  <w:style w:type="paragraph" w:customStyle="1" w:styleId="xl93">
    <w:name w:val="xl93"/>
    <w:basedOn w:val="Normal"/>
    <w:rsid w:val="00663117"/>
    <w:pPr>
      <w:pBdr>
        <w:top w:val="single" w:sz="8" w:space="0" w:color="auto"/>
        <w:left w:val="single" w:sz="8" w:space="0" w:color="auto"/>
        <w:bottom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nb-NO" w:eastAsia="nb-NO"/>
    </w:rPr>
  </w:style>
  <w:style w:type="paragraph" w:customStyle="1" w:styleId="xl94">
    <w:name w:val="xl94"/>
    <w:basedOn w:val="Normal"/>
    <w:rsid w:val="00663117"/>
    <w:pPr>
      <w:pBdr>
        <w:top w:val="single" w:sz="8" w:space="0" w:color="auto"/>
        <w:bottom w:val="single" w:sz="4"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nb-NO" w:eastAsia="nb-NO"/>
    </w:rPr>
  </w:style>
  <w:style w:type="character" w:styleId="Plassholdertekst">
    <w:name w:val="Placeholder Text"/>
    <w:basedOn w:val="Standardskriftforavsnitt"/>
    <w:uiPriority w:val="99"/>
    <w:semiHidden/>
    <w:rsid w:val="00590A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2126">
      <w:bodyDiv w:val="1"/>
      <w:marLeft w:val="0"/>
      <w:marRight w:val="0"/>
      <w:marTop w:val="0"/>
      <w:marBottom w:val="0"/>
      <w:divBdr>
        <w:top w:val="none" w:sz="0" w:space="0" w:color="auto"/>
        <w:left w:val="none" w:sz="0" w:space="0" w:color="auto"/>
        <w:bottom w:val="none" w:sz="0" w:space="0" w:color="auto"/>
        <w:right w:val="none" w:sz="0" w:space="0" w:color="auto"/>
      </w:divBdr>
    </w:div>
    <w:div w:id="32274594">
      <w:bodyDiv w:val="1"/>
      <w:marLeft w:val="0"/>
      <w:marRight w:val="0"/>
      <w:marTop w:val="0"/>
      <w:marBottom w:val="0"/>
      <w:divBdr>
        <w:top w:val="none" w:sz="0" w:space="0" w:color="auto"/>
        <w:left w:val="none" w:sz="0" w:space="0" w:color="auto"/>
        <w:bottom w:val="none" w:sz="0" w:space="0" w:color="auto"/>
        <w:right w:val="none" w:sz="0" w:space="0" w:color="auto"/>
      </w:divBdr>
    </w:div>
    <w:div w:id="207032281">
      <w:bodyDiv w:val="1"/>
      <w:marLeft w:val="0"/>
      <w:marRight w:val="0"/>
      <w:marTop w:val="0"/>
      <w:marBottom w:val="0"/>
      <w:divBdr>
        <w:top w:val="none" w:sz="0" w:space="0" w:color="auto"/>
        <w:left w:val="none" w:sz="0" w:space="0" w:color="auto"/>
        <w:bottom w:val="none" w:sz="0" w:space="0" w:color="auto"/>
        <w:right w:val="none" w:sz="0" w:space="0" w:color="auto"/>
      </w:divBdr>
    </w:div>
    <w:div w:id="254050035">
      <w:bodyDiv w:val="1"/>
      <w:marLeft w:val="0"/>
      <w:marRight w:val="0"/>
      <w:marTop w:val="0"/>
      <w:marBottom w:val="0"/>
      <w:divBdr>
        <w:top w:val="none" w:sz="0" w:space="0" w:color="auto"/>
        <w:left w:val="none" w:sz="0" w:space="0" w:color="auto"/>
        <w:bottom w:val="none" w:sz="0" w:space="0" w:color="auto"/>
        <w:right w:val="none" w:sz="0" w:space="0" w:color="auto"/>
      </w:divBdr>
    </w:div>
    <w:div w:id="299923667">
      <w:bodyDiv w:val="1"/>
      <w:marLeft w:val="0"/>
      <w:marRight w:val="0"/>
      <w:marTop w:val="0"/>
      <w:marBottom w:val="0"/>
      <w:divBdr>
        <w:top w:val="none" w:sz="0" w:space="0" w:color="auto"/>
        <w:left w:val="none" w:sz="0" w:space="0" w:color="auto"/>
        <w:bottom w:val="none" w:sz="0" w:space="0" w:color="auto"/>
        <w:right w:val="none" w:sz="0" w:space="0" w:color="auto"/>
      </w:divBdr>
    </w:div>
    <w:div w:id="351809588">
      <w:bodyDiv w:val="1"/>
      <w:marLeft w:val="0"/>
      <w:marRight w:val="0"/>
      <w:marTop w:val="0"/>
      <w:marBottom w:val="0"/>
      <w:divBdr>
        <w:top w:val="none" w:sz="0" w:space="0" w:color="auto"/>
        <w:left w:val="none" w:sz="0" w:space="0" w:color="auto"/>
        <w:bottom w:val="none" w:sz="0" w:space="0" w:color="auto"/>
        <w:right w:val="none" w:sz="0" w:space="0" w:color="auto"/>
      </w:divBdr>
    </w:div>
    <w:div w:id="427626263">
      <w:bodyDiv w:val="1"/>
      <w:marLeft w:val="0"/>
      <w:marRight w:val="0"/>
      <w:marTop w:val="0"/>
      <w:marBottom w:val="0"/>
      <w:divBdr>
        <w:top w:val="none" w:sz="0" w:space="0" w:color="auto"/>
        <w:left w:val="none" w:sz="0" w:space="0" w:color="auto"/>
        <w:bottom w:val="none" w:sz="0" w:space="0" w:color="auto"/>
        <w:right w:val="none" w:sz="0" w:space="0" w:color="auto"/>
      </w:divBdr>
    </w:div>
    <w:div w:id="452407451">
      <w:bodyDiv w:val="1"/>
      <w:marLeft w:val="0"/>
      <w:marRight w:val="0"/>
      <w:marTop w:val="0"/>
      <w:marBottom w:val="0"/>
      <w:divBdr>
        <w:top w:val="none" w:sz="0" w:space="0" w:color="auto"/>
        <w:left w:val="none" w:sz="0" w:space="0" w:color="auto"/>
        <w:bottom w:val="none" w:sz="0" w:space="0" w:color="auto"/>
        <w:right w:val="none" w:sz="0" w:space="0" w:color="auto"/>
      </w:divBdr>
    </w:div>
    <w:div w:id="460542933">
      <w:bodyDiv w:val="1"/>
      <w:marLeft w:val="0"/>
      <w:marRight w:val="0"/>
      <w:marTop w:val="0"/>
      <w:marBottom w:val="0"/>
      <w:divBdr>
        <w:top w:val="none" w:sz="0" w:space="0" w:color="auto"/>
        <w:left w:val="none" w:sz="0" w:space="0" w:color="auto"/>
        <w:bottom w:val="none" w:sz="0" w:space="0" w:color="auto"/>
        <w:right w:val="none" w:sz="0" w:space="0" w:color="auto"/>
      </w:divBdr>
    </w:div>
    <w:div w:id="856119486">
      <w:bodyDiv w:val="1"/>
      <w:marLeft w:val="0"/>
      <w:marRight w:val="0"/>
      <w:marTop w:val="0"/>
      <w:marBottom w:val="0"/>
      <w:divBdr>
        <w:top w:val="none" w:sz="0" w:space="0" w:color="auto"/>
        <w:left w:val="none" w:sz="0" w:space="0" w:color="auto"/>
        <w:bottom w:val="none" w:sz="0" w:space="0" w:color="auto"/>
        <w:right w:val="none" w:sz="0" w:space="0" w:color="auto"/>
      </w:divBdr>
    </w:div>
    <w:div w:id="904023169">
      <w:bodyDiv w:val="1"/>
      <w:marLeft w:val="0"/>
      <w:marRight w:val="0"/>
      <w:marTop w:val="0"/>
      <w:marBottom w:val="0"/>
      <w:divBdr>
        <w:top w:val="none" w:sz="0" w:space="0" w:color="auto"/>
        <w:left w:val="none" w:sz="0" w:space="0" w:color="auto"/>
        <w:bottom w:val="none" w:sz="0" w:space="0" w:color="auto"/>
        <w:right w:val="none" w:sz="0" w:space="0" w:color="auto"/>
      </w:divBdr>
    </w:div>
    <w:div w:id="1054082123">
      <w:bodyDiv w:val="1"/>
      <w:marLeft w:val="0"/>
      <w:marRight w:val="0"/>
      <w:marTop w:val="0"/>
      <w:marBottom w:val="0"/>
      <w:divBdr>
        <w:top w:val="none" w:sz="0" w:space="0" w:color="auto"/>
        <w:left w:val="none" w:sz="0" w:space="0" w:color="auto"/>
        <w:bottom w:val="none" w:sz="0" w:space="0" w:color="auto"/>
        <w:right w:val="none" w:sz="0" w:space="0" w:color="auto"/>
      </w:divBdr>
    </w:div>
    <w:div w:id="1112477185">
      <w:bodyDiv w:val="1"/>
      <w:marLeft w:val="0"/>
      <w:marRight w:val="0"/>
      <w:marTop w:val="0"/>
      <w:marBottom w:val="0"/>
      <w:divBdr>
        <w:top w:val="none" w:sz="0" w:space="0" w:color="auto"/>
        <w:left w:val="none" w:sz="0" w:space="0" w:color="auto"/>
        <w:bottom w:val="none" w:sz="0" w:space="0" w:color="auto"/>
        <w:right w:val="none" w:sz="0" w:space="0" w:color="auto"/>
      </w:divBdr>
    </w:div>
    <w:div w:id="1213035078">
      <w:bodyDiv w:val="1"/>
      <w:marLeft w:val="0"/>
      <w:marRight w:val="0"/>
      <w:marTop w:val="0"/>
      <w:marBottom w:val="0"/>
      <w:divBdr>
        <w:top w:val="none" w:sz="0" w:space="0" w:color="auto"/>
        <w:left w:val="none" w:sz="0" w:space="0" w:color="auto"/>
        <w:bottom w:val="none" w:sz="0" w:space="0" w:color="auto"/>
        <w:right w:val="none" w:sz="0" w:space="0" w:color="auto"/>
      </w:divBdr>
    </w:div>
    <w:div w:id="1258905972">
      <w:bodyDiv w:val="1"/>
      <w:marLeft w:val="0"/>
      <w:marRight w:val="0"/>
      <w:marTop w:val="0"/>
      <w:marBottom w:val="0"/>
      <w:divBdr>
        <w:top w:val="none" w:sz="0" w:space="0" w:color="auto"/>
        <w:left w:val="none" w:sz="0" w:space="0" w:color="auto"/>
        <w:bottom w:val="none" w:sz="0" w:space="0" w:color="auto"/>
        <w:right w:val="none" w:sz="0" w:space="0" w:color="auto"/>
      </w:divBdr>
    </w:div>
    <w:div w:id="1476605305">
      <w:bodyDiv w:val="1"/>
      <w:marLeft w:val="0"/>
      <w:marRight w:val="0"/>
      <w:marTop w:val="0"/>
      <w:marBottom w:val="0"/>
      <w:divBdr>
        <w:top w:val="none" w:sz="0" w:space="0" w:color="auto"/>
        <w:left w:val="none" w:sz="0" w:space="0" w:color="auto"/>
        <w:bottom w:val="none" w:sz="0" w:space="0" w:color="auto"/>
        <w:right w:val="none" w:sz="0" w:space="0" w:color="auto"/>
      </w:divBdr>
    </w:div>
    <w:div w:id="1561942267">
      <w:bodyDiv w:val="1"/>
      <w:marLeft w:val="0"/>
      <w:marRight w:val="0"/>
      <w:marTop w:val="0"/>
      <w:marBottom w:val="0"/>
      <w:divBdr>
        <w:top w:val="none" w:sz="0" w:space="0" w:color="auto"/>
        <w:left w:val="none" w:sz="0" w:space="0" w:color="auto"/>
        <w:bottom w:val="none" w:sz="0" w:space="0" w:color="auto"/>
        <w:right w:val="none" w:sz="0" w:space="0" w:color="auto"/>
      </w:divBdr>
    </w:div>
    <w:div w:id="1731808297">
      <w:bodyDiv w:val="1"/>
      <w:marLeft w:val="0"/>
      <w:marRight w:val="0"/>
      <w:marTop w:val="0"/>
      <w:marBottom w:val="0"/>
      <w:divBdr>
        <w:top w:val="none" w:sz="0" w:space="0" w:color="auto"/>
        <w:left w:val="none" w:sz="0" w:space="0" w:color="auto"/>
        <w:bottom w:val="none" w:sz="0" w:space="0" w:color="auto"/>
        <w:right w:val="none" w:sz="0" w:space="0" w:color="auto"/>
      </w:divBdr>
    </w:div>
    <w:div w:id="1777628564">
      <w:bodyDiv w:val="1"/>
      <w:marLeft w:val="0"/>
      <w:marRight w:val="0"/>
      <w:marTop w:val="0"/>
      <w:marBottom w:val="0"/>
      <w:divBdr>
        <w:top w:val="none" w:sz="0" w:space="0" w:color="auto"/>
        <w:left w:val="none" w:sz="0" w:space="0" w:color="auto"/>
        <w:bottom w:val="none" w:sz="0" w:space="0" w:color="auto"/>
        <w:right w:val="none" w:sz="0" w:space="0" w:color="auto"/>
      </w:divBdr>
    </w:div>
    <w:div w:id="1811903670">
      <w:bodyDiv w:val="1"/>
      <w:marLeft w:val="0"/>
      <w:marRight w:val="0"/>
      <w:marTop w:val="0"/>
      <w:marBottom w:val="0"/>
      <w:divBdr>
        <w:top w:val="none" w:sz="0" w:space="0" w:color="auto"/>
        <w:left w:val="none" w:sz="0" w:space="0" w:color="auto"/>
        <w:bottom w:val="none" w:sz="0" w:space="0" w:color="auto"/>
        <w:right w:val="none" w:sz="0" w:space="0" w:color="auto"/>
      </w:divBdr>
    </w:div>
    <w:div w:id="1816750682">
      <w:bodyDiv w:val="1"/>
      <w:marLeft w:val="0"/>
      <w:marRight w:val="0"/>
      <w:marTop w:val="0"/>
      <w:marBottom w:val="0"/>
      <w:divBdr>
        <w:top w:val="none" w:sz="0" w:space="0" w:color="auto"/>
        <w:left w:val="none" w:sz="0" w:space="0" w:color="auto"/>
        <w:bottom w:val="none" w:sz="0" w:space="0" w:color="auto"/>
        <w:right w:val="none" w:sz="0" w:space="0" w:color="auto"/>
      </w:divBdr>
    </w:div>
    <w:div w:id="1848709895">
      <w:bodyDiv w:val="1"/>
      <w:marLeft w:val="0"/>
      <w:marRight w:val="0"/>
      <w:marTop w:val="0"/>
      <w:marBottom w:val="0"/>
      <w:divBdr>
        <w:top w:val="none" w:sz="0" w:space="0" w:color="auto"/>
        <w:left w:val="none" w:sz="0" w:space="0" w:color="auto"/>
        <w:bottom w:val="none" w:sz="0" w:space="0" w:color="auto"/>
        <w:right w:val="none" w:sz="0" w:space="0" w:color="auto"/>
      </w:divBdr>
    </w:div>
    <w:div w:id="2002392890">
      <w:bodyDiv w:val="1"/>
      <w:marLeft w:val="0"/>
      <w:marRight w:val="0"/>
      <w:marTop w:val="0"/>
      <w:marBottom w:val="0"/>
      <w:divBdr>
        <w:top w:val="none" w:sz="0" w:space="0" w:color="auto"/>
        <w:left w:val="none" w:sz="0" w:space="0" w:color="auto"/>
        <w:bottom w:val="none" w:sz="0" w:space="0" w:color="auto"/>
        <w:right w:val="none" w:sz="0" w:space="0" w:color="auto"/>
      </w:divBdr>
    </w:div>
    <w:div w:id="201059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12AB4-9992-4B52-A16B-5C168D39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5626</Words>
  <Characters>29822</Characters>
  <Application>Microsoft Office Word</Application>
  <DocSecurity>0</DocSecurity>
  <Lines>248</Lines>
  <Paragraphs>70</Paragraphs>
  <ScaleCrop>false</ScaleCrop>
  <HeadingPairs>
    <vt:vector size="2" baseType="variant">
      <vt:variant>
        <vt:lpstr>Tittel</vt:lpstr>
      </vt:variant>
      <vt:variant>
        <vt:i4>1</vt:i4>
      </vt:variant>
    </vt:vector>
  </HeadingPairs>
  <TitlesOfParts>
    <vt:vector size="1" baseType="lpstr">
      <vt:lpstr/>
    </vt:vector>
  </TitlesOfParts>
  <Company>Helse Vest</Company>
  <LinksUpToDate>false</LinksUpToDate>
  <CharactersWithSpaces>35378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Stokland, Ann-Elin Meling</dc:creator>
  <cp:keywords/>
  <dc:description/>
  <cp:lastModifiedBy>Stokland, Ann-Elin Meling</cp:lastModifiedBy>
  <cp:revision>10</cp:revision>
  <cp:lastPrinted>2023-02-14T13:56:00Z</cp:lastPrinted>
  <dcterms:created xsi:type="dcterms:W3CDTF">2023-08-11T15:08:00Z</dcterms:created>
  <dcterms:modified xsi:type="dcterms:W3CDTF">2023-08-22T15:58:00Z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91ddcc-9a90-46b7-a727-d19b3ec4b730_Enabled">
    <vt:lpwstr>true</vt:lpwstr>
  </property>
  <property fmtid="{D5CDD505-2E9C-101B-9397-08002B2CF9AE}" pid="3" name="MSIP_Label_d291ddcc-9a90-46b7-a727-d19b3ec4b730_SetDate">
    <vt:lpwstr>2023-05-30T08:17:36Z</vt:lpwstr>
  </property>
  <property fmtid="{D5CDD505-2E9C-101B-9397-08002B2CF9AE}" pid="4" name="MSIP_Label_d291ddcc-9a90-46b7-a727-d19b3ec4b730_Method">
    <vt:lpwstr>Privileged</vt:lpwstr>
  </property>
  <property fmtid="{D5CDD505-2E9C-101B-9397-08002B2CF9AE}" pid="5" name="MSIP_Label_d291ddcc-9a90-46b7-a727-d19b3ec4b730_Name">
    <vt:lpwstr>Åpen</vt:lpwstr>
  </property>
  <property fmtid="{D5CDD505-2E9C-101B-9397-08002B2CF9AE}" pid="6" name="MSIP_Label_d291ddcc-9a90-46b7-a727-d19b3ec4b730_SiteId">
    <vt:lpwstr>bdcbe535-f3cf-49f5-8a6a-fb6d98dc7837</vt:lpwstr>
  </property>
  <property fmtid="{D5CDD505-2E9C-101B-9397-08002B2CF9AE}" pid="7" name="MSIP_Label_d291ddcc-9a90-46b7-a727-d19b3ec4b730_ActionId">
    <vt:lpwstr>0c8ab9c7-f09b-42a3-87b9-bacb3e23c4b7</vt:lpwstr>
  </property>
  <property fmtid="{D5CDD505-2E9C-101B-9397-08002B2CF9AE}" pid="8" name="MSIP_Label_d291ddcc-9a90-46b7-a727-d19b3ec4b730_ContentBits">
    <vt:lpwstr>0</vt:lpwstr>
  </property>
</Properties>
</file>