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Copyright (c) 2018-2020, NVIDIA CORPORATION. All rights reserved.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Redistribution and use in source and binary forms, with or without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modification, are permitted provided that the following conditions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are met: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* Redistributions of source code must retain the above copyright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notice, this list of conditions and the following disclaimer.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* Redistributions in binary form must reproduce the above copyright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notice, this list of conditions and the following disclaimer in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documentation and/or other materials provided with the distribution.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* Neither the name of NVIDIA CORPORATION nor the names of its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contributors may be used to endorse or promote products derived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from this software without specific prior written permission.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THIS SOFTWARE IS PROVIDED BY THE COPYRIGHT HOLDERS ``AS IS'' AND ANY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EXPRESS OR IMPLIED WARRANTIES, INCLUDING, BUT NOT LIMITED TO, THE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IMPLIED WARRANTIES OF MERCHANTABILITY AND FITNESS FOR A PARTICULAR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PURPOSE ARE DISCLAIMED.  IN NO EVENT SHALL THE COPYRIGHT OWNER OR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CONTRIBUTORS BE LIABLE FOR ANY DIRECT, INDIRECT, INCIDENTAL, SPECIAL,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EXEMPLARY, OR CONSEQUENTIAL DAMAGES (INCLUDING, BUT NOT LIMITED TO,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PROCUREMENT OF SUBSTITUTE GOODS OR SERVICES; LOSS OF USE, DATA, OR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PROFITS; OR BUSINESS INTERRUPTION) HOWEVER CAUSED AND ON ANY THEORY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OF LIABILITY, WHETHER IN CONTRACT, STRICT LIABILITY, OR TORT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(INCLUDING NEGLIGENCE OR OTHERWISE) ARISING IN ANY WAY OUT OF THE USE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OF THIS SOFTWARE, EVEN IF ADVISED OF THE POSSIBILITY OF SUCH DAMAGE.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Rules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code style convention is enforced by clang-format. See the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Developer Guide for instructions on how to ensure your contributions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conform. In general please follow the existing conventions in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relevant file, submodule, module, and project when you add new code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when you extend/fix existing functionality.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Avoid introducing unnecessary complexity into existing code so that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maintainability and readability are preserved.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keep pull requests (PRs) as concise as possible: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Avoid committing commented-out code.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Wherever possible, each PR should address a single concern. If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 are several otherwise-unrelated things that should be fixed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reach a desired endpoint, it is perfectly fine to open several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PRs and state in the description which PR depends on another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PR. The more complex the changes are in a single PR, the more time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will take to review those changes.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Make sure that the build log is clean, meaning no warnings or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errors should be present.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all `L0_*` tests pass: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In the `qa/` directory, there are basic sanity tests scripted in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directories named `L0_...`.  See the Testing section in the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Developer Guide for instructions on running these tests.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Triton Inference Server's default build assumes recent versions of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dependencies (CUDA, TensorFlow, PyTorch, TensorRT,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etc.). Contributions that add compatibility with older versions of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those dependencies will be considered, but NVIDIA cannot guarantee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all possible build configurations work, are not broken by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future contributions, and retain highest performance.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that you can contribute your work to open source (no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license and/or patent conflict is introduced by your code). You need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complete the CLA described below before your PR can be merged.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Thanks in advance for your patience as we review your contributions;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do appreciate them!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 License Agreement (CLA)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Triton requires that all contributors (or their corporate entity) send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signed copy of the [Contributor License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Agreement](https://github.com/NVIDIA/triton-inference-server/blob/master/Triton-CCLA-v1.pdf)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triton-cla@nvidia.com.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